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A2FEB" w14:textId="5027F080" w:rsidR="000D200B" w:rsidRDefault="000D200B" w:rsidP="000D200B">
      <w:pPr>
        <w:rPr>
          <w:rFonts w:ascii="Calibri" w:eastAsia="Calibri" w:hAnsi="Calibri" w:cs="Calibri"/>
          <w:b/>
          <w:bCs/>
          <w:sz w:val="48"/>
          <w:szCs w:val="48"/>
        </w:rPr>
      </w:pPr>
      <w:bookmarkStart w:id="0" w:name="_Toc422482112"/>
      <w:bookmarkStart w:id="1" w:name="_Toc436484630"/>
      <w:bookmarkStart w:id="2" w:name="_Toc442194027"/>
      <w:r>
        <w:rPr>
          <w:noProof/>
        </w:rPr>
        <w:drawing>
          <wp:anchor distT="0" distB="0" distL="114300" distR="114300" simplePos="0" relativeHeight="251658246" behindDoc="1" locked="0" layoutInCell="1" allowOverlap="1" wp14:anchorId="466176E2" wp14:editId="0F9151E6">
            <wp:simplePos x="0" y="0"/>
            <wp:positionH relativeFrom="column">
              <wp:posOffset>-1134322</wp:posOffset>
            </wp:positionH>
            <wp:positionV relativeFrom="paragraph">
              <wp:posOffset>-786765</wp:posOffset>
            </wp:positionV>
            <wp:extent cx="8157029" cy="11546133"/>
            <wp:effectExtent l="0" t="0" r="0" b="0"/>
            <wp:wrapNone/>
            <wp:docPr id="57117699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76990" name="Picture 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7029" cy="11546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C7B0A" w14:textId="77777777" w:rsidR="000D200B" w:rsidRPr="000D200B" w:rsidRDefault="000D200B" w:rsidP="000D200B">
      <w:pPr>
        <w:rPr>
          <w:rFonts w:asciiTheme="minorHAnsi" w:eastAsia="Calibri" w:hAnsiTheme="minorHAnsi" w:cstheme="minorHAnsi"/>
          <w:b/>
          <w:bCs/>
          <w:color w:val="275A0A"/>
          <w:sz w:val="90"/>
          <w:szCs w:val="90"/>
        </w:rPr>
      </w:pPr>
      <w:r w:rsidRPr="000D200B">
        <w:rPr>
          <w:rFonts w:asciiTheme="minorHAnsi" w:eastAsia="Calibri" w:hAnsiTheme="minorHAnsi" w:cstheme="minorHAnsi"/>
          <w:b/>
          <w:bCs/>
          <w:color w:val="275A0A"/>
          <w:sz w:val="90"/>
          <w:szCs w:val="90"/>
        </w:rPr>
        <w:t xml:space="preserve">Australia-Vietnam </w:t>
      </w:r>
    </w:p>
    <w:p w14:paraId="06AEF75F" w14:textId="209A6835" w:rsidR="000D200B" w:rsidRPr="000D200B" w:rsidRDefault="000D200B" w:rsidP="000D200B">
      <w:pPr>
        <w:rPr>
          <w:rFonts w:asciiTheme="minorHAnsi" w:eastAsia="Calibri" w:hAnsiTheme="minorHAnsi" w:cstheme="minorHAnsi"/>
          <w:b/>
          <w:bCs/>
          <w:color w:val="275A0A"/>
          <w:sz w:val="90"/>
          <w:szCs w:val="90"/>
        </w:rPr>
      </w:pPr>
      <w:r w:rsidRPr="000D200B">
        <w:rPr>
          <w:rFonts w:asciiTheme="minorHAnsi" w:eastAsia="Calibri" w:hAnsiTheme="minorHAnsi" w:cstheme="minorHAnsi"/>
          <w:b/>
          <w:bCs/>
          <w:color w:val="275A0A"/>
          <w:sz w:val="90"/>
          <w:szCs w:val="90"/>
        </w:rPr>
        <w:t xml:space="preserve">Energy Transition </w:t>
      </w:r>
    </w:p>
    <w:p w14:paraId="168AE3FF" w14:textId="77777777" w:rsidR="000D200B" w:rsidRPr="000D200B" w:rsidRDefault="000D200B" w:rsidP="000D200B">
      <w:pPr>
        <w:rPr>
          <w:rFonts w:asciiTheme="minorHAnsi" w:eastAsia="Calibri" w:hAnsiTheme="minorHAnsi" w:cstheme="minorHAnsi"/>
          <w:b/>
          <w:bCs/>
          <w:color w:val="275A0A"/>
          <w:sz w:val="90"/>
          <w:szCs w:val="90"/>
        </w:rPr>
      </w:pPr>
      <w:r w:rsidRPr="000D200B">
        <w:rPr>
          <w:rFonts w:asciiTheme="minorHAnsi" w:eastAsia="Calibri" w:hAnsiTheme="minorHAnsi" w:cstheme="minorHAnsi"/>
          <w:b/>
          <w:bCs/>
          <w:color w:val="275A0A"/>
          <w:sz w:val="90"/>
          <w:szCs w:val="90"/>
        </w:rPr>
        <w:t>Platform (AVETP)</w:t>
      </w:r>
    </w:p>
    <w:p w14:paraId="28593FE5" w14:textId="77777777" w:rsidR="000D200B" w:rsidRPr="000D200B" w:rsidRDefault="000D200B" w:rsidP="000D200B">
      <w:pPr>
        <w:rPr>
          <w:rFonts w:asciiTheme="minorHAnsi" w:eastAsia="Calibri" w:hAnsiTheme="minorHAnsi" w:cstheme="minorHAnsi"/>
          <w:b/>
          <w:bCs/>
          <w:sz w:val="48"/>
          <w:szCs w:val="48"/>
        </w:rPr>
      </w:pPr>
    </w:p>
    <w:p w14:paraId="0FC591BF" w14:textId="77777777" w:rsidR="000D200B" w:rsidRPr="000D200B" w:rsidRDefault="000D200B" w:rsidP="000D200B">
      <w:pPr>
        <w:rPr>
          <w:rFonts w:asciiTheme="minorHAnsi" w:eastAsia="Calibri" w:hAnsiTheme="minorHAnsi" w:cstheme="minorHAnsi"/>
          <w:b/>
          <w:bCs/>
          <w:color w:val="007885"/>
          <w:sz w:val="72"/>
          <w:szCs w:val="72"/>
        </w:rPr>
      </w:pPr>
      <w:r w:rsidRPr="000D200B">
        <w:rPr>
          <w:rFonts w:asciiTheme="minorHAnsi" w:eastAsia="Calibri" w:hAnsiTheme="minorHAnsi" w:cstheme="minorHAnsi"/>
          <w:b/>
          <w:bCs/>
          <w:color w:val="007885"/>
          <w:sz w:val="72"/>
          <w:szCs w:val="72"/>
        </w:rPr>
        <w:t xml:space="preserve">Mid-Term Review </w:t>
      </w:r>
    </w:p>
    <w:p w14:paraId="696CD147" w14:textId="5888B646" w:rsidR="000D200B" w:rsidRPr="000D200B" w:rsidRDefault="000D200B" w:rsidP="000D200B">
      <w:pPr>
        <w:rPr>
          <w:rFonts w:asciiTheme="minorHAnsi" w:eastAsia="Calibri" w:hAnsiTheme="minorHAnsi" w:cstheme="minorHAnsi"/>
          <w:b/>
          <w:bCs/>
          <w:color w:val="007885"/>
          <w:sz w:val="72"/>
          <w:szCs w:val="72"/>
        </w:rPr>
      </w:pPr>
      <w:r w:rsidRPr="000D200B">
        <w:rPr>
          <w:rFonts w:asciiTheme="minorHAnsi" w:eastAsia="Calibri" w:hAnsiTheme="minorHAnsi" w:cstheme="minorHAnsi"/>
          <w:b/>
          <w:bCs/>
          <w:color w:val="007885"/>
          <w:sz w:val="72"/>
          <w:szCs w:val="72"/>
        </w:rPr>
        <w:t xml:space="preserve">Report </w:t>
      </w:r>
    </w:p>
    <w:p w14:paraId="0771BF81" w14:textId="77777777" w:rsidR="000D200B" w:rsidRPr="000D200B" w:rsidRDefault="000D200B" w:rsidP="000D200B">
      <w:pPr>
        <w:rPr>
          <w:rFonts w:asciiTheme="minorHAnsi" w:eastAsia="Calibri" w:hAnsiTheme="minorHAnsi" w:cstheme="minorHAnsi"/>
          <w:b/>
          <w:bCs/>
          <w:color w:val="007885"/>
          <w:sz w:val="72"/>
          <w:szCs w:val="72"/>
        </w:rPr>
      </w:pPr>
    </w:p>
    <w:p w14:paraId="7FB51FFE" w14:textId="77777777" w:rsidR="00042149" w:rsidRPr="00042149" w:rsidRDefault="00042149" w:rsidP="000D200B">
      <w:pPr>
        <w:rPr>
          <w:rFonts w:asciiTheme="minorHAnsi" w:eastAsia="Calibri" w:hAnsiTheme="minorHAnsi" w:cstheme="minorHAnsi"/>
          <w:b/>
          <w:bCs/>
          <w:color w:val="007885"/>
          <w:sz w:val="48"/>
          <w:szCs w:val="48"/>
        </w:rPr>
      </w:pPr>
      <w:r w:rsidRPr="00042149">
        <w:rPr>
          <w:rFonts w:asciiTheme="minorHAnsi" w:eastAsia="Calibri" w:hAnsiTheme="minorHAnsi" w:cstheme="minorHAnsi"/>
          <w:b/>
          <w:bCs/>
          <w:color w:val="007885"/>
          <w:sz w:val="48"/>
          <w:szCs w:val="48"/>
        </w:rPr>
        <w:t xml:space="preserve">Global Aid Insights </w:t>
      </w:r>
    </w:p>
    <w:p w14:paraId="58E3B0F8" w14:textId="3281AC9F" w:rsidR="00B82E15" w:rsidRPr="00FD4103" w:rsidRDefault="000D200B" w:rsidP="00607509">
      <w:pPr>
        <w:sectPr w:rsidR="00B82E15" w:rsidRPr="00FD4103" w:rsidSect="00611677">
          <w:headerReference w:type="even" r:id="rId14"/>
          <w:headerReference w:type="default" r:id="rId15"/>
          <w:footerReference w:type="even" r:id="rId16"/>
          <w:footerReference w:type="default" r:id="rId17"/>
          <w:headerReference w:type="first" r:id="rId18"/>
          <w:footerReference w:type="first" r:id="rId19"/>
          <w:pgSz w:w="11907" w:h="16840" w:code="9"/>
          <w:pgMar w:top="1134" w:right="851" w:bottom="964" w:left="851" w:header="567" w:footer="567" w:gutter="0"/>
          <w:cols w:space="708"/>
          <w:titlePg/>
          <w:docGrid w:linePitch="360"/>
        </w:sectPr>
      </w:pPr>
      <w:r w:rsidRPr="00042149">
        <w:rPr>
          <w:rFonts w:asciiTheme="minorHAnsi" w:eastAsia="Calibri" w:hAnsiTheme="minorHAnsi" w:cstheme="minorHAnsi"/>
          <w:b/>
          <w:bCs/>
          <w:color w:val="007885"/>
          <w:sz w:val="48"/>
          <w:szCs w:val="48"/>
        </w:rPr>
        <w:t>June 2026</w:t>
      </w:r>
      <w:r w:rsidRPr="00760D8F">
        <w:rPr>
          <w:rFonts w:ascii="Calibri" w:eastAsia="Calibri" w:hAnsi="Calibri" w:cs="Calibri"/>
          <w:b/>
          <w:bCs/>
          <w:smallCaps/>
          <w:sz w:val="72"/>
          <w:szCs w:val="72"/>
          <w:lang w:val="en-US"/>
        </w:rPr>
        <w:br/>
      </w:r>
      <w:r w:rsidR="004E2905">
        <w:fldChar w:fldCharType="begin"/>
      </w:r>
      <w:r w:rsidR="004E2905">
        <w:instrText xml:space="preserve"> INCLUDEPICTURE "/Users/globalaidinsightsptyltd/Library/Group Containers/UBF8T346G9.ms/WebArchiveCopyPasteTempFiles/com.microsoft.Word/content?id=file_000000005804720ba3e88a71fe96bd40&amp;ts=494793&amp;p=fs&amp;cid=1&amp;sig=ae8fb6cb9a8b35ad4541b43da02f8af1fe1d8df41f0abebeceb262958c9c7f80&amp;v=0" \* MERGEFORMATINET </w:instrText>
      </w:r>
      <w:r w:rsidR="004E2905">
        <w:fldChar w:fldCharType="separate"/>
      </w:r>
      <w:r w:rsidR="004E2905">
        <w:fldChar w:fldCharType="end"/>
      </w:r>
      <w:r w:rsidR="00E222F0">
        <w:fldChar w:fldCharType="begin"/>
      </w:r>
      <w:r w:rsidR="00E222F0">
        <w:instrText xml:space="preserve"> INCLUDEPICTURE "/Users/globalaidinsightsptyltd/Library/Group Containers/UBF8T346G9.ms/WebArchiveCopyPasteTempFiles/com.microsoft.Word/content?id=file_00000000509c7207b541e27a04f68536&amp;ts=494791&amp;p=fs&amp;cid=1&amp;sig=c392ba901fabf5d4223a599fe67f6b5c9d81cd61e6b5145ef6d87de80d69a350&amp;v=0" \* MERGEFORMATINET </w:instrText>
      </w:r>
      <w:r w:rsidR="00E222F0">
        <w:fldChar w:fldCharType="separate"/>
      </w:r>
      <w:r w:rsidR="00E222F0">
        <w:fldChar w:fldCharType="end"/>
      </w:r>
      <w:r w:rsidR="00B372C0">
        <w:fldChar w:fldCharType="begin"/>
      </w:r>
      <w:r w:rsidR="00B372C0">
        <w:instrText xml:space="preserve"> INCLUDEPICTURE "/Users/globalaidinsightsptyltd/Library/Group Containers/UBF8T346G9.ms/WebArchiveCopyPasteTempFiles/com.microsoft.Word/content?id=file_00000000136871fabd0ed567e435cac1&amp;ts=494792&amp;p=fs&amp;cid=1&amp;sig=5664d44d8017ea57819f7f680a95cbf0cc825e3f4cb757a6c5607ef805fdcd09&amp;v=0" \* MERGEFORMATINET </w:instrText>
      </w:r>
      <w:r w:rsidR="00B372C0">
        <w:fldChar w:fldCharType="separate"/>
      </w:r>
      <w:r w:rsidR="00B372C0">
        <w:fldChar w:fldCharType="end"/>
      </w:r>
      <w:r w:rsidR="00C45B1F">
        <w:fldChar w:fldCharType="begin"/>
      </w:r>
      <w:r w:rsidR="00C45B1F">
        <w:instrText xml:space="preserve"> INCLUDEPICTURE "/Users/globalaidinsightsptyltd/Library/Group Containers/UBF8T346G9.ms/WebArchiveCopyPasteTempFiles/com.microsoft.Word/content?id=file_000000001604720bb23b047a342f44ed&amp;ts=494793&amp;p=fs&amp;cid=1&amp;sig=ed5121c59294f1d92a0844a2d5c0361e90b398078132e70ff61cb4f7420ec7f7&amp;v=0" \* MERGEFORMATINET </w:instrText>
      </w:r>
      <w:r w:rsidR="00C45B1F">
        <w:fldChar w:fldCharType="separate"/>
      </w:r>
      <w:r w:rsidR="00C45B1F">
        <w:fldChar w:fldCharType="end"/>
      </w:r>
    </w:p>
    <w:p w14:paraId="26965142" w14:textId="4FE646D2" w:rsidR="0014032D" w:rsidRPr="005C097A" w:rsidRDefault="0014032D" w:rsidP="0014032D">
      <w:pPr>
        <w:pStyle w:val="Title"/>
        <w:rPr>
          <w:rFonts w:asciiTheme="minorHAnsi" w:hAnsiTheme="minorHAnsi" w:cstheme="minorHAnsi"/>
          <w:sz w:val="20"/>
          <w:szCs w:val="20"/>
        </w:rPr>
      </w:pPr>
      <w:r w:rsidRPr="005C097A">
        <w:rPr>
          <w:rFonts w:asciiTheme="minorHAnsi" w:hAnsiTheme="minorHAnsi" w:cstheme="minorHAnsi"/>
          <w:sz w:val="20"/>
          <w:szCs w:val="20"/>
        </w:rPr>
        <w:lastRenderedPageBreak/>
        <w:t>Conflict of Interest Declaration</w:t>
      </w:r>
    </w:p>
    <w:p w14:paraId="035013A4" w14:textId="4FD3CCE0" w:rsidR="0014032D" w:rsidRPr="006B790D" w:rsidRDefault="0014032D" w:rsidP="0014032D">
      <w:pPr>
        <w:rPr>
          <w:rFonts w:asciiTheme="minorHAnsi" w:hAnsiTheme="minorHAnsi" w:cstheme="minorHAnsi"/>
          <w:color w:val="000000" w:themeColor="text2"/>
          <w:sz w:val="22"/>
          <w:szCs w:val="22"/>
        </w:rPr>
      </w:pPr>
      <w:r w:rsidRPr="006B790D">
        <w:rPr>
          <w:rFonts w:asciiTheme="minorHAnsi" w:hAnsiTheme="minorHAnsi" w:cstheme="minorHAnsi"/>
          <w:color w:val="000000" w:themeColor="text2"/>
          <w:sz w:val="22"/>
          <w:szCs w:val="22"/>
        </w:rPr>
        <w:t xml:space="preserve">The </w:t>
      </w:r>
      <w:r w:rsidR="00F63C5A" w:rsidRPr="006B790D">
        <w:rPr>
          <w:rFonts w:asciiTheme="minorHAnsi" w:hAnsiTheme="minorHAnsi" w:cstheme="minorHAnsi"/>
          <w:color w:val="000000" w:themeColor="text2"/>
          <w:sz w:val="22"/>
          <w:szCs w:val="22"/>
        </w:rPr>
        <w:t>mid-term review</w:t>
      </w:r>
      <w:r w:rsidRPr="006B790D">
        <w:rPr>
          <w:rFonts w:asciiTheme="minorHAnsi" w:hAnsiTheme="minorHAnsi" w:cstheme="minorHAnsi"/>
          <w:color w:val="000000" w:themeColor="text2"/>
          <w:sz w:val="22"/>
          <w:szCs w:val="22"/>
        </w:rPr>
        <w:t xml:space="preserve"> team confirms that there are no actual, potential, or perceived conflicts of interest that could compromise the independence, objectivity, or credibility of this </w:t>
      </w:r>
      <w:r w:rsidR="00F63C5A" w:rsidRPr="006B790D">
        <w:rPr>
          <w:rFonts w:asciiTheme="minorHAnsi" w:hAnsiTheme="minorHAnsi" w:cstheme="minorHAnsi"/>
          <w:color w:val="000000" w:themeColor="text2"/>
          <w:sz w:val="22"/>
          <w:szCs w:val="22"/>
        </w:rPr>
        <w:t>review</w:t>
      </w:r>
      <w:r w:rsidRPr="006B790D">
        <w:rPr>
          <w:rFonts w:asciiTheme="minorHAnsi" w:hAnsiTheme="minorHAnsi" w:cstheme="minorHAnsi"/>
          <w:color w:val="000000" w:themeColor="text2"/>
          <w:sz w:val="22"/>
          <w:szCs w:val="22"/>
        </w:rPr>
        <w:t xml:space="preserve">. Members of the team have not participated in the design, implementation, or management of the programme being </w:t>
      </w:r>
      <w:r w:rsidR="00400371" w:rsidRPr="006B790D">
        <w:rPr>
          <w:rFonts w:asciiTheme="minorHAnsi" w:hAnsiTheme="minorHAnsi" w:cstheme="minorHAnsi"/>
          <w:color w:val="000000" w:themeColor="text2"/>
          <w:sz w:val="22"/>
          <w:szCs w:val="22"/>
        </w:rPr>
        <w:t>reviewed</w:t>
      </w:r>
      <w:r w:rsidRPr="006B790D">
        <w:rPr>
          <w:rFonts w:asciiTheme="minorHAnsi" w:hAnsiTheme="minorHAnsi" w:cstheme="minorHAnsi"/>
          <w:color w:val="000000" w:themeColor="text2"/>
          <w:sz w:val="22"/>
          <w:szCs w:val="22"/>
        </w:rPr>
        <w:t>, nor do they hold any financial, institutional, or personal interests in its outcomes.</w:t>
      </w:r>
    </w:p>
    <w:p w14:paraId="7F36C7D6" w14:textId="69EA55E3" w:rsidR="0014032D" w:rsidRPr="006B790D" w:rsidRDefault="0014032D" w:rsidP="0014032D">
      <w:pPr>
        <w:rPr>
          <w:rFonts w:asciiTheme="minorHAnsi" w:hAnsiTheme="minorHAnsi" w:cstheme="minorHAnsi"/>
          <w:color w:val="000000" w:themeColor="text2"/>
          <w:sz w:val="22"/>
          <w:szCs w:val="22"/>
        </w:rPr>
      </w:pPr>
      <w:r w:rsidRPr="006B790D">
        <w:rPr>
          <w:rFonts w:asciiTheme="minorHAnsi" w:hAnsiTheme="minorHAnsi" w:cstheme="minorHAnsi"/>
          <w:color w:val="000000" w:themeColor="text2"/>
          <w:sz w:val="22"/>
          <w:szCs w:val="22"/>
        </w:rPr>
        <w:t>Any prior professional engagement with implementing partners has been limited to independent research or evaluation roles and does not constitute a conflict of interest. Safeguards were applied throughout the evaluation to ensure impartial judgement, including independent analysis, transparent methodological decisions, and evidence-based reporting.</w:t>
      </w:r>
    </w:p>
    <w:p w14:paraId="3C5A9866" w14:textId="77777777" w:rsidR="001C3169" w:rsidRPr="006B790D" w:rsidRDefault="001C3169" w:rsidP="0014032D">
      <w:pPr>
        <w:rPr>
          <w:rFonts w:asciiTheme="minorHAnsi" w:hAnsiTheme="minorHAnsi" w:cstheme="minorHAnsi"/>
          <w:color w:val="000000" w:themeColor="text2"/>
          <w:sz w:val="22"/>
          <w:szCs w:val="22"/>
        </w:rPr>
      </w:pPr>
    </w:p>
    <w:p w14:paraId="75C02BC8" w14:textId="294ADA1F" w:rsidR="005769B6" w:rsidRPr="006B790D" w:rsidRDefault="00F540F9" w:rsidP="001C3169">
      <w:pPr>
        <w:rPr>
          <w:rFonts w:asciiTheme="minorHAnsi" w:hAnsiTheme="minorHAnsi" w:cstheme="minorHAnsi"/>
          <w:color w:val="000000" w:themeColor="text2"/>
          <w:sz w:val="22"/>
          <w:szCs w:val="22"/>
        </w:rPr>
      </w:pPr>
      <w:r w:rsidRPr="006B790D">
        <w:rPr>
          <w:rFonts w:asciiTheme="minorHAnsi" w:hAnsiTheme="minorHAnsi" w:cstheme="minorHAnsi"/>
          <w:b/>
          <w:bCs/>
          <w:color w:val="000000" w:themeColor="text2"/>
          <w:sz w:val="22"/>
          <w:szCs w:val="22"/>
        </w:rPr>
        <w:t>Authors</w:t>
      </w:r>
      <w:r w:rsidR="00400371" w:rsidRPr="006B790D">
        <w:rPr>
          <w:rFonts w:asciiTheme="minorHAnsi" w:hAnsiTheme="minorHAnsi" w:cstheme="minorHAnsi"/>
          <w:b/>
          <w:bCs/>
          <w:color w:val="000000" w:themeColor="text2"/>
          <w:sz w:val="22"/>
          <w:szCs w:val="22"/>
        </w:rPr>
        <w:t xml:space="preserve"> and the review team</w:t>
      </w:r>
      <w:r w:rsidRPr="006B790D">
        <w:rPr>
          <w:rFonts w:asciiTheme="minorHAnsi" w:hAnsiTheme="minorHAnsi" w:cstheme="minorHAnsi"/>
          <w:b/>
          <w:bCs/>
          <w:color w:val="000000" w:themeColor="text2"/>
          <w:sz w:val="22"/>
          <w:szCs w:val="22"/>
        </w:rPr>
        <w:t>:</w:t>
      </w:r>
      <w:r w:rsidRPr="006B790D">
        <w:rPr>
          <w:rFonts w:asciiTheme="minorHAnsi" w:hAnsiTheme="minorHAnsi" w:cstheme="minorHAnsi"/>
          <w:color w:val="000000" w:themeColor="text2"/>
          <w:sz w:val="22"/>
          <w:szCs w:val="22"/>
        </w:rPr>
        <w:t xml:space="preserve"> </w:t>
      </w:r>
      <w:r w:rsidR="00400371" w:rsidRPr="006B790D">
        <w:rPr>
          <w:rFonts w:asciiTheme="minorHAnsi" w:hAnsiTheme="minorHAnsi" w:cstheme="minorHAnsi"/>
          <w:color w:val="000000" w:themeColor="text2"/>
          <w:sz w:val="22"/>
          <w:szCs w:val="22"/>
        </w:rPr>
        <w:t xml:space="preserve">Dr </w:t>
      </w:r>
      <w:r w:rsidRPr="006B790D">
        <w:rPr>
          <w:rFonts w:asciiTheme="minorHAnsi" w:hAnsiTheme="minorHAnsi" w:cstheme="minorHAnsi"/>
          <w:color w:val="000000" w:themeColor="text2"/>
          <w:sz w:val="22"/>
          <w:szCs w:val="22"/>
        </w:rPr>
        <w:t xml:space="preserve">Yaseen Ayobi, </w:t>
      </w:r>
      <w:r w:rsidR="00EB02EE" w:rsidRPr="006B790D">
        <w:rPr>
          <w:rFonts w:asciiTheme="minorHAnsi" w:hAnsiTheme="minorHAnsi" w:cstheme="minorHAnsi"/>
          <w:color w:val="000000" w:themeColor="text2"/>
          <w:sz w:val="22"/>
          <w:szCs w:val="22"/>
        </w:rPr>
        <w:t xml:space="preserve">Dr </w:t>
      </w:r>
      <w:r w:rsidRPr="006B790D">
        <w:rPr>
          <w:rFonts w:asciiTheme="minorHAnsi" w:hAnsiTheme="minorHAnsi" w:cstheme="minorHAnsi"/>
          <w:color w:val="000000" w:themeColor="text2"/>
          <w:sz w:val="22"/>
          <w:szCs w:val="22"/>
        </w:rPr>
        <w:t xml:space="preserve">Phí Minh Nguyệt and Nguyen Nhat Hoai </w:t>
      </w:r>
    </w:p>
    <w:p w14:paraId="379E8E7C" w14:textId="77777777" w:rsidR="005769B6" w:rsidRPr="001C3169" w:rsidRDefault="005769B6" w:rsidP="001C3169">
      <w:r w:rsidRPr="001C3169">
        <w:br w:type="page"/>
      </w:r>
    </w:p>
    <w:p w14:paraId="2F7EC15C" w14:textId="0684FA4A" w:rsidR="00B05FF2" w:rsidRPr="00B05FF2" w:rsidRDefault="002329F8" w:rsidP="00B05FF2">
      <w:pPr>
        <w:pStyle w:val="Heading1"/>
        <w:numPr>
          <w:ilvl w:val="0"/>
          <w:numId w:val="0"/>
        </w:numPr>
        <w:ind w:left="432" w:hanging="432"/>
      </w:pPr>
      <w:bookmarkStart w:id="3" w:name="_Toc233026576"/>
      <w:r w:rsidRPr="00FD4103">
        <w:lastRenderedPageBreak/>
        <w:t>Contents</w:t>
      </w:r>
      <w:bookmarkEnd w:id="3"/>
      <w:r w:rsidR="00242C1B" w:rsidRPr="00FD4103">
        <w:rPr>
          <w:rFonts w:asciiTheme="minorHAnsi" w:hAnsiTheme="minorHAnsi"/>
          <w:b w:val="0"/>
          <w:noProof/>
          <w:sz w:val="20"/>
          <w:szCs w:val="20"/>
        </w:rPr>
        <w:fldChar w:fldCharType="begin"/>
      </w:r>
      <w:r w:rsidR="00242C1B" w:rsidRPr="00194CA5">
        <w:instrText xml:space="preserve"> TOC \o "1-3" \h \z \u </w:instrText>
      </w:r>
      <w:r w:rsidR="00242C1B" w:rsidRPr="00FD4103">
        <w:rPr>
          <w:rFonts w:asciiTheme="minorHAnsi" w:hAnsiTheme="minorHAnsi"/>
          <w:b w:val="0"/>
          <w:noProof/>
          <w:sz w:val="20"/>
          <w:szCs w:val="20"/>
        </w:rPr>
        <w:fldChar w:fldCharType="separate"/>
      </w:r>
      <w:hyperlink w:anchor="_Toc233026576" w:history="1"/>
    </w:p>
    <w:p w14:paraId="2CCCA6A3" w14:textId="56D6DD3F" w:rsidR="00B05FF2" w:rsidRDefault="00B05FF2">
      <w:pPr>
        <w:pStyle w:val="TOC1"/>
        <w:rPr>
          <w:rFonts w:eastAsiaTheme="minorEastAsia" w:cstheme="minorBidi"/>
          <w:b w:val="0"/>
          <w:kern w:val="2"/>
          <w:sz w:val="24"/>
          <w:szCs w:val="24"/>
          <w:lang w:eastAsia="en-GB"/>
          <w14:ligatures w14:val="standardContextual"/>
        </w:rPr>
      </w:pPr>
      <w:hyperlink w:anchor="_Toc233026577" w:history="1">
        <w:r w:rsidRPr="003815EE">
          <w:rPr>
            <w:rStyle w:val="Hyperlink"/>
          </w:rPr>
          <w:t>List of Abbreviations</w:t>
        </w:r>
        <w:r>
          <w:rPr>
            <w:webHidden/>
          </w:rPr>
          <w:tab/>
        </w:r>
        <w:r>
          <w:rPr>
            <w:webHidden/>
          </w:rPr>
          <w:fldChar w:fldCharType="begin"/>
        </w:r>
        <w:r>
          <w:rPr>
            <w:webHidden/>
          </w:rPr>
          <w:instrText xml:space="preserve"> PAGEREF _Toc233026577 \h </w:instrText>
        </w:r>
        <w:r>
          <w:rPr>
            <w:webHidden/>
          </w:rPr>
        </w:r>
        <w:r>
          <w:rPr>
            <w:webHidden/>
          </w:rPr>
          <w:fldChar w:fldCharType="separate"/>
        </w:r>
        <w:r>
          <w:rPr>
            <w:webHidden/>
          </w:rPr>
          <w:t>v</w:t>
        </w:r>
        <w:r>
          <w:rPr>
            <w:webHidden/>
          </w:rPr>
          <w:fldChar w:fldCharType="end"/>
        </w:r>
      </w:hyperlink>
    </w:p>
    <w:p w14:paraId="4221883E" w14:textId="73650063" w:rsidR="00B05FF2" w:rsidRDefault="00B05FF2">
      <w:pPr>
        <w:pStyle w:val="TOC1"/>
        <w:rPr>
          <w:rFonts w:eastAsiaTheme="minorEastAsia" w:cstheme="minorBidi"/>
          <w:b w:val="0"/>
          <w:kern w:val="2"/>
          <w:sz w:val="24"/>
          <w:szCs w:val="24"/>
          <w:lang w:eastAsia="en-GB"/>
          <w14:ligatures w14:val="standardContextual"/>
        </w:rPr>
      </w:pPr>
      <w:hyperlink w:anchor="_Toc233026578" w:history="1">
        <w:r w:rsidRPr="003815EE">
          <w:rPr>
            <w:rStyle w:val="Hyperlink"/>
            <w:rFonts w:eastAsiaTheme="majorEastAsia"/>
          </w:rPr>
          <w:t>List of Tables</w:t>
        </w:r>
        <w:r>
          <w:rPr>
            <w:webHidden/>
          </w:rPr>
          <w:tab/>
        </w:r>
        <w:r>
          <w:rPr>
            <w:webHidden/>
          </w:rPr>
          <w:fldChar w:fldCharType="begin"/>
        </w:r>
        <w:r>
          <w:rPr>
            <w:webHidden/>
          </w:rPr>
          <w:instrText xml:space="preserve"> PAGEREF _Toc233026578 \h </w:instrText>
        </w:r>
        <w:r>
          <w:rPr>
            <w:webHidden/>
          </w:rPr>
        </w:r>
        <w:r>
          <w:rPr>
            <w:webHidden/>
          </w:rPr>
          <w:fldChar w:fldCharType="separate"/>
        </w:r>
        <w:r>
          <w:rPr>
            <w:webHidden/>
          </w:rPr>
          <w:t>vi</w:t>
        </w:r>
        <w:r>
          <w:rPr>
            <w:webHidden/>
          </w:rPr>
          <w:fldChar w:fldCharType="end"/>
        </w:r>
      </w:hyperlink>
    </w:p>
    <w:p w14:paraId="1B7481E0" w14:textId="3FD9B176" w:rsidR="00B05FF2" w:rsidRDefault="00B05FF2">
      <w:pPr>
        <w:pStyle w:val="TOC1"/>
        <w:rPr>
          <w:rFonts w:eastAsiaTheme="minorEastAsia" w:cstheme="minorBidi"/>
          <w:b w:val="0"/>
          <w:kern w:val="2"/>
          <w:sz w:val="24"/>
          <w:szCs w:val="24"/>
          <w:lang w:eastAsia="en-GB"/>
          <w14:ligatures w14:val="standardContextual"/>
        </w:rPr>
      </w:pPr>
      <w:hyperlink w:anchor="_Toc233026579" w:history="1">
        <w:r w:rsidRPr="003815EE">
          <w:rPr>
            <w:rStyle w:val="Hyperlink"/>
          </w:rPr>
          <w:t>1</w:t>
        </w:r>
        <w:r>
          <w:rPr>
            <w:rFonts w:eastAsiaTheme="minorEastAsia" w:cstheme="minorBidi"/>
            <w:b w:val="0"/>
            <w:kern w:val="2"/>
            <w:sz w:val="24"/>
            <w:szCs w:val="24"/>
            <w:lang w:eastAsia="en-GB"/>
            <w14:ligatures w14:val="standardContextual"/>
          </w:rPr>
          <w:tab/>
        </w:r>
        <w:r w:rsidRPr="003815EE">
          <w:rPr>
            <w:rStyle w:val="Hyperlink"/>
          </w:rPr>
          <w:t>Executive Summary</w:t>
        </w:r>
        <w:r>
          <w:rPr>
            <w:webHidden/>
          </w:rPr>
          <w:tab/>
        </w:r>
        <w:r>
          <w:rPr>
            <w:webHidden/>
          </w:rPr>
          <w:fldChar w:fldCharType="begin"/>
        </w:r>
        <w:r>
          <w:rPr>
            <w:webHidden/>
          </w:rPr>
          <w:instrText xml:space="preserve"> PAGEREF _Toc233026579 \h </w:instrText>
        </w:r>
        <w:r>
          <w:rPr>
            <w:webHidden/>
          </w:rPr>
        </w:r>
        <w:r>
          <w:rPr>
            <w:webHidden/>
          </w:rPr>
          <w:fldChar w:fldCharType="separate"/>
        </w:r>
        <w:r>
          <w:rPr>
            <w:webHidden/>
          </w:rPr>
          <w:t>vii</w:t>
        </w:r>
        <w:r>
          <w:rPr>
            <w:webHidden/>
          </w:rPr>
          <w:fldChar w:fldCharType="end"/>
        </w:r>
      </w:hyperlink>
    </w:p>
    <w:p w14:paraId="5FA72F90" w14:textId="62ACD918"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80" w:history="1">
        <w:r w:rsidRPr="003815EE">
          <w:rPr>
            <w:rStyle w:val="Hyperlink"/>
          </w:rPr>
          <w:t>1.1</w:t>
        </w:r>
        <w:r>
          <w:rPr>
            <w:rFonts w:asciiTheme="minorHAnsi" w:eastAsiaTheme="minorEastAsia" w:hAnsiTheme="minorHAnsi" w:cstheme="minorBidi"/>
            <w:kern w:val="2"/>
            <w:sz w:val="24"/>
            <w:szCs w:val="24"/>
            <w:lang w:eastAsia="en-GB"/>
            <w14:ligatures w14:val="standardContextual"/>
          </w:rPr>
          <w:tab/>
        </w:r>
        <w:r w:rsidRPr="003815EE">
          <w:rPr>
            <w:rStyle w:val="Hyperlink"/>
          </w:rPr>
          <w:t>Effectiveness</w:t>
        </w:r>
        <w:r>
          <w:rPr>
            <w:webHidden/>
          </w:rPr>
          <w:tab/>
        </w:r>
        <w:r>
          <w:rPr>
            <w:webHidden/>
          </w:rPr>
          <w:fldChar w:fldCharType="begin"/>
        </w:r>
        <w:r>
          <w:rPr>
            <w:webHidden/>
          </w:rPr>
          <w:instrText xml:space="preserve"> PAGEREF _Toc233026580 \h </w:instrText>
        </w:r>
        <w:r>
          <w:rPr>
            <w:webHidden/>
          </w:rPr>
        </w:r>
        <w:r>
          <w:rPr>
            <w:webHidden/>
          </w:rPr>
          <w:fldChar w:fldCharType="separate"/>
        </w:r>
        <w:r>
          <w:rPr>
            <w:webHidden/>
          </w:rPr>
          <w:t>vii</w:t>
        </w:r>
        <w:r>
          <w:rPr>
            <w:webHidden/>
          </w:rPr>
          <w:fldChar w:fldCharType="end"/>
        </w:r>
      </w:hyperlink>
    </w:p>
    <w:p w14:paraId="2BD88234" w14:textId="5E912382"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81" w:history="1">
        <w:r w:rsidRPr="003815EE">
          <w:rPr>
            <w:rStyle w:val="Hyperlink"/>
          </w:rPr>
          <w:t>1.2</w:t>
        </w:r>
        <w:r>
          <w:rPr>
            <w:rFonts w:asciiTheme="minorHAnsi" w:eastAsiaTheme="minorEastAsia" w:hAnsiTheme="minorHAnsi" w:cstheme="minorBidi"/>
            <w:kern w:val="2"/>
            <w:sz w:val="24"/>
            <w:szCs w:val="24"/>
            <w:lang w:eastAsia="en-GB"/>
            <w14:ligatures w14:val="standardContextual"/>
          </w:rPr>
          <w:tab/>
        </w:r>
        <w:r w:rsidRPr="003815EE">
          <w:rPr>
            <w:rStyle w:val="Hyperlink"/>
          </w:rPr>
          <w:t>AVETP MEL Arrangements</w:t>
        </w:r>
        <w:r>
          <w:rPr>
            <w:webHidden/>
          </w:rPr>
          <w:tab/>
        </w:r>
        <w:r>
          <w:rPr>
            <w:webHidden/>
          </w:rPr>
          <w:fldChar w:fldCharType="begin"/>
        </w:r>
        <w:r>
          <w:rPr>
            <w:webHidden/>
          </w:rPr>
          <w:instrText xml:space="preserve"> PAGEREF _Toc233026581 \h </w:instrText>
        </w:r>
        <w:r>
          <w:rPr>
            <w:webHidden/>
          </w:rPr>
        </w:r>
        <w:r>
          <w:rPr>
            <w:webHidden/>
          </w:rPr>
          <w:fldChar w:fldCharType="separate"/>
        </w:r>
        <w:r>
          <w:rPr>
            <w:webHidden/>
          </w:rPr>
          <w:t>vii</w:t>
        </w:r>
        <w:r>
          <w:rPr>
            <w:webHidden/>
          </w:rPr>
          <w:fldChar w:fldCharType="end"/>
        </w:r>
      </w:hyperlink>
    </w:p>
    <w:p w14:paraId="2C07C508" w14:textId="46AD948C"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82" w:history="1">
        <w:r w:rsidRPr="003815EE">
          <w:rPr>
            <w:rStyle w:val="Hyperlink"/>
          </w:rPr>
          <w:t>1.3</w:t>
        </w:r>
        <w:r>
          <w:rPr>
            <w:rFonts w:asciiTheme="minorHAnsi" w:eastAsiaTheme="minorEastAsia" w:hAnsiTheme="minorHAnsi" w:cstheme="minorBidi"/>
            <w:kern w:val="2"/>
            <w:sz w:val="24"/>
            <w:szCs w:val="24"/>
            <w:lang w:eastAsia="en-GB"/>
            <w14:ligatures w14:val="standardContextual"/>
          </w:rPr>
          <w:tab/>
        </w:r>
        <w:r w:rsidRPr="003815EE">
          <w:rPr>
            <w:rStyle w:val="Hyperlink"/>
          </w:rPr>
          <w:t>Oversight and Engagement</w:t>
        </w:r>
        <w:r>
          <w:rPr>
            <w:webHidden/>
          </w:rPr>
          <w:tab/>
        </w:r>
        <w:r>
          <w:rPr>
            <w:webHidden/>
          </w:rPr>
          <w:fldChar w:fldCharType="begin"/>
        </w:r>
        <w:r>
          <w:rPr>
            <w:webHidden/>
          </w:rPr>
          <w:instrText xml:space="preserve"> PAGEREF _Toc233026582 \h </w:instrText>
        </w:r>
        <w:r>
          <w:rPr>
            <w:webHidden/>
          </w:rPr>
        </w:r>
        <w:r>
          <w:rPr>
            <w:webHidden/>
          </w:rPr>
          <w:fldChar w:fldCharType="separate"/>
        </w:r>
        <w:r>
          <w:rPr>
            <w:webHidden/>
          </w:rPr>
          <w:t>viii</w:t>
        </w:r>
        <w:r>
          <w:rPr>
            <w:webHidden/>
          </w:rPr>
          <w:fldChar w:fldCharType="end"/>
        </w:r>
      </w:hyperlink>
    </w:p>
    <w:p w14:paraId="411E89F7" w14:textId="0A12A3B7"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83" w:history="1">
        <w:r w:rsidRPr="003815EE">
          <w:rPr>
            <w:rStyle w:val="Hyperlink"/>
          </w:rPr>
          <w:t>1.4</w:t>
        </w:r>
        <w:r>
          <w:rPr>
            <w:rFonts w:asciiTheme="minorHAnsi" w:eastAsiaTheme="minorEastAsia" w:hAnsiTheme="minorHAnsi" w:cstheme="minorBidi"/>
            <w:kern w:val="2"/>
            <w:sz w:val="24"/>
            <w:szCs w:val="24"/>
            <w:lang w:eastAsia="en-GB"/>
            <w14:ligatures w14:val="standardContextual"/>
          </w:rPr>
          <w:tab/>
        </w:r>
        <w:r w:rsidRPr="003815EE">
          <w:rPr>
            <w:rStyle w:val="Hyperlink"/>
          </w:rPr>
          <w:t>Fit for Purpose Programme Logic</w:t>
        </w:r>
        <w:r>
          <w:rPr>
            <w:webHidden/>
          </w:rPr>
          <w:tab/>
        </w:r>
        <w:r>
          <w:rPr>
            <w:webHidden/>
          </w:rPr>
          <w:fldChar w:fldCharType="begin"/>
        </w:r>
        <w:r>
          <w:rPr>
            <w:webHidden/>
          </w:rPr>
          <w:instrText xml:space="preserve"> PAGEREF _Toc233026583 \h </w:instrText>
        </w:r>
        <w:r>
          <w:rPr>
            <w:webHidden/>
          </w:rPr>
        </w:r>
        <w:r>
          <w:rPr>
            <w:webHidden/>
          </w:rPr>
          <w:fldChar w:fldCharType="separate"/>
        </w:r>
        <w:r>
          <w:rPr>
            <w:webHidden/>
          </w:rPr>
          <w:t>viii</w:t>
        </w:r>
        <w:r>
          <w:rPr>
            <w:webHidden/>
          </w:rPr>
          <w:fldChar w:fldCharType="end"/>
        </w:r>
      </w:hyperlink>
    </w:p>
    <w:p w14:paraId="4B9F9C33" w14:textId="33639D2E"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84" w:history="1">
        <w:r w:rsidRPr="003815EE">
          <w:rPr>
            <w:rStyle w:val="Hyperlink"/>
          </w:rPr>
          <w:t>1.5</w:t>
        </w:r>
        <w:r>
          <w:rPr>
            <w:rFonts w:asciiTheme="minorHAnsi" w:eastAsiaTheme="minorEastAsia" w:hAnsiTheme="minorHAnsi" w:cstheme="minorBidi"/>
            <w:kern w:val="2"/>
            <w:sz w:val="24"/>
            <w:szCs w:val="24"/>
            <w:lang w:eastAsia="en-GB"/>
            <w14:ligatures w14:val="standardContextual"/>
          </w:rPr>
          <w:tab/>
        </w:r>
        <w:r w:rsidRPr="003815EE">
          <w:rPr>
            <w:rStyle w:val="Hyperlink"/>
          </w:rPr>
          <w:t>Lessons from AVETP Implementation to Date</w:t>
        </w:r>
        <w:r>
          <w:rPr>
            <w:webHidden/>
          </w:rPr>
          <w:tab/>
        </w:r>
        <w:r>
          <w:rPr>
            <w:webHidden/>
          </w:rPr>
          <w:fldChar w:fldCharType="begin"/>
        </w:r>
        <w:r>
          <w:rPr>
            <w:webHidden/>
          </w:rPr>
          <w:instrText xml:space="preserve"> PAGEREF _Toc233026584 \h </w:instrText>
        </w:r>
        <w:r>
          <w:rPr>
            <w:webHidden/>
          </w:rPr>
        </w:r>
        <w:r>
          <w:rPr>
            <w:webHidden/>
          </w:rPr>
          <w:fldChar w:fldCharType="separate"/>
        </w:r>
        <w:r>
          <w:rPr>
            <w:webHidden/>
          </w:rPr>
          <w:t>ix</w:t>
        </w:r>
        <w:r>
          <w:rPr>
            <w:webHidden/>
          </w:rPr>
          <w:fldChar w:fldCharType="end"/>
        </w:r>
      </w:hyperlink>
    </w:p>
    <w:p w14:paraId="453837B4" w14:textId="64C9D31A" w:rsidR="00B05FF2" w:rsidRDefault="00B05FF2">
      <w:pPr>
        <w:pStyle w:val="TOC1"/>
        <w:rPr>
          <w:rFonts w:eastAsiaTheme="minorEastAsia" w:cstheme="minorBidi"/>
          <w:b w:val="0"/>
          <w:kern w:val="2"/>
          <w:sz w:val="24"/>
          <w:szCs w:val="24"/>
          <w:lang w:eastAsia="en-GB"/>
          <w14:ligatures w14:val="standardContextual"/>
        </w:rPr>
      </w:pPr>
      <w:hyperlink w:anchor="_Toc233026585" w:history="1">
        <w:r w:rsidRPr="003815EE">
          <w:rPr>
            <w:rStyle w:val="Hyperlink"/>
          </w:rPr>
          <w:t>2</w:t>
        </w:r>
        <w:r>
          <w:rPr>
            <w:rFonts w:eastAsiaTheme="minorEastAsia" w:cstheme="minorBidi"/>
            <w:b w:val="0"/>
            <w:kern w:val="2"/>
            <w:sz w:val="24"/>
            <w:szCs w:val="24"/>
            <w:lang w:eastAsia="en-GB"/>
            <w14:ligatures w14:val="standardContextual"/>
          </w:rPr>
          <w:tab/>
        </w:r>
        <w:r w:rsidRPr="003815EE">
          <w:rPr>
            <w:rStyle w:val="Hyperlink"/>
          </w:rPr>
          <w:t>Recommendations</w:t>
        </w:r>
        <w:r>
          <w:rPr>
            <w:webHidden/>
          </w:rPr>
          <w:tab/>
        </w:r>
        <w:r>
          <w:rPr>
            <w:webHidden/>
          </w:rPr>
          <w:fldChar w:fldCharType="begin"/>
        </w:r>
        <w:r>
          <w:rPr>
            <w:webHidden/>
          </w:rPr>
          <w:instrText xml:space="preserve"> PAGEREF _Toc233026585 \h </w:instrText>
        </w:r>
        <w:r>
          <w:rPr>
            <w:webHidden/>
          </w:rPr>
        </w:r>
        <w:r>
          <w:rPr>
            <w:webHidden/>
          </w:rPr>
          <w:fldChar w:fldCharType="separate"/>
        </w:r>
        <w:r>
          <w:rPr>
            <w:webHidden/>
          </w:rPr>
          <w:t>x</w:t>
        </w:r>
        <w:r>
          <w:rPr>
            <w:webHidden/>
          </w:rPr>
          <w:fldChar w:fldCharType="end"/>
        </w:r>
      </w:hyperlink>
    </w:p>
    <w:p w14:paraId="18BDD2CE" w14:textId="003FE81B" w:rsidR="00B05FF2" w:rsidRDefault="00B05FF2">
      <w:pPr>
        <w:pStyle w:val="TOC1"/>
        <w:rPr>
          <w:rFonts w:eastAsiaTheme="minorEastAsia" w:cstheme="minorBidi"/>
          <w:b w:val="0"/>
          <w:kern w:val="2"/>
          <w:sz w:val="24"/>
          <w:szCs w:val="24"/>
          <w:lang w:eastAsia="en-GB"/>
          <w14:ligatures w14:val="standardContextual"/>
        </w:rPr>
      </w:pPr>
      <w:hyperlink w:anchor="_Toc233026586" w:history="1">
        <w:r w:rsidRPr="003815EE">
          <w:rPr>
            <w:rStyle w:val="Hyperlink"/>
          </w:rPr>
          <w:t>3</w:t>
        </w:r>
        <w:r>
          <w:rPr>
            <w:rFonts w:eastAsiaTheme="minorEastAsia" w:cstheme="minorBidi"/>
            <w:b w:val="0"/>
            <w:kern w:val="2"/>
            <w:sz w:val="24"/>
            <w:szCs w:val="24"/>
            <w:lang w:eastAsia="en-GB"/>
            <w14:ligatures w14:val="standardContextual"/>
          </w:rPr>
          <w:tab/>
        </w:r>
        <w:r w:rsidRPr="003815EE">
          <w:rPr>
            <w:rStyle w:val="Hyperlink"/>
          </w:rPr>
          <w:t>Introduction</w:t>
        </w:r>
        <w:r>
          <w:rPr>
            <w:webHidden/>
          </w:rPr>
          <w:tab/>
        </w:r>
        <w:r>
          <w:rPr>
            <w:webHidden/>
          </w:rPr>
          <w:fldChar w:fldCharType="begin"/>
        </w:r>
        <w:r>
          <w:rPr>
            <w:webHidden/>
          </w:rPr>
          <w:instrText xml:space="preserve"> PAGEREF _Toc233026586 \h </w:instrText>
        </w:r>
        <w:r>
          <w:rPr>
            <w:webHidden/>
          </w:rPr>
        </w:r>
        <w:r>
          <w:rPr>
            <w:webHidden/>
          </w:rPr>
          <w:fldChar w:fldCharType="separate"/>
        </w:r>
        <w:r>
          <w:rPr>
            <w:webHidden/>
          </w:rPr>
          <w:t>1</w:t>
        </w:r>
        <w:r>
          <w:rPr>
            <w:webHidden/>
          </w:rPr>
          <w:fldChar w:fldCharType="end"/>
        </w:r>
      </w:hyperlink>
    </w:p>
    <w:p w14:paraId="454CD737" w14:textId="633061E2"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87" w:history="1">
        <w:r w:rsidRPr="003815EE">
          <w:rPr>
            <w:rStyle w:val="Hyperlink"/>
          </w:rPr>
          <w:t>3.1</w:t>
        </w:r>
        <w:r>
          <w:rPr>
            <w:rFonts w:asciiTheme="minorHAnsi" w:eastAsiaTheme="minorEastAsia" w:hAnsiTheme="minorHAnsi" w:cstheme="minorBidi"/>
            <w:kern w:val="2"/>
            <w:sz w:val="24"/>
            <w:szCs w:val="24"/>
            <w:lang w:eastAsia="en-GB"/>
            <w14:ligatures w14:val="standardContextual"/>
          </w:rPr>
          <w:tab/>
        </w:r>
        <w:r w:rsidRPr="003815EE">
          <w:rPr>
            <w:rStyle w:val="Hyperlink"/>
          </w:rPr>
          <w:t>The Australia–Vietnam Energy Transition Platform (AVETP)</w:t>
        </w:r>
        <w:r>
          <w:rPr>
            <w:webHidden/>
          </w:rPr>
          <w:tab/>
        </w:r>
        <w:r>
          <w:rPr>
            <w:webHidden/>
          </w:rPr>
          <w:fldChar w:fldCharType="begin"/>
        </w:r>
        <w:r>
          <w:rPr>
            <w:webHidden/>
          </w:rPr>
          <w:instrText xml:space="preserve"> PAGEREF _Toc233026587 \h </w:instrText>
        </w:r>
        <w:r>
          <w:rPr>
            <w:webHidden/>
          </w:rPr>
        </w:r>
        <w:r>
          <w:rPr>
            <w:webHidden/>
          </w:rPr>
          <w:fldChar w:fldCharType="separate"/>
        </w:r>
        <w:r>
          <w:rPr>
            <w:webHidden/>
          </w:rPr>
          <w:t>1</w:t>
        </w:r>
        <w:r>
          <w:rPr>
            <w:webHidden/>
          </w:rPr>
          <w:fldChar w:fldCharType="end"/>
        </w:r>
      </w:hyperlink>
    </w:p>
    <w:p w14:paraId="2FE94388" w14:textId="65172EC0"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88" w:history="1">
        <w:r w:rsidRPr="003815EE">
          <w:rPr>
            <w:rStyle w:val="Hyperlink"/>
          </w:rPr>
          <w:t>3.2</w:t>
        </w:r>
        <w:r>
          <w:rPr>
            <w:rFonts w:asciiTheme="minorHAnsi" w:eastAsiaTheme="minorEastAsia" w:hAnsiTheme="minorHAnsi" w:cstheme="minorBidi"/>
            <w:kern w:val="2"/>
            <w:sz w:val="24"/>
            <w:szCs w:val="24"/>
            <w:lang w:eastAsia="en-GB"/>
            <w14:ligatures w14:val="standardContextual"/>
          </w:rPr>
          <w:tab/>
        </w:r>
        <w:r w:rsidRPr="003815EE">
          <w:rPr>
            <w:rStyle w:val="Hyperlink"/>
          </w:rPr>
          <w:t>AVETP Log frame</w:t>
        </w:r>
        <w:r>
          <w:rPr>
            <w:webHidden/>
          </w:rPr>
          <w:tab/>
        </w:r>
        <w:r>
          <w:rPr>
            <w:webHidden/>
          </w:rPr>
          <w:fldChar w:fldCharType="begin"/>
        </w:r>
        <w:r>
          <w:rPr>
            <w:webHidden/>
          </w:rPr>
          <w:instrText xml:space="preserve"> PAGEREF _Toc233026588 \h </w:instrText>
        </w:r>
        <w:r>
          <w:rPr>
            <w:webHidden/>
          </w:rPr>
        </w:r>
        <w:r>
          <w:rPr>
            <w:webHidden/>
          </w:rPr>
          <w:fldChar w:fldCharType="separate"/>
        </w:r>
        <w:r>
          <w:rPr>
            <w:webHidden/>
          </w:rPr>
          <w:t>2</w:t>
        </w:r>
        <w:r>
          <w:rPr>
            <w:webHidden/>
          </w:rPr>
          <w:fldChar w:fldCharType="end"/>
        </w:r>
      </w:hyperlink>
    </w:p>
    <w:p w14:paraId="22D07720" w14:textId="7904A57C"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89" w:history="1">
        <w:r w:rsidRPr="003815EE">
          <w:rPr>
            <w:rStyle w:val="Hyperlink"/>
          </w:rPr>
          <w:t>3.3</w:t>
        </w:r>
        <w:r>
          <w:rPr>
            <w:rFonts w:asciiTheme="minorHAnsi" w:eastAsiaTheme="minorEastAsia" w:hAnsiTheme="minorHAnsi" w:cstheme="minorBidi"/>
            <w:kern w:val="2"/>
            <w:sz w:val="24"/>
            <w:szCs w:val="24"/>
            <w:lang w:eastAsia="en-GB"/>
            <w14:ligatures w14:val="standardContextual"/>
          </w:rPr>
          <w:tab/>
        </w:r>
        <w:r w:rsidRPr="003815EE">
          <w:rPr>
            <w:rStyle w:val="Hyperlink"/>
          </w:rPr>
          <w:t>Methodology</w:t>
        </w:r>
        <w:r>
          <w:rPr>
            <w:webHidden/>
          </w:rPr>
          <w:tab/>
        </w:r>
        <w:r>
          <w:rPr>
            <w:webHidden/>
          </w:rPr>
          <w:fldChar w:fldCharType="begin"/>
        </w:r>
        <w:r>
          <w:rPr>
            <w:webHidden/>
          </w:rPr>
          <w:instrText xml:space="preserve"> PAGEREF _Toc233026589 \h </w:instrText>
        </w:r>
        <w:r>
          <w:rPr>
            <w:webHidden/>
          </w:rPr>
        </w:r>
        <w:r>
          <w:rPr>
            <w:webHidden/>
          </w:rPr>
          <w:fldChar w:fldCharType="separate"/>
        </w:r>
        <w:r>
          <w:rPr>
            <w:webHidden/>
          </w:rPr>
          <w:t>3</w:t>
        </w:r>
        <w:r>
          <w:rPr>
            <w:webHidden/>
          </w:rPr>
          <w:fldChar w:fldCharType="end"/>
        </w:r>
      </w:hyperlink>
    </w:p>
    <w:p w14:paraId="3276BB60" w14:textId="31AE67CF"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90" w:history="1">
        <w:r w:rsidRPr="003815EE">
          <w:rPr>
            <w:rStyle w:val="Hyperlink"/>
          </w:rPr>
          <w:t>3.4</w:t>
        </w:r>
        <w:r>
          <w:rPr>
            <w:rFonts w:asciiTheme="minorHAnsi" w:eastAsiaTheme="minorEastAsia" w:hAnsiTheme="minorHAnsi" w:cstheme="minorBidi"/>
            <w:kern w:val="2"/>
            <w:sz w:val="24"/>
            <w:szCs w:val="24"/>
            <w:lang w:eastAsia="en-GB"/>
            <w14:ligatures w14:val="standardContextual"/>
          </w:rPr>
          <w:tab/>
        </w:r>
        <w:r w:rsidRPr="003815EE">
          <w:rPr>
            <w:rStyle w:val="Hyperlink"/>
          </w:rPr>
          <w:t>Review Purpose and Approach</w:t>
        </w:r>
        <w:r>
          <w:rPr>
            <w:webHidden/>
          </w:rPr>
          <w:tab/>
        </w:r>
        <w:r>
          <w:rPr>
            <w:webHidden/>
          </w:rPr>
          <w:fldChar w:fldCharType="begin"/>
        </w:r>
        <w:r>
          <w:rPr>
            <w:webHidden/>
          </w:rPr>
          <w:instrText xml:space="preserve"> PAGEREF _Toc233026590 \h </w:instrText>
        </w:r>
        <w:r>
          <w:rPr>
            <w:webHidden/>
          </w:rPr>
        </w:r>
        <w:r>
          <w:rPr>
            <w:webHidden/>
          </w:rPr>
          <w:fldChar w:fldCharType="separate"/>
        </w:r>
        <w:r>
          <w:rPr>
            <w:webHidden/>
          </w:rPr>
          <w:t>4</w:t>
        </w:r>
        <w:r>
          <w:rPr>
            <w:webHidden/>
          </w:rPr>
          <w:fldChar w:fldCharType="end"/>
        </w:r>
      </w:hyperlink>
    </w:p>
    <w:p w14:paraId="0FFF26EC" w14:textId="1AD88A62"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91" w:history="1">
        <w:r w:rsidRPr="003815EE">
          <w:rPr>
            <w:rStyle w:val="Hyperlink"/>
          </w:rPr>
          <w:t>3.5</w:t>
        </w:r>
        <w:r>
          <w:rPr>
            <w:rFonts w:asciiTheme="minorHAnsi" w:eastAsiaTheme="minorEastAsia" w:hAnsiTheme="minorHAnsi" w:cstheme="minorBidi"/>
            <w:kern w:val="2"/>
            <w:sz w:val="24"/>
            <w:szCs w:val="24"/>
            <w:lang w:eastAsia="en-GB"/>
            <w14:ligatures w14:val="standardContextual"/>
          </w:rPr>
          <w:tab/>
        </w:r>
        <w:r w:rsidRPr="003815EE">
          <w:rPr>
            <w:rStyle w:val="Hyperlink"/>
          </w:rPr>
          <w:t>Review Design</w:t>
        </w:r>
        <w:r>
          <w:rPr>
            <w:webHidden/>
          </w:rPr>
          <w:tab/>
        </w:r>
        <w:r>
          <w:rPr>
            <w:webHidden/>
          </w:rPr>
          <w:fldChar w:fldCharType="begin"/>
        </w:r>
        <w:r>
          <w:rPr>
            <w:webHidden/>
          </w:rPr>
          <w:instrText xml:space="preserve"> PAGEREF _Toc233026591 \h </w:instrText>
        </w:r>
        <w:r>
          <w:rPr>
            <w:webHidden/>
          </w:rPr>
        </w:r>
        <w:r>
          <w:rPr>
            <w:webHidden/>
          </w:rPr>
          <w:fldChar w:fldCharType="separate"/>
        </w:r>
        <w:r>
          <w:rPr>
            <w:webHidden/>
          </w:rPr>
          <w:t>4</w:t>
        </w:r>
        <w:r>
          <w:rPr>
            <w:webHidden/>
          </w:rPr>
          <w:fldChar w:fldCharType="end"/>
        </w:r>
      </w:hyperlink>
    </w:p>
    <w:p w14:paraId="4A84E56E" w14:textId="6FEB1BC9"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92" w:history="1">
        <w:r w:rsidRPr="003815EE">
          <w:rPr>
            <w:rStyle w:val="Hyperlink"/>
          </w:rPr>
          <w:t>3.6</w:t>
        </w:r>
        <w:r>
          <w:rPr>
            <w:rFonts w:asciiTheme="minorHAnsi" w:eastAsiaTheme="minorEastAsia" w:hAnsiTheme="minorHAnsi" w:cstheme="minorBidi"/>
            <w:kern w:val="2"/>
            <w:sz w:val="24"/>
            <w:szCs w:val="24"/>
            <w:lang w:eastAsia="en-GB"/>
            <w14:ligatures w14:val="standardContextual"/>
          </w:rPr>
          <w:tab/>
        </w:r>
        <w:r w:rsidRPr="003815EE">
          <w:rPr>
            <w:rStyle w:val="Hyperlink"/>
          </w:rPr>
          <w:t>Data Collection Methods</w:t>
        </w:r>
        <w:r>
          <w:rPr>
            <w:webHidden/>
          </w:rPr>
          <w:tab/>
        </w:r>
        <w:r>
          <w:rPr>
            <w:webHidden/>
          </w:rPr>
          <w:fldChar w:fldCharType="begin"/>
        </w:r>
        <w:r>
          <w:rPr>
            <w:webHidden/>
          </w:rPr>
          <w:instrText xml:space="preserve"> PAGEREF _Toc233026592 \h </w:instrText>
        </w:r>
        <w:r>
          <w:rPr>
            <w:webHidden/>
          </w:rPr>
        </w:r>
        <w:r>
          <w:rPr>
            <w:webHidden/>
          </w:rPr>
          <w:fldChar w:fldCharType="separate"/>
        </w:r>
        <w:r>
          <w:rPr>
            <w:webHidden/>
          </w:rPr>
          <w:t>4</w:t>
        </w:r>
        <w:r>
          <w:rPr>
            <w:webHidden/>
          </w:rPr>
          <w:fldChar w:fldCharType="end"/>
        </w:r>
      </w:hyperlink>
    </w:p>
    <w:p w14:paraId="6762818E" w14:textId="73D8EF31"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93" w:history="1">
        <w:r w:rsidRPr="003815EE">
          <w:rPr>
            <w:rStyle w:val="Hyperlink"/>
          </w:rPr>
          <w:t>3.7</w:t>
        </w:r>
        <w:r>
          <w:rPr>
            <w:rFonts w:asciiTheme="minorHAnsi" w:eastAsiaTheme="minorEastAsia" w:hAnsiTheme="minorHAnsi" w:cstheme="minorBidi"/>
            <w:kern w:val="2"/>
            <w:sz w:val="24"/>
            <w:szCs w:val="24"/>
            <w:lang w:eastAsia="en-GB"/>
            <w14:ligatures w14:val="standardContextual"/>
          </w:rPr>
          <w:tab/>
        </w:r>
        <w:r w:rsidRPr="003815EE">
          <w:rPr>
            <w:rStyle w:val="Hyperlink"/>
          </w:rPr>
          <w:t>Sampling Strategy</w:t>
        </w:r>
        <w:r>
          <w:rPr>
            <w:webHidden/>
          </w:rPr>
          <w:tab/>
        </w:r>
        <w:r>
          <w:rPr>
            <w:webHidden/>
          </w:rPr>
          <w:fldChar w:fldCharType="begin"/>
        </w:r>
        <w:r>
          <w:rPr>
            <w:webHidden/>
          </w:rPr>
          <w:instrText xml:space="preserve"> PAGEREF _Toc233026593 \h </w:instrText>
        </w:r>
        <w:r>
          <w:rPr>
            <w:webHidden/>
          </w:rPr>
        </w:r>
        <w:r>
          <w:rPr>
            <w:webHidden/>
          </w:rPr>
          <w:fldChar w:fldCharType="separate"/>
        </w:r>
        <w:r>
          <w:rPr>
            <w:webHidden/>
          </w:rPr>
          <w:t>5</w:t>
        </w:r>
        <w:r>
          <w:rPr>
            <w:webHidden/>
          </w:rPr>
          <w:fldChar w:fldCharType="end"/>
        </w:r>
      </w:hyperlink>
    </w:p>
    <w:p w14:paraId="49110132" w14:textId="61FD5CED"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94" w:history="1">
        <w:r w:rsidRPr="003815EE">
          <w:rPr>
            <w:rStyle w:val="Hyperlink"/>
          </w:rPr>
          <w:t>3.8</w:t>
        </w:r>
        <w:r>
          <w:rPr>
            <w:rFonts w:asciiTheme="minorHAnsi" w:eastAsiaTheme="minorEastAsia" w:hAnsiTheme="minorHAnsi" w:cstheme="minorBidi"/>
            <w:kern w:val="2"/>
            <w:sz w:val="24"/>
            <w:szCs w:val="24"/>
            <w:lang w:eastAsia="en-GB"/>
            <w14:ligatures w14:val="standardContextual"/>
          </w:rPr>
          <w:tab/>
        </w:r>
        <w:r w:rsidRPr="003815EE">
          <w:rPr>
            <w:rStyle w:val="Hyperlink"/>
          </w:rPr>
          <w:t>Quality Assurance, Ethics, and Limitations</w:t>
        </w:r>
        <w:r>
          <w:rPr>
            <w:webHidden/>
          </w:rPr>
          <w:tab/>
        </w:r>
        <w:r>
          <w:rPr>
            <w:webHidden/>
          </w:rPr>
          <w:fldChar w:fldCharType="begin"/>
        </w:r>
        <w:r>
          <w:rPr>
            <w:webHidden/>
          </w:rPr>
          <w:instrText xml:space="preserve"> PAGEREF _Toc233026594 \h </w:instrText>
        </w:r>
        <w:r>
          <w:rPr>
            <w:webHidden/>
          </w:rPr>
        </w:r>
        <w:r>
          <w:rPr>
            <w:webHidden/>
          </w:rPr>
          <w:fldChar w:fldCharType="separate"/>
        </w:r>
        <w:r>
          <w:rPr>
            <w:webHidden/>
          </w:rPr>
          <w:t>6</w:t>
        </w:r>
        <w:r>
          <w:rPr>
            <w:webHidden/>
          </w:rPr>
          <w:fldChar w:fldCharType="end"/>
        </w:r>
      </w:hyperlink>
    </w:p>
    <w:p w14:paraId="2C67C87C" w14:textId="4D130F35"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95" w:history="1">
        <w:r w:rsidRPr="003815EE">
          <w:rPr>
            <w:rStyle w:val="Hyperlink"/>
          </w:rPr>
          <w:t>3.9</w:t>
        </w:r>
        <w:r>
          <w:rPr>
            <w:rFonts w:asciiTheme="minorHAnsi" w:eastAsiaTheme="minorEastAsia" w:hAnsiTheme="minorHAnsi" w:cstheme="minorBidi"/>
            <w:kern w:val="2"/>
            <w:sz w:val="24"/>
            <w:szCs w:val="24"/>
            <w:lang w:eastAsia="en-GB"/>
            <w14:ligatures w14:val="standardContextual"/>
          </w:rPr>
          <w:tab/>
        </w:r>
        <w:r w:rsidRPr="003815EE">
          <w:rPr>
            <w:rStyle w:val="Hyperlink"/>
          </w:rPr>
          <w:t>Analytical Framework</w:t>
        </w:r>
        <w:r>
          <w:rPr>
            <w:webHidden/>
          </w:rPr>
          <w:tab/>
        </w:r>
        <w:r>
          <w:rPr>
            <w:webHidden/>
          </w:rPr>
          <w:fldChar w:fldCharType="begin"/>
        </w:r>
        <w:r>
          <w:rPr>
            <w:webHidden/>
          </w:rPr>
          <w:instrText xml:space="preserve"> PAGEREF _Toc233026595 \h </w:instrText>
        </w:r>
        <w:r>
          <w:rPr>
            <w:webHidden/>
          </w:rPr>
        </w:r>
        <w:r>
          <w:rPr>
            <w:webHidden/>
          </w:rPr>
          <w:fldChar w:fldCharType="separate"/>
        </w:r>
        <w:r>
          <w:rPr>
            <w:webHidden/>
          </w:rPr>
          <w:t>6</w:t>
        </w:r>
        <w:r>
          <w:rPr>
            <w:webHidden/>
          </w:rPr>
          <w:fldChar w:fldCharType="end"/>
        </w:r>
      </w:hyperlink>
    </w:p>
    <w:p w14:paraId="2483176A" w14:textId="51D4ED58" w:rsidR="00B05FF2" w:rsidRDefault="00B05FF2">
      <w:pPr>
        <w:pStyle w:val="TOC1"/>
        <w:rPr>
          <w:rFonts w:eastAsiaTheme="minorEastAsia" w:cstheme="minorBidi"/>
          <w:b w:val="0"/>
          <w:kern w:val="2"/>
          <w:sz w:val="24"/>
          <w:szCs w:val="24"/>
          <w:lang w:eastAsia="en-GB"/>
          <w14:ligatures w14:val="standardContextual"/>
        </w:rPr>
      </w:pPr>
      <w:hyperlink w:anchor="_Toc233026596" w:history="1">
        <w:r w:rsidRPr="003815EE">
          <w:rPr>
            <w:rStyle w:val="Hyperlink"/>
          </w:rPr>
          <w:t>4</w:t>
        </w:r>
        <w:r>
          <w:rPr>
            <w:rFonts w:eastAsiaTheme="minorEastAsia" w:cstheme="minorBidi"/>
            <w:b w:val="0"/>
            <w:kern w:val="2"/>
            <w:sz w:val="24"/>
            <w:szCs w:val="24"/>
            <w:lang w:eastAsia="en-GB"/>
            <w14:ligatures w14:val="standardContextual"/>
          </w:rPr>
          <w:tab/>
        </w:r>
        <w:r w:rsidRPr="003815EE">
          <w:rPr>
            <w:rStyle w:val="Hyperlink"/>
          </w:rPr>
          <w:t>Findings and Analysis</w:t>
        </w:r>
        <w:r>
          <w:rPr>
            <w:webHidden/>
          </w:rPr>
          <w:tab/>
        </w:r>
        <w:r>
          <w:rPr>
            <w:webHidden/>
          </w:rPr>
          <w:fldChar w:fldCharType="begin"/>
        </w:r>
        <w:r>
          <w:rPr>
            <w:webHidden/>
          </w:rPr>
          <w:instrText xml:space="preserve"> PAGEREF _Toc233026596 \h </w:instrText>
        </w:r>
        <w:r>
          <w:rPr>
            <w:webHidden/>
          </w:rPr>
        </w:r>
        <w:r>
          <w:rPr>
            <w:webHidden/>
          </w:rPr>
          <w:fldChar w:fldCharType="separate"/>
        </w:r>
        <w:r>
          <w:rPr>
            <w:webHidden/>
          </w:rPr>
          <w:t>8</w:t>
        </w:r>
        <w:r>
          <w:rPr>
            <w:webHidden/>
          </w:rPr>
          <w:fldChar w:fldCharType="end"/>
        </w:r>
      </w:hyperlink>
    </w:p>
    <w:p w14:paraId="5425F33B" w14:textId="166BF8E4"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97" w:history="1">
        <w:r w:rsidRPr="003815EE">
          <w:rPr>
            <w:rStyle w:val="Hyperlink"/>
          </w:rPr>
          <w:t>4.1</w:t>
        </w:r>
        <w:r>
          <w:rPr>
            <w:rFonts w:asciiTheme="minorHAnsi" w:eastAsiaTheme="minorEastAsia" w:hAnsiTheme="minorHAnsi" w:cstheme="minorBidi"/>
            <w:kern w:val="2"/>
            <w:sz w:val="24"/>
            <w:szCs w:val="24"/>
            <w:lang w:eastAsia="en-GB"/>
            <w14:ligatures w14:val="standardContextual"/>
          </w:rPr>
          <w:tab/>
        </w:r>
        <w:r w:rsidRPr="003815EE">
          <w:rPr>
            <w:rStyle w:val="Hyperlink"/>
          </w:rPr>
          <w:t>Effectiveness</w:t>
        </w:r>
        <w:r>
          <w:rPr>
            <w:webHidden/>
          </w:rPr>
          <w:tab/>
        </w:r>
        <w:r>
          <w:rPr>
            <w:webHidden/>
          </w:rPr>
          <w:fldChar w:fldCharType="begin"/>
        </w:r>
        <w:r>
          <w:rPr>
            <w:webHidden/>
          </w:rPr>
          <w:instrText xml:space="preserve"> PAGEREF _Toc233026597 \h </w:instrText>
        </w:r>
        <w:r>
          <w:rPr>
            <w:webHidden/>
          </w:rPr>
        </w:r>
        <w:r>
          <w:rPr>
            <w:webHidden/>
          </w:rPr>
          <w:fldChar w:fldCharType="separate"/>
        </w:r>
        <w:r>
          <w:rPr>
            <w:webHidden/>
          </w:rPr>
          <w:t>8</w:t>
        </w:r>
        <w:r>
          <w:rPr>
            <w:webHidden/>
          </w:rPr>
          <w:fldChar w:fldCharType="end"/>
        </w:r>
      </w:hyperlink>
    </w:p>
    <w:p w14:paraId="4EF10157" w14:textId="4CAB3512"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98" w:history="1">
        <w:r w:rsidRPr="003815EE">
          <w:rPr>
            <w:rStyle w:val="Hyperlink"/>
          </w:rPr>
          <w:t>4.2</w:t>
        </w:r>
        <w:r>
          <w:rPr>
            <w:rFonts w:asciiTheme="minorHAnsi" w:eastAsiaTheme="minorEastAsia" w:hAnsiTheme="minorHAnsi" w:cstheme="minorBidi"/>
            <w:kern w:val="2"/>
            <w:sz w:val="24"/>
            <w:szCs w:val="24"/>
            <w:lang w:eastAsia="en-GB"/>
            <w14:ligatures w14:val="standardContextual"/>
          </w:rPr>
          <w:tab/>
        </w:r>
        <w:r w:rsidRPr="003815EE">
          <w:rPr>
            <w:rStyle w:val="Hyperlink"/>
          </w:rPr>
          <w:t>Finding by the End of Programme Outcomes (EOPOs)</w:t>
        </w:r>
        <w:r>
          <w:rPr>
            <w:webHidden/>
          </w:rPr>
          <w:tab/>
        </w:r>
        <w:r>
          <w:rPr>
            <w:webHidden/>
          </w:rPr>
          <w:fldChar w:fldCharType="begin"/>
        </w:r>
        <w:r>
          <w:rPr>
            <w:webHidden/>
          </w:rPr>
          <w:instrText xml:space="preserve"> PAGEREF _Toc233026598 \h </w:instrText>
        </w:r>
        <w:r>
          <w:rPr>
            <w:webHidden/>
          </w:rPr>
        </w:r>
        <w:r>
          <w:rPr>
            <w:webHidden/>
          </w:rPr>
          <w:fldChar w:fldCharType="separate"/>
        </w:r>
        <w:r>
          <w:rPr>
            <w:webHidden/>
          </w:rPr>
          <w:t>8</w:t>
        </w:r>
        <w:r>
          <w:rPr>
            <w:webHidden/>
          </w:rPr>
          <w:fldChar w:fldCharType="end"/>
        </w:r>
      </w:hyperlink>
    </w:p>
    <w:p w14:paraId="0ECD3775" w14:textId="63F3FE71"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599" w:history="1">
        <w:r w:rsidRPr="003815EE">
          <w:rPr>
            <w:rStyle w:val="Hyperlink"/>
          </w:rPr>
          <w:t>4.3</w:t>
        </w:r>
        <w:r>
          <w:rPr>
            <w:rFonts w:asciiTheme="minorHAnsi" w:eastAsiaTheme="minorEastAsia" w:hAnsiTheme="minorHAnsi" w:cstheme="minorBidi"/>
            <w:kern w:val="2"/>
            <w:sz w:val="24"/>
            <w:szCs w:val="24"/>
            <w:lang w:eastAsia="en-GB"/>
            <w14:ligatures w14:val="standardContextual"/>
          </w:rPr>
          <w:tab/>
        </w:r>
        <w:r w:rsidRPr="003815EE">
          <w:rPr>
            <w:rStyle w:val="Hyperlink"/>
          </w:rPr>
          <w:t>Credit Enhancement Facility</w:t>
        </w:r>
        <w:r>
          <w:rPr>
            <w:webHidden/>
          </w:rPr>
          <w:tab/>
        </w:r>
        <w:r>
          <w:rPr>
            <w:webHidden/>
          </w:rPr>
          <w:fldChar w:fldCharType="begin"/>
        </w:r>
        <w:r>
          <w:rPr>
            <w:webHidden/>
          </w:rPr>
          <w:instrText xml:space="preserve"> PAGEREF _Toc233026599 \h </w:instrText>
        </w:r>
        <w:r>
          <w:rPr>
            <w:webHidden/>
          </w:rPr>
        </w:r>
        <w:r>
          <w:rPr>
            <w:webHidden/>
          </w:rPr>
          <w:fldChar w:fldCharType="separate"/>
        </w:r>
        <w:r>
          <w:rPr>
            <w:webHidden/>
          </w:rPr>
          <w:t>11</w:t>
        </w:r>
        <w:r>
          <w:rPr>
            <w:webHidden/>
          </w:rPr>
          <w:fldChar w:fldCharType="end"/>
        </w:r>
      </w:hyperlink>
    </w:p>
    <w:p w14:paraId="71D5369A" w14:textId="00AF0828"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00" w:history="1">
        <w:r w:rsidRPr="003815EE">
          <w:rPr>
            <w:rStyle w:val="Hyperlink"/>
          </w:rPr>
          <w:t>4.4</w:t>
        </w:r>
        <w:r>
          <w:rPr>
            <w:rFonts w:asciiTheme="minorHAnsi" w:eastAsiaTheme="minorEastAsia" w:hAnsiTheme="minorHAnsi" w:cstheme="minorBidi"/>
            <w:kern w:val="2"/>
            <w:sz w:val="24"/>
            <w:szCs w:val="24"/>
            <w:lang w:eastAsia="en-GB"/>
            <w14:ligatures w14:val="standardContextual"/>
          </w:rPr>
          <w:tab/>
        </w:r>
        <w:r w:rsidRPr="003815EE">
          <w:rPr>
            <w:rStyle w:val="Hyperlink"/>
          </w:rPr>
          <w:t>AVETP MEL Arrangements</w:t>
        </w:r>
        <w:r>
          <w:rPr>
            <w:webHidden/>
          </w:rPr>
          <w:tab/>
        </w:r>
        <w:r>
          <w:rPr>
            <w:webHidden/>
          </w:rPr>
          <w:fldChar w:fldCharType="begin"/>
        </w:r>
        <w:r>
          <w:rPr>
            <w:webHidden/>
          </w:rPr>
          <w:instrText xml:space="preserve"> PAGEREF _Toc233026600 \h </w:instrText>
        </w:r>
        <w:r>
          <w:rPr>
            <w:webHidden/>
          </w:rPr>
        </w:r>
        <w:r>
          <w:rPr>
            <w:webHidden/>
          </w:rPr>
          <w:fldChar w:fldCharType="separate"/>
        </w:r>
        <w:r>
          <w:rPr>
            <w:webHidden/>
          </w:rPr>
          <w:t>11</w:t>
        </w:r>
        <w:r>
          <w:rPr>
            <w:webHidden/>
          </w:rPr>
          <w:fldChar w:fldCharType="end"/>
        </w:r>
      </w:hyperlink>
    </w:p>
    <w:p w14:paraId="1B9CAD81" w14:textId="73DDB646"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01" w:history="1">
        <w:r w:rsidRPr="003815EE">
          <w:rPr>
            <w:rStyle w:val="Hyperlink"/>
          </w:rPr>
          <w:t>4.5</w:t>
        </w:r>
        <w:r>
          <w:rPr>
            <w:rFonts w:asciiTheme="minorHAnsi" w:eastAsiaTheme="minorEastAsia" w:hAnsiTheme="minorHAnsi" w:cstheme="minorBidi"/>
            <w:kern w:val="2"/>
            <w:sz w:val="24"/>
            <w:szCs w:val="24"/>
            <w:lang w:eastAsia="en-GB"/>
            <w14:ligatures w14:val="standardContextual"/>
          </w:rPr>
          <w:tab/>
        </w:r>
        <w:r w:rsidRPr="003815EE">
          <w:rPr>
            <w:rStyle w:val="Hyperlink"/>
          </w:rPr>
          <w:t>AVETP Programme Logic</w:t>
        </w:r>
        <w:r>
          <w:rPr>
            <w:webHidden/>
          </w:rPr>
          <w:tab/>
        </w:r>
        <w:r>
          <w:rPr>
            <w:webHidden/>
          </w:rPr>
          <w:fldChar w:fldCharType="begin"/>
        </w:r>
        <w:r>
          <w:rPr>
            <w:webHidden/>
          </w:rPr>
          <w:instrText xml:space="preserve"> PAGEREF _Toc233026601 \h </w:instrText>
        </w:r>
        <w:r>
          <w:rPr>
            <w:webHidden/>
          </w:rPr>
        </w:r>
        <w:r>
          <w:rPr>
            <w:webHidden/>
          </w:rPr>
          <w:fldChar w:fldCharType="separate"/>
        </w:r>
        <w:r>
          <w:rPr>
            <w:webHidden/>
          </w:rPr>
          <w:t>14</w:t>
        </w:r>
        <w:r>
          <w:rPr>
            <w:webHidden/>
          </w:rPr>
          <w:fldChar w:fldCharType="end"/>
        </w:r>
      </w:hyperlink>
    </w:p>
    <w:p w14:paraId="64B8F591" w14:textId="5F4EE2CF"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02" w:history="1">
        <w:r w:rsidRPr="003815EE">
          <w:rPr>
            <w:rStyle w:val="Hyperlink"/>
          </w:rPr>
          <w:t>4.6</w:t>
        </w:r>
        <w:r>
          <w:rPr>
            <w:rFonts w:asciiTheme="minorHAnsi" w:eastAsiaTheme="minorEastAsia" w:hAnsiTheme="minorHAnsi" w:cstheme="minorBidi"/>
            <w:kern w:val="2"/>
            <w:sz w:val="24"/>
            <w:szCs w:val="24"/>
            <w:lang w:eastAsia="en-GB"/>
            <w14:ligatures w14:val="standardContextual"/>
          </w:rPr>
          <w:tab/>
        </w:r>
        <w:r w:rsidRPr="003815EE">
          <w:rPr>
            <w:rStyle w:val="Hyperlink"/>
          </w:rPr>
          <w:t>Oversight and Engagement</w:t>
        </w:r>
        <w:r>
          <w:rPr>
            <w:webHidden/>
          </w:rPr>
          <w:tab/>
        </w:r>
        <w:r>
          <w:rPr>
            <w:webHidden/>
          </w:rPr>
          <w:fldChar w:fldCharType="begin"/>
        </w:r>
        <w:r>
          <w:rPr>
            <w:webHidden/>
          </w:rPr>
          <w:instrText xml:space="preserve"> PAGEREF _Toc233026602 \h </w:instrText>
        </w:r>
        <w:r>
          <w:rPr>
            <w:webHidden/>
          </w:rPr>
        </w:r>
        <w:r>
          <w:rPr>
            <w:webHidden/>
          </w:rPr>
          <w:fldChar w:fldCharType="separate"/>
        </w:r>
        <w:r>
          <w:rPr>
            <w:webHidden/>
          </w:rPr>
          <w:t>15</w:t>
        </w:r>
        <w:r>
          <w:rPr>
            <w:webHidden/>
          </w:rPr>
          <w:fldChar w:fldCharType="end"/>
        </w:r>
      </w:hyperlink>
    </w:p>
    <w:p w14:paraId="26B1B55C" w14:textId="30A4BAFB"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03" w:history="1">
        <w:r w:rsidRPr="003815EE">
          <w:rPr>
            <w:rStyle w:val="Hyperlink"/>
          </w:rPr>
          <w:t>4.7</w:t>
        </w:r>
        <w:r>
          <w:rPr>
            <w:rFonts w:asciiTheme="minorHAnsi" w:eastAsiaTheme="minorEastAsia" w:hAnsiTheme="minorHAnsi" w:cstheme="minorBidi"/>
            <w:kern w:val="2"/>
            <w:sz w:val="24"/>
            <w:szCs w:val="24"/>
            <w:lang w:eastAsia="en-GB"/>
            <w14:ligatures w14:val="standardContextual"/>
          </w:rPr>
          <w:tab/>
        </w:r>
        <w:r w:rsidRPr="003815EE">
          <w:rPr>
            <w:rStyle w:val="Hyperlink"/>
          </w:rPr>
          <w:t>Lessons from AVETP implementation to date for delivery improvements and risk management</w:t>
        </w:r>
        <w:r>
          <w:rPr>
            <w:webHidden/>
          </w:rPr>
          <w:tab/>
        </w:r>
        <w:r>
          <w:rPr>
            <w:webHidden/>
          </w:rPr>
          <w:fldChar w:fldCharType="begin"/>
        </w:r>
        <w:r>
          <w:rPr>
            <w:webHidden/>
          </w:rPr>
          <w:instrText xml:space="preserve"> PAGEREF _Toc233026603 \h </w:instrText>
        </w:r>
        <w:r>
          <w:rPr>
            <w:webHidden/>
          </w:rPr>
        </w:r>
        <w:r>
          <w:rPr>
            <w:webHidden/>
          </w:rPr>
          <w:fldChar w:fldCharType="separate"/>
        </w:r>
        <w:r>
          <w:rPr>
            <w:webHidden/>
          </w:rPr>
          <w:t>18</w:t>
        </w:r>
        <w:r>
          <w:rPr>
            <w:webHidden/>
          </w:rPr>
          <w:fldChar w:fldCharType="end"/>
        </w:r>
      </w:hyperlink>
    </w:p>
    <w:p w14:paraId="0A8763AA" w14:textId="0EBABC99" w:rsidR="00B05FF2" w:rsidRDefault="00B05FF2">
      <w:pPr>
        <w:pStyle w:val="TOC1"/>
        <w:rPr>
          <w:rFonts w:eastAsiaTheme="minorEastAsia" w:cstheme="minorBidi"/>
          <w:b w:val="0"/>
          <w:kern w:val="2"/>
          <w:sz w:val="24"/>
          <w:szCs w:val="24"/>
          <w:lang w:eastAsia="en-GB"/>
          <w14:ligatures w14:val="standardContextual"/>
        </w:rPr>
      </w:pPr>
      <w:hyperlink w:anchor="_Toc233026604" w:history="1">
        <w:r w:rsidRPr="003815EE">
          <w:rPr>
            <w:rStyle w:val="Hyperlink"/>
          </w:rPr>
          <w:t>5</w:t>
        </w:r>
        <w:r>
          <w:rPr>
            <w:rFonts w:eastAsiaTheme="minorEastAsia" w:cstheme="minorBidi"/>
            <w:b w:val="0"/>
            <w:kern w:val="2"/>
            <w:sz w:val="24"/>
            <w:szCs w:val="24"/>
            <w:lang w:eastAsia="en-GB"/>
            <w14:ligatures w14:val="standardContextual"/>
          </w:rPr>
          <w:tab/>
        </w:r>
        <w:r w:rsidRPr="003815EE">
          <w:rPr>
            <w:rStyle w:val="Hyperlink"/>
          </w:rPr>
          <w:t>Annexes: Illustrative Case Studies of AVETP-Supported Transactions</w:t>
        </w:r>
        <w:r>
          <w:rPr>
            <w:webHidden/>
          </w:rPr>
          <w:tab/>
        </w:r>
        <w:r>
          <w:rPr>
            <w:webHidden/>
          </w:rPr>
          <w:fldChar w:fldCharType="begin"/>
        </w:r>
        <w:r>
          <w:rPr>
            <w:webHidden/>
          </w:rPr>
          <w:instrText xml:space="preserve"> PAGEREF _Toc233026604 \h </w:instrText>
        </w:r>
        <w:r>
          <w:rPr>
            <w:webHidden/>
          </w:rPr>
        </w:r>
        <w:r>
          <w:rPr>
            <w:webHidden/>
          </w:rPr>
          <w:fldChar w:fldCharType="separate"/>
        </w:r>
        <w:r>
          <w:rPr>
            <w:webHidden/>
          </w:rPr>
          <w:t>20</w:t>
        </w:r>
        <w:r>
          <w:rPr>
            <w:webHidden/>
          </w:rPr>
          <w:fldChar w:fldCharType="end"/>
        </w:r>
      </w:hyperlink>
    </w:p>
    <w:p w14:paraId="0707310D" w14:textId="7102B91F" w:rsidR="00B05FF2" w:rsidRDefault="00B05FF2">
      <w:pPr>
        <w:pStyle w:val="TOC1"/>
        <w:rPr>
          <w:rFonts w:eastAsiaTheme="minorEastAsia" w:cstheme="minorBidi"/>
          <w:b w:val="0"/>
          <w:kern w:val="2"/>
          <w:sz w:val="24"/>
          <w:szCs w:val="24"/>
          <w:lang w:eastAsia="en-GB"/>
          <w14:ligatures w14:val="standardContextual"/>
        </w:rPr>
      </w:pPr>
      <w:hyperlink w:anchor="_Toc233026605" w:history="1">
        <w:r w:rsidRPr="003815EE">
          <w:rPr>
            <w:rStyle w:val="Hyperlink"/>
          </w:rPr>
          <w:t>6</w:t>
        </w:r>
        <w:r>
          <w:rPr>
            <w:rFonts w:eastAsiaTheme="minorEastAsia" w:cstheme="minorBidi"/>
            <w:b w:val="0"/>
            <w:kern w:val="2"/>
            <w:sz w:val="24"/>
            <w:szCs w:val="24"/>
            <w:lang w:eastAsia="en-GB"/>
            <w14:ligatures w14:val="standardContextual"/>
          </w:rPr>
          <w:tab/>
        </w:r>
        <w:r w:rsidRPr="003815EE">
          <w:rPr>
            <w:rStyle w:val="Hyperlink"/>
          </w:rPr>
          <w:t>Case Study: Dat Bike – E-mobility</w:t>
        </w:r>
        <w:r>
          <w:rPr>
            <w:webHidden/>
          </w:rPr>
          <w:tab/>
        </w:r>
        <w:r>
          <w:rPr>
            <w:webHidden/>
          </w:rPr>
          <w:fldChar w:fldCharType="begin"/>
        </w:r>
        <w:r>
          <w:rPr>
            <w:webHidden/>
          </w:rPr>
          <w:instrText xml:space="preserve"> PAGEREF _Toc233026605 \h </w:instrText>
        </w:r>
        <w:r>
          <w:rPr>
            <w:webHidden/>
          </w:rPr>
        </w:r>
        <w:r>
          <w:rPr>
            <w:webHidden/>
          </w:rPr>
          <w:fldChar w:fldCharType="separate"/>
        </w:r>
        <w:r>
          <w:rPr>
            <w:webHidden/>
          </w:rPr>
          <w:t>21</w:t>
        </w:r>
        <w:r>
          <w:rPr>
            <w:webHidden/>
          </w:rPr>
          <w:fldChar w:fldCharType="end"/>
        </w:r>
      </w:hyperlink>
    </w:p>
    <w:p w14:paraId="39F16D5B" w14:textId="50933D72"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06" w:history="1">
        <w:r w:rsidRPr="003815EE">
          <w:rPr>
            <w:rStyle w:val="Hyperlink"/>
          </w:rPr>
          <w:t>6.1</w:t>
        </w:r>
        <w:r>
          <w:rPr>
            <w:rFonts w:asciiTheme="minorHAnsi" w:eastAsiaTheme="minorEastAsia" w:hAnsiTheme="minorHAnsi" w:cstheme="minorBidi"/>
            <w:kern w:val="2"/>
            <w:sz w:val="24"/>
            <w:szCs w:val="24"/>
            <w:lang w:eastAsia="en-GB"/>
            <w14:ligatures w14:val="standardContextual"/>
          </w:rPr>
          <w:tab/>
        </w:r>
        <w:r w:rsidRPr="003815EE">
          <w:rPr>
            <w:rStyle w:val="Hyperlink"/>
          </w:rPr>
          <w:t>Context</w:t>
        </w:r>
        <w:r>
          <w:rPr>
            <w:webHidden/>
          </w:rPr>
          <w:tab/>
        </w:r>
        <w:r>
          <w:rPr>
            <w:webHidden/>
          </w:rPr>
          <w:fldChar w:fldCharType="begin"/>
        </w:r>
        <w:r>
          <w:rPr>
            <w:webHidden/>
          </w:rPr>
          <w:instrText xml:space="preserve"> PAGEREF _Toc233026606 \h </w:instrText>
        </w:r>
        <w:r>
          <w:rPr>
            <w:webHidden/>
          </w:rPr>
        </w:r>
        <w:r>
          <w:rPr>
            <w:webHidden/>
          </w:rPr>
          <w:fldChar w:fldCharType="separate"/>
        </w:r>
        <w:r>
          <w:rPr>
            <w:webHidden/>
          </w:rPr>
          <w:t>21</w:t>
        </w:r>
        <w:r>
          <w:rPr>
            <w:webHidden/>
          </w:rPr>
          <w:fldChar w:fldCharType="end"/>
        </w:r>
      </w:hyperlink>
    </w:p>
    <w:p w14:paraId="7DFD0748" w14:textId="63BD88A2"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07" w:history="1">
        <w:r w:rsidRPr="003815EE">
          <w:rPr>
            <w:rStyle w:val="Hyperlink"/>
          </w:rPr>
          <w:t>6.2</w:t>
        </w:r>
        <w:r>
          <w:rPr>
            <w:rFonts w:asciiTheme="minorHAnsi" w:eastAsiaTheme="minorEastAsia" w:hAnsiTheme="minorHAnsi" w:cstheme="minorBidi"/>
            <w:kern w:val="2"/>
            <w:sz w:val="24"/>
            <w:szCs w:val="24"/>
            <w:lang w:eastAsia="en-GB"/>
            <w14:ligatures w14:val="standardContextual"/>
          </w:rPr>
          <w:tab/>
        </w:r>
        <w:r w:rsidRPr="003815EE">
          <w:rPr>
            <w:rStyle w:val="Hyperlink"/>
          </w:rPr>
          <w:t>PIDG support</w:t>
        </w:r>
        <w:r>
          <w:rPr>
            <w:webHidden/>
          </w:rPr>
          <w:tab/>
        </w:r>
        <w:r>
          <w:rPr>
            <w:webHidden/>
          </w:rPr>
          <w:fldChar w:fldCharType="begin"/>
        </w:r>
        <w:r>
          <w:rPr>
            <w:webHidden/>
          </w:rPr>
          <w:instrText xml:space="preserve"> PAGEREF _Toc233026607 \h </w:instrText>
        </w:r>
        <w:r>
          <w:rPr>
            <w:webHidden/>
          </w:rPr>
        </w:r>
        <w:r>
          <w:rPr>
            <w:webHidden/>
          </w:rPr>
          <w:fldChar w:fldCharType="separate"/>
        </w:r>
        <w:r>
          <w:rPr>
            <w:webHidden/>
          </w:rPr>
          <w:t>21</w:t>
        </w:r>
        <w:r>
          <w:rPr>
            <w:webHidden/>
          </w:rPr>
          <w:fldChar w:fldCharType="end"/>
        </w:r>
      </w:hyperlink>
    </w:p>
    <w:p w14:paraId="6F0D6371" w14:textId="32A6BCED"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08" w:history="1">
        <w:r w:rsidRPr="003815EE">
          <w:rPr>
            <w:rStyle w:val="Hyperlink"/>
          </w:rPr>
          <w:t>6.3</w:t>
        </w:r>
        <w:r>
          <w:rPr>
            <w:rFonts w:asciiTheme="minorHAnsi" w:eastAsiaTheme="minorEastAsia" w:hAnsiTheme="minorHAnsi" w:cstheme="minorBidi"/>
            <w:kern w:val="2"/>
            <w:sz w:val="24"/>
            <w:szCs w:val="24"/>
            <w:lang w:eastAsia="en-GB"/>
            <w14:ligatures w14:val="standardContextual"/>
          </w:rPr>
          <w:tab/>
        </w:r>
        <w:r w:rsidRPr="003815EE">
          <w:rPr>
            <w:rStyle w:val="Hyperlink"/>
          </w:rPr>
          <w:t>What changed</w:t>
        </w:r>
        <w:r>
          <w:rPr>
            <w:webHidden/>
          </w:rPr>
          <w:tab/>
        </w:r>
        <w:r>
          <w:rPr>
            <w:webHidden/>
          </w:rPr>
          <w:fldChar w:fldCharType="begin"/>
        </w:r>
        <w:r>
          <w:rPr>
            <w:webHidden/>
          </w:rPr>
          <w:instrText xml:space="preserve"> PAGEREF _Toc233026608 \h </w:instrText>
        </w:r>
        <w:r>
          <w:rPr>
            <w:webHidden/>
          </w:rPr>
        </w:r>
        <w:r>
          <w:rPr>
            <w:webHidden/>
          </w:rPr>
          <w:fldChar w:fldCharType="separate"/>
        </w:r>
        <w:r>
          <w:rPr>
            <w:webHidden/>
          </w:rPr>
          <w:t>21</w:t>
        </w:r>
        <w:r>
          <w:rPr>
            <w:webHidden/>
          </w:rPr>
          <w:fldChar w:fldCharType="end"/>
        </w:r>
      </w:hyperlink>
    </w:p>
    <w:p w14:paraId="6FACE3DA" w14:textId="4A93F5E1"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09" w:history="1">
        <w:r w:rsidRPr="003815EE">
          <w:rPr>
            <w:rStyle w:val="Hyperlink"/>
          </w:rPr>
          <w:t>6.4</w:t>
        </w:r>
        <w:r>
          <w:rPr>
            <w:rFonts w:asciiTheme="minorHAnsi" w:eastAsiaTheme="minorEastAsia" w:hAnsiTheme="minorHAnsi" w:cstheme="minorBidi"/>
            <w:kern w:val="2"/>
            <w:sz w:val="24"/>
            <w:szCs w:val="24"/>
            <w:lang w:eastAsia="en-GB"/>
            <w14:ligatures w14:val="standardContextual"/>
          </w:rPr>
          <w:tab/>
        </w:r>
        <w:r w:rsidRPr="003815EE">
          <w:rPr>
            <w:rStyle w:val="Hyperlink"/>
          </w:rPr>
          <w:t>Cross-cutting issues</w:t>
        </w:r>
        <w:r>
          <w:rPr>
            <w:webHidden/>
          </w:rPr>
          <w:tab/>
        </w:r>
        <w:r>
          <w:rPr>
            <w:webHidden/>
          </w:rPr>
          <w:fldChar w:fldCharType="begin"/>
        </w:r>
        <w:r>
          <w:rPr>
            <w:webHidden/>
          </w:rPr>
          <w:instrText xml:space="preserve"> PAGEREF _Toc233026609 \h </w:instrText>
        </w:r>
        <w:r>
          <w:rPr>
            <w:webHidden/>
          </w:rPr>
        </w:r>
        <w:r>
          <w:rPr>
            <w:webHidden/>
          </w:rPr>
          <w:fldChar w:fldCharType="separate"/>
        </w:r>
        <w:r>
          <w:rPr>
            <w:webHidden/>
          </w:rPr>
          <w:t>22</w:t>
        </w:r>
        <w:r>
          <w:rPr>
            <w:webHidden/>
          </w:rPr>
          <w:fldChar w:fldCharType="end"/>
        </w:r>
      </w:hyperlink>
    </w:p>
    <w:p w14:paraId="56AE217F" w14:textId="779AA0B7" w:rsidR="00B05FF2" w:rsidRDefault="00B05FF2">
      <w:pPr>
        <w:pStyle w:val="TOC1"/>
        <w:rPr>
          <w:rFonts w:eastAsiaTheme="minorEastAsia" w:cstheme="minorBidi"/>
          <w:b w:val="0"/>
          <w:kern w:val="2"/>
          <w:sz w:val="24"/>
          <w:szCs w:val="24"/>
          <w:lang w:eastAsia="en-GB"/>
          <w14:ligatures w14:val="standardContextual"/>
        </w:rPr>
      </w:pPr>
      <w:hyperlink w:anchor="_Toc233026610" w:history="1">
        <w:r w:rsidRPr="003815EE">
          <w:rPr>
            <w:rStyle w:val="Hyperlink"/>
          </w:rPr>
          <w:t>7</w:t>
        </w:r>
        <w:r>
          <w:rPr>
            <w:rFonts w:eastAsiaTheme="minorEastAsia" w:cstheme="minorBidi"/>
            <w:b w:val="0"/>
            <w:kern w:val="2"/>
            <w:sz w:val="24"/>
            <w:szCs w:val="24"/>
            <w:lang w:eastAsia="en-GB"/>
            <w14:ligatures w14:val="standardContextual"/>
          </w:rPr>
          <w:tab/>
        </w:r>
        <w:r w:rsidRPr="003815EE">
          <w:rPr>
            <w:rStyle w:val="Hyperlink"/>
          </w:rPr>
          <w:t>Case Study: Water Infrastructure</w:t>
        </w:r>
        <w:r>
          <w:rPr>
            <w:webHidden/>
          </w:rPr>
          <w:tab/>
        </w:r>
        <w:r>
          <w:rPr>
            <w:webHidden/>
          </w:rPr>
          <w:fldChar w:fldCharType="begin"/>
        </w:r>
        <w:r>
          <w:rPr>
            <w:webHidden/>
          </w:rPr>
          <w:instrText xml:space="preserve"> PAGEREF _Toc233026610 \h </w:instrText>
        </w:r>
        <w:r>
          <w:rPr>
            <w:webHidden/>
          </w:rPr>
        </w:r>
        <w:r>
          <w:rPr>
            <w:webHidden/>
          </w:rPr>
          <w:fldChar w:fldCharType="separate"/>
        </w:r>
        <w:r>
          <w:rPr>
            <w:webHidden/>
          </w:rPr>
          <w:t>23</w:t>
        </w:r>
        <w:r>
          <w:rPr>
            <w:webHidden/>
          </w:rPr>
          <w:fldChar w:fldCharType="end"/>
        </w:r>
      </w:hyperlink>
    </w:p>
    <w:p w14:paraId="7147F65A" w14:textId="65835411"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11" w:history="1">
        <w:r w:rsidRPr="003815EE">
          <w:rPr>
            <w:rStyle w:val="Hyperlink"/>
          </w:rPr>
          <w:t>7.1</w:t>
        </w:r>
        <w:r>
          <w:rPr>
            <w:rFonts w:asciiTheme="minorHAnsi" w:eastAsiaTheme="minorEastAsia" w:hAnsiTheme="minorHAnsi" w:cstheme="minorBidi"/>
            <w:kern w:val="2"/>
            <w:sz w:val="24"/>
            <w:szCs w:val="24"/>
            <w:lang w:eastAsia="en-GB"/>
            <w14:ligatures w14:val="standardContextual"/>
          </w:rPr>
          <w:tab/>
        </w:r>
        <w:r w:rsidRPr="003815EE">
          <w:rPr>
            <w:rStyle w:val="Hyperlink"/>
          </w:rPr>
          <w:t>Context</w:t>
        </w:r>
        <w:r>
          <w:rPr>
            <w:webHidden/>
          </w:rPr>
          <w:tab/>
        </w:r>
        <w:r>
          <w:rPr>
            <w:webHidden/>
          </w:rPr>
          <w:fldChar w:fldCharType="begin"/>
        </w:r>
        <w:r>
          <w:rPr>
            <w:webHidden/>
          </w:rPr>
          <w:instrText xml:space="preserve"> PAGEREF _Toc233026611 \h </w:instrText>
        </w:r>
        <w:r>
          <w:rPr>
            <w:webHidden/>
          </w:rPr>
        </w:r>
        <w:r>
          <w:rPr>
            <w:webHidden/>
          </w:rPr>
          <w:fldChar w:fldCharType="separate"/>
        </w:r>
        <w:r>
          <w:rPr>
            <w:webHidden/>
          </w:rPr>
          <w:t>23</w:t>
        </w:r>
        <w:r>
          <w:rPr>
            <w:webHidden/>
          </w:rPr>
          <w:fldChar w:fldCharType="end"/>
        </w:r>
      </w:hyperlink>
    </w:p>
    <w:p w14:paraId="70C2C624" w14:textId="0FDBCDC2"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12" w:history="1">
        <w:r w:rsidRPr="003815EE">
          <w:rPr>
            <w:rStyle w:val="Hyperlink"/>
          </w:rPr>
          <w:t>7.2</w:t>
        </w:r>
        <w:r>
          <w:rPr>
            <w:rFonts w:asciiTheme="minorHAnsi" w:eastAsiaTheme="minorEastAsia" w:hAnsiTheme="minorHAnsi" w:cstheme="minorBidi"/>
            <w:kern w:val="2"/>
            <w:sz w:val="24"/>
            <w:szCs w:val="24"/>
            <w:lang w:eastAsia="en-GB"/>
            <w14:ligatures w14:val="standardContextual"/>
          </w:rPr>
          <w:tab/>
        </w:r>
        <w:r w:rsidRPr="003815EE">
          <w:rPr>
            <w:rStyle w:val="Hyperlink"/>
          </w:rPr>
          <w:t>PIDG support</w:t>
        </w:r>
        <w:r>
          <w:rPr>
            <w:webHidden/>
          </w:rPr>
          <w:tab/>
        </w:r>
        <w:r>
          <w:rPr>
            <w:webHidden/>
          </w:rPr>
          <w:fldChar w:fldCharType="begin"/>
        </w:r>
        <w:r>
          <w:rPr>
            <w:webHidden/>
          </w:rPr>
          <w:instrText xml:space="preserve"> PAGEREF _Toc233026612 \h </w:instrText>
        </w:r>
        <w:r>
          <w:rPr>
            <w:webHidden/>
          </w:rPr>
        </w:r>
        <w:r>
          <w:rPr>
            <w:webHidden/>
          </w:rPr>
          <w:fldChar w:fldCharType="separate"/>
        </w:r>
        <w:r>
          <w:rPr>
            <w:webHidden/>
          </w:rPr>
          <w:t>23</w:t>
        </w:r>
        <w:r>
          <w:rPr>
            <w:webHidden/>
          </w:rPr>
          <w:fldChar w:fldCharType="end"/>
        </w:r>
      </w:hyperlink>
    </w:p>
    <w:p w14:paraId="7B383F0C" w14:textId="5A801D30"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13" w:history="1">
        <w:r w:rsidRPr="003815EE">
          <w:rPr>
            <w:rStyle w:val="Hyperlink"/>
          </w:rPr>
          <w:t>7.3</w:t>
        </w:r>
        <w:r>
          <w:rPr>
            <w:rFonts w:asciiTheme="minorHAnsi" w:eastAsiaTheme="minorEastAsia" w:hAnsiTheme="minorHAnsi" w:cstheme="minorBidi"/>
            <w:kern w:val="2"/>
            <w:sz w:val="24"/>
            <w:szCs w:val="24"/>
            <w:lang w:eastAsia="en-GB"/>
            <w14:ligatures w14:val="standardContextual"/>
          </w:rPr>
          <w:tab/>
        </w:r>
        <w:r w:rsidRPr="003815EE">
          <w:rPr>
            <w:rStyle w:val="Hyperlink"/>
          </w:rPr>
          <w:t>What changed</w:t>
        </w:r>
        <w:r>
          <w:rPr>
            <w:webHidden/>
          </w:rPr>
          <w:tab/>
        </w:r>
        <w:r>
          <w:rPr>
            <w:webHidden/>
          </w:rPr>
          <w:fldChar w:fldCharType="begin"/>
        </w:r>
        <w:r>
          <w:rPr>
            <w:webHidden/>
          </w:rPr>
          <w:instrText xml:space="preserve"> PAGEREF _Toc233026613 \h </w:instrText>
        </w:r>
        <w:r>
          <w:rPr>
            <w:webHidden/>
          </w:rPr>
        </w:r>
        <w:r>
          <w:rPr>
            <w:webHidden/>
          </w:rPr>
          <w:fldChar w:fldCharType="separate"/>
        </w:r>
        <w:r>
          <w:rPr>
            <w:webHidden/>
          </w:rPr>
          <w:t>23</w:t>
        </w:r>
        <w:r>
          <w:rPr>
            <w:webHidden/>
          </w:rPr>
          <w:fldChar w:fldCharType="end"/>
        </w:r>
      </w:hyperlink>
    </w:p>
    <w:p w14:paraId="37D7A5D2" w14:textId="365107CE"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14" w:history="1">
        <w:r w:rsidRPr="003815EE">
          <w:rPr>
            <w:rStyle w:val="Hyperlink"/>
          </w:rPr>
          <w:t>7.4</w:t>
        </w:r>
        <w:r>
          <w:rPr>
            <w:rFonts w:asciiTheme="minorHAnsi" w:eastAsiaTheme="minorEastAsia" w:hAnsiTheme="minorHAnsi" w:cstheme="minorBidi"/>
            <w:kern w:val="2"/>
            <w:sz w:val="24"/>
            <w:szCs w:val="24"/>
            <w:lang w:eastAsia="en-GB"/>
            <w14:ligatures w14:val="standardContextual"/>
          </w:rPr>
          <w:tab/>
        </w:r>
        <w:r w:rsidRPr="003815EE">
          <w:rPr>
            <w:rStyle w:val="Hyperlink"/>
          </w:rPr>
          <w:t>Cross-cutting issues</w:t>
        </w:r>
        <w:r>
          <w:rPr>
            <w:webHidden/>
          </w:rPr>
          <w:tab/>
        </w:r>
        <w:r>
          <w:rPr>
            <w:webHidden/>
          </w:rPr>
          <w:fldChar w:fldCharType="begin"/>
        </w:r>
        <w:r>
          <w:rPr>
            <w:webHidden/>
          </w:rPr>
          <w:instrText xml:space="preserve"> PAGEREF _Toc233026614 \h </w:instrText>
        </w:r>
        <w:r>
          <w:rPr>
            <w:webHidden/>
          </w:rPr>
        </w:r>
        <w:r>
          <w:rPr>
            <w:webHidden/>
          </w:rPr>
          <w:fldChar w:fldCharType="separate"/>
        </w:r>
        <w:r>
          <w:rPr>
            <w:webHidden/>
          </w:rPr>
          <w:t>24</w:t>
        </w:r>
        <w:r>
          <w:rPr>
            <w:webHidden/>
          </w:rPr>
          <w:fldChar w:fldCharType="end"/>
        </w:r>
      </w:hyperlink>
    </w:p>
    <w:p w14:paraId="670149DF" w14:textId="26A0E6DA" w:rsidR="00B05FF2" w:rsidRDefault="00B05FF2">
      <w:pPr>
        <w:pStyle w:val="TOC1"/>
        <w:rPr>
          <w:rFonts w:eastAsiaTheme="minorEastAsia" w:cstheme="minorBidi"/>
          <w:b w:val="0"/>
          <w:kern w:val="2"/>
          <w:sz w:val="24"/>
          <w:szCs w:val="24"/>
          <w:lang w:eastAsia="en-GB"/>
          <w14:ligatures w14:val="standardContextual"/>
        </w:rPr>
      </w:pPr>
      <w:hyperlink w:anchor="_Toc233026615" w:history="1">
        <w:r w:rsidRPr="003815EE">
          <w:rPr>
            <w:rStyle w:val="Hyperlink"/>
          </w:rPr>
          <w:t>8</w:t>
        </w:r>
        <w:r>
          <w:rPr>
            <w:rFonts w:eastAsiaTheme="minorEastAsia" w:cstheme="minorBidi"/>
            <w:b w:val="0"/>
            <w:kern w:val="2"/>
            <w:sz w:val="24"/>
            <w:szCs w:val="24"/>
            <w:lang w:eastAsia="en-GB"/>
            <w14:ligatures w14:val="standardContextual"/>
          </w:rPr>
          <w:tab/>
        </w:r>
        <w:r w:rsidRPr="003815EE">
          <w:rPr>
            <w:rStyle w:val="Hyperlink"/>
          </w:rPr>
          <w:t>Case Study: Circular Economy</w:t>
        </w:r>
        <w:r>
          <w:rPr>
            <w:webHidden/>
          </w:rPr>
          <w:tab/>
        </w:r>
        <w:r>
          <w:rPr>
            <w:webHidden/>
          </w:rPr>
          <w:fldChar w:fldCharType="begin"/>
        </w:r>
        <w:r>
          <w:rPr>
            <w:webHidden/>
          </w:rPr>
          <w:instrText xml:space="preserve"> PAGEREF _Toc233026615 \h </w:instrText>
        </w:r>
        <w:r>
          <w:rPr>
            <w:webHidden/>
          </w:rPr>
        </w:r>
        <w:r>
          <w:rPr>
            <w:webHidden/>
          </w:rPr>
          <w:fldChar w:fldCharType="separate"/>
        </w:r>
        <w:r>
          <w:rPr>
            <w:webHidden/>
          </w:rPr>
          <w:t>25</w:t>
        </w:r>
        <w:r>
          <w:rPr>
            <w:webHidden/>
          </w:rPr>
          <w:fldChar w:fldCharType="end"/>
        </w:r>
      </w:hyperlink>
    </w:p>
    <w:p w14:paraId="377BCF06" w14:textId="70EBBACE"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16" w:history="1">
        <w:r w:rsidRPr="003815EE">
          <w:rPr>
            <w:rStyle w:val="Hyperlink"/>
          </w:rPr>
          <w:t>8.1</w:t>
        </w:r>
        <w:r>
          <w:rPr>
            <w:rFonts w:asciiTheme="minorHAnsi" w:eastAsiaTheme="minorEastAsia" w:hAnsiTheme="minorHAnsi" w:cstheme="minorBidi"/>
            <w:kern w:val="2"/>
            <w:sz w:val="24"/>
            <w:szCs w:val="24"/>
            <w:lang w:eastAsia="en-GB"/>
            <w14:ligatures w14:val="standardContextual"/>
          </w:rPr>
          <w:tab/>
        </w:r>
        <w:r w:rsidRPr="003815EE">
          <w:rPr>
            <w:rStyle w:val="Hyperlink"/>
          </w:rPr>
          <w:t>Context</w:t>
        </w:r>
        <w:r>
          <w:rPr>
            <w:webHidden/>
          </w:rPr>
          <w:tab/>
        </w:r>
        <w:r>
          <w:rPr>
            <w:webHidden/>
          </w:rPr>
          <w:fldChar w:fldCharType="begin"/>
        </w:r>
        <w:r>
          <w:rPr>
            <w:webHidden/>
          </w:rPr>
          <w:instrText xml:space="preserve"> PAGEREF _Toc233026616 \h </w:instrText>
        </w:r>
        <w:r>
          <w:rPr>
            <w:webHidden/>
          </w:rPr>
        </w:r>
        <w:r>
          <w:rPr>
            <w:webHidden/>
          </w:rPr>
          <w:fldChar w:fldCharType="separate"/>
        </w:r>
        <w:r>
          <w:rPr>
            <w:webHidden/>
          </w:rPr>
          <w:t>25</w:t>
        </w:r>
        <w:r>
          <w:rPr>
            <w:webHidden/>
          </w:rPr>
          <w:fldChar w:fldCharType="end"/>
        </w:r>
      </w:hyperlink>
    </w:p>
    <w:p w14:paraId="23C1D8F2" w14:textId="741DA2C6"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17" w:history="1">
        <w:r w:rsidRPr="003815EE">
          <w:rPr>
            <w:rStyle w:val="Hyperlink"/>
          </w:rPr>
          <w:t>8.2</w:t>
        </w:r>
        <w:r>
          <w:rPr>
            <w:rFonts w:asciiTheme="minorHAnsi" w:eastAsiaTheme="minorEastAsia" w:hAnsiTheme="minorHAnsi" w:cstheme="minorBidi"/>
            <w:kern w:val="2"/>
            <w:sz w:val="24"/>
            <w:szCs w:val="24"/>
            <w:lang w:eastAsia="en-GB"/>
            <w14:ligatures w14:val="standardContextual"/>
          </w:rPr>
          <w:tab/>
        </w:r>
        <w:r w:rsidRPr="003815EE">
          <w:rPr>
            <w:rStyle w:val="Hyperlink"/>
          </w:rPr>
          <w:t>PIDG support</w:t>
        </w:r>
        <w:r>
          <w:rPr>
            <w:webHidden/>
          </w:rPr>
          <w:tab/>
        </w:r>
        <w:r>
          <w:rPr>
            <w:webHidden/>
          </w:rPr>
          <w:fldChar w:fldCharType="begin"/>
        </w:r>
        <w:r>
          <w:rPr>
            <w:webHidden/>
          </w:rPr>
          <w:instrText xml:space="preserve"> PAGEREF _Toc233026617 \h </w:instrText>
        </w:r>
        <w:r>
          <w:rPr>
            <w:webHidden/>
          </w:rPr>
        </w:r>
        <w:r>
          <w:rPr>
            <w:webHidden/>
          </w:rPr>
          <w:fldChar w:fldCharType="separate"/>
        </w:r>
        <w:r>
          <w:rPr>
            <w:webHidden/>
          </w:rPr>
          <w:t>25</w:t>
        </w:r>
        <w:r>
          <w:rPr>
            <w:webHidden/>
          </w:rPr>
          <w:fldChar w:fldCharType="end"/>
        </w:r>
      </w:hyperlink>
    </w:p>
    <w:p w14:paraId="5EAC857E" w14:textId="37F303CB"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18" w:history="1">
        <w:r w:rsidRPr="003815EE">
          <w:rPr>
            <w:rStyle w:val="Hyperlink"/>
          </w:rPr>
          <w:t>8.3</w:t>
        </w:r>
        <w:r>
          <w:rPr>
            <w:rFonts w:asciiTheme="minorHAnsi" w:eastAsiaTheme="minorEastAsia" w:hAnsiTheme="minorHAnsi" w:cstheme="minorBidi"/>
            <w:kern w:val="2"/>
            <w:sz w:val="24"/>
            <w:szCs w:val="24"/>
            <w:lang w:eastAsia="en-GB"/>
            <w14:ligatures w14:val="standardContextual"/>
          </w:rPr>
          <w:tab/>
        </w:r>
        <w:r w:rsidRPr="003815EE">
          <w:rPr>
            <w:rStyle w:val="Hyperlink"/>
          </w:rPr>
          <w:t>What changed</w:t>
        </w:r>
        <w:r>
          <w:rPr>
            <w:webHidden/>
          </w:rPr>
          <w:tab/>
        </w:r>
        <w:r>
          <w:rPr>
            <w:webHidden/>
          </w:rPr>
          <w:fldChar w:fldCharType="begin"/>
        </w:r>
        <w:r>
          <w:rPr>
            <w:webHidden/>
          </w:rPr>
          <w:instrText xml:space="preserve"> PAGEREF _Toc233026618 \h </w:instrText>
        </w:r>
        <w:r>
          <w:rPr>
            <w:webHidden/>
          </w:rPr>
        </w:r>
        <w:r>
          <w:rPr>
            <w:webHidden/>
          </w:rPr>
          <w:fldChar w:fldCharType="separate"/>
        </w:r>
        <w:r>
          <w:rPr>
            <w:webHidden/>
          </w:rPr>
          <w:t>25</w:t>
        </w:r>
        <w:r>
          <w:rPr>
            <w:webHidden/>
          </w:rPr>
          <w:fldChar w:fldCharType="end"/>
        </w:r>
      </w:hyperlink>
    </w:p>
    <w:p w14:paraId="1B8A1ADA" w14:textId="78C1E7CF"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19" w:history="1">
        <w:r w:rsidRPr="003815EE">
          <w:rPr>
            <w:rStyle w:val="Hyperlink"/>
          </w:rPr>
          <w:t>8.4</w:t>
        </w:r>
        <w:r>
          <w:rPr>
            <w:rFonts w:asciiTheme="minorHAnsi" w:eastAsiaTheme="minorEastAsia" w:hAnsiTheme="minorHAnsi" w:cstheme="minorBidi"/>
            <w:kern w:val="2"/>
            <w:sz w:val="24"/>
            <w:szCs w:val="24"/>
            <w:lang w:eastAsia="en-GB"/>
            <w14:ligatures w14:val="standardContextual"/>
          </w:rPr>
          <w:tab/>
        </w:r>
        <w:r w:rsidRPr="003815EE">
          <w:rPr>
            <w:rStyle w:val="Hyperlink"/>
          </w:rPr>
          <w:t>Cross-cutting issues</w:t>
        </w:r>
        <w:r>
          <w:rPr>
            <w:webHidden/>
          </w:rPr>
          <w:tab/>
        </w:r>
        <w:r>
          <w:rPr>
            <w:webHidden/>
          </w:rPr>
          <w:fldChar w:fldCharType="begin"/>
        </w:r>
        <w:r>
          <w:rPr>
            <w:webHidden/>
          </w:rPr>
          <w:instrText xml:space="preserve"> PAGEREF _Toc233026619 \h </w:instrText>
        </w:r>
        <w:r>
          <w:rPr>
            <w:webHidden/>
          </w:rPr>
        </w:r>
        <w:r>
          <w:rPr>
            <w:webHidden/>
          </w:rPr>
          <w:fldChar w:fldCharType="separate"/>
        </w:r>
        <w:r>
          <w:rPr>
            <w:webHidden/>
          </w:rPr>
          <w:t>26</w:t>
        </w:r>
        <w:r>
          <w:rPr>
            <w:webHidden/>
          </w:rPr>
          <w:fldChar w:fldCharType="end"/>
        </w:r>
      </w:hyperlink>
    </w:p>
    <w:p w14:paraId="1C34DC23" w14:textId="538D5D88" w:rsidR="00B05FF2" w:rsidRDefault="00B05FF2">
      <w:pPr>
        <w:pStyle w:val="TOC1"/>
        <w:rPr>
          <w:rFonts w:eastAsiaTheme="minorEastAsia" w:cstheme="minorBidi"/>
          <w:b w:val="0"/>
          <w:kern w:val="2"/>
          <w:sz w:val="24"/>
          <w:szCs w:val="24"/>
          <w:lang w:eastAsia="en-GB"/>
          <w14:ligatures w14:val="standardContextual"/>
        </w:rPr>
      </w:pPr>
      <w:hyperlink w:anchor="_Toc233026620" w:history="1">
        <w:r w:rsidRPr="003815EE">
          <w:rPr>
            <w:rStyle w:val="Hyperlink"/>
          </w:rPr>
          <w:t>9</w:t>
        </w:r>
        <w:r>
          <w:rPr>
            <w:rFonts w:eastAsiaTheme="minorEastAsia" w:cstheme="minorBidi"/>
            <w:b w:val="0"/>
            <w:kern w:val="2"/>
            <w:sz w:val="24"/>
            <w:szCs w:val="24"/>
            <w:lang w:eastAsia="en-GB"/>
            <w14:ligatures w14:val="standardContextual"/>
          </w:rPr>
          <w:tab/>
        </w:r>
        <w:r w:rsidRPr="003815EE">
          <w:rPr>
            <w:rStyle w:val="Hyperlink"/>
          </w:rPr>
          <w:t>Case Study: August Energy – Early-stage platform support for Energy as a Service Generation</w:t>
        </w:r>
        <w:r>
          <w:rPr>
            <w:webHidden/>
          </w:rPr>
          <w:tab/>
        </w:r>
        <w:r>
          <w:rPr>
            <w:webHidden/>
          </w:rPr>
          <w:fldChar w:fldCharType="begin"/>
        </w:r>
        <w:r>
          <w:rPr>
            <w:webHidden/>
          </w:rPr>
          <w:instrText xml:space="preserve"> PAGEREF _Toc233026620 \h </w:instrText>
        </w:r>
        <w:r>
          <w:rPr>
            <w:webHidden/>
          </w:rPr>
        </w:r>
        <w:r>
          <w:rPr>
            <w:webHidden/>
          </w:rPr>
          <w:fldChar w:fldCharType="separate"/>
        </w:r>
        <w:r>
          <w:rPr>
            <w:webHidden/>
          </w:rPr>
          <w:t>27</w:t>
        </w:r>
        <w:r>
          <w:rPr>
            <w:webHidden/>
          </w:rPr>
          <w:fldChar w:fldCharType="end"/>
        </w:r>
      </w:hyperlink>
    </w:p>
    <w:p w14:paraId="32EDF45F" w14:textId="43AAE75B"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21" w:history="1">
        <w:r w:rsidRPr="003815EE">
          <w:rPr>
            <w:rStyle w:val="Hyperlink"/>
          </w:rPr>
          <w:t>9.1</w:t>
        </w:r>
        <w:r>
          <w:rPr>
            <w:rFonts w:asciiTheme="minorHAnsi" w:eastAsiaTheme="minorEastAsia" w:hAnsiTheme="minorHAnsi" w:cstheme="minorBidi"/>
            <w:kern w:val="2"/>
            <w:sz w:val="24"/>
            <w:szCs w:val="24"/>
            <w:lang w:eastAsia="en-GB"/>
            <w14:ligatures w14:val="standardContextual"/>
          </w:rPr>
          <w:tab/>
        </w:r>
        <w:r w:rsidRPr="003815EE">
          <w:rPr>
            <w:rStyle w:val="Hyperlink"/>
          </w:rPr>
          <w:t>Context</w:t>
        </w:r>
        <w:r>
          <w:rPr>
            <w:webHidden/>
          </w:rPr>
          <w:tab/>
        </w:r>
        <w:r>
          <w:rPr>
            <w:webHidden/>
          </w:rPr>
          <w:fldChar w:fldCharType="begin"/>
        </w:r>
        <w:r>
          <w:rPr>
            <w:webHidden/>
          </w:rPr>
          <w:instrText xml:space="preserve"> PAGEREF _Toc233026621 \h </w:instrText>
        </w:r>
        <w:r>
          <w:rPr>
            <w:webHidden/>
          </w:rPr>
        </w:r>
        <w:r>
          <w:rPr>
            <w:webHidden/>
          </w:rPr>
          <w:fldChar w:fldCharType="separate"/>
        </w:r>
        <w:r>
          <w:rPr>
            <w:webHidden/>
          </w:rPr>
          <w:t>27</w:t>
        </w:r>
        <w:r>
          <w:rPr>
            <w:webHidden/>
          </w:rPr>
          <w:fldChar w:fldCharType="end"/>
        </w:r>
      </w:hyperlink>
    </w:p>
    <w:p w14:paraId="6DC4A931" w14:textId="07AEC2B7"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22" w:history="1">
        <w:r w:rsidRPr="003815EE">
          <w:rPr>
            <w:rStyle w:val="Hyperlink"/>
          </w:rPr>
          <w:t>9.2</w:t>
        </w:r>
        <w:r>
          <w:rPr>
            <w:rFonts w:asciiTheme="minorHAnsi" w:eastAsiaTheme="minorEastAsia" w:hAnsiTheme="minorHAnsi" w:cstheme="minorBidi"/>
            <w:kern w:val="2"/>
            <w:sz w:val="24"/>
            <w:szCs w:val="24"/>
            <w:lang w:eastAsia="en-GB"/>
            <w14:ligatures w14:val="standardContextual"/>
          </w:rPr>
          <w:tab/>
        </w:r>
        <w:r w:rsidRPr="003815EE">
          <w:rPr>
            <w:rStyle w:val="Hyperlink"/>
          </w:rPr>
          <w:t>PIDG support</w:t>
        </w:r>
        <w:r>
          <w:rPr>
            <w:webHidden/>
          </w:rPr>
          <w:tab/>
        </w:r>
        <w:r>
          <w:rPr>
            <w:webHidden/>
          </w:rPr>
          <w:fldChar w:fldCharType="begin"/>
        </w:r>
        <w:r>
          <w:rPr>
            <w:webHidden/>
          </w:rPr>
          <w:instrText xml:space="preserve"> PAGEREF _Toc233026622 \h </w:instrText>
        </w:r>
        <w:r>
          <w:rPr>
            <w:webHidden/>
          </w:rPr>
        </w:r>
        <w:r>
          <w:rPr>
            <w:webHidden/>
          </w:rPr>
          <w:fldChar w:fldCharType="separate"/>
        </w:r>
        <w:r>
          <w:rPr>
            <w:webHidden/>
          </w:rPr>
          <w:t>27</w:t>
        </w:r>
        <w:r>
          <w:rPr>
            <w:webHidden/>
          </w:rPr>
          <w:fldChar w:fldCharType="end"/>
        </w:r>
      </w:hyperlink>
    </w:p>
    <w:p w14:paraId="2C9B9DFC" w14:textId="38EBDC62"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23" w:history="1">
        <w:r w:rsidRPr="003815EE">
          <w:rPr>
            <w:rStyle w:val="Hyperlink"/>
          </w:rPr>
          <w:t>9.3</w:t>
        </w:r>
        <w:r>
          <w:rPr>
            <w:rFonts w:asciiTheme="minorHAnsi" w:eastAsiaTheme="minorEastAsia" w:hAnsiTheme="minorHAnsi" w:cstheme="minorBidi"/>
            <w:kern w:val="2"/>
            <w:sz w:val="24"/>
            <w:szCs w:val="24"/>
            <w:lang w:eastAsia="en-GB"/>
            <w14:ligatures w14:val="standardContextual"/>
          </w:rPr>
          <w:tab/>
        </w:r>
        <w:r w:rsidRPr="003815EE">
          <w:rPr>
            <w:rStyle w:val="Hyperlink"/>
          </w:rPr>
          <w:t>What changed</w:t>
        </w:r>
        <w:r>
          <w:rPr>
            <w:webHidden/>
          </w:rPr>
          <w:tab/>
        </w:r>
        <w:r>
          <w:rPr>
            <w:webHidden/>
          </w:rPr>
          <w:fldChar w:fldCharType="begin"/>
        </w:r>
        <w:r>
          <w:rPr>
            <w:webHidden/>
          </w:rPr>
          <w:instrText xml:space="preserve"> PAGEREF _Toc233026623 \h </w:instrText>
        </w:r>
        <w:r>
          <w:rPr>
            <w:webHidden/>
          </w:rPr>
        </w:r>
        <w:r>
          <w:rPr>
            <w:webHidden/>
          </w:rPr>
          <w:fldChar w:fldCharType="separate"/>
        </w:r>
        <w:r>
          <w:rPr>
            <w:webHidden/>
          </w:rPr>
          <w:t>27</w:t>
        </w:r>
        <w:r>
          <w:rPr>
            <w:webHidden/>
          </w:rPr>
          <w:fldChar w:fldCharType="end"/>
        </w:r>
      </w:hyperlink>
    </w:p>
    <w:p w14:paraId="690896A6" w14:textId="0091C76B" w:rsidR="00B05FF2" w:rsidRDefault="00B05FF2">
      <w:pPr>
        <w:pStyle w:val="TOC2"/>
        <w:tabs>
          <w:tab w:val="left" w:pos="1140"/>
        </w:tabs>
        <w:rPr>
          <w:rFonts w:asciiTheme="minorHAnsi" w:eastAsiaTheme="minorEastAsia" w:hAnsiTheme="minorHAnsi" w:cstheme="minorBidi"/>
          <w:kern w:val="2"/>
          <w:sz w:val="24"/>
          <w:szCs w:val="24"/>
          <w:lang w:eastAsia="en-GB"/>
          <w14:ligatures w14:val="standardContextual"/>
        </w:rPr>
      </w:pPr>
      <w:hyperlink w:anchor="_Toc233026624" w:history="1">
        <w:r w:rsidRPr="003815EE">
          <w:rPr>
            <w:rStyle w:val="Hyperlink"/>
          </w:rPr>
          <w:t>9.4</w:t>
        </w:r>
        <w:r>
          <w:rPr>
            <w:rFonts w:asciiTheme="minorHAnsi" w:eastAsiaTheme="minorEastAsia" w:hAnsiTheme="minorHAnsi" w:cstheme="minorBidi"/>
            <w:kern w:val="2"/>
            <w:sz w:val="24"/>
            <w:szCs w:val="24"/>
            <w:lang w:eastAsia="en-GB"/>
            <w14:ligatures w14:val="standardContextual"/>
          </w:rPr>
          <w:tab/>
        </w:r>
        <w:r w:rsidRPr="003815EE">
          <w:rPr>
            <w:rStyle w:val="Hyperlink"/>
          </w:rPr>
          <w:t>Cross-cutting issues</w:t>
        </w:r>
        <w:r>
          <w:rPr>
            <w:webHidden/>
          </w:rPr>
          <w:tab/>
        </w:r>
        <w:r>
          <w:rPr>
            <w:webHidden/>
          </w:rPr>
          <w:fldChar w:fldCharType="begin"/>
        </w:r>
        <w:r>
          <w:rPr>
            <w:webHidden/>
          </w:rPr>
          <w:instrText xml:space="preserve"> PAGEREF _Toc233026624 \h </w:instrText>
        </w:r>
        <w:r>
          <w:rPr>
            <w:webHidden/>
          </w:rPr>
        </w:r>
        <w:r>
          <w:rPr>
            <w:webHidden/>
          </w:rPr>
          <w:fldChar w:fldCharType="separate"/>
        </w:r>
        <w:r>
          <w:rPr>
            <w:webHidden/>
          </w:rPr>
          <w:t>28</w:t>
        </w:r>
        <w:r>
          <w:rPr>
            <w:webHidden/>
          </w:rPr>
          <w:fldChar w:fldCharType="end"/>
        </w:r>
      </w:hyperlink>
    </w:p>
    <w:p w14:paraId="098850CC" w14:textId="422F05E3" w:rsidR="00B05FF2" w:rsidRDefault="00B05FF2">
      <w:pPr>
        <w:pStyle w:val="TOC1"/>
        <w:rPr>
          <w:rFonts w:eastAsiaTheme="minorEastAsia" w:cstheme="minorBidi"/>
          <w:b w:val="0"/>
          <w:kern w:val="2"/>
          <w:sz w:val="24"/>
          <w:szCs w:val="24"/>
          <w:lang w:eastAsia="en-GB"/>
          <w14:ligatures w14:val="standardContextual"/>
        </w:rPr>
      </w:pPr>
      <w:hyperlink w:anchor="_Toc233026625" w:history="1">
        <w:r w:rsidRPr="003815EE">
          <w:rPr>
            <w:rStyle w:val="Hyperlink"/>
          </w:rPr>
          <w:t>10</w:t>
        </w:r>
        <w:r>
          <w:rPr>
            <w:rFonts w:eastAsiaTheme="minorEastAsia" w:cstheme="minorBidi"/>
            <w:b w:val="0"/>
            <w:kern w:val="2"/>
            <w:sz w:val="24"/>
            <w:szCs w:val="24"/>
            <w:lang w:eastAsia="en-GB"/>
            <w14:ligatures w14:val="standardContextual"/>
          </w:rPr>
          <w:tab/>
        </w:r>
        <w:r w:rsidRPr="003815EE">
          <w:rPr>
            <w:rStyle w:val="Hyperlink"/>
          </w:rPr>
          <w:t>Review Terms of Reference</w:t>
        </w:r>
        <w:r>
          <w:rPr>
            <w:webHidden/>
          </w:rPr>
          <w:tab/>
        </w:r>
        <w:r>
          <w:rPr>
            <w:webHidden/>
          </w:rPr>
          <w:fldChar w:fldCharType="begin"/>
        </w:r>
        <w:r>
          <w:rPr>
            <w:webHidden/>
          </w:rPr>
          <w:instrText xml:space="preserve"> PAGEREF _Toc233026625 \h </w:instrText>
        </w:r>
        <w:r>
          <w:rPr>
            <w:webHidden/>
          </w:rPr>
        </w:r>
        <w:r>
          <w:rPr>
            <w:webHidden/>
          </w:rPr>
          <w:fldChar w:fldCharType="separate"/>
        </w:r>
        <w:r>
          <w:rPr>
            <w:webHidden/>
          </w:rPr>
          <w:t>29</w:t>
        </w:r>
        <w:r>
          <w:rPr>
            <w:webHidden/>
          </w:rPr>
          <w:fldChar w:fldCharType="end"/>
        </w:r>
      </w:hyperlink>
    </w:p>
    <w:p w14:paraId="266AA01B" w14:textId="4D906A91" w:rsidR="005769B6" w:rsidRDefault="00242C1B" w:rsidP="005769B6">
      <w:pPr>
        <w:rPr>
          <w:b/>
          <w:szCs w:val="28"/>
          <w:lang w:eastAsia="en-AU"/>
        </w:rPr>
      </w:pPr>
      <w:r w:rsidRPr="00FD4103">
        <w:rPr>
          <w:b/>
          <w:szCs w:val="28"/>
          <w:lang w:eastAsia="en-AU"/>
        </w:rPr>
        <w:fldChar w:fldCharType="end"/>
      </w:r>
      <w:r w:rsidR="005769B6">
        <w:rPr>
          <w:b/>
          <w:szCs w:val="28"/>
          <w:lang w:eastAsia="en-AU"/>
        </w:rPr>
        <w:br w:type="page"/>
      </w:r>
    </w:p>
    <w:p w14:paraId="0656ED77" w14:textId="3AFEE09F" w:rsidR="00061723" w:rsidRDefault="00061723" w:rsidP="003D231F">
      <w:pPr>
        <w:pStyle w:val="Heading1"/>
        <w:numPr>
          <w:ilvl w:val="0"/>
          <w:numId w:val="0"/>
        </w:numPr>
        <w:ind w:left="432" w:hanging="432"/>
      </w:pPr>
      <w:bookmarkStart w:id="4" w:name="_Toc226976832"/>
      <w:bookmarkStart w:id="5" w:name="_Toc233026577"/>
      <w:r w:rsidRPr="00FD4103">
        <w:lastRenderedPageBreak/>
        <w:t>List of Abbreviations</w:t>
      </w:r>
      <w:bookmarkEnd w:id="4"/>
      <w:bookmarkEnd w:id="5"/>
    </w:p>
    <w:tbl>
      <w:tblPr>
        <w:tblStyle w:val="CBS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8525"/>
      </w:tblGrid>
      <w:tr w:rsidR="00984676" w:rsidRPr="00BF6212" w14:paraId="416B4560" w14:textId="77777777" w:rsidTr="000B4338">
        <w:trPr>
          <w:tblHeader/>
        </w:trPr>
        <w:tc>
          <w:tcPr>
            <w:tcW w:w="0" w:type="auto"/>
          </w:tcPr>
          <w:p w14:paraId="4D44A5B0" w14:textId="50835F89" w:rsidR="00984676" w:rsidRPr="00607509" w:rsidRDefault="00984676">
            <w:pPr>
              <w:rPr>
                <w:rFonts w:asciiTheme="minorHAnsi" w:hAnsiTheme="minorHAnsi" w:cstheme="minorHAnsi"/>
                <w:b/>
                <w:bCs/>
                <w:color w:val="000000"/>
              </w:rPr>
            </w:pPr>
            <w:r w:rsidRPr="00607509">
              <w:rPr>
                <w:rFonts w:asciiTheme="minorHAnsi" w:hAnsiTheme="minorHAnsi" w:cstheme="minorHAnsi"/>
                <w:b/>
                <w:bCs/>
                <w:color w:val="000000"/>
              </w:rPr>
              <w:t>Abbreviation</w:t>
            </w:r>
          </w:p>
        </w:tc>
        <w:tc>
          <w:tcPr>
            <w:tcW w:w="0" w:type="auto"/>
          </w:tcPr>
          <w:p w14:paraId="5D953DA8" w14:textId="0176E85B" w:rsidR="00984676" w:rsidRPr="00607509" w:rsidRDefault="00984676">
            <w:pPr>
              <w:rPr>
                <w:rFonts w:asciiTheme="minorHAnsi" w:hAnsiTheme="minorHAnsi" w:cstheme="minorHAnsi"/>
                <w:b/>
                <w:bCs/>
                <w:color w:val="000000"/>
              </w:rPr>
            </w:pPr>
            <w:r w:rsidRPr="00607509">
              <w:rPr>
                <w:rFonts w:asciiTheme="minorHAnsi" w:hAnsiTheme="minorHAnsi" w:cstheme="minorHAnsi"/>
                <w:b/>
                <w:bCs/>
                <w:color w:val="000000"/>
              </w:rPr>
              <w:t xml:space="preserve">Full term </w:t>
            </w:r>
          </w:p>
        </w:tc>
      </w:tr>
      <w:tr w:rsidR="00BF6212" w:rsidRPr="00BF6212" w14:paraId="46DFE7FA" w14:textId="77777777" w:rsidTr="00984676">
        <w:tc>
          <w:tcPr>
            <w:tcW w:w="0" w:type="auto"/>
            <w:hideMark/>
          </w:tcPr>
          <w:p w14:paraId="6C453C44"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ADB</w:t>
            </w:r>
          </w:p>
        </w:tc>
        <w:tc>
          <w:tcPr>
            <w:tcW w:w="0" w:type="auto"/>
            <w:hideMark/>
          </w:tcPr>
          <w:p w14:paraId="3725F976"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Asian Development Bank</w:t>
            </w:r>
          </w:p>
        </w:tc>
      </w:tr>
      <w:tr w:rsidR="00BF6212" w:rsidRPr="00BF6212" w14:paraId="335D3221" w14:textId="77777777" w:rsidTr="00984676">
        <w:tc>
          <w:tcPr>
            <w:tcW w:w="0" w:type="auto"/>
            <w:hideMark/>
          </w:tcPr>
          <w:p w14:paraId="23324976"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ASEAN</w:t>
            </w:r>
          </w:p>
        </w:tc>
        <w:tc>
          <w:tcPr>
            <w:tcW w:w="0" w:type="auto"/>
            <w:hideMark/>
          </w:tcPr>
          <w:p w14:paraId="5B38F6B4"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Association of Southeast Asian Nations</w:t>
            </w:r>
          </w:p>
        </w:tc>
      </w:tr>
      <w:tr w:rsidR="00BF6212" w:rsidRPr="00BF6212" w14:paraId="24AA0C30" w14:textId="77777777" w:rsidTr="00984676">
        <w:tc>
          <w:tcPr>
            <w:tcW w:w="0" w:type="auto"/>
            <w:hideMark/>
          </w:tcPr>
          <w:p w14:paraId="1958F48E"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AVETP</w:t>
            </w:r>
          </w:p>
        </w:tc>
        <w:tc>
          <w:tcPr>
            <w:tcW w:w="0" w:type="auto"/>
            <w:hideMark/>
          </w:tcPr>
          <w:p w14:paraId="04AAB9E4"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Australia–Vietnam Energy Transition Platform</w:t>
            </w:r>
          </w:p>
        </w:tc>
      </w:tr>
      <w:tr w:rsidR="00BF6212" w:rsidRPr="00BF6212" w14:paraId="448CC8DC" w14:textId="77777777" w:rsidTr="00984676">
        <w:tc>
          <w:tcPr>
            <w:tcW w:w="0" w:type="auto"/>
            <w:hideMark/>
          </w:tcPr>
          <w:p w14:paraId="2AA2554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BFU</w:t>
            </w:r>
          </w:p>
        </w:tc>
        <w:tc>
          <w:tcPr>
            <w:tcW w:w="0" w:type="auto"/>
            <w:hideMark/>
          </w:tcPr>
          <w:p w14:paraId="30AEFF81"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Blended Finance Unit</w:t>
            </w:r>
          </w:p>
        </w:tc>
      </w:tr>
      <w:tr w:rsidR="00BF6212" w:rsidRPr="00BF6212" w14:paraId="72F0FC30" w14:textId="77777777" w:rsidTr="00984676">
        <w:tc>
          <w:tcPr>
            <w:tcW w:w="0" w:type="auto"/>
            <w:hideMark/>
          </w:tcPr>
          <w:p w14:paraId="68028752"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BPG</w:t>
            </w:r>
          </w:p>
        </w:tc>
        <w:tc>
          <w:tcPr>
            <w:tcW w:w="0" w:type="auto"/>
            <w:hideMark/>
          </w:tcPr>
          <w:p w14:paraId="440E481B"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Binh Thuan Plastic Group</w:t>
            </w:r>
          </w:p>
        </w:tc>
      </w:tr>
      <w:tr w:rsidR="00BF6212" w:rsidRPr="00BF6212" w14:paraId="6EEC1077" w14:textId="77777777" w:rsidTr="00984676">
        <w:tc>
          <w:tcPr>
            <w:tcW w:w="0" w:type="auto"/>
            <w:hideMark/>
          </w:tcPr>
          <w:p w14:paraId="2207A91D"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CAPEX</w:t>
            </w:r>
          </w:p>
        </w:tc>
        <w:tc>
          <w:tcPr>
            <w:tcW w:w="0" w:type="auto"/>
            <w:hideMark/>
          </w:tcPr>
          <w:p w14:paraId="1AEF71C3"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Capital Expenditure</w:t>
            </w:r>
          </w:p>
        </w:tc>
      </w:tr>
      <w:tr w:rsidR="00BF6212" w:rsidRPr="00BF6212" w14:paraId="207310C9" w14:textId="77777777" w:rsidTr="00984676">
        <w:tc>
          <w:tcPr>
            <w:tcW w:w="0" w:type="auto"/>
            <w:hideMark/>
          </w:tcPr>
          <w:p w14:paraId="7140A222"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CEF</w:t>
            </w:r>
          </w:p>
        </w:tc>
        <w:tc>
          <w:tcPr>
            <w:tcW w:w="0" w:type="auto"/>
            <w:hideMark/>
          </w:tcPr>
          <w:p w14:paraId="5798EAC3"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Credit Enhancement Facility</w:t>
            </w:r>
          </w:p>
        </w:tc>
      </w:tr>
      <w:tr w:rsidR="00BF6212" w:rsidRPr="00BF6212" w14:paraId="687E4887" w14:textId="77777777" w:rsidTr="00984676">
        <w:tc>
          <w:tcPr>
            <w:tcW w:w="0" w:type="auto"/>
            <w:hideMark/>
          </w:tcPr>
          <w:p w14:paraId="7957AF9B"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C&amp;I</w:t>
            </w:r>
          </w:p>
        </w:tc>
        <w:tc>
          <w:tcPr>
            <w:tcW w:w="0" w:type="auto"/>
            <w:hideMark/>
          </w:tcPr>
          <w:p w14:paraId="33F8BD2D"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Commercial and Industrial</w:t>
            </w:r>
          </w:p>
        </w:tc>
      </w:tr>
      <w:tr w:rsidR="00BF6212" w:rsidRPr="00BF6212" w14:paraId="4158B569" w14:textId="77777777" w:rsidTr="00984676">
        <w:tc>
          <w:tcPr>
            <w:tcW w:w="0" w:type="auto"/>
            <w:hideMark/>
          </w:tcPr>
          <w:p w14:paraId="4FB1536F"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CMC</w:t>
            </w:r>
          </w:p>
        </w:tc>
        <w:tc>
          <w:tcPr>
            <w:tcW w:w="0" w:type="auto"/>
            <w:hideMark/>
          </w:tcPr>
          <w:p w14:paraId="60DAB4D8"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Capital Markets for Climate Action Fund</w:t>
            </w:r>
          </w:p>
        </w:tc>
      </w:tr>
      <w:tr w:rsidR="00BF6212" w:rsidRPr="00BF6212" w14:paraId="30FFF513" w14:textId="77777777" w:rsidTr="00984676">
        <w:tc>
          <w:tcPr>
            <w:tcW w:w="0" w:type="auto"/>
            <w:hideMark/>
          </w:tcPr>
          <w:p w14:paraId="0334490D"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COD</w:t>
            </w:r>
          </w:p>
        </w:tc>
        <w:tc>
          <w:tcPr>
            <w:tcW w:w="0" w:type="auto"/>
            <w:hideMark/>
          </w:tcPr>
          <w:p w14:paraId="07E32B47"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Commercial Operation Date</w:t>
            </w:r>
          </w:p>
        </w:tc>
      </w:tr>
      <w:tr w:rsidR="00BF6212" w:rsidRPr="00BF6212" w14:paraId="76557AEB" w14:textId="77777777" w:rsidTr="00984676">
        <w:tc>
          <w:tcPr>
            <w:tcW w:w="0" w:type="auto"/>
            <w:hideMark/>
          </w:tcPr>
          <w:p w14:paraId="66699FCD"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COP26</w:t>
            </w:r>
          </w:p>
        </w:tc>
        <w:tc>
          <w:tcPr>
            <w:tcW w:w="0" w:type="auto"/>
            <w:hideMark/>
          </w:tcPr>
          <w:p w14:paraId="7D24581E"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26th Conference of the Parties to the United Nations Framework Convention on Climate Change</w:t>
            </w:r>
          </w:p>
        </w:tc>
      </w:tr>
      <w:tr w:rsidR="00BF6212" w:rsidRPr="00BF6212" w14:paraId="7589B951" w14:textId="77777777" w:rsidTr="00984676">
        <w:tc>
          <w:tcPr>
            <w:tcW w:w="0" w:type="auto"/>
            <w:hideMark/>
          </w:tcPr>
          <w:p w14:paraId="48598B85"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CRC</w:t>
            </w:r>
          </w:p>
        </w:tc>
        <w:tc>
          <w:tcPr>
            <w:tcW w:w="0" w:type="auto"/>
            <w:hideMark/>
          </w:tcPr>
          <w:p w14:paraId="2E4A5ACA"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Climate Resilient Communities</w:t>
            </w:r>
          </w:p>
        </w:tc>
      </w:tr>
      <w:tr w:rsidR="00BF6212" w:rsidRPr="00BF6212" w14:paraId="4F38C8E7" w14:textId="77777777" w:rsidTr="00984676">
        <w:tc>
          <w:tcPr>
            <w:tcW w:w="0" w:type="auto"/>
            <w:hideMark/>
          </w:tcPr>
          <w:p w14:paraId="3F9752A2"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DFAT</w:t>
            </w:r>
          </w:p>
        </w:tc>
        <w:tc>
          <w:tcPr>
            <w:tcW w:w="0" w:type="auto"/>
            <w:hideMark/>
          </w:tcPr>
          <w:p w14:paraId="2B49F495"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Department of Foreign Affairs and Trade</w:t>
            </w:r>
          </w:p>
        </w:tc>
      </w:tr>
      <w:tr w:rsidR="00BF6212" w:rsidRPr="00BF6212" w14:paraId="66A92CE8" w14:textId="77777777" w:rsidTr="00984676">
        <w:tc>
          <w:tcPr>
            <w:tcW w:w="0" w:type="auto"/>
            <w:hideMark/>
          </w:tcPr>
          <w:p w14:paraId="5080186A"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DPPA</w:t>
            </w:r>
          </w:p>
        </w:tc>
        <w:tc>
          <w:tcPr>
            <w:tcW w:w="0" w:type="auto"/>
            <w:hideMark/>
          </w:tcPr>
          <w:p w14:paraId="5D3573D2"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Direct Power Purchase Agreement</w:t>
            </w:r>
          </w:p>
        </w:tc>
      </w:tr>
      <w:tr w:rsidR="00BF6212" w:rsidRPr="00BF6212" w14:paraId="1C0236C8" w14:textId="77777777" w:rsidTr="00984676">
        <w:tc>
          <w:tcPr>
            <w:tcW w:w="0" w:type="auto"/>
            <w:hideMark/>
          </w:tcPr>
          <w:p w14:paraId="032CB686" w14:textId="77777777" w:rsidR="00BF6212" w:rsidRPr="00BF6212" w:rsidRDefault="00BF6212">
            <w:pPr>
              <w:rPr>
                <w:rFonts w:asciiTheme="minorHAnsi" w:hAnsiTheme="minorHAnsi" w:cstheme="minorHAnsi"/>
                <w:color w:val="000000"/>
                <w:sz w:val="20"/>
                <w:szCs w:val="20"/>
              </w:rPr>
            </w:pPr>
            <w:proofErr w:type="spellStart"/>
            <w:r w:rsidRPr="00BF6212">
              <w:rPr>
                <w:rFonts w:asciiTheme="minorHAnsi" w:hAnsiTheme="minorHAnsi" w:cstheme="minorHAnsi"/>
                <w:color w:val="000000"/>
                <w:sz w:val="20"/>
                <w:szCs w:val="20"/>
              </w:rPr>
              <w:t>DuD</w:t>
            </w:r>
            <w:proofErr w:type="spellEnd"/>
          </w:p>
        </w:tc>
        <w:tc>
          <w:tcPr>
            <w:tcW w:w="0" w:type="auto"/>
            <w:hideMark/>
          </w:tcPr>
          <w:p w14:paraId="6562D7EB"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Due Diligence</w:t>
            </w:r>
          </w:p>
        </w:tc>
      </w:tr>
      <w:tr w:rsidR="00BF6212" w:rsidRPr="00BF6212" w14:paraId="1CBD71AE" w14:textId="77777777" w:rsidTr="00984676">
        <w:tc>
          <w:tcPr>
            <w:tcW w:w="0" w:type="auto"/>
            <w:hideMark/>
          </w:tcPr>
          <w:p w14:paraId="1BFC4A0F"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EAAIF</w:t>
            </w:r>
          </w:p>
        </w:tc>
        <w:tc>
          <w:tcPr>
            <w:tcW w:w="0" w:type="auto"/>
            <w:hideMark/>
          </w:tcPr>
          <w:p w14:paraId="38B1EC27"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Emerging Africa &amp; Asia Infrastructure Fund</w:t>
            </w:r>
          </w:p>
        </w:tc>
      </w:tr>
      <w:tr w:rsidR="00BF6212" w:rsidRPr="00BF6212" w14:paraId="49134B93" w14:textId="77777777" w:rsidTr="00984676">
        <w:tc>
          <w:tcPr>
            <w:tcW w:w="0" w:type="auto"/>
            <w:hideMark/>
          </w:tcPr>
          <w:p w14:paraId="2ABEEE10"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EDGE</w:t>
            </w:r>
          </w:p>
        </w:tc>
        <w:tc>
          <w:tcPr>
            <w:tcW w:w="0" w:type="auto"/>
            <w:hideMark/>
          </w:tcPr>
          <w:p w14:paraId="79BFAB15"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Excellence in Design for Greater Efficiencies</w:t>
            </w:r>
          </w:p>
        </w:tc>
      </w:tr>
      <w:tr w:rsidR="00BF6212" w:rsidRPr="00BF6212" w14:paraId="1FFD97E7" w14:textId="77777777" w:rsidTr="00984676">
        <w:tc>
          <w:tcPr>
            <w:tcW w:w="0" w:type="auto"/>
            <w:hideMark/>
          </w:tcPr>
          <w:p w14:paraId="0447257E"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EOPO</w:t>
            </w:r>
          </w:p>
        </w:tc>
        <w:tc>
          <w:tcPr>
            <w:tcW w:w="0" w:type="auto"/>
            <w:hideMark/>
          </w:tcPr>
          <w:p w14:paraId="3875F325"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End of Program Outcome</w:t>
            </w:r>
          </w:p>
        </w:tc>
      </w:tr>
      <w:tr w:rsidR="00BF6212" w:rsidRPr="00BF6212" w14:paraId="02FCA1DC" w14:textId="77777777" w:rsidTr="00984676">
        <w:tc>
          <w:tcPr>
            <w:tcW w:w="0" w:type="auto"/>
            <w:hideMark/>
          </w:tcPr>
          <w:p w14:paraId="5EB93B01"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EPC</w:t>
            </w:r>
          </w:p>
        </w:tc>
        <w:tc>
          <w:tcPr>
            <w:tcW w:w="0" w:type="auto"/>
            <w:hideMark/>
          </w:tcPr>
          <w:p w14:paraId="03197726"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Engineering, Procurement, and Construction</w:t>
            </w:r>
          </w:p>
        </w:tc>
      </w:tr>
      <w:tr w:rsidR="00BF6212" w:rsidRPr="00BF6212" w14:paraId="06617B8F" w14:textId="77777777" w:rsidTr="00984676">
        <w:tc>
          <w:tcPr>
            <w:tcW w:w="0" w:type="auto"/>
            <w:hideMark/>
          </w:tcPr>
          <w:p w14:paraId="30DA191E"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ESAP</w:t>
            </w:r>
          </w:p>
        </w:tc>
        <w:tc>
          <w:tcPr>
            <w:tcW w:w="0" w:type="auto"/>
            <w:hideMark/>
          </w:tcPr>
          <w:p w14:paraId="3A02541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Environmental and Social Action Plan</w:t>
            </w:r>
          </w:p>
        </w:tc>
      </w:tr>
      <w:tr w:rsidR="00BF6212" w:rsidRPr="00BF6212" w14:paraId="00AEDC4F" w14:textId="77777777" w:rsidTr="00984676">
        <w:tc>
          <w:tcPr>
            <w:tcW w:w="0" w:type="auto"/>
            <w:hideMark/>
          </w:tcPr>
          <w:p w14:paraId="64CDD811"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ESG</w:t>
            </w:r>
          </w:p>
        </w:tc>
        <w:tc>
          <w:tcPr>
            <w:tcW w:w="0" w:type="auto"/>
            <w:hideMark/>
          </w:tcPr>
          <w:p w14:paraId="47E6EA14"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Environmental, Social, and Governance</w:t>
            </w:r>
          </w:p>
        </w:tc>
      </w:tr>
      <w:tr w:rsidR="00BF6212" w:rsidRPr="00BF6212" w14:paraId="04CAA9D7" w14:textId="77777777" w:rsidTr="00984676">
        <w:tc>
          <w:tcPr>
            <w:tcW w:w="0" w:type="auto"/>
            <w:hideMark/>
          </w:tcPr>
          <w:p w14:paraId="4F466A69"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ESMS</w:t>
            </w:r>
          </w:p>
        </w:tc>
        <w:tc>
          <w:tcPr>
            <w:tcW w:w="0" w:type="auto"/>
            <w:hideMark/>
          </w:tcPr>
          <w:p w14:paraId="5B6D2253"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Environmental and Social Management System</w:t>
            </w:r>
          </w:p>
        </w:tc>
      </w:tr>
      <w:tr w:rsidR="00BF6212" w:rsidRPr="00BF6212" w14:paraId="51DB4F73" w14:textId="77777777" w:rsidTr="00984676">
        <w:tc>
          <w:tcPr>
            <w:tcW w:w="0" w:type="auto"/>
            <w:hideMark/>
          </w:tcPr>
          <w:p w14:paraId="6DE24EDB"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EV</w:t>
            </w:r>
          </w:p>
        </w:tc>
        <w:tc>
          <w:tcPr>
            <w:tcW w:w="0" w:type="auto"/>
            <w:hideMark/>
          </w:tcPr>
          <w:p w14:paraId="1DF818C7"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Electric Vehicle</w:t>
            </w:r>
          </w:p>
        </w:tc>
      </w:tr>
      <w:tr w:rsidR="00BF6212" w:rsidRPr="00BF6212" w14:paraId="6770484C" w14:textId="77777777" w:rsidTr="00984676">
        <w:tc>
          <w:tcPr>
            <w:tcW w:w="0" w:type="auto"/>
            <w:hideMark/>
          </w:tcPr>
          <w:p w14:paraId="6583E1B7"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EVN</w:t>
            </w:r>
          </w:p>
        </w:tc>
        <w:tc>
          <w:tcPr>
            <w:tcW w:w="0" w:type="auto"/>
            <w:hideMark/>
          </w:tcPr>
          <w:p w14:paraId="0F771BC0"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Electricity of Vietnam</w:t>
            </w:r>
          </w:p>
        </w:tc>
      </w:tr>
      <w:tr w:rsidR="00BF6212" w:rsidRPr="00BF6212" w14:paraId="56E644EF" w14:textId="77777777" w:rsidTr="00984676">
        <w:tc>
          <w:tcPr>
            <w:tcW w:w="0" w:type="auto"/>
            <w:hideMark/>
          </w:tcPr>
          <w:p w14:paraId="59928A9D"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FDI</w:t>
            </w:r>
          </w:p>
        </w:tc>
        <w:tc>
          <w:tcPr>
            <w:tcW w:w="0" w:type="auto"/>
            <w:hideMark/>
          </w:tcPr>
          <w:p w14:paraId="65DC7E4D"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Foreign Direct Investment</w:t>
            </w:r>
          </w:p>
        </w:tc>
      </w:tr>
      <w:tr w:rsidR="00BF6212" w:rsidRPr="00BF6212" w14:paraId="39AFF611" w14:textId="77777777" w:rsidTr="00984676">
        <w:tc>
          <w:tcPr>
            <w:tcW w:w="0" w:type="auto"/>
            <w:hideMark/>
          </w:tcPr>
          <w:p w14:paraId="5AEF736B"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FTM</w:t>
            </w:r>
          </w:p>
        </w:tc>
        <w:tc>
          <w:tcPr>
            <w:tcW w:w="0" w:type="auto"/>
            <w:hideMark/>
          </w:tcPr>
          <w:p w14:paraId="2F2BAD9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Front of the Meter</w:t>
            </w:r>
          </w:p>
        </w:tc>
      </w:tr>
      <w:tr w:rsidR="00BF6212" w:rsidRPr="00BF6212" w14:paraId="2EADD579" w14:textId="77777777" w:rsidTr="00984676">
        <w:tc>
          <w:tcPr>
            <w:tcW w:w="0" w:type="auto"/>
            <w:hideMark/>
          </w:tcPr>
          <w:p w14:paraId="2E7FAD17"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GCIF</w:t>
            </w:r>
          </w:p>
        </w:tc>
        <w:tc>
          <w:tcPr>
            <w:tcW w:w="0" w:type="auto"/>
            <w:hideMark/>
          </w:tcPr>
          <w:p w14:paraId="732006B2" w14:textId="77777777" w:rsidR="00BF6212" w:rsidRPr="00BF6212" w:rsidRDefault="00BF6212">
            <w:pPr>
              <w:rPr>
                <w:rFonts w:asciiTheme="minorHAnsi" w:hAnsiTheme="minorHAnsi" w:cstheme="minorHAnsi"/>
                <w:color w:val="000000"/>
                <w:sz w:val="20"/>
                <w:szCs w:val="20"/>
              </w:rPr>
            </w:pPr>
            <w:proofErr w:type="spellStart"/>
            <w:r w:rsidRPr="00BF6212">
              <w:rPr>
                <w:rFonts w:asciiTheme="minorHAnsi" w:hAnsiTheme="minorHAnsi" w:cstheme="minorHAnsi"/>
                <w:color w:val="000000"/>
                <w:sz w:val="20"/>
                <w:szCs w:val="20"/>
              </w:rPr>
              <w:t>GuarantCo</w:t>
            </w:r>
            <w:proofErr w:type="spellEnd"/>
            <w:r w:rsidRPr="00BF6212">
              <w:rPr>
                <w:rFonts w:asciiTheme="minorHAnsi" w:hAnsiTheme="minorHAnsi" w:cstheme="minorHAnsi"/>
                <w:color w:val="000000"/>
                <w:sz w:val="20"/>
                <w:szCs w:val="20"/>
              </w:rPr>
              <w:t xml:space="preserve"> Investment Fund</w:t>
            </w:r>
          </w:p>
        </w:tc>
      </w:tr>
      <w:tr w:rsidR="00BF6212" w:rsidRPr="00BF6212" w14:paraId="6059CD3A" w14:textId="77777777" w:rsidTr="00984676">
        <w:tc>
          <w:tcPr>
            <w:tcW w:w="0" w:type="auto"/>
            <w:hideMark/>
          </w:tcPr>
          <w:p w14:paraId="5DE351B5"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GEDSI</w:t>
            </w:r>
          </w:p>
        </w:tc>
        <w:tc>
          <w:tcPr>
            <w:tcW w:w="0" w:type="auto"/>
            <w:hideMark/>
          </w:tcPr>
          <w:p w14:paraId="74C262EB"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Gender Equality, Disability, and Social Inclusion</w:t>
            </w:r>
          </w:p>
        </w:tc>
      </w:tr>
      <w:tr w:rsidR="00BF6212" w:rsidRPr="00BF6212" w14:paraId="32CE699A" w14:textId="77777777" w:rsidTr="00984676">
        <w:tc>
          <w:tcPr>
            <w:tcW w:w="0" w:type="auto"/>
            <w:hideMark/>
          </w:tcPr>
          <w:p w14:paraId="70230DA6"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GHG</w:t>
            </w:r>
          </w:p>
        </w:tc>
        <w:tc>
          <w:tcPr>
            <w:tcW w:w="0" w:type="auto"/>
            <w:hideMark/>
          </w:tcPr>
          <w:p w14:paraId="0BCF8282"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Greenhouse Gas</w:t>
            </w:r>
          </w:p>
        </w:tc>
      </w:tr>
      <w:tr w:rsidR="00BF6212" w:rsidRPr="00BF6212" w14:paraId="79F1A98C" w14:textId="77777777" w:rsidTr="00984676">
        <w:tc>
          <w:tcPr>
            <w:tcW w:w="0" w:type="auto"/>
            <w:hideMark/>
          </w:tcPr>
          <w:p w14:paraId="33B61183" w14:textId="77777777" w:rsidR="00BF6212" w:rsidRPr="00BF6212" w:rsidRDefault="00BF6212">
            <w:pPr>
              <w:rPr>
                <w:rFonts w:asciiTheme="minorHAnsi" w:hAnsiTheme="minorHAnsi" w:cstheme="minorHAnsi"/>
                <w:color w:val="000000"/>
                <w:sz w:val="20"/>
                <w:szCs w:val="20"/>
              </w:rPr>
            </w:pPr>
            <w:proofErr w:type="spellStart"/>
            <w:r w:rsidRPr="00BF6212">
              <w:rPr>
                <w:rFonts w:asciiTheme="minorHAnsi" w:hAnsiTheme="minorHAnsi" w:cstheme="minorHAnsi"/>
                <w:color w:val="000000"/>
                <w:sz w:val="20"/>
                <w:szCs w:val="20"/>
              </w:rPr>
              <w:t>GoV</w:t>
            </w:r>
            <w:proofErr w:type="spellEnd"/>
          </w:p>
        </w:tc>
        <w:tc>
          <w:tcPr>
            <w:tcW w:w="0" w:type="auto"/>
            <w:hideMark/>
          </w:tcPr>
          <w:p w14:paraId="6ACA9CE3"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Government of Vietnam</w:t>
            </w:r>
          </w:p>
        </w:tc>
      </w:tr>
      <w:tr w:rsidR="00BF6212" w:rsidRPr="00BF6212" w14:paraId="718D638C" w14:textId="77777777" w:rsidTr="00984676">
        <w:tc>
          <w:tcPr>
            <w:tcW w:w="0" w:type="auto"/>
            <w:hideMark/>
          </w:tcPr>
          <w:p w14:paraId="47024E14"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GWh</w:t>
            </w:r>
          </w:p>
        </w:tc>
        <w:tc>
          <w:tcPr>
            <w:tcW w:w="0" w:type="auto"/>
            <w:hideMark/>
          </w:tcPr>
          <w:p w14:paraId="3E7A3699"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Gigawatt Hour</w:t>
            </w:r>
          </w:p>
        </w:tc>
      </w:tr>
      <w:tr w:rsidR="00BF6212" w:rsidRPr="00BF6212" w14:paraId="5ABFA182" w14:textId="77777777" w:rsidTr="00984676">
        <w:tc>
          <w:tcPr>
            <w:tcW w:w="0" w:type="auto"/>
            <w:hideMark/>
          </w:tcPr>
          <w:p w14:paraId="5830D523"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HCMC</w:t>
            </w:r>
          </w:p>
        </w:tc>
        <w:tc>
          <w:tcPr>
            <w:tcW w:w="0" w:type="auto"/>
            <w:hideMark/>
          </w:tcPr>
          <w:p w14:paraId="646D937A"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Ho Chi Minh City</w:t>
            </w:r>
          </w:p>
        </w:tc>
      </w:tr>
      <w:tr w:rsidR="00BF6212" w:rsidRPr="00BF6212" w14:paraId="67BFC34C" w14:textId="77777777" w:rsidTr="00984676">
        <w:tc>
          <w:tcPr>
            <w:tcW w:w="0" w:type="auto"/>
            <w:hideMark/>
          </w:tcPr>
          <w:p w14:paraId="04A3F18A"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HR</w:t>
            </w:r>
          </w:p>
        </w:tc>
        <w:tc>
          <w:tcPr>
            <w:tcW w:w="0" w:type="auto"/>
            <w:hideMark/>
          </w:tcPr>
          <w:p w14:paraId="2075F188"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Human Resources</w:t>
            </w:r>
          </w:p>
        </w:tc>
      </w:tr>
      <w:tr w:rsidR="00BF6212" w:rsidRPr="00BF6212" w14:paraId="579DAF72" w14:textId="77777777" w:rsidTr="00984676">
        <w:tc>
          <w:tcPr>
            <w:tcW w:w="0" w:type="auto"/>
            <w:hideMark/>
          </w:tcPr>
          <w:p w14:paraId="42B43318"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HSES</w:t>
            </w:r>
          </w:p>
        </w:tc>
        <w:tc>
          <w:tcPr>
            <w:tcW w:w="0" w:type="auto"/>
            <w:hideMark/>
          </w:tcPr>
          <w:p w14:paraId="1618FC8F"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Health, Safety, Environment, and Social</w:t>
            </w:r>
          </w:p>
        </w:tc>
      </w:tr>
      <w:tr w:rsidR="00BF6212" w:rsidRPr="00BF6212" w14:paraId="21A23C35" w14:textId="77777777" w:rsidTr="00984676">
        <w:tc>
          <w:tcPr>
            <w:tcW w:w="0" w:type="auto"/>
            <w:hideMark/>
          </w:tcPr>
          <w:p w14:paraId="57609CC7"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IFC</w:t>
            </w:r>
          </w:p>
        </w:tc>
        <w:tc>
          <w:tcPr>
            <w:tcW w:w="0" w:type="auto"/>
            <w:hideMark/>
          </w:tcPr>
          <w:p w14:paraId="306B5B81"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International Finance Corporation</w:t>
            </w:r>
          </w:p>
        </w:tc>
      </w:tr>
      <w:tr w:rsidR="00BF6212" w:rsidRPr="00BF6212" w14:paraId="47F2CC0F" w14:textId="77777777" w:rsidTr="00984676">
        <w:tc>
          <w:tcPr>
            <w:tcW w:w="0" w:type="auto"/>
            <w:hideMark/>
          </w:tcPr>
          <w:p w14:paraId="67EC76A6" w14:textId="77777777" w:rsidR="00BF6212" w:rsidRPr="00BF6212" w:rsidRDefault="00BF6212">
            <w:pPr>
              <w:rPr>
                <w:rFonts w:asciiTheme="minorHAnsi" w:hAnsiTheme="minorHAnsi" w:cstheme="minorHAnsi"/>
                <w:color w:val="000000"/>
                <w:sz w:val="20"/>
                <w:szCs w:val="20"/>
              </w:rPr>
            </w:pPr>
            <w:proofErr w:type="spellStart"/>
            <w:r w:rsidRPr="00BF6212">
              <w:rPr>
                <w:rFonts w:asciiTheme="minorHAnsi" w:hAnsiTheme="minorHAnsi" w:cstheme="minorHAnsi"/>
                <w:color w:val="000000"/>
                <w:sz w:val="20"/>
                <w:szCs w:val="20"/>
              </w:rPr>
              <w:t>InfraCo</w:t>
            </w:r>
            <w:proofErr w:type="spellEnd"/>
          </w:p>
        </w:tc>
        <w:tc>
          <w:tcPr>
            <w:tcW w:w="0" w:type="auto"/>
            <w:hideMark/>
          </w:tcPr>
          <w:p w14:paraId="75909D63" w14:textId="77777777" w:rsidR="00BF6212" w:rsidRPr="00BF6212" w:rsidRDefault="00BF6212">
            <w:pPr>
              <w:rPr>
                <w:rFonts w:asciiTheme="minorHAnsi" w:hAnsiTheme="minorHAnsi" w:cstheme="minorHAnsi"/>
                <w:color w:val="000000"/>
                <w:sz w:val="20"/>
                <w:szCs w:val="20"/>
              </w:rPr>
            </w:pPr>
            <w:proofErr w:type="spellStart"/>
            <w:r w:rsidRPr="00BF6212">
              <w:rPr>
                <w:rFonts w:asciiTheme="minorHAnsi" w:hAnsiTheme="minorHAnsi" w:cstheme="minorHAnsi"/>
                <w:color w:val="000000"/>
                <w:sz w:val="20"/>
                <w:szCs w:val="20"/>
              </w:rPr>
              <w:t>InfraCo</w:t>
            </w:r>
            <w:proofErr w:type="spellEnd"/>
            <w:r w:rsidRPr="00BF6212">
              <w:rPr>
                <w:rFonts w:asciiTheme="minorHAnsi" w:hAnsiTheme="minorHAnsi" w:cstheme="minorHAnsi"/>
                <w:color w:val="000000"/>
                <w:sz w:val="20"/>
                <w:szCs w:val="20"/>
              </w:rPr>
              <w:t xml:space="preserve"> Asia</w:t>
            </w:r>
          </w:p>
        </w:tc>
      </w:tr>
      <w:tr w:rsidR="00BF6212" w:rsidRPr="00BF6212" w14:paraId="27B24BBD" w14:textId="77777777" w:rsidTr="00984676">
        <w:tc>
          <w:tcPr>
            <w:tcW w:w="0" w:type="auto"/>
            <w:hideMark/>
          </w:tcPr>
          <w:p w14:paraId="488B4745"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IO</w:t>
            </w:r>
          </w:p>
        </w:tc>
        <w:tc>
          <w:tcPr>
            <w:tcW w:w="0" w:type="auto"/>
            <w:hideMark/>
          </w:tcPr>
          <w:p w14:paraId="223A0A85"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Intermediate Outcome</w:t>
            </w:r>
          </w:p>
        </w:tc>
      </w:tr>
      <w:tr w:rsidR="00BF6212" w:rsidRPr="00BF6212" w14:paraId="23895C23" w14:textId="77777777" w:rsidTr="00984676">
        <w:tc>
          <w:tcPr>
            <w:tcW w:w="0" w:type="auto"/>
            <w:hideMark/>
          </w:tcPr>
          <w:p w14:paraId="7E1046B5"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IRR</w:t>
            </w:r>
          </w:p>
        </w:tc>
        <w:tc>
          <w:tcPr>
            <w:tcW w:w="0" w:type="auto"/>
            <w:hideMark/>
          </w:tcPr>
          <w:p w14:paraId="51757EA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Internal Rate of Return</w:t>
            </w:r>
          </w:p>
        </w:tc>
      </w:tr>
      <w:tr w:rsidR="00BF6212" w:rsidRPr="00BF6212" w14:paraId="59AB77A5" w14:textId="77777777" w:rsidTr="00984676">
        <w:tc>
          <w:tcPr>
            <w:tcW w:w="0" w:type="auto"/>
            <w:hideMark/>
          </w:tcPr>
          <w:p w14:paraId="67A06169"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JETP</w:t>
            </w:r>
          </w:p>
        </w:tc>
        <w:tc>
          <w:tcPr>
            <w:tcW w:w="0" w:type="auto"/>
            <w:hideMark/>
          </w:tcPr>
          <w:p w14:paraId="0EC5E9EA"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Just Energy Transition Partnership</w:t>
            </w:r>
          </w:p>
        </w:tc>
      </w:tr>
      <w:tr w:rsidR="00BF6212" w:rsidRPr="00BF6212" w14:paraId="317A6159" w14:textId="77777777" w:rsidTr="00984676">
        <w:tc>
          <w:tcPr>
            <w:tcW w:w="0" w:type="auto"/>
            <w:hideMark/>
          </w:tcPr>
          <w:p w14:paraId="2219D347"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KII</w:t>
            </w:r>
          </w:p>
        </w:tc>
        <w:tc>
          <w:tcPr>
            <w:tcW w:w="0" w:type="auto"/>
            <w:hideMark/>
          </w:tcPr>
          <w:p w14:paraId="53CB1891"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Key Informant Interview</w:t>
            </w:r>
          </w:p>
        </w:tc>
      </w:tr>
      <w:tr w:rsidR="00BF6212" w:rsidRPr="00BF6212" w14:paraId="2F02F28C" w14:textId="77777777" w:rsidTr="00984676">
        <w:tc>
          <w:tcPr>
            <w:tcW w:w="0" w:type="auto"/>
            <w:hideMark/>
          </w:tcPr>
          <w:p w14:paraId="3EF551A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KPI</w:t>
            </w:r>
          </w:p>
        </w:tc>
        <w:tc>
          <w:tcPr>
            <w:tcW w:w="0" w:type="auto"/>
            <w:hideMark/>
          </w:tcPr>
          <w:p w14:paraId="644B121E"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Key Performance Indicator</w:t>
            </w:r>
          </w:p>
        </w:tc>
      </w:tr>
      <w:tr w:rsidR="00BF6212" w:rsidRPr="00BF6212" w14:paraId="780C6C12" w14:textId="77777777" w:rsidTr="00984676">
        <w:tc>
          <w:tcPr>
            <w:tcW w:w="0" w:type="auto"/>
            <w:hideMark/>
          </w:tcPr>
          <w:p w14:paraId="1F1FC30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M&amp;A</w:t>
            </w:r>
          </w:p>
        </w:tc>
        <w:tc>
          <w:tcPr>
            <w:tcW w:w="0" w:type="auto"/>
            <w:hideMark/>
          </w:tcPr>
          <w:p w14:paraId="208A6333"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Mergers and Acquisitions</w:t>
            </w:r>
          </w:p>
        </w:tc>
      </w:tr>
      <w:tr w:rsidR="00BF6212" w:rsidRPr="00BF6212" w14:paraId="75A01D4A" w14:textId="77777777" w:rsidTr="00984676">
        <w:tc>
          <w:tcPr>
            <w:tcW w:w="0" w:type="auto"/>
            <w:hideMark/>
          </w:tcPr>
          <w:p w14:paraId="0F9AF8D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MDB</w:t>
            </w:r>
          </w:p>
        </w:tc>
        <w:tc>
          <w:tcPr>
            <w:tcW w:w="0" w:type="auto"/>
            <w:hideMark/>
          </w:tcPr>
          <w:p w14:paraId="4749CF3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Multilateral Development Bank</w:t>
            </w:r>
          </w:p>
        </w:tc>
      </w:tr>
      <w:tr w:rsidR="00BF6212" w:rsidRPr="00BF6212" w14:paraId="4832AB25" w14:textId="77777777" w:rsidTr="00984676">
        <w:tc>
          <w:tcPr>
            <w:tcW w:w="0" w:type="auto"/>
            <w:hideMark/>
          </w:tcPr>
          <w:p w14:paraId="1A90A0B0"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MEL</w:t>
            </w:r>
          </w:p>
        </w:tc>
        <w:tc>
          <w:tcPr>
            <w:tcW w:w="0" w:type="auto"/>
            <w:hideMark/>
          </w:tcPr>
          <w:p w14:paraId="39713CB4"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Monitoring, Evaluation, and Learning</w:t>
            </w:r>
          </w:p>
        </w:tc>
      </w:tr>
      <w:tr w:rsidR="00BF6212" w:rsidRPr="00BF6212" w14:paraId="59973FFE" w14:textId="77777777" w:rsidTr="00984676">
        <w:tc>
          <w:tcPr>
            <w:tcW w:w="0" w:type="auto"/>
            <w:hideMark/>
          </w:tcPr>
          <w:p w14:paraId="5ADC778B"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MoF</w:t>
            </w:r>
          </w:p>
        </w:tc>
        <w:tc>
          <w:tcPr>
            <w:tcW w:w="0" w:type="auto"/>
            <w:hideMark/>
          </w:tcPr>
          <w:p w14:paraId="56E2E5D0"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Ministry of Finance</w:t>
            </w:r>
          </w:p>
        </w:tc>
      </w:tr>
      <w:tr w:rsidR="00BF6212" w:rsidRPr="00BF6212" w14:paraId="09AEDD92" w14:textId="77777777" w:rsidTr="00984676">
        <w:tc>
          <w:tcPr>
            <w:tcW w:w="0" w:type="auto"/>
            <w:hideMark/>
          </w:tcPr>
          <w:p w14:paraId="1A7ECE8A"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MOIT</w:t>
            </w:r>
          </w:p>
        </w:tc>
        <w:tc>
          <w:tcPr>
            <w:tcW w:w="0" w:type="auto"/>
            <w:hideMark/>
          </w:tcPr>
          <w:p w14:paraId="0DC640C1"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Ministry of Industry and Trade</w:t>
            </w:r>
          </w:p>
        </w:tc>
      </w:tr>
      <w:tr w:rsidR="00BF6212" w:rsidRPr="00BF6212" w14:paraId="29AE1C14" w14:textId="77777777" w:rsidTr="00984676">
        <w:tc>
          <w:tcPr>
            <w:tcW w:w="0" w:type="auto"/>
            <w:hideMark/>
          </w:tcPr>
          <w:p w14:paraId="1476D906"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MTR</w:t>
            </w:r>
          </w:p>
        </w:tc>
        <w:tc>
          <w:tcPr>
            <w:tcW w:w="0" w:type="auto"/>
            <w:hideMark/>
          </w:tcPr>
          <w:p w14:paraId="2E706A63"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Mid-Term Review</w:t>
            </w:r>
          </w:p>
        </w:tc>
      </w:tr>
      <w:tr w:rsidR="00BF6212" w:rsidRPr="00BF6212" w14:paraId="35D449D2" w14:textId="77777777" w:rsidTr="00984676">
        <w:tc>
          <w:tcPr>
            <w:tcW w:w="0" w:type="auto"/>
            <w:hideMark/>
          </w:tcPr>
          <w:p w14:paraId="1777E304"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MW</w:t>
            </w:r>
          </w:p>
        </w:tc>
        <w:tc>
          <w:tcPr>
            <w:tcW w:w="0" w:type="auto"/>
            <w:hideMark/>
          </w:tcPr>
          <w:p w14:paraId="6D4CC952"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Megawatt</w:t>
            </w:r>
          </w:p>
        </w:tc>
      </w:tr>
      <w:tr w:rsidR="00BF6212" w:rsidRPr="00BF6212" w14:paraId="60D19892" w14:textId="77777777" w:rsidTr="00984676">
        <w:tc>
          <w:tcPr>
            <w:tcW w:w="0" w:type="auto"/>
            <w:hideMark/>
          </w:tcPr>
          <w:p w14:paraId="2C20E0DF"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MWp</w:t>
            </w:r>
          </w:p>
        </w:tc>
        <w:tc>
          <w:tcPr>
            <w:tcW w:w="0" w:type="auto"/>
            <w:hideMark/>
          </w:tcPr>
          <w:p w14:paraId="045F8DDA"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Megawatt peak</w:t>
            </w:r>
          </w:p>
        </w:tc>
      </w:tr>
      <w:tr w:rsidR="00BF6212" w:rsidRPr="00BF6212" w14:paraId="331B5465" w14:textId="77777777" w:rsidTr="00984676">
        <w:tc>
          <w:tcPr>
            <w:tcW w:w="0" w:type="auto"/>
            <w:hideMark/>
          </w:tcPr>
          <w:p w14:paraId="63D6F19A"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ODA</w:t>
            </w:r>
          </w:p>
        </w:tc>
        <w:tc>
          <w:tcPr>
            <w:tcW w:w="0" w:type="auto"/>
            <w:hideMark/>
          </w:tcPr>
          <w:p w14:paraId="47FF959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Official Development Assistance</w:t>
            </w:r>
          </w:p>
        </w:tc>
      </w:tr>
      <w:tr w:rsidR="00BF6212" w:rsidRPr="00BF6212" w14:paraId="0CDB99E6" w14:textId="77777777" w:rsidTr="00984676">
        <w:tc>
          <w:tcPr>
            <w:tcW w:w="0" w:type="auto"/>
            <w:hideMark/>
          </w:tcPr>
          <w:p w14:paraId="3A816E8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PDP VIII</w:t>
            </w:r>
          </w:p>
        </w:tc>
        <w:tc>
          <w:tcPr>
            <w:tcW w:w="0" w:type="auto"/>
            <w:hideMark/>
          </w:tcPr>
          <w:p w14:paraId="127AD21F"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Power Development Plan VIII</w:t>
            </w:r>
          </w:p>
        </w:tc>
      </w:tr>
      <w:tr w:rsidR="00BF6212" w:rsidRPr="00BF6212" w14:paraId="2635195E" w14:textId="77777777" w:rsidTr="00984676">
        <w:tc>
          <w:tcPr>
            <w:tcW w:w="0" w:type="auto"/>
            <w:hideMark/>
          </w:tcPr>
          <w:p w14:paraId="5FABCD97"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PIDG</w:t>
            </w:r>
          </w:p>
        </w:tc>
        <w:tc>
          <w:tcPr>
            <w:tcW w:w="0" w:type="auto"/>
            <w:hideMark/>
          </w:tcPr>
          <w:p w14:paraId="5CFB0D2B"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Private Infrastructure Development Group</w:t>
            </w:r>
          </w:p>
        </w:tc>
      </w:tr>
      <w:tr w:rsidR="00BF6212" w:rsidRPr="00BF6212" w14:paraId="4E1FEA7A" w14:textId="77777777" w:rsidTr="00984676">
        <w:tc>
          <w:tcPr>
            <w:tcW w:w="0" w:type="auto"/>
            <w:hideMark/>
          </w:tcPr>
          <w:p w14:paraId="5E1AF075"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PPA</w:t>
            </w:r>
          </w:p>
        </w:tc>
        <w:tc>
          <w:tcPr>
            <w:tcW w:w="0" w:type="auto"/>
            <w:hideMark/>
          </w:tcPr>
          <w:p w14:paraId="4A879304"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Power Purchase Agreement</w:t>
            </w:r>
          </w:p>
        </w:tc>
      </w:tr>
      <w:tr w:rsidR="00BF6212" w:rsidRPr="00BF6212" w14:paraId="778BC2DC" w14:textId="77777777" w:rsidTr="00984676">
        <w:tc>
          <w:tcPr>
            <w:tcW w:w="0" w:type="auto"/>
            <w:hideMark/>
          </w:tcPr>
          <w:p w14:paraId="397324F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QAQC</w:t>
            </w:r>
          </w:p>
        </w:tc>
        <w:tc>
          <w:tcPr>
            <w:tcW w:w="0" w:type="auto"/>
            <w:hideMark/>
          </w:tcPr>
          <w:p w14:paraId="115EA926"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Quality Assurance and Quality Control</w:t>
            </w:r>
          </w:p>
        </w:tc>
      </w:tr>
      <w:tr w:rsidR="00BF6212" w:rsidRPr="00BF6212" w14:paraId="34C84ACE" w14:textId="77777777" w:rsidTr="00984676">
        <w:tc>
          <w:tcPr>
            <w:tcW w:w="0" w:type="auto"/>
            <w:hideMark/>
          </w:tcPr>
          <w:p w14:paraId="47BF6AA2"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RE100</w:t>
            </w:r>
          </w:p>
        </w:tc>
        <w:tc>
          <w:tcPr>
            <w:tcW w:w="0" w:type="auto"/>
            <w:hideMark/>
          </w:tcPr>
          <w:p w14:paraId="156A944F"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Renewable Energy 100</w:t>
            </w:r>
          </w:p>
        </w:tc>
      </w:tr>
      <w:tr w:rsidR="00BF6212" w:rsidRPr="00BF6212" w14:paraId="51D6D15B" w14:textId="77777777" w:rsidTr="00984676">
        <w:tc>
          <w:tcPr>
            <w:tcW w:w="0" w:type="auto"/>
            <w:hideMark/>
          </w:tcPr>
          <w:p w14:paraId="02EA8BD8"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SBV</w:t>
            </w:r>
          </w:p>
        </w:tc>
        <w:tc>
          <w:tcPr>
            <w:tcW w:w="0" w:type="auto"/>
            <w:hideMark/>
          </w:tcPr>
          <w:p w14:paraId="7B038A1F"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State Bank of Vietnam</w:t>
            </w:r>
          </w:p>
        </w:tc>
      </w:tr>
      <w:tr w:rsidR="00BF6212" w:rsidRPr="00BF6212" w14:paraId="28137020" w14:textId="77777777" w:rsidTr="00984676">
        <w:tc>
          <w:tcPr>
            <w:tcW w:w="0" w:type="auto"/>
            <w:hideMark/>
          </w:tcPr>
          <w:p w14:paraId="392A77D6"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SECO</w:t>
            </w:r>
          </w:p>
        </w:tc>
        <w:tc>
          <w:tcPr>
            <w:tcW w:w="0" w:type="auto"/>
            <w:hideMark/>
          </w:tcPr>
          <w:p w14:paraId="2D44162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Swiss State Secretariat for Economic Affairs</w:t>
            </w:r>
          </w:p>
        </w:tc>
      </w:tr>
      <w:tr w:rsidR="00BF6212" w:rsidRPr="00BF6212" w14:paraId="6A058388" w14:textId="77777777" w:rsidTr="00984676">
        <w:tc>
          <w:tcPr>
            <w:tcW w:w="0" w:type="auto"/>
            <w:hideMark/>
          </w:tcPr>
          <w:p w14:paraId="0CC142CF"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SME</w:t>
            </w:r>
          </w:p>
        </w:tc>
        <w:tc>
          <w:tcPr>
            <w:tcW w:w="0" w:type="auto"/>
            <w:hideMark/>
          </w:tcPr>
          <w:p w14:paraId="6D2CC81A"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Small and Medium Enterprise</w:t>
            </w:r>
          </w:p>
        </w:tc>
      </w:tr>
      <w:tr w:rsidR="00BF6212" w:rsidRPr="00BF6212" w14:paraId="09866479" w14:textId="77777777" w:rsidTr="00984676">
        <w:tc>
          <w:tcPr>
            <w:tcW w:w="0" w:type="auto"/>
            <w:hideMark/>
          </w:tcPr>
          <w:p w14:paraId="7093DC6F"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lastRenderedPageBreak/>
              <w:t>SPO</w:t>
            </w:r>
          </w:p>
        </w:tc>
        <w:tc>
          <w:tcPr>
            <w:tcW w:w="0" w:type="auto"/>
            <w:hideMark/>
          </w:tcPr>
          <w:p w14:paraId="737C7AF8"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Second Party Opinion</w:t>
            </w:r>
          </w:p>
        </w:tc>
      </w:tr>
      <w:tr w:rsidR="00BF6212" w:rsidRPr="00BF6212" w14:paraId="6F07D27E" w14:textId="77777777" w:rsidTr="00984676">
        <w:tc>
          <w:tcPr>
            <w:tcW w:w="0" w:type="auto"/>
            <w:hideMark/>
          </w:tcPr>
          <w:p w14:paraId="03C92A7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SSC</w:t>
            </w:r>
          </w:p>
        </w:tc>
        <w:tc>
          <w:tcPr>
            <w:tcW w:w="0" w:type="auto"/>
            <w:hideMark/>
          </w:tcPr>
          <w:p w14:paraId="576F972F"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State Securities Commission</w:t>
            </w:r>
          </w:p>
        </w:tc>
      </w:tr>
      <w:tr w:rsidR="00BF6212" w:rsidRPr="00BF6212" w14:paraId="670E7D74" w14:textId="77777777" w:rsidTr="00984676">
        <w:tc>
          <w:tcPr>
            <w:tcW w:w="0" w:type="auto"/>
            <w:hideMark/>
          </w:tcPr>
          <w:p w14:paraId="1A23259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TA</w:t>
            </w:r>
          </w:p>
        </w:tc>
        <w:tc>
          <w:tcPr>
            <w:tcW w:w="0" w:type="auto"/>
            <w:hideMark/>
          </w:tcPr>
          <w:p w14:paraId="5166927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Technical Assistance</w:t>
            </w:r>
          </w:p>
        </w:tc>
      </w:tr>
      <w:tr w:rsidR="00BF6212" w:rsidRPr="00BF6212" w14:paraId="382F0C67" w14:textId="77777777" w:rsidTr="00984676">
        <w:tc>
          <w:tcPr>
            <w:tcW w:w="0" w:type="auto"/>
            <w:hideMark/>
          </w:tcPr>
          <w:p w14:paraId="31EFC640" w14:textId="77777777" w:rsidR="00BF6212" w:rsidRPr="00BF6212" w:rsidRDefault="00BF6212">
            <w:pPr>
              <w:rPr>
                <w:rFonts w:asciiTheme="minorHAnsi" w:hAnsiTheme="minorHAnsi" w:cstheme="minorHAnsi"/>
                <w:color w:val="000000"/>
                <w:sz w:val="20"/>
                <w:szCs w:val="20"/>
              </w:rPr>
            </w:pPr>
            <w:proofErr w:type="spellStart"/>
            <w:r w:rsidRPr="00BF6212">
              <w:rPr>
                <w:rFonts w:asciiTheme="minorHAnsi" w:hAnsiTheme="minorHAnsi" w:cstheme="minorHAnsi"/>
                <w:color w:val="000000"/>
                <w:sz w:val="20"/>
                <w:szCs w:val="20"/>
              </w:rPr>
              <w:t>ToC</w:t>
            </w:r>
            <w:proofErr w:type="spellEnd"/>
          </w:p>
        </w:tc>
        <w:tc>
          <w:tcPr>
            <w:tcW w:w="0" w:type="auto"/>
            <w:hideMark/>
          </w:tcPr>
          <w:p w14:paraId="5695496F"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Theory of Change</w:t>
            </w:r>
          </w:p>
        </w:tc>
      </w:tr>
      <w:tr w:rsidR="00BF6212" w:rsidRPr="00BF6212" w14:paraId="04560FEA" w14:textId="77777777" w:rsidTr="00984676">
        <w:tc>
          <w:tcPr>
            <w:tcW w:w="0" w:type="auto"/>
            <w:hideMark/>
          </w:tcPr>
          <w:p w14:paraId="7FFBA687" w14:textId="77777777" w:rsidR="00BF6212" w:rsidRPr="00BF6212" w:rsidRDefault="00BF6212">
            <w:pPr>
              <w:rPr>
                <w:rFonts w:asciiTheme="minorHAnsi" w:hAnsiTheme="minorHAnsi" w:cstheme="minorHAnsi"/>
                <w:color w:val="000000"/>
                <w:sz w:val="20"/>
                <w:szCs w:val="20"/>
              </w:rPr>
            </w:pPr>
            <w:proofErr w:type="spellStart"/>
            <w:r w:rsidRPr="00BF6212">
              <w:rPr>
                <w:rFonts w:asciiTheme="minorHAnsi" w:hAnsiTheme="minorHAnsi" w:cstheme="minorHAnsi"/>
                <w:color w:val="000000"/>
                <w:sz w:val="20"/>
                <w:szCs w:val="20"/>
              </w:rPr>
              <w:t>ToR</w:t>
            </w:r>
            <w:proofErr w:type="spellEnd"/>
          </w:p>
        </w:tc>
        <w:tc>
          <w:tcPr>
            <w:tcW w:w="0" w:type="auto"/>
            <w:hideMark/>
          </w:tcPr>
          <w:p w14:paraId="74308472"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Terms of Reference</w:t>
            </w:r>
          </w:p>
        </w:tc>
      </w:tr>
      <w:tr w:rsidR="00BF6212" w:rsidRPr="00BF6212" w14:paraId="7BE9969B" w14:textId="77777777" w:rsidTr="00984676">
        <w:tc>
          <w:tcPr>
            <w:tcW w:w="0" w:type="auto"/>
            <w:hideMark/>
          </w:tcPr>
          <w:p w14:paraId="74AD3947"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USD</w:t>
            </w:r>
          </w:p>
        </w:tc>
        <w:tc>
          <w:tcPr>
            <w:tcW w:w="0" w:type="auto"/>
            <w:hideMark/>
          </w:tcPr>
          <w:p w14:paraId="347B5E9E"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United States Dollar</w:t>
            </w:r>
          </w:p>
        </w:tc>
      </w:tr>
      <w:tr w:rsidR="00BF6212" w:rsidRPr="00BF6212" w14:paraId="1255A88F" w14:textId="77777777" w:rsidTr="00984676">
        <w:tc>
          <w:tcPr>
            <w:tcW w:w="0" w:type="auto"/>
            <w:hideMark/>
          </w:tcPr>
          <w:p w14:paraId="4B43B5E3"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VDB</w:t>
            </w:r>
          </w:p>
        </w:tc>
        <w:tc>
          <w:tcPr>
            <w:tcW w:w="0" w:type="auto"/>
            <w:hideMark/>
          </w:tcPr>
          <w:p w14:paraId="7FA5AFC9"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Vietnam Development Bank</w:t>
            </w:r>
          </w:p>
        </w:tc>
      </w:tr>
      <w:tr w:rsidR="00BF6212" w:rsidRPr="00BF6212" w14:paraId="0C9CD48F" w14:textId="77777777" w:rsidTr="00984676">
        <w:tc>
          <w:tcPr>
            <w:tcW w:w="0" w:type="auto"/>
            <w:hideMark/>
          </w:tcPr>
          <w:p w14:paraId="7B30370F"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VND</w:t>
            </w:r>
          </w:p>
        </w:tc>
        <w:tc>
          <w:tcPr>
            <w:tcW w:w="0" w:type="auto"/>
            <w:hideMark/>
          </w:tcPr>
          <w:p w14:paraId="03BD34BC"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Vietnamese Dong</w:t>
            </w:r>
          </w:p>
        </w:tc>
      </w:tr>
      <w:tr w:rsidR="00BF6212" w:rsidRPr="00BF6212" w14:paraId="1527EBF7" w14:textId="77777777" w:rsidTr="00984676">
        <w:tc>
          <w:tcPr>
            <w:tcW w:w="0" w:type="auto"/>
            <w:hideMark/>
          </w:tcPr>
          <w:p w14:paraId="779337A1"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WB</w:t>
            </w:r>
          </w:p>
        </w:tc>
        <w:tc>
          <w:tcPr>
            <w:tcW w:w="0" w:type="auto"/>
            <w:hideMark/>
          </w:tcPr>
          <w:p w14:paraId="65CA18D7" w14:textId="77777777" w:rsidR="00BF6212" w:rsidRPr="00BF6212" w:rsidRDefault="00BF6212">
            <w:pPr>
              <w:rPr>
                <w:rFonts w:asciiTheme="minorHAnsi" w:hAnsiTheme="minorHAnsi" w:cstheme="minorHAnsi"/>
                <w:color w:val="000000"/>
                <w:sz w:val="20"/>
                <w:szCs w:val="20"/>
              </w:rPr>
            </w:pPr>
            <w:r w:rsidRPr="00BF6212">
              <w:rPr>
                <w:rFonts w:asciiTheme="minorHAnsi" w:hAnsiTheme="minorHAnsi" w:cstheme="minorHAnsi"/>
                <w:color w:val="000000"/>
                <w:sz w:val="20"/>
                <w:szCs w:val="20"/>
              </w:rPr>
              <w:t>World Bank</w:t>
            </w:r>
          </w:p>
        </w:tc>
      </w:tr>
    </w:tbl>
    <w:p w14:paraId="03B8D173" w14:textId="29EDC058" w:rsidR="00C8653C" w:rsidRPr="00FD4103" w:rsidRDefault="00C8653C" w:rsidP="003D231F">
      <w:pPr>
        <w:pStyle w:val="Heading1"/>
        <w:numPr>
          <w:ilvl w:val="0"/>
          <w:numId w:val="0"/>
        </w:numPr>
        <w:ind w:left="432" w:hanging="432"/>
        <w:rPr>
          <w:rFonts w:eastAsiaTheme="majorEastAsia"/>
        </w:rPr>
      </w:pPr>
      <w:bookmarkStart w:id="6" w:name="_Toc226976833"/>
      <w:bookmarkStart w:id="7" w:name="_Toc233026578"/>
      <w:bookmarkEnd w:id="0"/>
      <w:bookmarkEnd w:id="1"/>
      <w:bookmarkEnd w:id="2"/>
      <w:r w:rsidRPr="00FD4103">
        <w:rPr>
          <w:rFonts w:eastAsiaTheme="majorEastAsia"/>
        </w:rPr>
        <w:t>List of Tables</w:t>
      </w:r>
      <w:bookmarkEnd w:id="6"/>
      <w:bookmarkEnd w:id="7"/>
      <w:r w:rsidRPr="00FD4103">
        <w:rPr>
          <w:rFonts w:eastAsiaTheme="majorEastAsia"/>
        </w:rPr>
        <w:t xml:space="preserve"> </w:t>
      </w:r>
    </w:p>
    <w:p w14:paraId="6C325A62" w14:textId="388F99E7" w:rsidR="005C5713" w:rsidRDefault="00C8653C">
      <w:pPr>
        <w:pStyle w:val="TableofFigures"/>
        <w:tabs>
          <w:tab w:val="right" w:leader="dot" w:pos="10198"/>
        </w:tabs>
        <w:rPr>
          <w:rFonts w:eastAsiaTheme="minorEastAsia" w:cstheme="minorBidi"/>
          <w:noProof/>
          <w:kern w:val="2"/>
          <w:sz w:val="24"/>
          <w:szCs w:val="24"/>
          <w:lang w:val="en-AU" w:eastAsia="en-GB"/>
          <w14:ligatures w14:val="standardContextual"/>
        </w:rPr>
      </w:pPr>
      <w:r w:rsidRPr="00FD4103">
        <w:rPr>
          <w:rFonts w:eastAsiaTheme="majorEastAsia"/>
        </w:rPr>
        <w:fldChar w:fldCharType="begin"/>
      </w:r>
      <w:r w:rsidRPr="00FD4103">
        <w:rPr>
          <w:rFonts w:eastAsiaTheme="majorEastAsia"/>
        </w:rPr>
        <w:instrText xml:space="preserve"> TOC \h \z \c "Table" </w:instrText>
      </w:r>
      <w:r w:rsidRPr="00FD4103">
        <w:rPr>
          <w:rFonts w:eastAsiaTheme="majorEastAsia"/>
        </w:rPr>
        <w:fldChar w:fldCharType="separate"/>
      </w:r>
      <w:hyperlink w:anchor="_Toc233026560" w:history="1">
        <w:r w:rsidR="005C5713" w:rsidRPr="00B81350">
          <w:rPr>
            <w:rStyle w:val="Hyperlink"/>
            <w:noProof/>
          </w:rPr>
          <w:t>Table 1: Consolidated AVETP Portfolio Results</w:t>
        </w:r>
        <w:r w:rsidR="005C5713">
          <w:rPr>
            <w:noProof/>
            <w:webHidden/>
          </w:rPr>
          <w:tab/>
        </w:r>
        <w:r w:rsidR="005C5713">
          <w:rPr>
            <w:noProof/>
            <w:webHidden/>
          </w:rPr>
          <w:fldChar w:fldCharType="begin"/>
        </w:r>
        <w:r w:rsidR="005C5713">
          <w:rPr>
            <w:noProof/>
            <w:webHidden/>
          </w:rPr>
          <w:instrText xml:space="preserve"> PAGEREF _Toc233026560 \h </w:instrText>
        </w:r>
        <w:r w:rsidR="005C5713">
          <w:rPr>
            <w:noProof/>
            <w:webHidden/>
          </w:rPr>
        </w:r>
        <w:r w:rsidR="005C5713">
          <w:rPr>
            <w:noProof/>
            <w:webHidden/>
          </w:rPr>
          <w:fldChar w:fldCharType="separate"/>
        </w:r>
        <w:r w:rsidR="005C5713">
          <w:rPr>
            <w:noProof/>
            <w:webHidden/>
          </w:rPr>
          <w:t>vii</w:t>
        </w:r>
        <w:r w:rsidR="005C5713">
          <w:rPr>
            <w:noProof/>
            <w:webHidden/>
          </w:rPr>
          <w:fldChar w:fldCharType="end"/>
        </w:r>
      </w:hyperlink>
    </w:p>
    <w:p w14:paraId="62C249FA" w14:textId="1BAC35CE" w:rsidR="005C5713" w:rsidRDefault="005C5713">
      <w:pPr>
        <w:pStyle w:val="TableofFigures"/>
        <w:tabs>
          <w:tab w:val="right" w:leader="dot" w:pos="10198"/>
        </w:tabs>
        <w:rPr>
          <w:rFonts w:eastAsiaTheme="minorEastAsia" w:cstheme="minorBidi"/>
          <w:noProof/>
          <w:kern w:val="2"/>
          <w:sz w:val="24"/>
          <w:szCs w:val="24"/>
          <w:lang w:val="en-AU" w:eastAsia="en-GB"/>
          <w14:ligatures w14:val="standardContextual"/>
        </w:rPr>
      </w:pPr>
      <w:hyperlink w:anchor="_Toc233026561" w:history="1">
        <w:r w:rsidRPr="00B81350">
          <w:rPr>
            <w:rStyle w:val="Hyperlink"/>
            <w:iCs/>
            <w:noProof/>
          </w:rPr>
          <w:t xml:space="preserve">Table 2: </w:t>
        </w:r>
        <w:r w:rsidRPr="00B81350">
          <w:rPr>
            <w:rStyle w:val="Hyperlink"/>
            <w:noProof/>
          </w:rPr>
          <w:t>PIDG approach and Solutions</w:t>
        </w:r>
        <w:r>
          <w:rPr>
            <w:noProof/>
            <w:webHidden/>
          </w:rPr>
          <w:tab/>
        </w:r>
        <w:r>
          <w:rPr>
            <w:noProof/>
            <w:webHidden/>
          </w:rPr>
          <w:fldChar w:fldCharType="begin"/>
        </w:r>
        <w:r>
          <w:rPr>
            <w:noProof/>
            <w:webHidden/>
          </w:rPr>
          <w:instrText xml:space="preserve"> PAGEREF _Toc233026561 \h </w:instrText>
        </w:r>
        <w:r>
          <w:rPr>
            <w:noProof/>
            <w:webHidden/>
          </w:rPr>
        </w:r>
        <w:r>
          <w:rPr>
            <w:noProof/>
            <w:webHidden/>
          </w:rPr>
          <w:fldChar w:fldCharType="separate"/>
        </w:r>
        <w:r>
          <w:rPr>
            <w:noProof/>
            <w:webHidden/>
          </w:rPr>
          <w:t>2</w:t>
        </w:r>
        <w:r>
          <w:rPr>
            <w:noProof/>
            <w:webHidden/>
          </w:rPr>
          <w:fldChar w:fldCharType="end"/>
        </w:r>
      </w:hyperlink>
    </w:p>
    <w:p w14:paraId="529CD6B5" w14:textId="5C341B9C" w:rsidR="005C5713" w:rsidRDefault="005C5713">
      <w:pPr>
        <w:pStyle w:val="TableofFigures"/>
        <w:tabs>
          <w:tab w:val="right" w:leader="dot" w:pos="10198"/>
        </w:tabs>
        <w:rPr>
          <w:rFonts w:eastAsiaTheme="minorEastAsia" w:cstheme="minorBidi"/>
          <w:noProof/>
          <w:kern w:val="2"/>
          <w:sz w:val="24"/>
          <w:szCs w:val="24"/>
          <w:lang w:val="en-AU" w:eastAsia="en-GB"/>
          <w14:ligatures w14:val="standardContextual"/>
        </w:rPr>
      </w:pPr>
      <w:hyperlink w:anchor="_Toc233026562" w:history="1">
        <w:r w:rsidRPr="00B81350">
          <w:rPr>
            <w:rStyle w:val="Hyperlink"/>
            <w:iCs/>
            <w:noProof/>
          </w:rPr>
          <w:t>Table 3:</w:t>
        </w:r>
        <w:r w:rsidRPr="00B81350">
          <w:rPr>
            <w:rStyle w:val="Hyperlink"/>
            <w:noProof/>
          </w:rPr>
          <w:t xml:space="preserve"> </w:t>
        </w:r>
        <w:r w:rsidRPr="00B81350">
          <w:rPr>
            <w:rStyle w:val="Hyperlink"/>
            <w:iCs/>
            <w:noProof/>
          </w:rPr>
          <w:t>AVETP logframe reviewed and tested as part of the Mid-Term Review</w:t>
        </w:r>
        <w:r>
          <w:rPr>
            <w:noProof/>
            <w:webHidden/>
          </w:rPr>
          <w:tab/>
        </w:r>
        <w:r>
          <w:rPr>
            <w:noProof/>
            <w:webHidden/>
          </w:rPr>
          <w:fldChar w:fldCharType="begin"/>
        </w:r>
        <w:r>
          <w:rPr>
            <w:noProof/>
            <w:webHidden/>
          </w:rPr>
          <w:instrText xml:space="preserve"> PAGEREF _Toc233026562 \h </w:instrText>
        </w:r>
        <w:r>
          <w:rPr>
            <w:noProof/>
            <w:webHidden/>
          </w:rPr>
        </w:r>
        <w:r>
          <w:rPr>
            <w:noProof/>
            <w:webHidden/>
          </w:rPr>
          <w:fldChar w:fldCharType="separate"/>
        </w:r>
        <w:r>
          <w:rPr>
            <w:noProof/>
            <w:webHidden/>
          </w:rPr>
          <w:t>3</w:t>
        </w:r>
        <w:r>
          <w:rPr>
            <w:noProof/>
            <w:webHidden/>
          </w:rPr>
          <w:fldChar w:fldCharType="end"/>
        </w:r>
      </w:hyperlink>
    </w:p>
    <w:p w14:paraId="65E5C441" w14:textId="5B67251F" w:rsidR="005C5713" w:rsidRDefault="005C5713">
      <w:pPr>
        <w:pStyle w:val="TableofFigures"/>
        <w:tabs>
          <w:tab w:val="right" w:leader="dot" w:pos="10198"/>
        </w:tabs>
        <w:rPr>
          <w:rFonts w:eastAsiaTheme="minorEastAsia" w:cstheme="minorBidi"/>
          <w:noProof/>
          <w:kern w:val="2"/>
          <w:sz w:val="24"/>
          <w:szCs w:val="24"/>
          <w:lang w:val="en-AU" w:eastAsia="en-GB"/>
          <w14:ligatures w14:val="standardContextual"/>
        </w:rPr>
      </w:pPr>
      <w:hyperlink w:anchor="_Toc233026563" w:history="1">
        <w:r w:rsidRPr="00B81350">
          <w:rPr>
            <w:rStyle w:val="Hyperlink"/>
            <w:iCs/>
            <w:noProof/>
          </w:rPr>
          <w:t>Table 4: Overview of the AVETP Review Design and Methodology</w:t>
        </w:r>
        <w:r>
          <w:rPr>
            <w:noProof/>
            <w:webHidden/>
          </w:rPr>
          <w:tab/>
        </w:r>
        <w:r>
          <w:rPr>
            <w:noProof/>
            <w:webHidden/>
          </w:rPr>
          <w:fldChar w:fldCharType="begin"/>
        </w:r>
        <w:r>
          <w:rPr>
            <w:noProof/>
            <w:webHidden/>
          </w:rPr>
          <w:instrText xml:space="preserve"> PAGEREF _Toc233026563 \h </w:instrText>
        </w:r>
        <w:r>
          <w:rPr>
            <w:noProof/>
            <w:webHidden/>
          </w:rPr>
        </w:r>
        <w:r>
          <w:rPr>
            <w:noProof/>
            <w:webHidden/>
          </w:rPr>
          <w:fldChar w:fldCharType="separate"/>
        </w:r>
        <w:r>
          <w:rPr>
            <w:noProof/>
            <w:webHidden/>
          </w:rPr>
          <w:t>4</w:t>
        </w:r>
        <w:r>
          <w:rPr>
            <w:noProof/>
            <w:webHidden/>
          </w:rPr>
          <w:fldChar w:fldCharType="end"/>
        </w:r>
      </w:hyperlink>
    </w:p>
    <w:p w14:paraId="3AA6DE09" w14:textId="0F17212C" w:rsidR="005C5713" w:rsidRDefault="005C5713">
      <w:pPr>
        <w:pStyle w:val="TableofFigures"/>
        <w:tabs>
          <w:tab w:val="right" w:leader="dot" w:pos="10198"/>
        </w:tabs>
        <w:rPr>
          <w:rFonts w:eastAsiaTheme="minorEastAsia" w:cstheme="minorBidi"/>
          <w:noProof/>
          <w:kern w:val="2"/>
          <w:sz w:val="24"/>
          <w:szCs w:val="24"/>
          <w:lang w:val="en-AU" w:eastAsia="en-GB"/>
          <w14:ligatures w14:val="standardContextual"/>
        </w:rPr>
      </w:pPr>
      <w:hyperlink w:anchor="_Toc233026564" w:history="1">
        <w:r w:rsidRPr="00B81350">
          <w:rPr>
            <w:rStyle w:val="Hyperlink"/>
            <w:noProof/>
          </w:rPr>
          <w:t>Table 5: List of participant organisations and stakeholders interviewed</w:t>
        </w:r>
        <w:r>
          <w:rPr>
            <w:noProof/>
            <w:webHidden/>
          </w:rPr>
          <w:tab/>
        </w:r>
        <w:r>
          <w:rPr>
            <w:noProof/>
            <w:webHidden/>
          </w:rPr>
          <w:fldChar w:fldCharType="begin"/>
        </w:r>
        <w:r>
          <w:rPr>
            <w:noProof/>
            <w:webHidden/>
          </w:rPr>
          <w:instrText xml:space="preserve"> PAGEREF _Toc233026564 \h </w:instrText>
        </w:r>
        <w:r>
          <w:rPr>
            <w:noProof/>
            <w:webHidden/>
          </w:rPr>
        </w:r>
        <w:r>
          <w:rPr>
            <w:noProof/>
            <w:webHidden/>
          </w:rPr>
          <w:fldChar w:fldCharType="separate"/>
        </w:r>
        <w:r>
          <w:rPr>
            <w:noProof/>
            <w:webHidden/>
          </w:rPr>
          <w:t>5</w:t>
        </w:r>
        <w:r>
          <w:rPr>
            <w:noProof/>
            <w:webHidden/>
          </w:rPr>
          <w:fldChar w:fldCharType="end"/>
        </w:r>
      </w:hyperlink>
    </w:p>
    <w:p w14:paraId="2EA0D2BE" w14:textId="5A0DA56F" w:rsidR="005C5713" w:rsidRDefault="005C5713">
      <w:pPr>
        <w:pStyle w:val="TableofFigures"/>
        <w:tabs>
          <w:tab w:val="right" w:leader="dot" w:pos="10198"/>
        </w:tabs>
        <w:rPr>
          <w:rFonts w:eastAsiaTheme="minorEastAsia" w:cstheme="minorBidi"/>
          <w:noProof/>
          <w:kern w:val="2"/>
          <w:sz w:val="24"/>
          <w:szCs w:val="24"/>
          <w:lang w:val="en-AU" w:eastAsia="en-GB"/>
          <w14:ligatures w14:val="standardContextual"/>
        </w:rPr>
      </w:pPr>
      <w:hyperlink w:anchor="_Toc233026565" w:history="1">
        <w:r w:rsidRPr="00B81350">
          <w:rPr>
            <w:rStyle w:val="Hyperlink"/>
            <w:iCs/>
            <w:noProof/>
          </w:rPr>
          <w:t>Table 6: Portfolio reach and results at a glance</w:t>
        </w:r>
        <w:r>
          <w:rPr>
            <w:noProof/>
            <w:webHidden/>
          </w:rPr>
          <w:tab/>
        </w:r>
        <w:r>
          <w:rPr>
            <w:noProof/>
            <w:webHidden/>
          </w:rPr>
          <w:fldChar w:fldCharType="begin"/>
        </w:r>
        <w:r>
          <w:rPr>
            <w:noProof/>
            <w:webHidden/>
          </w:rPr>
          <w:instrText xml:space="preserve"> PAGEREF _Toc233026565 \h </w:instrText>
        </w:r>
        <w:r>
          <w:rPr>
            <w:noProof/>
            <w:webHidden/>
          </w:rPr>
        </w:r>
        <w:r>
          <w:rPr>
            <w:noProof/>
            <w:webHidden/>
          </w:rPr>
          <w:fldChar w:fldCharType="separate"/>
        </w:r>
        <w:r>
          <w:rPr>
            <w:noProof/>
            <w:webHidden/>
          </w:rPr>
          <w:t>9</w:t>
        </w:r>
        <w:r>
          <w:rPr>
            <w:noProof/>
            <w:webHidden/>
          </w:rPr>
          <w:fldChar w:fldCharType="end"/>
        </w:r>
      </w:hyperlink>
    </w:p>
    <w:p w14:paraId="6AC183D6" w14:textId="3A145AC6" w:rsidR="005C5713" w:rsidRDefault="005C5713">
      <w:pPr>
        <w:pStyle w:val="TableofFigures"/>
        <w:tabs>
          <w:tab w:val="right" w:leader="dot" w:pos="10198"/>
        </w:tabs>
        <w:rPr>
          <w:rFonts w:eastAsiaTheme="minorEastAsia" w:cstheme="minorBidi"/>
          <w:noProof/>
          <w:kern w:val="2"/>
          <w:sz w:val="24"/>
          <w:szCs w:val="24"/>
          <w:lang w:val="en-AU" w:eastAsia="en-GB"/>
          <w14:ligatures w14:val="standardContextual"/>
        </w:rPr>
      </w:pPr>
      <w:hyperlink w:anchor="_Toc233026566" w:history="1">
        <w:r w:rsidRPr="00B81350">
          <w:rPr>
            <w:rStyle w:val="Hyperlink"/>
            <w:noProof/>
          </w:rPr>
          <w:t>Table 7: Aggregated evidence by results area</w:t>
        </w:r>
        <w:r>
          <w:rPr>
            <w:noProof/>
            <w:webHidden/>
          </w:rPr>
          <w:tab/>
        </w:r>
        <w:r>
          <w:rPr>
            <w:noProof/>
            <w:webHidden/>
          </w:rPr>
          <w:fldChar w:fldCharType="begin"/>
        </w:r>
        <w:r>
          <w:rPr>
            <w:noProof/>
            <w:webHidden/>
          </w:rPr>
          <w:instrText xml:space="preserve"> PAGEREF _Toc233026566 \h </w:instrText>
        </w:r>
        <w:r>
          <w:rPr>
            <w:noProof/>
            <w:webHidden/>
          </w:rPr>
        </w:r>
        <w:r>
          <w:rPr>
            <w:noProof/>
            <w:webHidden/>
          </w:rPr>
          <w:fldChar w:fldCharType="separate"/>
        </w:r>
        <w:r>
          <w:rPr>
            <w:noProof/>
            <w:webHidden/>
          </w:rPr>
          <w:t>10</w:t>
        </w:r>
        <w:r>
          <w:rPr>
            <w:noProof/>
            <w:webHidden/>
          </w:rPr>
          <w:fldChar w:fldCharType="end"/>
        </w:r>
      </w:hyperlink>
    </w:p>
    <w:p w14:paraId="1CEB8728" w14:textId="0C7FF801" w:rsidR="005C5713" w:rsidRDefault="005C5713">
      <w:pPr>
        <w:pStyle w:val="TableofFigures"/>
        <w:tabs>
          <w:tab w:val="right" w:leader="dot" w:pos="10198"/>
        </w:tabs>
        <w:rPr>
          <w:rFonts w:eastAsiaTheme="minorEastAsia" w:cstheme="minorBidi"/>
          <w:noProof/>
          <w:kern w:val="2"/>
          <w:sz w:val="24"/>
          <w:szCs w:val="24"/>
          <w:lang w:val="en-AU" w:eastAsia="en-GB"/>
          <w14:ligatures w14:val="standardContextual"/>
        </w:rPr>
      </w:pPr>
      <w:hyperlink w:anchor="_Toc233026567" w:history="1">
        <w:r w:rsidRPr="00B81350">
          <w:rPr>
            <w:rStyle w:val="Hyperlink"/>
            <w:iCs/>
            <w:noProof/>
          </w:rPr>
          <w:t>Table 8: Inclusion, Access, and Safeguards Results</w:t>
        </w:r>
        <w:r>
          <w:rPr>
            <w:noProof/>
            <w:webHidden/>
          </w:rPr>
          <w:tab/>
        </w:r>
        <w:r>
          <w:rPr>
            <w:noProof/>
            <w:webHidden/>
          </w:rPr>
          <w:fldChar w:fldCharType="begin"/>
        </w:r>
        <w:r>
          <w:rPr>
            <w:noProof/>
            <w:webHidden/>
          </w:rPr>
          <w:instrText xml:space="preserve"> PAGEREF _Toc233026567 \h </w:instrText>
        </w:r>
        <w:r>
          <w:rPr>
            <w:noProof/>
            <w:webHidden/>
          </w:rPr>
        </w:r>
        <w:r>
          <w:rPr>
            <w:noProof/>
            <w:webHidden/>
          </w:rPr>
          <w:fldChar w:fldCharType="separate"/>
        </w:r>
        <w:r>
          <w:rPr>
            <w:noProof/>
            <w:webHidden/>
          </w:rPr>
          <w:t>11</w:t>
        </w:r>
        <w:r>
          <w:rPr>
            <w:noProof/>
            <w:webHidden/>
          </w:rPr>
          <w:fldChar w:fldCharType="end"/>
        </w:r>
      </w:hyperlink>
    </w:p>
    <w:p w14:paraId="12ACB7EA" w14:textId="2BAABF3E" w:rsidR="005C5713" w:rsidRDefault="005C5713">
      <w:pPr>
        <w:pStyle w:val="TableofFigures"/>
        <w:tabs>
          <w:tab w:val="right" w:leader="dot" w:pos="10198"/>
        </w:tabs>
        <w:rPr>
          <w:rFonts w:eastAsiaTheme="minorEastAsia" w:cstheme="minorBidi"/>
          <w:noProof/>
          <w:kern w:val="2"/>
          <w:sz w:val="24"/>
          <w:szCs w:val="24"/>
          <w:lang w:val="en-AU" w:eastAsia="en-GB"/>
          <w14:ligatures w14:val="standardContextual"/>
        </w:rPr>
      </w:pPr>
      <w:hyperlink w:anchor="_Toc233026568" w:history="1">
        <w:r w:rsidRPr="00B81350">
          <w:rPr>
            <w:rStyle w:val="Hyperlink"/>
            <w:noProof/>
          </w:rPr>
          <w:t>Table 9: Core Case Studies</w:t>
        </w:r>
        <w:r>
          <w:rPr>
            <w:noProof/>
            <w:webHidden/>
          </w:rPr>
          <w:tab/>
        </w:r>
        <w:r>
          <w:rPr>
            <w:noProof/>
            <w:webHidden/>
          </w:rPr>
          <w:fldChar w:fldCharType="begin"/>
        </w:r>
        <w:r>
          <w:rPr>
            <w:noProof/>
            <w:webHidden/>
          </w:rPr>
          <w:instrText xml:space="preserve"> PAGEREF _Toc233026568 \h </w:instrText>
        </w:r>
        <w:r>
          <w:rPr>
            <w:noProof/>
            <w:webHidden/>
          </w:rPr>
        </w:r>
        <w:r>
          <w:rPr>
            <w:noProof/>
            <w:webHidden/>
          </w:rPr>
          <w:fldChar w:fldCharType="separate"/>
        </w:r>
        <w:r>
          <w:rPr>
            <w:noProof/>
            <w:webHidden/>
          </w:rPr>
          <w:t>20</w:t>
        </w:r>
        <w:r>
          <w:rPr>
            <w:noProof/>
            <w:webHidden/>
          </w:rPr>
          <w:fldChar w:fldCharType="end"/>
        </w:r>
      </w:hyperlink>
    </w:p>
    <w:p w14:paraId="07185032" w14:textId="1154F1B5" w:rsidR="005C5713" w:rsidRDefault="005C5713">
      <w:pPr>
        <w:pStyle w:val="TableofFigures"/>
        <w:tabs>
          <w:tab w:val="right" w:leader="dot" w:pos="10198"/>
        </w:tabs>
        <w:rPr>
          <w:rFonts w:eastAsiaTheme="minorEastAsia" w:cstheme="minorBidi"/>
          <w:noProof/>
          <w:kern w:val="2"/>
          <w:sz w:val="24"/>
          <w:szCs w:val="24"/>
          <w:lang w:val="en-AU" w:eastAsia="en-GB"/>
          <w14:ligatures w14:val="standardContextual"/>
        </w:rPr>
      </w:pPr>
      <w:hyperlink w:anchor="_Toc233026569" w:history="1">
        <w:r w:rsidRPr="00B81350">
          <w:rPr>
            <w:rStyle w:val="Hyperlink"/>
            <w:noProof/>
          </w:rPr>
          <w:t>Table 10:</w:t>
        </w:r>
        <w:r w:rsidRPr="00B81350">
          <w:rPr>
            <w:rStyle w:val="Hyperlink"/>
            <w:rFonts w:ascii="Arial" w:hAnsi="Arial"/>
            <w:b/>
            <w:noProof/>
          </w:rPr>
          <w:t xml:space="preserve"> </w:t>
        </w:r>
        <w:r w:rsidRPr="00B81350">
          <w:rPr>
            <w:rStyle w:val="Hyperlink"/>
            <w:rFonts w:ascii="Arial" w:hAnsi="Arial"/>
            <w:noProof/>
          </w:rPr>
          <w:t>Data snapshot: Dat Bike before and after PIDG support</w:t>
        </w:r>
        <w:r>
          <w:rPr>
            <w:noProof/>
            <w:webHidden/>
          </w:rPr>
          <w:tab/>
        </w:r>
        <w:r>
          <w:rPr>
            <w:noProof/>
            <w:webHidden/>
          </w:rPr>
          <w:fldChar w:fldCharType="begin"/>
        </w:r>
        <w:r>
          <w:rPr>
            <w:noProof/>
            <w:webHidden/>
          </w:rPr>
          <w:instrText xml:space="preserve"> PAGEREF _Toc233026569 \h </w:instrText>
        </w:r>
        <w:r>
          <w:rPr>
            <w:noProof/>
            <w:webHidden/>
          </w:rPr>
        </w:r>
        <w:r>
          <w:rPr>
            <w:noProof/>
            <w:webHidden/>
          </w:rPr>
          <w:fldChar w:fldCharType="separate"/>
        </w:r>
        <w:r>
          <w:rPr>
            <w:noProof/>
            <w:webHidden/>
          </w:rPr>
          <w:t>21</w:t>
        </w:r>
        <w:r>
          <w:rPr>
            <w:noProof/>
            <w:webHidden/>
          </w:rPr>
          <w:fldChar w:fldCharType="end"/>
        </w:r>
      </w:hyperlink>
    </w:p>
    <w:p w14:paraId="4AC94CE1" w14:textId="02104E06" w:rsidR="005C5713" w:rsidRDefault="005C5713">
      <w:pPr>
        <w:pStyle w:val="TableofFigures"/>
        <w:tabs>
          <w:tab w:val="right" w:leader="dot" w:pos="10198"/>
        </w:tabs>
        <w:rPr>
          <w:rFonts w:eastAsiaTheme="minorEastAsia" w:cstheme="minorBidi"/>
          <w:noProof/>
          <w:kern w:val="2"/>
          <w:sz w:val="24"/>
          <w:szCs w:val="24"/>
          <w:lang w:val="en-AU" w:eastAsia="en-GB"/>
          <w14:ligatures w14:val="standardContextual"/>
        </w:rPr>
      </w:pPr>
      <w:hyperlink w:anchor="_Toc233026570" w:history="1">
        <w:r w:rsidRPr="00B81350">
          <w:rPr>
            <w:rStyle w:val="Hyperlink"/>
            <w:noProof/>
          </w:rPr>
          <w:t>Table 11: Aqua-one data matrix for water treatment project</w:t>
        </w:r>
        <w:r>
          <w:rPr>
            <w:noProof/>
            <w:webHidden/>
          </w:rPr>
          <w:tab/>
        </w:r>
        <w:r>
          <w:rPr>
            <w:noProof/>
            <w:webHidden/>
          </w:rPr>
          <w:fldChar w:fldCharType="begin"/>
        </w:r>
        <w:r>
          <w:rPr>
            <w:noProof/>
            <w:webHidden/>
          </w:rPr>
          <w:instrText xml:space="preserve"> PAGEREF _Toc233026570 \h </w:instrText>
        </w:r>
        <w:r>
          <w:rPr>
            <w:noProof/>
            <w:webHidden/>
          </w:rPr>
        </w:r>
        <w:r>
          <w:rPr>
            <w:noProof/>
            <w:webHidden/>
          </w:rPr>
          <w:fldChar w:fldCharType="separate"/>
        </w:r>
        <w:r>
          <w:rPr>
            <w:noProof/>
            <w:webHidden/>
          </w:rPr>
          <w:t>23</w:t>
        </w:r>
        <w:r>
          <w:rPr>
            <w:noProof/>
            <w:webHidden/>
          </w:rPr>
          <w:fldChar w:fldCharType="end"/>
        </w:r>
      </w:hyperlink>
    </w:p>
    <w:p w14:paraId="27972EDA" w14:textId="4E97640C" w:rsidR="005C5713" w:rsidRDefault="005C5713">
      <w:pPr>
        <w:pStyle w:val="TableofFigures"/>
        <w:tabs>
          <w:tab w:val="right" w:leader="dot" w:pos="10198"/>
        </w:tabs>
        <w:rPr>
          <w:rFonts w:eastAsiaTheme="minorEastAsia" w:cstheme="minorBidi"/>
          <w:noProof/>
          <w:kern w:val="2"/>
          <w:sz w:val="24"/>
          <w:szCs w:val="24"/>
          <w:lang w:val="en-AU" w:eastAsia="en-GB"/>
          <w14:ligatures w14:val="standardContextual"/>
        </w:rPr>
      </w:pPr>
      <w:hyperlink w:anchor="_Toc233026571" w:history="1">
        <w:r w:rsidRPr="00B81350">
          <w:rPr>
            <w:rStyle w:val="Hyperlink"/>
            <w:noProof/>
          </w:rPr>
          <w:t>Table 12: KPI and data matrix for BPG Plastic</w:t>
        </w:r>
        <w:r>
          <w:rPr>
            <w:noProof/>
            <w:webHidden/>
          </w:rPr>
          <w:tab/>
        </w:r>
        <w:r>
          <w:rPr>
            <w:noProof/>
            <w:webHidden/>
          </w:rPr>
          <w:fldChar w:fldCharType="begin"/>
        </w:r>
        <w:r>
          <w:rPr>
            <w:noProof/>
            <w:webHidden/>
          </w:rPr>
          <w:instrText xml:space="preserve"> PAGEREF _Toc233026571 \h </w:instrText>
        </w:r>
        <w:r>
          <w:rPr>
            <w:noProof/>
            <w:webHidden/>
          </w:rPr>
        </w:r>
        <w:r>
          <w:rPr>
            <w:noProof/>
            <w:webHidden/>
          </w:rPr>
          <w:fldChar w:fldCharType="separate"/>
        </w:r>
        <w:r>
          <w:rPr>
            <w:noProof/>
            <w:webHidden/>
          </w:rPr>
          <w:t>26</w:t>
        </w:r>
        <w:r>
          <w:rPr>
            <w:noProof/>
            <w:webHidden/>
          </w:rPr>
          <w:fldChar w:fldCharType="end"/>
        </w:r>
      </w:hyperlink>
    </w:p>
    <w:p w14:paraId="6DED363D" w14:textId="2FED7D06" w:rsidR="005C5713" w:rsidRDefault="005C5713">
      <w:pPr>
        <w:pStyle w:val="TableofFigures"/>
        <w:tabs>
          <w:tab w:val="right" w:leader="dot" w:pos="10198"/>
        </w:tabs>
        <w:rPr>
          <w:rFonts w:eastAsiaTheme="minorEastAsia" w:cstheme="minorBidi"/>
          <w:noProof/>
          <w:kern w:val="2"/>
          <w:sz w:val="24"/>
          <w:szCs w:val="24"/>
          <w:lang w:val="en-AU" w:eastAsia="en-GB"/>
          <w14:ligatures w14:val="standardContextual"/>
        </w:rPr>
      </w:pPr>
      <w:hyperlink w:anchor="_Toc233026572" w:history="1">
        <w:r w:rsidRPr="00B81350">
          <w:rPr>
            <w:rStyle w:val="Hyperlink"/>
            <w:noProof/>
          </w:rPr>
          <w:t>Table 13: Data and KPI matrix for August Energy</w:t>
        </w:r>
        <w:r>
          <w:rPr>
            <w:noProof/>
            <w:webHidden/>
          </w:rPr>
          <w:tab/>
        </w:r>
        <w:r>
          <w:rPr>
            <w:noProof/>
            <w:webHidden/>
          </w:rPr>
          <w:fldChar w:fldCharType="begin"/>
        </w:r>
        <w:r>
          <w:rPr>
            <w:noProof/>
            <w:webHidden/>
          </w:rPr>
          <w:instrText xml:space="preserve"> PAGEREF _Toc233026572 \h </w:instrText>
        </w:r>
        <w:r>
          <w:rPr>
            <w:noProof/>
            <w:webHidden/>
          </w:rPr>
        </w:r>
        <w:r>
          <w:rPr>
            <w:noProof/>
            <w:webHidden/>
          </w:rPr>
          <w:fldChar w:fldCharType="separate"/>
        </w:r>
        <w:r>
          <w:rPr>
            <w:noProof/>
            <w:webHidden/>
          </w:rPr>
          <w:t>28</w:t>
        </w:r>
        <w:r>
          <w:rPr>
            <w:noProof/>
            <w:webHidden/>
          </w:rPr>
          <w:fldChar w:fldCharType="end"/>
        </w:r>
      </w:hyperlink>
    </w:p>
    <w:p w14:paraId="4046A238" w14:textId="2F2D85F4" w:rsidR="005C5713" w:rsidRDefault="005C5713">
      <w:pPr>
        <w:pStyle w:val="TableofFigures"/>
        <w:tabs>
          <w:tab w:val="right" w:leader="dot" w:pos="10198"/>
        </w:tabs>
        <w:rPr>
          <w:rFonts w:eastAsiaTheme="minorEastAsia" w:cstheme="minorBidi"/>
          <w:noProof/>
          <w:kern w:val="2"/>
          <w:sz w:val="24"/>
          <w:szCs w:val="24"/>
          <w:lang w:val="en-AU" w:eastAsia="en-GB"/>
          <w14:ligatures w14:val="standardContextual"/>
        </w:rPr>
      </w:pPr>
      <w:hyperlink w:anchor="_Toc233026573" w:history="1">
        <w:r w:rsidRPr="00B81350">
          <w:rPr>
            <w:rStyle w:val="Hyperlink"/>
            <w:iCs/>
            <w:noProof/>
          </w:rPr>
          <w:t>Table 14: Planned MTR Activities</w:t>
        </w:r>
        <w:r>
          <w:rPr>
            <w:noProof/>
            <w:webHidden/>
          </w:rPr>
          <w:tab/>
        </w:r>
        <w:r>
          <w:rPr>
            <w:noProof/>
            <w:webHidden/>
          </w:rPr>
          <w:fldChar w:fldCharType="begin"/>
        </w:r>
        <w:r>
          <w:rPr>
            <w:noProof/>
            <w:webHidden/>
          </w:rPr>
          <w:instrText xml:space="preserve"> PAGEREF _Toc233026573 \h </w:instrText>
        </w:r>
        <w:r>
          <w:rPr>
            <w:noProof/>
            <w:webHidden/>
          </w:rPr>
        </w:r>
        <w:r>
          <w:rPr>
            <w:noProof/>
            <w:webHidden/>
          </w:rPr>
          <w:fldChar w:fldCharType="separate"/>
        </w:r>
        <w:r>
          <w:rPr>
            <w:noProof/>
            <w:webHidden/>
          </w:rPr>
          <w:t>31</w:t>
        </w:r>
        <w:r>
          <w:rPr>
            <w:noProof/>
            <w:webHidden/>
          </w:rPr>
          <w:fldChar w:fldCharType="end"/>
        </w:r>
      </w:hyperlink>
    </w:p>
    <w:p w14:paraId="617AD2C8" w14:textId="70CA12EF" w:rsidR="005769B6" w:rsidRDefault="00C8653C" w:rsidP="000C008B">
      <w:pPr>
        <w:pStyle w:val="Heading1"/>
        <w:numPr>
          <w:ilvl w:val="0"/>
          <w:numId w:val="0"/>
        </w:numPr>
        <w:rPr>
          <w:rFonts w:eastAsiaTheme="majorEastAsia"/>
        </w:rPr>
      </w:pPr>
      <w:r w:rsidRPr="00FD4103">
        <w:rPr>
          <w:rFonts w:eastAsiaTheme="majorEastAsia"/>
          <w:lang w:val="en-GB"/>
        </w:rPr>
        <w:fldChar w:fldCharType="end"/>
      </w:r>
      <w:r w:rsidR="005769B6">
        <w:rPr>
          <w:rFonts w:eastAsiaTheme="majorEastAsia"/>
        </w:rPr>
        <w:br w:type="page"/>
      </w:r>
    </w:p>
    <w:p w14:paraId="4B402A8D" w14:textId="55A8E871" w:rsidR="005C097A" w:rsidRPr="00BF6212" w:rsidRDefault="005C097A" w:rsidP="003D231F">
      <w:pPr>
        <w:pStyle w:val="Heading1"/>
      </w:pPr>
      <w:bookmarkStart w:id="8" w:name="_Toc226976835"/>
      <w:bookmarkStart w:id="9" w:name="_Toc233026579"/>
      <w:r w:rsidRPr="00BF6212">
        <w:lastRenderedPageBreak/>
        <w:t>Executive Summary</w:t>
      </w:r>
      <w:bookmarkEnd w:id="8"/>
      <w:bookmarkEnd w:id="9"/>
      <w:r w:rsidRPr="00BF6212">
        <w:t xml:space="preserve"> </w:t>
      </w:r>
    </w:p>
    <w:p w14:paraId="1C8A9ED6" w14:textId="0538FBE2" w:rsidR="00985288" w:rsidRPr="0040259E" w:rsidRDefault="00985288" w:rsidP="009C3F1F">
      <w:pPr>
        <w:rPr>
          <w:rStyle w:val="Strong"/>
          <w:rFonts w:ascii="Arial" w:hAnsi="Arial" w:cs="Arial"/>
          <w:color w:val="000000"/>
        </w:rPr>
      </w:pPr>
      <w:r w:rsidRPr="00962DEA">
        <w:rPr>
          <w:rStyle w:val="Strong"/>
          <w:rFonts w:ascii="Arial" w:hAnsi="Arial" w:cs="Arial"/>
          <w:color w:val="000000"/>
        </w:rPr>
        <w:t>AVETP is delivering credible, high-quality transaction results in support of Vietnam’s net zero transition, but stronger country</w:t>
      </w:r>
      <w:r w:rsidR="0028766B">
        <w:rPr>
          <w:rStyle w:val="Strong"/>
          <w:rFonts w:ascii="Arial" w:hAnsi="Arial" w:cs="Arial"/>
          <w:color w:val="000000"/>
        </w:rPr>
        <w:t xml:space="preserve"> arrangements</w:t>
      </w:r>
      <w:r w:rsidRPr="00962DEA">
        <w:rPr>
          <w:rStyle w:val="Strong"/>
          <w:rFonts w:ascii="Arial" w:hAnsi="Arial" w:cs="Arial"/>
          <w:color w:val="000000"/>
        </w:rPr>
        <w:t xml:space="preserve"> are needed to convert those results into a more visible, coherent bilateral programme.</w:t>
      </w:r>
    </w:p>
    <w:p w14:paraId="4AEA5189" w14:textId="1ECD7292" w:rsidR="00E321AD" w:rsidRPr="005B6D16" w:rsidRDefault="00E321AD" w:rsidP="5F242609">
      <w:pPr>
        <w:spacing w:before="240"/>
        <w:rPr>
          <w:rStyle w:val="apple-converted-space"/>
          <w:rFonts w:asciiTheme="minorHAnsi" w:hAnsiTheme="minorHAnsi" w:cstheme="minorBidi"/>
          <w:color w:val="000000"/>
          <w:sz w:val="22"/>
          <w:szCs w:val="22"/>
        </w:rPr>
      </w:pPr>
      <w:r w:rsidRPr="5F242609">
        <w:rPr>
          <w:rFonts w:asciiTheme="minorHAnsi" w:hAnsiTheme="minorHAnsi" w:cstheme="minorBidi"/>
          <w:color w:val="000000" w:themeColor="text2"/>
          <w:sz w:val="22"/>
          <w:szCs w:val="22"/>
        </w:rPr>
        <w:t xml:space="preserve">The Australia–Vietnam Energy Transition Platform (AVETP) is a bespoke partnership between the Australian Department of Foreign Affairs and Trade (DFAT) and the Private Infrastructure Development Group (PIDG), established in 2023 to support Vietnam’s net zero transition through catalytic blended finance and market development. </w:t>
      </w:r>
      <w:r w:rsidR="52F75F20" w:rsidRPr="005C5713">
        <w:rPr>
          <w:rFonts w:ascii="Arial" w:eastAsia="Arial" w:hAnsi="Arial" w:cs="Arial"/>
          <w:color w:val="000000" w:themeColor="text2"/>
          <w:sz w:val="22"/>
          <w:szCs w:val="22"/>
        </w:rPr>
        <w:t xml:space="preserve">It also includes $3 million allocated to Australian Development Investments (ADI), however this </w:t>
      </w:r>
      <w:r w:rsidRPr="5F242609">
        <w:rPr>
          <w:rFonts w:asciiTheme="minorHAnsi" w:hAnsiTheme="minorHAnsi" w:cstheme="minorBidi"/>
          <w:color w:val="000000" w:themeColor="text2"/>
          <w:sz w:val="22"/>
          <w:szCs w:val="22"/>
        </w:rPr>
        <w:t>Mid-Term Review focused on the PIDG-managed component of AVETP and was undertaken to assess progress toward the platform’s end-of-program outcomes</w:t>
      </w:r>
      <w:r w:rsidR="00CD7D09" w:rsidRPr="5F242609">
        <w:rPr>
          <w:rFonts w:asciiTheme="minorHAnsi" w:hAnsiTheme="minorHAnsi" w:cstheme="minorBidi"/>
          <w:color w:val="000000" w:themeColor="text2"/>
          <w:sz w:val="22"/>
          <w:szCs w:val="22"/>
        </w:rPr>
        <w:t>;</w:t>
      </w:r>
      <w:r w:rsidRPr="5F242609">
        <w:rPr>
          <w:rFonts w:asciiTheme="minorHAnsi" w:hAnsiTheme="minorHAnsi" w:cstheme="minorBidi"/>
          <w:color w:val="000000" w:themeColor="text2"/>
          <w:sz w:val="22"/>
          <w:szCs w:val="22"/>
        </w:rPr>
        <w:t xml:space="preserve"> examine the adequacy of monitoring, evaluation and learning arrangements,</w:t>
      </w:r>
      <w:r w:rsidR="00D52E15" w:rsidRPr="5F242609">
        <w:rPr>
          <w:rFonts w:asciiTheme="minorHAnsi" w:hAnsiTheme="minorHAnsi" w:cstheme="minorBidi"/>
          <w:color w:val="000000" w:themeColor="text2"/>
          <w:sz w:val="22"/>
          <w:szCs w:val="22"/>
        </w:rPr>
        <w:t xml:space="preserve"> DFAT’s oversight and engagement</w:t>
      </w:r>
      <w:r w:rsidR="007862EE" w:rsidRPr="5F242609">
        <w:rPr>
          <w:rFonts w:asciiTheme="minorHAnsi" w:hAnsiTheme="minorHAnsi" w:cstheme="minorBidi"/>
          <w:color w:val="000000" w:themeColor="text2"/>
          <w:sz w:val="22"/>
          <w:szCs w:val="22"/>
        </w:rPr>
        <w:t xml:space="preserve"> </w:t>
      </w:r>
      <w:r w:rsidR="005C5713" w:rsidRPr="5F242609">
        <w:rPr>
          <w:rFonts w:asciiTheme="minorHAnsi" w:hAnsiTheme="minorHAnsi" w:cstheme="minorBidi"/>
          <w:color w:val="000000" w:themeColor="text2"/>
          <w:sz w:val="22"/>
          <w:szCs w:val="22"/>
        </w:rPr>
        <w:t>arrangements, the</w:t>
      </w:r>
      <w:r w:rsidR="00D52E15" w:rsidRPr="5F242609">
        <w:rPr>
          <w:rFonts w:asciiTheme="minorHAnsi" w:hAnsiTheme="minorHAnsi" w:cstheme="minorBidi"/>
          <w:color w:val="000000" w:themeColor="text2"/>
          <w:sz w:val="22"/>
          <w:szCs w:val="22"/>
        </w:rPr>
        <w:t xml:space="preserve"> fit of the current programme logic</w:t>
      </w:r>
      <w:r w:rsidR="00CD7D09" w:rsidRPr="5F242609">
        <w:rPr>
          <w:rFonts w:asciiTheme="minorHAnsi" w:hAnsiTheme="minorHAnsi" w:cstheme="minorBidi"/>
          <w:color w:val="000000" w:themeColor="text2"/>
          <w:sz w:val="22"/>
          <w:szCs w:val="22"/>
        </w:rPr>
        <w:t>;</w:t>
      </w:r>
      <w:r w:rsidR="00D52E15" w:rsidRPr="5F242609">
        <w:rPr>
          <w:rFonts w:asciiTheme="minorHAnsi" w:hAnsiTheme="minorHAnsi" w:cstheme="minorBidi"/>
          <w:color w:val="000000" w:themeColor="text2"/>
          <w:sz w:val="22"/>
          <w:szCs w:val="22"/>
        </w:rPr>
        <w:t xml:space="preserve"> and </w:t>
      </w:r>
      <w:r w:rsidR="00A2160B" w:rsidRPr="5F242609">
        <w:rPr>
          <w:rFonts w:asciiTheme="minorHAnsi" w:hAnsiTheme="minorHAnsi" w:cstheme="minorBidi"/>
          <w:color w:val="000000" w:themeColor="text2"/>
          <w:sz w:val="22"/>
          <w:szCs w:val="22"/>
        </w:rPr>
        <w:t>develop</w:t>
      </w:r>
      <w:r w:rsidR="00D52E15" w:rsidRPr="5F242609">
        <w:rPr>
          <w:rFonts w:asciiTheme="minorHAnsi" w:hAnsiTheme="minorHAnsi" w:cstheme="minorBidi"/>
          <w:color w:val="000000" w:themeColor="text2"/>
          <w:sz w:val="22"/>
          <w:szCs w:val="22"/>
        </w:rPr>
        <w:t xml:space="preserve"> </w:t>
      </w:r>
      <w:r w:rsidR="001F120A" w:rsidRPr="5F242609">
        <w:rPr>
          <w:rFonts w:asciiTheme="minorHAnsi" w:hAnsiTheme="minorHAnsi" w:cstheme="minorBidi"/>
          <w:color w:val="000000" w:themeColor="text2"/>
          <w:sz w:val="22"/>
          <w:szCs w:val="22"/>
        </w:rPr>
        <w:t>practical</w:t>
      </w:r>
      <w:r w:rsidR="00D52E15" w:rsidRPr="5F242609">
        <w:rPr>
          <w:rFonts w:asciiTheme="minorHAnsi" w:hAnsiTheme="minorHAnsi" w:cstheme="minorBidi"/>
          <w:color w:val="000000" w:themeColor="text2"/>
          <w:sz w:val="22"/>
          <w:szCs w:val="22"/>
        </w:rPr>
        <w:t xml:space="preserve"> </w:t>
      </w:r>
      <w:r w:rsidR="00A2160B" w:rsidRPr="5F242609">
        <w:rPr>
          <w:rFonts w:asciiTheme="minorHAnsi" w:hAnsiTheme="minorHAnsi" w:cstheme="minorBidi"/>
          <w:color w:val="000000" w:themeColor="text2"/>
          <w:sz w:val="22"/>
          <w:szCs w:val="22"/>
        </w:rPr>
        <w:t xml:space="preserve">recommendations </w:t>
      </w:r>
      <w:r w:rsidR="00D52E15" w:rsidRPr="5F242609">
        <w:rPr>
          <w:rFonts w:asciiTheme="minorHAnsi" w:hAnsiTheme="minorHAnsi" w:cstheme="minorBidi"/>
          <w:color w:val="000000" w:themeColor="text2"/>
          <w:sz w:val="22"/>
          <w:szCs w:val="22"/>
        </w:rPr>
        <w:t xml:space="preserve">for </w:t>
      </w:r>
      <w:r w:rsidRPr="5F242609">
        <w:rPr>
          <w:rFonts w:asciiTheme="minorHAnsi" w:hAnsiTheme="minorHAnsi" w:cstheme="minorBidi"/>
          <w:color w:val="000000" w:themeColor="text2"/>
          <w:sz w:val="22"/>
          <w:szCs w:val="22"/>
        </w:rPr>
        <w:t xml:space="preserve">the remainder of the investment period. </w:t>
      </w:r>
    </w:p>
    <w:p w14:paraId="4F58738D" w14:textId="4AB11C7C" w:rsidR="008F39BB" w:rsidRPr="005B6D16" w:rsidRDefault="004A5D9C" w:rsidP="00CE43C6">
      <w:pPr>
        <w:spacing w:before="240"/>
        <w:rPr>
          <w:rFonts w:asciiTheme="minorHAnsi" w:hAnsiTheme="minorHAnsi" w:cstheme="minorHAnsi"/>
          <w:color w:val="000000"/>
          <w:sz w:val="22"/>
          <w:szCs w:val="22"/>
        </w:rPr>
      </w:pPr>
      <w:r w:rsidRPr="005B6D16">
        <w:rPr>
          <w:rFonts w:asciiTheme="minorHAnsi" w:hAnsiTheme="minorHAnsi" w:cstheme="minorHAnsi"/>
          <w:color w:val="000000"/>
          <w:sz w:val="22"/>
          <w:szCs w:val="22"/>
        </w:rPr>
        <w:t>Each of the review focus areas, including effectiveness, MEL arrangements, DFAT oversight and engagement, programme logic, and implementation lessons learned, is addressed in more detail in the chapters that follow.</w:t>
      </w:r>
      <w:r w:rsidR="005C5713">
        <w:rPr>
          <w:rFonts w:asciiTheme="minorHAnsi" w:hAnsiTheme="minorHAnsi" w:cstheme="minorHAnsi"/>
          <w:color w:val="000000"/>
          <w:sz w:val="22"/>
          <w:szCs w:val="22"/>
        </w:rPr>
        <w:t xml:space="preserve"> </w:t>
      </w:r>
    </w:p>
    <w:p w14:paraId="12E498C2" w14:textId="45250BDA" w:rsidR="008A6B02" w:rsidRPr="009335AE" w:rsidRDefault="008A6B02" w:rsidP="003D231F">
      <w:pPr>
        <w:pStyle w:val="Heading2"/>
      </w:pPr>
      <w:bookmarkStart w:id="10" w:name="_Toc226976836"/>
      <w:bookmarkStart w:id="11" w:name="_Toc233026580"/>
      <w:r w:rsidRPr="009335AE">
        <w:t>Effectiveness</w:t>
      </w:r>
      <w:bookmarkEnd w:id="10"/>
      <w:bookmarkEnd w:id="11"/>
      <w:r w:rsidRPr="009335AE">
        <w:t xml:space="preserve"> </w:t>
      </w:r>
    </w:p>
    <w:p w14:paraId="06305380" w14:textId="07BF5454" w:rsidR="006A25F2" w:rsidRPr="0075316B" w:rsidRDefault="008A6B02" w:rsidP="009C3F1F">
      <w:pPr>
        <w:rPr>
          <w:rStyle w:val="Strong"/>
          <w:rFonts w:asciiTheme="minorHAnsi" w:hAnsiTheme="minorHAnsi" w:cstheme="minorHAnsi"/>
          <w:b w:val="0"/>
          <w:bCs w:val="0"/>
          <w:color w:val="000000"/>
          <w:sz w:val="22"/>
          <w:szCs w:val="22"/>
        </w:rPr>
      </w:pPr>
      <w:r w:rsidRPr="005B6D16">
        <w:rPr>
          <w:rFonts w:ascii="Arial" w:hAnsi="Arial" w:cs="Arial"/>
          <w:color w:val="000000"/>
          <w:sz w:val="22"/>
          <w:szCs w:val="22"/>
        </w:rPr>
        <w:t xml:space="preserve">AVETP has been </w:t>
      </w:r>
      <w:r w:rsidR="002A6D69" w:rsidRPr="005B6D16">
        <w:rPr>
          <w:rFonts w:ascii="Arial" w:hAnsi="Arial" w:cs="Arial"/>
          <w:color w:val="000000"/>
          <w:sz w:val="22"/>
          <w:szCs w:val="22"/>
        </w:rPr>
        <w:t xml:space="preserve">very </w:t>
      </w:r>
      <w:r w:rsidRPr="005B6D16">
        <w:rPr>
          <w:rFonts w:ascii="Arial" w:hAnsi="Arial" w:cs="Arial"/>
          <w:color w:val="000000"/>
          <w:sz w:val="22"/>
          <w:szCs w:val="22"/>
        </w:rPr>
        <w:t xml:space="preserve">effective in catalysing relevant, good quality, and in several </w:t>
      </w:r>
      <w:r w:rsidR="00054B02" w:rsidRPr="005B6D16">
        <w:rPr>
          <w:rFonts w:ascii="Arial" w:hAnsi="Arial" w:cs="Arial"/>
          <w:color w:val="000000"/>
          <w:sz w:val="22"/>
          <w:szCs w:val="22"/>
        </w:rPr>
        <w:t>cases,</w:t>
      </w:r>
      <w:r w:rsidRPr="005B6D16">
        <w:rPr>
          <w:rFonts w:ascii="Arial" w:hAnsi="Arial" w:cs="Arial"/>
          <w:color w:val="000000"/>
          <w:sz w:val="22"/>
          <w:szCs w:val="22"/>
        </w:rPr>
        <w:t xml:space="preserve"> market shaping transactions that support Vietnam’s transition to net zero. Its strongest performance has been at the transaction level, where PIDG’s combination of early-stage equity, longer tenor debt, guarantees, and technical assistance has helped fill financing gaps not well served by local banks or conventional MDB products. This has supported a diverse portfolio across e-mobility, rooftop solar, water infrastructure, recycling related green bonds, and emerging distributed energy platforms.</w:t>
      </w:r>
      <w:r w:rsidR="00586313" w:rsidRPr="005B6D16">
        <w:rPr>
          <w:rStyle w:val="Heading1Char"/>
          <w:color w:val="000000"/>
          <w:sz w:val="22"/>
          <w:szCs w:val="22"/>
        </w:rPr>
        <w:t xml:space="preserve"> </w:t>
      </w:r>
      <w:r w:rsidR="00586313" w:rsidRPr="005B6D16">
        <w:rPr>
          <w:rStyle w:val="Strong"/>
          <w:rFonts w:asciiTheme="minorHAnsi" w:hAnsiTheme="minorHAnsi" w:cstheme="minorHAnsi"/>
          <w:b w:val="0"/>
          <w:color w:val="000000"/>
          <w:sz w:val="22"/>
          <w:szCs w:val="22"/>
        </w:rPr>
        <w:t>As shown in Table 1, these transactions generated tangible results across multiple pathways, including renewable energy capacity and generation, emissions avoidance, clean mobility scale-up, water treatment capacity, recycling expansion, green bond finance, and private capital mobilisation.</w:t>
      </w:r>
      <w:r w:rsidRPr="005B6D16">
        <w:rPr>
          <w:rFonts w:asciiTheme="minorHAnsi" w:hAnsiTheme="minorHAnsi" w:cstheme="minorHAnsi"/>
          <w:color w:val="000000"/>
          <w:sz w:val="22"/>
          <w:szCs w:val="22"/>
        </w:rPr>
        <w:t xml:space="preserve"> </w:t>
      </w:r>
      <w:r w:rsidRPr="005B6D16">
        <w:rPr>
          <w:rFonts w:ascii="Arial" w:hAnsi="Arial" w:cs="Arial"/>
          <w:color w:val="000000"/>
          <w:sz w:val="22"/>
          <w:szCs w:val="22"/>
        </w:rPr>
        <w:t>The evidence suggests that AVETP’s most significant contribution has not been transaction volume, but the quality, structure, and catalytic character of financing, including first of kind transactions, stronger standards, improved investee readiness, longer tenors, local capital market development, and wider demonstration effects.</w:t>
      </w:r>
      <w:r w:rsidR="00542473" w:rsidRPr="005B6D16">
        <w:rPr>
          <w:rFonts w:ascii="Arial" w:hAnsi="Arial" w:cs="Arial"/>
          <w:color w:val="000000"/>
          <w:sz w:val="22"/>
          <w:szCs w:val="22"/>
        </w:rPr>
        <w:t xml:space="preserve"> </w:t>
      </w:r>
      <w:r w:rsidR="009501FD" w:rsidRPr="005B6D16">
        <w:rPr>
          <w:rFonts w:asciiTheme="minorHAnsi" w:hAnsiTheme="minorHAnsi" w:cstheme="minorHAnsi"/>
          <w:color w:val="000000"/>
          <w:sz w:val="22"/>
          <w:szCs w:val="22"/>
        </w:rPr>
        <w:t xml:space="preserve">Most stakeholders noted that </w:t>
      </w:r>
      <w:r w:rsidR="0051307F" w:rsidRPr="005B6D16">
        <w:rPr>
          <w:rFonts w:asciiTheme="minorHAnsi" w:hAnsiTheme="minorHAnsi" w:cstheme="minorHAnsi"/>
          <w:color w:val="000000"/>
          <w:sz w:val="22"/>
          <w:szCs w:val="22"/>
        </w:rPr>
        <w:t xml:space="preserve">there is the potential for </w:t>
      </w:r>
      <w:r w:rsidR="007637EA" w:rsidRPr="005B6D16">
        <w:rPr>
          <w:rFonts w:asciiTheme="minorHAnsi" w:hAnsiTheme="minorHAnsi" w:cstheme="minorHAnsi"/>
          <w:color w:val="000000"/>
          <w:sz w:val="22"/>
          <w:szCs w:val="22"/>
        </w:rPr>
        <w:t xml:space="preserve">PIDG to </w:t>
      </w:r>
      <w:r w:rsidR="009501FD" w:rsidRPr="005B6D16">
        <w:rPr>
          <w:rFonts w:asciiTheme="minorHAnsi" w:hAnsiTheme="minorHAnsi" w:cstheme="minorHAnsi"/>
          <w:color w:val="000000"/>
          <w:sz w:val="22"/>
          <w:szCs w:val="22"/>
        </w:rPr>
        <w:t>complete more transactions</w:t>
      </w:r>
      <w:r w:rsidR="007637EA" w:rsidRPr="005B6D16">
        <w:rPr>
          <w:rFonts w:asciiTheme="minorHAnsi" w:hAnsiTheme="minorHAnsi" w:cstheme="minorHAnsi"/>
          <w:color w:val="000000"/>
          <w:sz w:val="22"/>
          <w:szCs w:val="22"/>
        </w:rPr>
        <w:t xml:space="preserve"> in Vietnam</w:t>
      </w:r>
      <w:r w:rsidR="009501FD" w:rsidRPr="005B6D16">
        <w:rPr>
          <w:rFonts w:asciiTheme="minorHAnsi" w:hAnsiTheme="minorHAnsi" w:cstheme="minorHAnsi"/>
          <w:color w:val="000000"/>
          <w:sz w:val="22"/>
          <w:szCs w:val="22"/>
        </w:rPr>
        <w:t>, given the strength and depth of the market opportunity.</w:t>
      </w:r>
    </w:p>
    <w:p w14:paraId="7934358F" w14:textId="552B78FD" w:rsidR="00611677" w:rsidRDefault="00611677" w:rsidP="0040259E">
      <w:pPr>
        <w:pStyle w:val="Caption"/>
        <w:keepNext/>
        <w:jc w:val="left"/>
      </w:pPr>
      <w:bookmarkStart w:id="12" w:name="_Toc230168208"/>
      <w:bookmarkStart w:id="13" w:name="_Toc233026560"/>
      <w:r>
        <w:t xml:space="preserve">Table </w:t>
      </w:r>
      <w:r>
        <w:fldChar w:fldCharType="begin"/>
      </w:r>
      <w:r>
        <w:instrText xml:space="preserve"> SEQ Table \* ARABIC </w:instrText>
      </w:r>
      <w:r>
        <w:fldChar w:fldCharType="separate"/>
      </w:r>
      <w:r w:rsidR="006C7E0E">
        <w:rPr>
          <w:noProof/>
        </w:rPr>
        <w:t>1</w:t>
      </w:r>
      <w:r>
        <w:fldChar w:fldCharType="end"/>
      </w:r>
      <w:r>
        <w:t>:</w:t>
      </w:r>
      <w:bookmarkEnd w:id="12"/>
      <w:r w:rsidR="007F10BA">
        <w:t xml:space="preserve"> Consolidated AVETP Portfolio Results</w:t>
      </w:r>
      <w:bookmarkEnd w:id="13"/>
    </w:p>
    <w:tbl>
      <w:tblPr>
        <w:tblStyle w:val="CBSTable1"/>
        <w:tblW w:w="0" w:type="auto"/>
        <w:tblLook w:val="04A0" w:firstRow="1" w:lastRow="0" w:firstColumn="1" w:lastColumn="0" w:noHBand="0" w:noVBand="1"/>
      </w:tblPr>
      <w:tblGrid>
        <w:gridCol w:w="2405"/>
        <w:gridCol w:w="7793"/>
      </w:tblGrid>
      <w:tr w:rsidR="008D7C8C" w:rsidRPr="007F10BA" w14:paraId="7F2F6AD3" w14:textId="77777777" w:rsidTr="0075316B">
        <w:trPr>
          <w:tblHeader/>
        </w:trPr>
        <w:tc>
          <w:tcPr>
            <w:tcW w:w="2405" w:type="dxa"/>
            <w:shd w:val="clear" w:color="auto" w:fill="0065BC" w:themeFill="background2"/>
            <w:hideMark/>
          </w:tcPr>
          <w:p w14:paraId="7C11A4C1" w14:textId="77777777" w:rsidR="008D7C8C" w:rsidRPr="007F10BA" w:rsidRDefault="008D7C8C">
            <w:pPr>
              <w:jc w:val="center"/>
              <w:rPr>
                <w:rFonts w:asciiTheme="minorHAnsi" w:hAnsiTheme="minorHAnsi" w:cstheme="minorHAnsi"/>
                <w:b/>
                <w:bCs/>
                <w:color w:val="FFFFFF" w:themeColor="background1"/>
                <w:sz w:val="20"/>
                <w:szCs w:val="20"/>
              </w:rPr>
            </w:pPr>
            <w:r w:rsidRPr="007F10BA">
              <w:rPr>
                <w:rFonts w:asciiTheme="minorHAnsi" w:hAnsiTheme="minorHAnsi" w:cstheme="minorHAnsi"/>
                <w:b/>
                <w:bCs/>
                <w:color w:val="FFFFFF" w:themeColor="background1"/>
                <w:sz w:val="20"/>
                <w:szCs w:val="20"/>
              </w:rPr>
              <w:t>Result area</w:t>
            </w:r>
          </w:p>
        </w:tc>
        <w:tc>
          <w:tcPr>
            <w:tcW w:w="7793" w:type="dxa"/>
            <w:shd w:val="clear" w:color="auto" w:fill="0065BC" w:themeFill="background2"/>
            <w:hideMark/>
          </w:tcPr>
          <w:p w14:paraId="4BEA864F" w14:textId="77777777" w:rsidR="008D7C8C" w:rsidRPr="007F10BA" w:rsidRDefault="008D7C8C">
            <w:pPr>
              <w:jc w:val="center"/>
              <w:rPr>
                <w:rFonts w:asciiTheme="minorHAnsi" w:hAnsiTheme="minorHAnsi" w:cstheme="minorHAnsi"/>
                <w:b/>
                <w:bCs/>
                <w:color w:val="FFFFFF" w:themeColor="background1"/>
                <w:sz w:val="20"/>
                <w:szCs w:val="20"/>
              </w:rPr>
            </w:pPr>
            <w:r w:rsidRPr="007F10BA">
              <w:rPr>
                <w:rFonts w:asciiTheme="minorHAnsi" w:hAnsiTheme="minorHAnsi" w:cstheme="minorHAnsi"/>
                <w:b/>
                <w:bCs/>
                <w:color w:val="FFFFFF" w:themeColor="background1"/>
                <w:sz w:val="20"/>
                <w:szCs w:val="20"/>
              </w:rPr>
              <w:t>Combined result</w:t>
            </w:r>
          </w:p>
        </w:tc>
      </w:tr>
      <w:tr w:rsidR="008D7C8C" w:rsidRPr="007F10BA" w14:paraId="5497458C" w14:textId="77777777" w:rsidTr="0075316B">
        <w:tc>
          <w:tcPr>
            <w:tcW w:w="2405" w:type="dxa"/>
            <w:hideMark/>
          </w:tcPr>
          <w:p w14:paraId="59221098" w14:textId="77777777" w:rsidR="008D7C8C" w:rsidRPr="007F10BA" w:rsidRDefault="008D7C8C">
            <w:pPr>
              <w:rPr>
                <w:rFonts w:asciiTheme="minorHAnsi" w:hAnsiTheme="minorHAnsi" w:cstheme="minorHAnsi"/>
                <w:color w:val="000000"/>
                <w:sz w:val="20"/>
                <w:szCs w:val="20"/>
              </w:rPr>
            </w:pPr>
            <w:r w:rsidRPr="007F10BA">
              <w:rPr>
                <w:rStyle w:val="Strong"/>
                <w:rFonts w:asciiTheme="minorHAnsi" w:hAnsiTheme="minorHAnsi" w:cstheme="minorHAnsi"/>
                <w:color w:val="000000"/>
                <w:sz w:val="20"/>
                <w:szCs w:val="20"/>
              </w:rPr>
              <w:t>Renewable energy scale and output</w:t>
            </w:r>
          </w:p>
        </w:tc>
        <w:tc>
          <w:tcPr>
            <w:tcW w:w="7793" w:type="dxa"/>
            <w:hideMark/>
          </w:tcPr>
          <w:p w14:paraId="0AE37F4C" w14:textId="77777777" w:rsidR="008D7C8C" w:rsidRPr="00DD5E46" w:rsidRDefault="008D7C8C">
            <w:pPr>
              <w:rPr>
                <w:rFonts w:asciiTheme="minorHAnsi" w:hAnsiTheme="minorHAnsi" w:cstheme="minorHAnsi"/>
                <w:color w:val="000000"/>
                <w:sz w:val="20"/>
                <w:szCs w:val="20"/>
              </w:rPr>
            </w:pPr>
            <w:r w:rsidRPr="00DD5E46">
              <w:rPr>
                <w:rFonts w:asciiTheme="minorHAnsi" w:hAnsiTheme="minorHAnsi" w:cstheme="minorHAnsi"/>
                <w:color w:val="000000"/>
                <w:sz w:val="20"/>
                <w:szCs w:val="20"/>
              </w:rPr>
              <w:t>AVETP-supported renewable energy pathways represent</w:t>
            </w:r>
            <w:r w:rsidRPr="00DD5E46">
              <w:rPr>
                <w:rStyle w:val="apple-converted-space"/>
                <w:rFonts w:asciiTheme="minorHAnsi" w:hAnsiTheme="minorHAnsi" w:cstheme="minorHAnsi"/>
                <w:color w:val="000000"/>
                <w:sz w:val="20"/>
                <w:szCs w:val="20"/>
              </w:rPr>
              <w:t> </w:t>
            </w:r>
            <w:r w:rsidRPr="00DD5E46">
              <w:rPr>
                <w:rStyle w:val="Strong"/>
                <w:rFonts w:asciiTheme="minorHAnsi" w:hAnsiTheme="minorHAnsi" w:cstheme="minorHAnsi"/>
                <w:color w:val="000000"/>
                <w:sz w:val="20"/>
                <w:szCs w:val="20"/>
              </w:rPr>
              <w:t>313.68 MW of realised or planned renewable capacity</w:t>
            </w:r>
            <w:r w:rsidRPr="00DD5E46">
              <w:rPr>
                <w:rFonts w:asciiTheme="minorHAnsi" w:hAnsiTheme="minorHAnsi" w:cstheme="minorHAnsi"/>
                <w:color w:val="000000"/>
                <w:sz w:val="20"/>
                <w:szCs w:val="20"/>
              </w:rPr>
              <w:t>, with current or expected annual renewable electricity generation of</w:t>
            </w:r>
            <w:r w:rsidRPr="00DD5E46">
              <w:rPr>
                <w:rStyle w:val="apple-converted-space"/>
                <w:rFonts w:asciiTheme="minorHAnsi" w:hAnsiTheme="minorHAnsi" w:cstheme="minorHAnsi"/>
                <w:color w:val="000000"/>
                <w:sz w:val="20"/>
                <w:szCs w:val="20"/>
              </w:rPr>
              <w:t> </w:t>
            </w:r>
            <w:r w:rsidRPr="00DD5E46">
              <w:rPr>
                <w:rStyle w:val="Strong"/>
                <w:rFonts w:asciiTheme="minorHAnsi" w:hAnsiTheme="minorHAnsi" w:cstheme="minorHAnsi"/>
                <w:color w:val="000000"/>
                <w:sz w:val="20"/>
                <w:szCs w:val="20"/>
              </w:rPr>
              <w:t>382,060 MWh/year</w:t>
            </w:r>
            <w:r w:rsidRPr="00DD5E46">
              <w:rPr>
                <w:rFonts w:asciiTheme="minorHAnsi" w:hAnsiTheme="minorHAnsi" w:cstheme="minorHAnsi"/>
                <w:color w:val="000000"/>
                <w:sz w:val="20"/>
                <w:szCs w:val="20"/>
              </w:rPr>
              <w:t>.</w:t>
            </w:r>
          </w:p>
        </w:tc>
      </w:tr>
      <w:tr w:rsidR="008D7C8C" w:rsidRPr="007F10BA" w14:paraId="03407D0F" w14:textId="77777777" w:rsidTr="0075316B">
        <w:tc>
          <w:tcPr>
            <w:tcW w:w="2405" w:type="dxa"/>
            <w:hideMark/>
          </w:tcPr>
          <w:p w14:paraId="4A53FBE0" w14:textId="77777777" w:rsidR="008D7C8C" w:rsidRPr="007F10BA" w:rsidRDefault="008D7C8C">
            <w:pPr>
              <w:rPr>
                <w:rFonts w:asciiTheme="minorHAnsi" w:hAnsiTheme="minorHAnsi" w:cstheme="minorHAnsi"/>
                <w:color w:val="000000"/>
                <w:sz w:val="20"/>
                <w:szCs w:val="20"/>
              </w:rPr>
            </w:pPr>
            <w:r w:rsidRPr="007F10BA">
              <w:rPr>
                <w:rStyle w:val="Strong"/>
                <w:rFonts w:asciiTheme="minorHAnsi" w:hAnsiTheme="minorHAnsi" w:cstheme="minorHAnsi"/>
                <w:color w:val="000000"/>
                <w:sz w:val="20"/>
                <w:szCs w:val="20"/>
              </w:rPr>
              <w:t>Estimated or projected emissions avoided</w:t>
            </w:r>
          </w:p>
        </w:tc>
        <w:tc>
          <w:tcPr>
            <w:tcW w:w="7793" w:type="dxa"/>
            <w:hideMark/>
          </w:tcPr>
          <w:p w14:paraId="12F2AF6C" w14:textId="1C160D50" w:rsidR="008D7C8C" w:rsidRPr="00DD5E46" w:rsidRDefault="008D7C8C">
            <w:pPr>
              <w:rPr>
                <w:rFonts w:asciiTheme="minorHAnsi" w:hAnsiTheme="minorHAnsi" w:cstheme="minorHAnsi"/>
                <w:color w:val="000000"/>
                <w:sz w:val="20"/>
                <w:szCs w:val="20"/>
              </w:rPr>
            </w:pPr>
            <w:r w:rsidRPr="00DD5E46">
              <w:rPr>
                <w:rFonts w:asciiTheme="minorHAnsi" w:hAnsiTheme="minorHAnsi" w:cstheme="minorHAnsi"/>
                <w:color w:val="000000"/>
                <w:sz w:val="20"/>
                <w:szCs w:val="20"/>
              </w:rPr>
              <w:t>AVETP-supported pathways are associated with</w:t>
            </w:r>
            <w:r w:rsidRPr="00DD5E46">
              <w:rPr>
                <w:rStyle w:val="apple-converted-space"/>
                <w:rFonts w:asciiTheme="minorHAnsi" w:hAnsiTheme="minorHAnsi" w:cstheme="minorHAnsi"/>
                <w:color w:val="000000"/>
                <w:sz w:val="20"/>
                <w:szCs w:val="20"/>
              </w:rPr>
              <w:t> </w:t>
            </w:r>
            <w:r w:rsidRPr="00DD5E46">
              <w:rPr>
                <w:rStyle w:val="Strong"/>
                <w:rFonts w:asciiTheme="minorHAnsi" w:hAnsiTheme="minorHAnsi" w:cstheme="minorHAnsi"/>
                <w:color w:val="000000"/>
                <w:sz w:val="20"/>
                <w:szCs w:val="20"/>
              </w:rPr>
              <w:t xml:space="preserve">260,777 </w:t>
            </w:r>
            <w:proofErr w:type="spellStart"/>
            <w:r w:rsidRPr="00DD5E46">
              <w:rPr>
                <w:rStyle w:val="Strong"/>
                <w:rFonts w:asciiTheme="minorHAnsi" w:hAnsiTheme="minorHAnsi" w:cstheme="minorHAnsi"/>
                <w:color w:val="000000"/>
                <w:sz w:val="20"/>
                <w:szCs w:val="20"/>
              </w:rPr>
              <w:t>tCO</w:t>
            </w:r>
            <w:r w:rsidRPr="00DD5E46">
              <w:rPr>
                <w:rStyle w:val="Strong"/>
                <w:rFonts w:ascii="Cambria Math" w:hAnsi="Cambria Math" w:cs="Cambria Math"/>
                <w:color w:val="000000"/>
                <w:sz w:val="20"/>
                <w:szCs w:val="20"/>
              </w:rPr>
              <w:t>₂</w:t>
            </w:r>
            <w:r w:rsidRPr="00DD5E46">
              <w:rPr>
                <w:rStyle w:val="Strong"/>
                <w:rFonts w:asciiTheme="minorHAnsi" w:hAnsiTheme="minorHAnsi" w:cstheme="minorHAnsi"/>
                <w:color w:val="000000"/>
                <w:sz w:val="20"/>
                <w:szCs w:val="20"/>
              </w:rPr>
              <w:t>e</w:t>
            </w:r>
            <w:proofErr w:type="spellEnd"/>
            <w:r w:rsidRPr="00DD5E46">
              <w:rPr>
                <w:rStyle w:val="Strong"/>
                <w:rFonts w:asciiTheme="minorHAnsi" w:hAnsiTheme="minorHAnsi" w:cstheme="minorHAnsi"/>
                <w:color w:val="000000"/>
                <w:sz w:val="20"/>
                <w:szCs w:val="20"/>
              </w:rPr>
              <w:t>/year</w:t>
            </w:r>
            <w:r w:rsidRPr="00DD5E46">
              <w:rPr>
                <w:rStyle w:val="apple-converted-space"/>
                <w:rFonts w:asciiTheme="minorHAnsi" w:hAnsiTheme="minorHAnsi" w:cstheme="minorHAnsi"/>
                <w:color w:val="000000"/>
                <w:sz w:val="20"/>
                <w:szCs w:val="20"/>
              </w:rPr>
              <w:t> </w:t>
            </w:r>
            <w:r w:rsidRPr="00DD5E46">
              <w:rPr>
                <w:rFonts w:asciiTheme="minorHAnsi" w:hAnsiTheme="minorHAnsi" w:cstheme="minorHAnsi"/>
                <w:color w:val="000000"/>
                <w:sz w:val="20"/>
                <w:szCs w:val="20"/>
              </w:rPr>
              <w:t>in estimated or projected emissions avoided</w:t>
            </w:r>
            <w:r w:rsidR="007F10BA" w:rsidRPr="00DD5E46">
              <w:rPr>
                <w:rFonts w:asciiTheme="minorHAnsi" w:hAnsiTheme="minorHAnsi" w:cstheme="minorHAnsi"/>
                <w:color w:val="000000"/>
                <w:sz w:val="20"/>
                <w:szCs w:val="20"/>
              </w:rPr>
              <w:t xml:space="preserve">. </w:t>
            </w:r>
          </w:p>
        </w:tc>
      </w:tr>
      <w:tr w:rsidR="008D7C8C" w:rsidRPr="007F10BA" w14:paraId="129E8308" w14:textId="77777777" w:rsidTr="0075316B">
        <w:tc>
          <w:tcPr>
            <w:tcW w:w="2405" w:type="dxa"/>
            <w:hideMark/>
          </w:tcPr>
          <w:p w14:paraId="5C0A4C1D" w14:textId="4145593B" w:rsidR="008D7C8C" w:rsidRPr="0075316B" w:rsidRDefault="0075316B">
            <w:pPr>
              <w:rPr>
                <w:rFonts w:asciiTheme="minorHAnsi" w:hAnsiTheme="minorHAnsi" w:cstheme="minorHAnsi"/>
                <w:b/>
                <w:bCs/>
                <w:color w:val="000000"/>
                <w:sz w:val="20"/>
                <w:szCs w:val="20"/>
              </w:rPr>
            </w:pPr>
            <w:r w:rsidRPr="0075316B">
              <w:rPr>
                <w:rFonts w:asciiTheme="minorHAnsi" w:hAnsiTheme="minorHAnsi" w:cstheme="minorHAnsi"/>
                <w:b/>
                <w:bCs/>
                <w:color w:val="000000"/>
                <w:sz w:val="20"/>
                <w:szCs w:val="20"/>
              </w:rPr>
              <w:t>VND-denominated finance and investment</w:t>
            </w:r>
          </w:p>
        </w:tc>
        <w:tc>
          <w:tcPr>
            <w:tcW w:w="7793" w:type="dxa"/>
            <w:hideMark/>
          </w:tcPr>
          <w:p w14:paraId="1216E010" w14:textId="066F4E4C" w:rsidR="008D7C8C" w:rsidRPr="00DD5E46" w:rsidRDefault="0075316B">
            <w:pPr>
              <w:rPr>
                <w:rFonts w:asciiTheme="minorHAnsi" w:hAnsiTheme="minorHAnsi" w:cstheme="minorHAnsi"/>
                <w:color w:val="000000"/>
                <w:sz w:val="20"/>
                <w:szCs w:val="20"/>
              </w:rPr>
            </w:pPr>
            <w:r w:rsidRPr="00DD5E46">
              <w:rPr>
                <w:rFonts w:asciiTheme="minorHAnsi" w:hAnsiTheme="minorHAnsi" w:cstheme="minorHAnsi"/>
                <w:color w:val="000000"/>
                <w:sz w:val="20"/>
                <w:szCs w:val="20"/>
              </w:rPr>
              <w:t>AVETP-supported transactions account for</w:t>
            </w:r>
            <w:r w:rsidRPr="00DD5E46">
              <w:rPr>
                <w:rStyle w:val="apple-converted-space"/>
                <w:rFonts w:asciiTheme="minorHAnsi" w:hAnsiTheme="minorHAnsi" w:cstheme="minorHAnsi"/>
                <w:color w:val="000000"/>
                <w:sz w:val="20"/>
                <w:szCs w:val="20"/>
              </w:rPr>
              <w:t> </w:t>
            </w:r>
            <w:r w:rsidRPr="00DD5E46">
              <w:rPr>
                <w:rStyle w:val="Strong"/>
                <w:rFonts w:asciiTheme="minorHAnsi" w:hAnsiTheme="minorHAnsi" w:cstheme="minorHAnsi"/>
                <w:color w:val="000000"/>
                <w:sz w:val="20"/>
                <w:szCs w:val="20"/>
              </w:rPr>
              <w:t>VND 869 billion</w:t>
            </w:r>
            <w:r w:rsidRPr="00DD5E46">
              <w:rPr>
                <w:rStyle w:val="apple-converted-space"/>
                <w:rFonts w:asciiTheme="minorHAnsi" w:hAnsiTheme="minorHAnsi" w:cstheme="minorHAnsi"/>
                <w:color w:val="000000"/>
                <w:sz w:val="20"/>
                <w:szCs w:val="20"/>
              </w:rPr>
              <w:t> </w:t>
            </w:r>
            <w:r w:rsidRPr="00DD5E46">
              <w:rPr>
                <w:rFonts w:asciiTheme="minorHAnsi" w:hAnsiTheme="minorHAnsi" w:cstheme="minorHAnsi"/>
                <w:color w:val="000000"/>
                <w:sz w:val="20"/>
                <w:szCs w:val="20"/>
              </w:rPr>
              <w:t xml:space="preserve">in VND-denominated finance and investment, comprising VND 391 billion in local debt mobilised, VND 260 billion in green bond finance, and VND 218 billion in </w:t>
            </w:r>
            <w:proofErr w:type="spellStart"/>
            <w:r w:rsidRPr="00DD5E46">
              <w:rPr>
                <w:rFonts w:asciiTheme="minorHAnsi" w:hAnsiTheme="minorHAnsi" w:cstheme="minorHAnsi"/>
                <w:color w:val="000000"/>
                <w:sz w:val="20"/>
                <w:szCs w:val="20"/>
              </w:rPr>
              <w:t>InfraCo</w:t>
            </w:r>
            <w:proofErr w:type="spellEnd"/>
            <w:r w:rsidRPr="00DD5E46">
              <w:rPr>
                <w:rFonts w:asciiTheme="minorHAnsi" w:hAnsiTheme="minorHAnsi" w:cstheme="minorHAnsi"/>
                <w:color w:val="000000"/>
                <w:sz w:val="20"/>
                <w:szCs w:val="20"/>
              </w:rPr>
              <w:t xml:space="preserve"> equity investment.</w:t>
            </w:r>
          </w:p>
        </w:tc>
      </w:tr>
    </w:tbl>
    <w:p w14:paraId="489073B0" w14:textId="4BF286BC" w:rsidR="008A6B02" w:rsidRDefault="008A6B02" w:rsidP="003D231F">
      <w:pPr>
        <w:pStyle w:val="Heading2"/>
      </w:pPr>
      <w:bookmarkStart w:id="14" w:name="_Toc226976837"/>
      <w:bookmarkStart w:id="15" w:name="_Toc233026581"/>
      <w:r w:rsidRPr="008A6B02">
        <w:t>AVETP MEL Arrangements</w:t>
      </w:r>
      <w:bookmarkEnd w:id="14"/>
      <w:bookmarkEnd w:id="15"/>
      <w:r w:rsidRPr="008A6B02">
        <w:t xml:space="preserve"> </w:t>
      </w:r>
    </w:p>
    <w:p w14:paraId="68B30FC3" w14:textId="640D8413" w:rsidR="008A6B02" w:rsidRPr="005B6D16" w:rsidRDefault="008A6B02" w:rsidP="008A6B02">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 xml:space="preserve">The evidence suggests that AVETP’s current MEL arrangements are partly functional but not yet fit for purpose as a DFAT </w:t>
      </w:r>
      <w:r w:rsidR="002A43EB" w:rsidRPr="005B6D16">
        <w:rPr>
          <w:rFonts w:ascii="Arial" w:hAnsi="Arial" w:cs="Arial"/>
          <w:color w:val="000000"/>
          <w:sz w:val="22"/>
          <w:szCs w:val="22"/>
        </w:rPr>
        <w:t xml:space="preserve">bilateral </w:t>
      </w:r>
      <w:r w:rsidRPr="005B6D16">
        <w:rPr>
          <w:rFonts w:ascii="Arial" w:hAnsi="Arial" w:cs="Arial"/>
          <w:color w:val="000000"/>
          <w:sz w:val="22"/>
          <w:szCs w:val="22"/>
        </w:rPr>
        <w:t>programme.</w:t>
      </w:r>
      <w:r w:rsidR="002A43EB" w:rsidRPr="005B6D16">
        <w:rPr>
          <w:rFonts w:ascii="Helvetica" w:hAnsi="Helvetica" w:cs="Helvetica"/>
          <w:sz w:val="22"/>
          <w:szCs w:val="22"/>
          <w:lang w:val="en-GB" w:eastAsia="en-US"/>
        </w:rPr>
        <w:t xml:space="preserve"> </w:t>
      </w:r>
      <w:r w:rsidRPr="005B6D16">
        <w:rPr>
          <w:rFonts w:ascii="Arial" w:hAnsi="Arial" w:cs="Arial"/>
          <w:color w:val="000000"/>
          <w:sz w:val="22"/>
          <w:szCs w:val="22"/>
        </w:rPr>
        <w:t xml:space="preserve">PIDG has credible corporate systems for impact management, safeguards, and transaction monitoring, and </w:t>
      </w:r>
      <w:r w:rsidR="00C217FD" w:rsidRPr="005B6D16">
        <w:rPr>
          <w:rFonts w:ascii="Arial" w:hAnsi="Arial" w:cs="Arial"/>
          <w:color w:val="000000"/>
          <w:sz w:val="22"/>
          <w:szCs w:val="22"/>
        </w:rPr>
        <w:t xml:space="preserve">these support </w:t>
      </w:r>
      <w:r w:rsidR="00FF4F46" w:rsidRPr="005B6D16">
        <w:rPr>
          <w:rFonts w:ascii="Arial" w:hAnsi="Arial" w:cs="Arial"/>
          <w:color w:val="000000"/>
          <w:sz w:val="22"/>
          <w:szCs w:val="22"/>
        </w:rPr>
        <w:t xml:space="preserve">global </w:t>
      </w:r>
      <w:r w:rsidR="00C217FD" w:rsidRPr="005B6D16">
        <w:rPr>
          <w:rFonts w:ascii="Arial" w:hAnsi="Arial" w:cs="Arial"/>
          <w:color w:val="000000"/>
          <w:sz w:val="22"/>
          <w:szCs w:val="22"/>
        </w:rPr>
        <w:t xml:space="preserve">transaction-level oversight. </w:t>
      </w:r>
      <w:r w:rsidRPr="005B6D16">
        <w:rPr>
          <w:rFonts w:ascii="Arial" w:hAnsi="Arial" w:cs="Arial"/>
          <w:color w:val="000000"/>
          <w:sz w:val="22"/>
          <w:szCs w:val="22"/>
        </w:rPr>
        <w:t xml:space="preserve">However, </w:t>
      </w:r>
      <w:r w:rsidR="00CE5A59" w:rsidRPr="005B6D16">
        <w:rPr>
          <w:rFonts w:ascii="Arial" w:hAnsi="Arial" w:cs="Arial"/>
          <w:color w:val="000000"/>
          <w:sz w:val="22"/>
          <w:szCs w:val="22"/>
        </w:rPr>
        <w:t>they</w:t>
      </w:r>
      <w:r w:rsidRPr="005B6D16">
        <w:rPr>
          <w:rFonts w:ascii="Arial" w:hAnsi="Arial" w:cs="Arial"/>
          <w:color w:val="000000"/>
          <w:sz w:val="22"/>
          <w:szCs w:val="22"/>
        </w:rPr>
        <w:t xml:space="preserve"> have not been translated into a clear Vietnam specific MEL architecture capable of reporting against AVETP’s agreed EOPOs, intermediate outcomes, and cross</w:t>
      </w:r>
      <w:r w:rsidR="001C6C88" w:rsidRPr="005B6D16">
        <w:rPr>
          <w:rFonts w:ascii="Arial" w:hAnsi="Arial" w:cs="Arial"/>
          <w:color w:val="000000"/>
          <w:sz w:val="22"/>
          <w:szCs w:val="22"/>
        </w:rPr>
        <w:t>-</w:t>
      </w:r>
      <w:r w:rsidRPr="005B6D16">
        <w:rPr>
          <w:rFonts w:ascii="Arial" w:hAnsi="Arial" w:cs="Arial"/>
          <w:color w:val="000000"/>
          <w:sz w:val="22"/>
          <w:szCs w:val="22"/>
        </w:rPr>
        <w:t xml:space="preserve">cutting priorities. </w:t>
      </w:r>
    </w:p>
    <w:p w14:paraId="61B2E457" w14:textId="140D0648" w:rsidR="004E1DE6" w:rsidRPr="005B6D16" w:rsidRDefault="00CE5A59" w:rsidP="002C3ADB">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lastRenderedPageBreak/>
        <w:t>As a result, useful transaction-level data exists but remains fragmented across client teams and has not yet been systematically collected and aggregated into a coherent AVETP-wide performance story.</w:t>
      </w:r>
      <w:r w:rsidR="00FF4F46" w:rsidRPr="005B6D16">
        <w:rPr>
          <w:rFonts w:ascii="Arial" w:hAnsi="Arial" w:cs="Arial"/>
          <w:color w:val="000000"/>
          <w:sz w:val="22"/>
          <w:szCs w:val="22"/>
        </w:rPr>
        <w:t xml:space="preserve"> </w:t>
      </w:r>
      <w:r w:rsidR="008A6B02" w:rsidRPr="005B6D16">
        <w:rPr>
          <w:rFonts w:ascii="Arial" w:hAnsi="Arial" w:cs="Arial"/>
          <w:color w:val="000000"/>
          <w:sz w:val="22"/>
          <w:szCs w:val="22"/>
        </w:rPr>
        <w:t xml:space="preserve">This gap is </w:t>
      </w:r>
      <w:r w:rsidR="004E1DE6" w:rsidRPr="005B6D16">
        <w:rPr>
          <w:rFonts w:ascii="Arial" w:hAnsi="Arial" w:cs="Arial"/>
          <w:color w:val="000000"/>
          <w:sz w:val="22"/>
          <w:szCs w:val="22"/>
        </w:rPr>
        <w:t>particularly important because s</w:t>
      </w:r>
      <w:r w:rsidR="008A6B02" w:rsidRPr="005B6D16">
        <w:rPr>
          <w:rFonts w:ascii="Arial" w:hAnsi="Arial" w:cs="Arial"/>
          <w:color w:val="000000"/>
          <w:sz w:val="22"/>
          <w:szCs w:val="22"/>
        </w:rPr>
        <w:t>everal transactions remain early stage, under construction, or recently closed,</w:t>
      </w:r>
      <w:r w:rsidR="00796DE0" w:rsidRPr="005B6D16">
        <w:rPr>
          <w:rFonts w:ascii="Arial" w:hAnsi="Arial" w:cs="Arial"/>
          <w:color w:val="000000"/>
          <w:sz w:val="22"/>
          <w:szCs w:val="22"/>
        </w:rPr>
        <w:t xml:space="preserve"> </w:t>
      </w:r>
      <w:r w:rsidR="00796DE0" w:rsidRPr="005B6D16">
        <w:rPr>
          <w:rFonts w:asciiTheme="minorHAnsi" w:hAnsiTheme="minorHAnsi" w:cstheme="minorHAnsi"/>
          <w:color w:val="000000"/>
          <w:sz w:val="22"/>
          <w:szCs w:val="22"/>
        </w:rPr>
        <w:t>making outcome and impact measurement somewhat premature</w:t>
      </w:r>
      <w:r w:rsidR="00796DE0" w:rsidRPr="005B6D16">
        <w:rPr>
          <w:rFonts w:ascii="Arial" w:hAnsi="Arial" w:cs="Arial"/>
          <w:color w:val="000000"/>
          <w:sz w:val="22"/>
          <w:szCs w:val="22"/>
        </w:rPr>
        <w:t xml:space="preserve">. In </w:t>
      </w:r>
      <w:r w:rsidR="001F120A" w:rsidRPr="005B6D16">
        <w:rPr>
          <w:rFonts w:ascii="Arial" w:hAnsi="Arial" w:cs="Arial"/>
          <w:color w:val="000000"/>
          <w:sz w:val="22"/>
          <w:szCs w:val="22"/>
        </w:rPr>
        <w:t>addition, AVETP</w:t>
      </w:r>
      <w:r w:rsidR="00796DE0" w:rsidRPr="005B6D16">
        <w:rPr>
          <w:rFonts w:ascii="Arial" w:hAnsi="Arial" w:cs="Arial"/>
          <w:color w:val="000000"/>
          <w:sz w:val="22"/>
          <w:szCs w:val="22"/>
        </w:rPr>
        <w:t xml:space="preserve">-supported work covers a broader climate finance </w:t>
      </w:r>
      <w:r w:rsidR="004E1DE6" w:rsidRPr="005B6D16">
        <w:rPr>
          <w:rFonts w:ascii="Arial" w:hAnsi="Arial" w:cs="Arial"/>
          <w:color w:val="000000"/>
          <w:sz w:val="22"/>
          <w:szCs w:val="22"/>
        </w:rPr>
        <w:t xml:space="preserve">portfolio </w:t>
      </w:r>
      <w:r w:rsidR="00796DE0" w:rsidRPr="005B6D16">
        <w:rPr>
          <w:rFonts w:ascii="Arial" w:hAnsi="Arial" w:cs="Arial"/>
          <w:color w:val="000000"/>
          <w:sz w:val="22"/>
          <w:szCs w:val="22"/>
        </w:rPr>
        <w:t>than</w:t>
      </w:r>
      <w:r w:rsidR="008A6B02" w:rsidRPr="005B6D16">
        <w:rPr>
          <w:rFonts w:ascii="Arial" w:hAnsi="Arial" w:cs="Arial"/>
          <w:color w:val="000000"/>
          <w:sz w:val="22"/>
          <w:szCs w:val="22"/>
        </w:rPr>
        <w:t xml:space="preserve"> renewable energy generation </w:t>
      </w:r>
      <w:r w:rsidR="00796DE0" w:rsidRPr="005B6D16">
        <w:rPr>
          <w:rFonts w:ascii="Arial" w:hAnsi="Arial" w:cs="Arial"/>
          <w:color w:val="000000"/>
          <w:sz w:val="22"/>
          <w:szCs w:val="22"/>
        </w:rPr>
        <w:t xml:space="preserve">alone, </w:t>
      </w:r>
      <w:r w:rsidR="008A6B02" w:rsidRPr="005B6D16">
        <w:rPr>
          <w:rFonts w:ascii="Arial" w:hAnsi="Arial" w:cs="Arial"/>
          <w:color w:val="000000"/>
          <w:sz w:val="22"/>
          <w:szCs w:val="22"/>
        </w:rPr>
        <w:t>includ</w:t>
      </w:r>
      <w:r w:rsidR="00796DE0" w:rsidRPr="005B6D16">
        <w:rPr>
          <w:rFonts w:ascii="Arial" w:hAnsi="Arial" w:cs="Arial"/>
          <w:color w:val="000000"/>
          <w:sz w:val="22"/>
          <w:szCs w:val="22"/>
        </w:rPr>
        <w:t>ing</w:t>
      </w:r>
      <w:r w:rsidR="008A6B02" w:rsidRPr="005B6D16">
        <w:rPr>
          <w:rFonts w:ascii="Arial" w:hAnsi="Arial" w:cs="Arial"/>
          <w:color w:val="000000"/>
          <w:sz w:val="22"/>
          <w:szCs w:val="22"/>
        </w:rPr>
        <w:t xml:space="preserve"> e</w:t>
      </w:r>
      <w:r w:rsidR="00BE5E91" w:rsidRPr="005B6D16">
        <w:rPr>
          <w:rFonts w:ascii="Arial" w:hAnsi="Arial" w:cs="Arial"/>
          <w:color w:val="000000"/>
          <w:sz w:val="22"/>
          <w:szCs w:val="22"/>
        </w:rPr>
        <w:t>-</w:t>
      </w:r>
      <w:r w:rsidR="008A6B02" w:rsidRPr="005B6D16">
        <w:rPr>
          <w:rFonts w:ascii="Arial" w:hAnsi="Arial" w:cs="Arial"/>
          <w:color w:val="000000"/>
          <w:sz w:val="22"/>
          <w:szCs w:val="22"/>
        </w:rPr>
        <w:t xml:space="preserve">mobility, water, </w:t>
      </w:r>
      <w:r w:rsidR="004E1DE6" w:rsidRPr="005B6D16">
        <w:rPr>
          <w:rFonts w:ascii="Arial" w:hAnsi="Arial" w:cs="Arial"/>
          <w:color w:val="000000"/>
          <w:sz w:val="22"/>
          <w:szCs w:val="22"/>
        </w:rPr>
        <w:t xml:space="preserve">and </w:t>
      </w:r>
      <w:r w:rsidR="008A6B02" w:rsidRPr="005B6D16">
        <w:rPr>
          <w:rFonts w:ascii="Arial" w:hAnsi="Arial" w:cs="Arial"/>
          <w:color w:val="000000"/>
          <w:sz w:val="22"/>
          <w:szCs w:val="22"/>
        </w:rPr>
        <w:t>recycling</w:t>
      </w:r>
      <w:r w:rsidR="004E1DE6" w:rsidRPr="005B6D16">
        <w:rPr>
          <w:rFonts w:ascii="Arial" w:hAnsi="Arial" w:cs="Arial"/>
          <w:color w:val="000000"/>
          <w:sz w:val="22"/>
          <w:szCs w:val="22"/>
        </w:rPr>
        <w:t>.</w:t>
      </w:r>
      <w:r w:rsidR="00796DE0" w:rsidRPr="005B6D16">
        <w:rPr>
          <w:rFonts w:ascii="Arial" w:hAnsi="Arial" w:cs="Arial"/>
          <w:color w:val="000000"/>
          <w:sz w:val="22"/>
          <w:szCs w:val="22"/>
        </w:rPr>
        <w:t xml:space="preserve"> These areas </w:t>
      </w:r>
      <w:r w:rsidR="00412A86" w:rsidRPr="005B6D16">
        <w:rPr>
          <w:rFonts w:ascii="Arial" w:hAnsi="Arial" w:cs="Arial"/>
          <w:color w:val="000000"/>
          <w:sz w:val="22"/>
          <w:szCs w:val="22"/>
        </w:rPr>
        <w:t>are aligned with the objective of the program</w:t>
      </w:r>
      <w:r w:rsidR="00796DE0" w:rsidRPr="005B6D16">
        <w:rPr>
          <w:rFonts w:ascii="Arial" w:hAnsi="Arial" w:cs="Arial"/>
          <w:color w:val="000000"/>
          <w:sz w:val="22"/>
          <w:szCs w:val="22"/>
        </w:rPr>
        <w:t xml:space="preserve">, but current reporting and MEL arrangements do not yet fully capture their contribution in a consolidated country-level narrative. </w:t>
      </w:r>
      <w:r w:rsidR="00BE5E91" w:rsidRPr="005B6D16">
        <w:rPr>
          <w:rFonts w:ascii="Arial" w:hAnsi="Arial" w:cs="Arial"/>
          <w:color w:val="000000"/>
          <w:sz w:val="22"/>
          <w:szCs w:val="22"/>
        </w:rPr>
        <w:t>Current</w:t>
      </w:r>
      <w:r w:rsidR="008A6B02" w:rsidRPr="005B6D16">
        <w:rPr>
          <w:rFonts w:ascii="Arial" w:hAnsi="Arial" w:cs="Arial"/>
          <w:color w:val="000000"/>
          <w:sz w:val="22"/>
          <w:szCs w:val="22"/>
        </w:rPr>
        <w:t xml:space="preserve"> arrangements therefore serve PIDG’s transaction management needs </w:t>
      </w:r>
      <w:r w:rsidR="009811E1" w:rsidRPr="005B6D16">
        <w:rPr>
          <w:rFonts w:ascii="Arial" w:hAnsi="Arial" w:cs="Arial"/>
          <w:color w:val="000000"/>
          <w:sz w:val="22"/>
          <w:szCs w:val="22"/>
        </w:rPr>
        <w:t xml:space="preserve">rather </w:t>
      </w:r>
      <w:r w:rsidR="008A6B02" w:rsidRPr="005B6D16">
        <w:rPr>
          <w:rFonts w:ascii="Arial" w:hAnsi="Arial" w:cs="Arial"/>
          <w:color w:val="000000"/>
          <w:sz w:val="22"/>
          <w:szCs w:val="22"/>
        </w:rPr>
        <w:t xml:space="preserve">than DFAT’s requirements for country level </w:t>
      </w:r>
      <w:r w:rsidR="004E1DE6" w:rsidRPr="005B6D16">
        <w:rPr>
          <w:rFonts w:ascii="Arial" w:hAnsi="Arial" w:cs="Arial"/>
          <w:color w:val="000000"/>
          <w:sz w:val="22"/>
          <w:szCs w:val="22"/>
        </w:rPr>
        <w:t>reporting, learning, and performance management requirements.</w:t>
      </w:r>
      <w:r w:rsidR="008A6B02" w:rsidRPr="005B6D16">
        <w:rPr>
          <w:rFonts w:ascii="Arial" w:hAnsi="Arial" w:cs="Arial"/>
          <w:color w:val="000000"/>
          <w:sz w:val="22"/>
          <w:szCs w:val="22"/>
        </w:rPr>
        <w:t xml:space="preserve"> </w:t>
      </w:r>
    </w:p>
    <w:p w14:paraId="6805F3EE" w14:textId="2524FE3D" w:rsidR="002C3ADB" w:rsidRPr="005B6D16" w:rsidRDefault="008A6B02" w:rsidP="002C3ADB">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 xml:space="preserve">The most practical way forward </w:t>
      </w:r>
      <w:r w:rsidR="004E1DE6" w:rsidRPr="005B6D16">
        <w:rPr>
          <w:rFonts w:ascii="Arial" w:hAnsi="Arial" w:cs="Arial"/>
          <w:color w:val="000000"/>
          <w:sz w:val="22"/>
          <w:szCs w:val="22"/>
        </w:rPr>
        <w:t>is</w:t>
      </w:r>
      <w:r w:rsidR="00FF4F46" w:rsidRPr="005B6D16">
        <w:rPr>
          <w:rFonts w:ascii="Arial" w:hAnsi="Arial" w:cs="Arial"/>
          <w:color w:val="000000"/>
          <w:sz w:val="22"/>
          <w:szCs w:val="22"/>
        </w:rPr>
        <w:t xml:space="preserve"> </w:t>
      </w:r>
      <w:r w:rsidRPr="005B6D16">
        <w:rPr>
          <w:rFonts w:ascii="Arial" w:hAnsi="Arial" w:cs="Arial"/>
          <w:color w:val="000000"/>
          <w:sz w:val="22"/>
          <w:szCs w:val="22"/>
        </w:rPr>
        <w:t xml:space="preserve">to establish a light, transaction centred AVETP reporting architecture layered over PIDG’s existing systems, with a small set of core </w:t>
      </w:r>
      <w:r w:rsidR="004E1DE6" w:rsidRPr="005B6D16">
        <w:rPr>
          <w:rFonts w:ascii="Arial" w:hAnsi="Arial" w:cs="Arial"/>
          <w:color w:val="000000"/>
          <w:sz w:val="22"/>
          <w:szCs w:val="22"/>
        </w:rPr>
        <w:t xml:space="preserve">transaction </w:t>
      </w:r>
      <w:r w:rsidRPr="005B6D16">
        <w:rPr>
          <w:rFonts w:ascii="Arial" w:hAnsi="Arial" w:cs="Arial"/>
          <w:color w:val="000000"/>
          <w:sz w:val="22"/>
          <w:szCs w:val="22"/>
        </w:rPr>
        <w:t xml:space="preserve">indicators, </w:t>
      </w:r>
      <w:r w:rsidR="002C3ADB" w:rsidRPr="005B6D16">
        <w:rPr>
          <w:rFonts w:ascii="Arial" w:hAnsi="Arial" w:cs="Arial"/>
          <w:color w:val="000000"/>
          <w:sz w:val="22"/>
          <w:szCs w:val="22"/>
        </w:rPr>
        <w:t>stage-based</w:t>
      </w:r>
      <w:r w:rsidRPr="005B6D16">
        <w:rPr>
          <w:rFonts w:ascii="Arial" w:hAnsi="Arial" w:cs="Arial"/>
          <w:color w:val="000000"/>
          <w:sz w:val="22"/>
          <w:szCs w:val="22"/>
        </w:rPr>
        <w:t xml:space="preserve"> reporting, a minimum GEDSI and safeguard dataset</w:t>
      </w:r>
      <w:r w:rsidR="004E1DE6" w:rsidRPr="005B6D16">
        <w:rPr>
          <w:rFonts w:ascii="Arial" w:hAnsi="Arial" w:cs="Arial"/>
          <w:color w:val="000000"/>
          <w:sz w:val="22"/>
          <w:szCs w:val="22"/>
        </w:rPr>
        <w:t xml:space="preserve"> </w:t>
      </w:r>
      <w:r w:rsidR="00FF4F46" w:rsidRPr="005B6D16">
        <w:rPr>
          <w:rFonts w:ascii="Arial" w:hAnsi="Arial" w:cs="Arial"/>
          <w:color w:val="000000"/>
          <w:sz w:val="22"/>
          <w:szCs w:val="22"/>
        </w:rPr>
        <w:t>aligned with</w:t>
      </w:r>
      <w:r w:rsidR="004E1DE6" w:rsidRPr="005B6D16">
        <w:rPr>
          <w:rFonts w:ascii="Arial" w:hAnsi="Arial" w:cs="Arial"/>
          <w:color w:val="000000"/>
          <w:sz w:val="22"/>
          <w:szCs w:val="22"/>
        </w:rPr>
        <w:t xml:space="preserve"> the EOPOs</w:t>
      </w:r>
      <w:r w:rsidR="00FF4F46" w:rsidRPr="005B6D16">
        <w:rPr>
          <w:rFonts w:ascii="Arial" w:hAnsi="Arial" w:cs="Arial"/>
          <w:color w:val="000000"/>
          <w:sz w:val="22"/>
          <w:szCs w:val="22"/>
        </w:rPr>
        <w:t xml:space="preserve"> </w:t>
      </w:r>
      <w:r w:rsidRPr="005B6D16">
        <w:rPr>
          <w:rFonts w:ascii="Arial" w:hAnsi="Arial" w:cs="Arial"/>
          <w:color w:val="000000"/>
          <w:sz w:val="22"/>
          <w:szCs w:val="22"/>
        </w:rPr>
        <w:t>and a clearer country</w:t>
      </w:r>
      <w:r w:rsidR="004E1DE6" w:rsidRPr="005B6D16">
        <w:rPr>
          <w:rFonts w:ascii="Arial" w:hAnsi="Arial" w:cs="Arial"/>
          <w:color w:val="000000"/>
          <w:sz w:val="22"/>
          <w:szCs w:val="22"/>
        </w:rPr>
        <w:t>-</w:t>
      </w:r>
      <w:r w:rsidRPr="005B6D16">
        <w:rPr>
          <w:rFonts w:ascii="Arial" w:hAnsi="Arial" w:cs="Arial"/>
          <w:color w:val="000000"/>
          <w:sz w:val="22"/>
          <w:szCs w:val="22"/>
        </w:rPr>
        <w:t>level reporting interface. </w:t>
      </w:r>
    </w:p>
    <w:p w14:paraId="506ECE40" w14:textId="173A3CA9" w:rsidR="008A6B02" w:rsidRDefault="008A6B02" w:rsidP="003D231F">
      <w:pPr>
        <w:pStyle w:val="Heading2"/>
      </w:pPr>
      <w:bookmarkStart w:id="16" w:name="_Toc226976838"/>
      <w:bookmarkStart w:id="17" w:name="_Toc233026582"/>
      <w:r w:rsidRPr="008A6B02">
        <w:t>Oversight and Engagement</w:t>
      </w:r>
      <w:bookmarkEnd w:id="16"/>
      <w:bookmarkEnd w:id="17"/>
      <w:r w:rsidRPr="008A6B02">
        <w:t xml:space="preserve"> </w:t>
      </w:r>
    </w:p>
    <w:p w14:paraId="45EB600A" w14:textId="5CA45A21" w:rsidR="008A6B02" w:rsidRPr="005B6D16" w:rsidRDefault="008A6B02" w:rsidP="009A29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GB" w:eastAsia="en-US"/>
        </w:rPr>
      </w:pPr>
      <w:r w:rsidRPr="00857D37">
        <w:rPr>
          <w:rFonts w:ascii="Arial" w:hAnsi="Arial" w:cs="Arial"/>
          <w:color w:val="000000"/>
          <w:sz w:val="22"/>
          <w:szCs w:val="22"/>
        </w:rPr>
        <w:t xml:space="preserve">Overall, </w:t>
      </w:r>
      <w:r w:rsidR="00AB72A3" w:rsidRPr="00857D37">
        <w:rPr>
          <w:rFonts w:ascii="Arial" w:hAnsi="Arial" w:cs="Arial"/>
          <w:color w:val="000000"/>
          <w:sz w:val="22"/>
          <w:szCs w:val="22"/>
        </w:rPr>
        <w:t>AVETP</w:t>
      </w:r>
      <w:r w:rsidRPr="00857D37">
        <w:rPr>
          <w:rFonts w:ascii="Arial" w:hAnsi="Arial" w:cs="Arial"/>
          <w:color w:val="000000"/>
          <w:sz w:val="22"/>
          <w:szCs w:val="22"/>
        </w:rPr>
        <w:t xml:space="preserve"> oversight</w:t>
      </w:r>
      <w:r w:rsidRPr="005B6D16">
        <w:rPr>
          <w:rFonts w:ascii="Arial" w:hAnsi="Arial" w:cs="Arial"/>
          <w:color w:val="000000"/>
          <w:sz w:val="22"/>
          <w:szCs w:val="22"/>
        </w:rPr>
        <w:t xml:space="preserve"> and engagement arrangements have been </w:t>
      </w:r>
      <w:r w:rsidR="00AB32C3" w:rsidRPr="005B6D16">
        <w:rPr>
          <w:rFonts w:ascii="Arial" w:hAnsi="Arial" w:cs="Arial"/>
          <w:color w:val="000000"/>
          <w:sz w:val="22"/>
          <w:szCs w:val="22"/>
        </w:rPr>
        <w:t xml:space="preserve">active and </w:t>
      </w:r>
      <w:r w:rsidR="006E0159" w:rsidRPr="005B6D16">
        <w:rPr>
          <w:rFonts w:ascii="Arial" w:hAnsi="Arial" w:cs="Arial"/>
          <w:color w:val="000000"/>
          <w:sz w:val="22"/>
          <w:szCs w:val="22"/>
          <w:lang w:val="en-GB" w:eastAsia="en-US"/>
        </w:rPr>
        <w:t>strategically</w:t>
      </w:r>
      <w:r w:rsidR="006E0159" w:rsidRPr="005B6D16">
        <w:rPr>
          <w:rFonts w:ascii="Helvetica Neue" w:hAnsi="Helvetica Neue" w:cs="Helvetica Neue"/>
          <w:b/>
          <w:bCs/>
          <w:i/>
          <w:iCs/>
          <w:color w:val="000000"/>
          <w:sz w:val="22"/>
          <w:szCs w:val="22"/>
          <w:lang w:val="en-GB" w:eastAsia="en-US"/>
        </w:rPr>
        <w:t xml:space="preserve"> </w:t>
      </w:r>
      <w:r w:rsidRPr="005B6D16">
        <w:rPr>
          <w:rFonts w:ascii="Arial" w:hAnsi="Arial" w:cs="Arial"/>
          <w:color w:val="000000"/>
          <w:sz w:val="22"/>
          <w:szCs w:val="22"/>
        </w:rPr>
        <w:t xml:space="preserve">effective. They have worked well in maintaining AVETP’s strategic relevance, keeping the platform aligned with Australia’s development and foreign policy priorities, and identifying delivery </w:t>
      </w:r>
      <w:r w:rsidR="00AB32C3" w:rsidRPr="005B6D16">
        <w:rPr>
          <w:rFonts w:ascii="Arial" w:hAnsi="Arial" w:cs="Arial"/>
          <w:color w:val="000000"/>
          <w:sz w:val="22"/>
          <w:szCs w:val="22"/>
        </w:rPr>
        <w:t xml:space="preserve">weaknesses </w:t>
      </w:r>
      <w:r w:rsidRPr="005B6D16">
        <w:rPr>
          <w:rFonts w:ascii="Arial" w:hAnsi="Arial" w:cs="Arial"/>
          <w:color w:val="000000"/>
          <w:sz w:val="22"/>
          <w:szCs w:val="22"/>
        </w:rPr>
        <w:t xml:space="preserve">that required corrective </w:t>
      </w:r>
      <w:r w:rsidR="00AB32C3" w:rsidRPr="005B6D16">
        <w:rPr>
          <w:rFonts w:ascii="Arial" w:hAnsi="Arial" w:cs="Arial"/>
          <w:color w:val="000000"/>
          <w:sz w:val="22"/>
          <w:szCs w:val="22"/>
        </w:rPr>
        <w:t>action</w:t>
      </w:r>
      <w:r w:rsidRPr="005B6D16">
        <w:rPr>
          <w:rFonts w:ascii="Arial" w:hAnsi="Arial" w:cs="Arial"/>
          <w:color w:val="000000"/>
          <w:sz w:val="22"/>
          <w:szCs w:val="22"/>
        </w:rPr>
        <w:t xml:space="preserve">. DFAT has played an important role in ensuring </w:t>
      </w:r>
      <w:r w:rsidR="00E32DA2" w:rsidRPr="005B6D16">
        <w:rPr>
          <w:rFonts w:ascii="Arial" w:hAnsi="Arial" w:cs="Arial"/>
          <w:color w:val="000000"/>
          <w:sz w:val="22"/>
          <w:szCs w:val="22"/>
        </w:rPr>
        <w:t>that AVETP</w:t>
      </w:r>
      <w:r w:rsidRPr="005B6D16">
        <w:rPr>
          <w:rFonts w:ascii="Arial" w:hAnsi="Arial" w:cs="Arial"/>
          <w:color w:val="000000"/>
          <w:sz w:val="22"/>
          <w:szCs w:val="22"/>
        </w:rPr>
        <w:t xml:space="preserve"> remains connected to Vietnam’s transition agenda, particularly in relation to blended finance, private capital mobilisation, climate investment, and capital market development. Vietnamese counterparts, including the Ministry of Finance and the State Securities Commission, also confirmed Vietnam’s priorities on low carbon investment, market development, and green finance. DFAT’s engagement has also been effective in surfacing delivery weaknesses and pushing PIDG to respond, particularly in relation to reporting, local engagement, visibility, and programme management. </w:t>
      </w:r>
    </w:p>
    <w:p w14:paraId="05B9794A" w14:textId="026F959D" w:rsidR="001C6C88" w:rsidRPr="005B6D16" w:rsidRDefault="002B4AFE" w:rsidP="008A6B02">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DFAT’s oversight and</w:t>
      </w:r>
      <w:r w:rsidR="00D61C54" w:rsidRPr="005B6D16">
        <w:rPr>
          <w:rFonts w:ascii="Arial" w:hAnsi="Arial" w:cs="Arial"/>
          <w:color w:val="000000"/>
          <w:sz w:val="22"/>
          <w:szCs w:val="22"/>
        </w:rPr>
        <w:t xml:space="preserve"> engagement arrangements have been impacted by </w:t>
      </w:r>
      <w:r w:rsidR="001343EC" w:rsidRPr="005B6D16">
        <w:rPr>
          <w:rFonts w:ascii="Arial" w:hAnsi="Arial" w:cs="Arial"/>
          <w:color w:val="000000"/>
          <w:sz w:val="22"/>
          <w:szCs w:val="22"/>
        </w:rPr>
        <w:t>PIDG’s</w:t>
      </w:r>
      <w:r w:rsidR="00D61C54" w:rsidRPr="005B6D16">
        <w:rPr>
          <w:rFonts w:ascii="Arial" w:hAnsi="Arial" w:cs="Arial"/>
          <w:color w:val="000000"/>
          <w:sz w:val="22"/>
          <w:szCs w:val="22"/>
        </w:rPr>
        <w:t xml:space="preserve"> limited</w:t>
      </w:r>
      <w:r w:rsidR="001343EC" w:rsidRPr="005B6D16">
        <w:rPr>
          <w:rFonts w:ascii="Arial" w:hAnsi="Arial" w:cs="Arial"/>
          <w:color w:val="000000"/>
          <w:sz w:val="22"/>
          <w:szCs w:val="22"/>
        </w:rPr>
        <w:t xml:space="preserve"> local presence in Vietnam</w:t>
      </w:r>
      <w:r w:rsidR="008A6B02" w:rsidRPr="005B6D16">
        <w:rPr>
          <w:rFonts w:ascii="Arial" w:hAnsi="Arial" w:cs="Arial"/>
          <w:color w:val="000000"/>
          <w:sz w:val="22"/>
          <w:szCs w:val="22"/>
        </w:rPr>
        <w:t xml:space="preserve">. </w:t>
      </w:r>
      <w:r w:rsidR="00E60849" w:rsidRPr="005B6D16">
        <w:rPr>
          <w:rFonts w:ascii="Arial" w:hAnsi="Arial" w:cs="Arial"/>
          <w:color w:val="000000"/>
          <w:sz w:val="22"/>
          <w:szCs w:val="22"/>
        </w:rPr>
        <w:t xml:space="preserve">In practice, </w:t>
      </w:r>
      <w:r w:rsidR="008A6B02" w:rsidRPr="005B6D16">
        <w:rPr>
          <w:rFonts w:ascii="Arial" w:hAnsi="Arial" w:cs="Arial"/>
          <w:color w:val="000000"/>
          <w:sz w:val="22"/>
          <w:szCs w:val="22"/>
        </w:rPr>
        <w:t xml:space="preserve">DFAT’s oversight has often had to compensate for </w:t>
      </w:r>
      <w:r w:rsidR="00E60849" w:rsidRPr="005B6D16">
        <w:rPr>
          <w:rFonts w:ascii="Arial" w:hAnsi="Arial" w:cs="Arial"/>
          <w:color w:val="000000"/>
          <w:sz w:val="22"/>
          <w:szCs w:val="22"/>
        </w:rPr>
        <w:t xml:space="preserve">gaps </w:t>
      </w:r>
      <w:r w:rsidR="008A6B02" w:rsidRPr="005B6D16">
        <w:rPr>
          <w:rFonts w:ascii="Arial" w:hAnsi="Arial" w:cs="Arial"/>
          <w:color w:val="000000"/>
          <w:sz w:val="22"/>
          <w:szCs w:val="22"/>
        </w:rPr>
        <w:t xml:space="preserve">in PIDG’s local presence, communications, reporting, and relationship management, placing </w:t>
      </w:r>
      <w:r w:rsidR="00E60849" w:rsidRPr="005B6D16">
        <w:rPr>
          <w:rFonts w:ascii="Arial" w:hAnsi="Arial" w:cs="Arial"/>
          <w:color w:val="000000"/>
          <w:sz w:val="22"/>
          <w:szCs w:val="22"/>
        </w:rPr>
        <w:t xml:space="preserve">a </w:t>
      </w:r>
      <w:r w:rsidR="008A6B02" w:rsidRPr="005B6D16">
        <w:rPr>
          <w:rFonts w:ascii="Arial" w:hAnsi="Arial" w:cs="Arial"/>
          <w:color w:val="000000"/>
          <w:sz w:val="22"/>
          <w:szCs w:val="22"/>
        </w:rPr>
        <w:t>greater burden on Post than originally intended. This has reduced the extent to which technically strong transactions have translated into stronger bilateral influence and public visibility for Australia. The main limitation is therefore not weak strategic alignment, but the absence of sufficiently resourced country</w:t>
      </w:r>
      <w:r w:rsidR="00D91A5B" w:rsidRPr="005B6D16">
        <w:rPr>
          <w:rFonts w:ascii="Arial" w:hAnsi="Arial" w:cs="Arial"/>
          <w:color w:val="000000"/>
          <w:sz w:val="22"/>
          <w:szCs w:val="22"/>
        </w:rPr>
        <w:t>-</w:t>
      </w:r>
      <w:r w:rsidR="008A6B02" w:rsidRPr="005B6D16">
        <w:rPr>
          <w:rFonts w:ascii="Arial" w:hAnsi="Arial" w:cs="Arial"/>
          <w:color w:val="000000"/>
          <w:sz w:val="22"/>
          <w:szCs w:val="22"/>
        </w:rPr>
        <w:t xml:space="preserve">facing arrangements capable of turning that alignment into visible, coordinated, and politically leveraged engagement. </w:t>
      </w:r>
    </w:p>
    <w:p w14:paraId="71D043F6" w14:textId="0DCB63C2" w:rsidR="008A6B02" w:rsidRPr="005B6D16" w:rsidRDefault="008A6B02" w:rsidP="008A6B02">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 xml:space="preserve">The evidence also points to a structural tension in the oversight model itself: PIDG is a lean, </w:t>
      </w:r>
      <w:r w:rsidR="002C3ADB" w:rsidRPr="005B6D16">
        <w:rPr>
          <w:rFonts w:ascii="Arial" w:hAnsi="Arial" w:cs="Arial"/>
          <w:color w:val="000000"/>
          <w:sz w:val="22"/>
          <w:szCs w:val="22"/>
        </w:rPr>
        <w:t>transaction-oriented</w:t>
      </w:r>
      <w:r w:rsidRPr="005B6D16">
        <w:rPr>
          <w:rFonts w:ascii="Arial" w:hAnsi="Arial" w:cs="Arial"/>
          <w:color w:val="000000"/>
          <w:sz w:val="22"/>
          <w:szCs w:val="22"/>
        </w:rPr>
        <w:t xml:space="preserve"> platform</w:t>
      </w:r>
      <w:r w:rsidR="009F3341" w:rsidRPr="005B6D16">
        <w:rPr>
          <w:rFonts w:ascii="-webkit-standard" w:hAnsi="-webkit-standard"/>
          <w:color w:val="000000"/>
          <w:sz w:val="22"/>
          <w:szCs w:val="22"/>
        </w:rPr>
        <w:t xml:space="preserve"> </w:t>
      </w:r>
      <w:r w:rsidR="009F3341" w:rsidRPr="005B6D16">
        <w:rPr>
          <w:rFonts w:asciiTheme="minorHAnsi" w:hAnsiTheme="minorHAnsi" w:cstheme="minorHAnsi"/>
          <w:color w:val="000000"/>
          <w:sz w:val="22"/>
          <w:szCs w:val="22"/>
        </w:rPr>
        <w:t>with a comparatively low overhead structure</w:t>
      </w:r>
      <w:r w:rsidRPr="005B6D16">
        <w:rPr>
          <w:rFonts w:ascii="Arial" w:hAnsi="Arial" w:cs="Arial"/>
          <w:color w:val="000000"/>
          <w:sz w:val="22"/>
          <w:szCs w:val="22"/>
        </w:rPr>
        <w:t xml:space="preserve">, </w:t>
      </w:r>
      <w:r w:rsidR="009F3341" w:rsidRPr="005B6D16">
        <w:rPr>
          <w:rFonts w:ascii="Arial" w:hAnsi="Arial" w:cs="Arial"/>
          <w:color w:val="000000"/>
          <w:sz w:val="22"/>
          <w:szCs w:val="22"/>
        </w:rPr>
        <w:t>which has supported efficient transactions delivery. At the same time, the AVETP design made clear commitments around local presence, post engagement, public diplomacy, communication, outreach, and country-level reporting. These functions sit partly outside PIDG</w:t>
      </w:r>
      <w:r w:rsidR="009F3341" w:rsidRPr="005B6D16">
        <w:rPr>
          <w:rFonts w:ascii="Arial" w:hAnsi="Arial" w:cs="Arial" w:hint="eastAsia"/>
          <w:color w:val="000000"/>
          <w:sz w:val="22"/>
          <w:szCs w:val="22"/>
        </w:rPr>
        <w:t>’</w:t>
      </w:r>
      <w:r w:rsidR="009F3341" w:rsidRPr="005B6D16">
        <w:rPr>
          <w:rFonts w:ascii="Arial" w:hAnsi="Arial" w:cs="Arial"/>
          <w:color w:val="000000"/>
          <w:sz w:val="22"/>
          <w:szCs w:val="22"/>
        </w:rPr>
        <w:t xml:space="preserve">s core transaction-management model and require </w:t>
      </w:r>
      <w:r w:rsidR="00117783" w:rsidRPr="005B6D16">
        <w:rPr>
          <w:rFonts w:ascii="Arial" w:hAnsi="Arial" w:cs="Arial"/>
          <w:color w:val="000000"/>
          <w:sz w:val="22"/>
          <w:szCs w:val="22"/>
        </w:rPr>
        <w:t xml:space="preserve">greater </w:t>
      </w:r>
      <w:r w:rsidR="009F3341" w:rsidRPr="005B6D16">
        <w:rPr>
          <w:rFonts w:ascii="Arial" w:hAnsi="Arial" w:cs="Arial"/>
          <w:color w:val="000000"/>
          <w:sz w:val="22"/>
          <w:szCs w:val="22"/>
        </w:rPr>
        <w:t xml:space="preserve">resourcing and </w:t>
      </w:r>
      <w:r w:rsidR="00117783" w:rsidRPr="005B6D16">
        <w:rPr>
          <w:rFonts w:ascii="Arial" w:hAnsi="Arial" w:cs="Arial"/>
          <w:color w:val="000000"/>
          <w:sz w:val="22"/>
          <w:szCs w:val="22"/>
        </w:rPr>
        <w:t xml:space="preserve">clearer </w:t>
      </w:r>
      <w:r w:rsidR="009F3341" w:rsidRPr="005B6D16">
        <w:rPr>
          <w:rFonts w:ascii="Arial" w:hAnsi="Arial" w:cs="Arial"/>
          <w:color w:val="000000"/>
          <w:sz w:val="22"/>
          <w:szCs w:val="22"/>
        </w:rPr>
        <w:t>role definition. As a result, AVETP has</w:t>
      </w:r>
      <w:r w:rsidR="000C1418" w:rsidRPr="005B6D16">
        <w:rPr>
          <w:rStyle w:val="Strong"/>
          <w:rFonts w:ascii="Arial" w:hAnsi="Arial" w:cs="Arial"/>
          <w:b w:val="0"/>
          <w:bCs w:val="0"/>
          <w:color w:val="000000"/>
          <w:sz w:val="22"/>
          <w:szCs w:val="22"/>
        </w:rPr>
        <w:t xml:space="preserve"> performed more strongly as a transaction platform than as a fully country-facing bilateral programme. The main issue is therefore not that the platform model is misplaced, but that stronger local engagement, clearer responsibilities, and better conversion of transaction-level progress into visible programme results are needed for the remainder of implementation.</w:t>
      </w:r>
    </w:p>
    <w:p w14:paraId="3608B125" w14:textId="59A56791" w:rsidR="008A6B02" w:rsidRDefault="008A6B02" w:rsidP="003D231F">
      <w:pPr>
        <w:pStyle w:val="Heading2"/>
      </w:pPr>
      <w:bookmarkStart w:id="18" w:name="_Toc226976839"/>
      <w:bookmarkStart w:id="19" w:name="_Toc233026583"/>
      <w:r w:rsidRPr="008A6B02">
        <w:t>Fit for Purpose Programme Logic</w:t>
      </w:r>
      <w:bookmarkEnd w:id="18"/>
      <w:bookmarkEnd w:id="19"/>
      <w:r w:rsidRPr="008A6B02">
        <w:t xml:space="preserve"> </w:t>
      </w:r>
    </w:p>
    <w:p w14:paraId="06809CEE" w14:textId="7E21164D" w:rsidR="008A6B02" w:rsidRPr="005B6D16" w:rsidRDefault="008A6B02" w:rsidP="008A6B02">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 xml:space="preserve">The current </w:t>
      </w:r>
      <w:r w:rsidR="00B41A13" w:rsidRPr="005B6D16">
        <w:rPr>
          <w:rFonts w:ascii="Arial" w:hAnsi="Arial" w:cs="Arial"/>
          <w:color w:val="000000"/>
          <w:sz w:val="22"/>
          <w:szCs w:val="22"/>
        </w:rPr>
        <w:t>results structure</w:t>
      </w:r>
      <w:r w:rsidRPr="005B6D16">
        <w:rPr>
          <w:rFonts w:ascii="Arial" w:hAnsi="Arial" w:cs="Arial"/>
          <w:color w:val="000000"/>
          <w:sz w:val="22"/>
          <w:szCs w:val="22"/>
        </w:rPr>
        <w:t xml:space="preserve"> </w:t>
      </w:r>
      <w:r w:rsidR="00B41A13" w:rsidRPr="005B6D16">
        <w:rPr>
          <w:rFonts w:ascii="Arial" w:hAnsi="Arial" w:cs="Arial"/>
          <w:color w:val="000000"/>
          <w:sz w:val="22"/>
          <w:szCs w:val="22"/>
        </w:rPr>
        <w:t>is</w:t>
      </w:r>
      <w:r w:rsidRPr="005B6D16">
        <w:rPr>
          <w:rFonts w:ascii="Arial" w:hAnsi="Arial" w:cs="Arial"/>
          <w:color w:val="000000"/>
          <w:sz w:val="22"/>
          <w:szCs w:val="22"/>
        </w:rPr>
        <w:t xml:space="preserve"> only partly fit for purpose</w:t>
      </w:r>
      <w:r w:rsidRPr="005B6D16">
        <w:rPr>
          <w:rFonts w:asciiTheme="minorHAnsi" w:hAnsiTheme="minorHAnsi" w:cstheme="minorHAnsi"/>
          <w:color w:val="000000"/>
          <w:sz w:val="22"/>
          <w:szCs w:val="22"/>
        </w:rPr>
        <w:t xml:space="preserve">. </w:t>
      </w:r>
      <w:r w:rsidR="00B41A13" w:rsidRPr="005B6D16">
        <w:rPr>
          <w:rFonts w:asciiTheme="minorHAnsi" w:hAnsiTheme="minorHAnsi" w:cstheme="minorHAnsi"/>
          <w:color w:val="000000"/>
          <w:sz w:val="22"/>
          <w:szCs w:val="22"/>
        </w:rPr>
        <w:t xml:space="preserve">AVETP does not have a full programme logic as such, but </w:t>
      </w:r>
      <w:r w:rsidR="00022BE6" w:rsidRPr="005B6D16">
        <w:rPr>
          <w:rFonts w:asciiTheme="minorHAnsi" w:hAnsiTheme="minorHAnsi" w:cstheme="minorHAnsi"/>
          <w:color w:val="000000"/>
          <w:sz w:val="22"/>
          <w:szCs w:val="22"/>
        </w:rPr>
        <w:t>it</w:t>
      </w:r>
      <w:r w:rsidR="00B41A13" w:rsidRPr="005B6D16">
        <w:rPr>
          <w:rFonts w:asciiTheme="minorHAnsi" w:hAnsiTheme="minorHAnsi" w:cstheme="minorHAnsi"/>
          <w:color w:val="000000"/>
          <w:sz w:val="22"/>
          <w:szCs w:val="22"/>
        </w:rPr>
        <w:t xml:space="preserve"> includes two EOPOs and a </w:t>
      </w:r>
      <w:r w:rsidR="00022BE6" w:rsidRPr="005B6D16">
        <w:rPr>
          <w:rFonts w:asciiTheme="minorHAnsi" w:hAnsiTheme="minorHAnsi" w:cstheme="minorHAnsi"/>
          <w:color w:val="000000"/>
          <w:sz w:val="22"/>
          <w:szCs w:val="22"/>
        </w:rPr>
        <w:t>set</w:t>
      </w:r>
      <w:r w:rsidR="00B41A13" w:rsidRPr="005B6D16">
        <w:rPr>
          <w:rFonts w:asciiTheme="minorHAnsi" w:hAnsiTheme="minorHAnsi" w:cstheme="minorHAnsi"/>
          <w:color w:val="000000"/>
          <w:sz w:val="22"/>
          <w:szCs w:val="22"/>
        </w:rPr>
        <w:t xml:space="preserve"> of intermediate outcomes that provide a basic </w:t>
      </w:r>
      <w:r w:rsidR="00022BE6" w:rsidRPr="005B6D16">
        <w:rPr>
          <w:rFonts w:asciiTheme="minorHAnsi" w:hAnsiTheme="minorHAnsi" w:cstheme="minorHAnsi"/>
          <w:color w:val="000000"/>
          <w:sz w:val="22"/>
          <w:szCs w:val="22"/>
        </w:rPr>
        <w:t>framework for assessing progress</w:t>
      </w:r>
      <w:r w:rsidR="00B41A13" w:rsidRPr="005B6D16">
        <w:rPr>
          <w:rFonts w:asciiTheme="minorHAnsi" w:hAnsiTheme="minorHAnsi" w:cstheme="minorHAnsi"/>
          <w:color w:val="000000"/>
          <w:sz w:val="22"/>
          <w:szCs w:val="22"/>
        </w:rPr>
        <w:t>.</w:t>
      </w:r>
      <w:r w:rsidR="00B41A13" w:rsidRPr="005B6D16">
        <w:rPr>
          <w:rFonts w:ascii="Arial" w:hAnsi="Arial" w:cs="Arial"/>
          <w:color w:val="000000"/>
          <w:sz w:val="22"/>
          <w:szCs w:val="22"/>
        </w:rPr>
        <w:t xml:space="preserve"> </w:t>
      </w:r>
      <w:r w:rsidR="00022BE6" w:rsidRPr="005B6D16">
        <w:rPr>
          <w:rFonts w:ascii="Arial" w:hAnsi="Arial" w:cs="Arial"/>
          <w:color w:val="000000"/>
          <w:sz w:val="22"/>
          <w:szCs w:val="22"/>
        </w:rPr>
        <w:t xml:space="preserve">These </w:t>
      </w:r>
      <w:r w:rsidRPr="005B6D16">
        <w:rPr>
          <w:rFonts w:ascii="Arial" w:hAnsi="Arial" w:cs="Arial"/>
          <w:color w:val="000000"/>
          <w:sz w:val="22"/>
          <w:szCs w:val="22"/>
        </w:rPr>
        <w:t xml:space="preserve">still capture important </w:t>
      </w:r>
      <w:r w:rsidR="00022BE6" w:rsidRPr="005B6D16">
        <w:rPr>
          <w:rFonts w:ascii="Arial" w:hAnsi="Arial" w:cs="Arial"/>
          <w:color w:val="000000"/>
          <w:sz w:val="22"/>
          <w:szCs w:val="22"/>
        </w:rPr>
        <w:t xml:space="preserve">aspects </w:t>
      </w:r>
      <w:r w:rsidRPr="005B6D16">
        <w:rPr>
          <w:rFonts w:ascii="Arial" w:hAnsi="Arial" w:cs="Arial"/>
          <w:color w:val="000000"/>
          <w:sz w:val="22"/>
          <w:szCs w:val="22"/>
        </w:rPr>
        <w:t xml:space="preserve">of </w:t>
      </w:r>
      <w:r w:rsidR="00022BE6" w:rsidRPr="005B6D16">
        <w:rPr>
          <w:rFonts w:ascii="Arial" w:hAnsi="Arial" w:cs="Arial"/>
          <w:color w:val="000000"/>
          <w:sz w:val="22"/>
          <w:szCs w:val="22"/>
        </w:rPr>
        <w:t>the investment</w:t>
      </w:r>
      <w:r w:rsidRPr="005B6D16">
        <w:rPr>
          <w:rFonts w:ascii="Arial" w:hAnsi="Arial" w:cs="Arial"/>
          <w:color w:val="000000"/>
          <w:sz w:val="22"/>
          <w:szCs w:val="22"/>
        </w:rPr>
        <w:t xml:space="preserve">, </w:t>
      </w:r>
      <w:r w:rsidR="00022BE6" w:rsidRPr="005B6D16">
        <w:rPr>
          <w:rFonts w:ascii="Arial" w:hAnsi="Arial" w:cs="Arial"/>
          <w:color w:val="000000"/>
          <w:sz w:val="22"/>
          <w:szCs w:val="22"/>
        </w:rPr>
        <w:t>particularly</w:t>
      </w:r>
      <w:r w:rsidRPr="005B6D16">
        <w:rPr>
          <w:rFonts w:ascii="Arial" w:hAnsi="Arial" w:cs="Arial"/>
          <w:color w:val="000000"/>
          <w:sz w:val="22"/>
          <w:szCs w:val="22"/>
        </w:rPr>
        <w:t xml:space="preserve"> renewable energy, sustainable bonds, and capital market development</w:t>
      </w:r>
      <w:r w:rsidR="00022BE6" w:rsidRPr="005B6D16">
        <w:rPr>
          <w:rFonts w:ascii="Arial" w:hAnsi="Arial" w:cs="Arial"/>
          <w:color w:val="000000"/>
          <w:sz w:val="22"/>
          <w:szCs w:val="22"/>
        </w:rPr>
        <w:t>. However,</w:t>
      </w:r>
      <w:r w:rsidRPr="005B6D16">
        <w:rPr>
          <w:rFonts w:ascii="Arial" w:hAnsi="Arial" w:cs="Arial"/>
          <w:color w:val="000000"/>
          <w:sz w:val="22"/>
          <w:szCs w:val="22"/>
        </w:rPr>
        <w:t xml:space="preserve"> they </w:t>
      </w:r>
      <w:r w:rsidR="00E565C7" w:rsidRPr="005B6D16">
        <w:rPr>
          <w:rFonts w:ascii="Arial" w:hAnsi="Arial" w:cs="Arial"/>
          <w:color w:val="000000"/>
          <w:sz w:val="22"/>
          <w:szCs w:val="22"/>
        </w:rPr>
        <w:t xml:space="preserve">no </w:t>
      </w:r>
      <w:r w:rsidRPr="005B6D16">
        <w:rPr>
          <w:rFonts w:ascii="Arial" w:hAnsi="Arial" w:cs="Arial"/>
          <w:color w:val="000000"/>
          <w:sz w:val="22"/>
          <w:szCs w:val="22"/>
        </w:rPr>
        <w:t xml:space="preserve">longer reflect the actual shape of the portfolio, the diversity of PIDG’s instruments, or the main pathways through which the programme is contributing to </w:t>
      </w:r>
      <w:r w:rsidR="00022BE6" w:rsidRPr="005B6D16">
        <w:rPr>
          <w:rFonts w:ascii="Arial" w:hAnsi="Arial" w:cs="Arial"/>
          <w:color w:val="000000"/>
          <w:sz w:val="22"/>
          <w:szCs w:val="22"/>
        </w:rPr>
        <w:t>its intended outcomes</w:t>
      </w:r>
      <w:r w:rsidRPr="005B6D16">
        <w:rPr>
          <w:rFonts w:ascii="Arial" w:hAnsi="Arial" w:cs="Arial"/>
          <w:color w:val="000000"/>
          <w:sz w:val="22"/>
          <w:szCs w:val="22"/>
        </w:rPr>
        <w:t xml:space="preserve">. In practice, the logic </w:t>
      </w:r>
      <w:r w:rsidR="00E565C7" w:rsidRPr="005B6D16">
        <w:rPr>
          <w:rFonts w:ascii="Arial" w:hAnsi="Arial" w:cs="Arial"/>
          <w:color w:val="000000"/>
          <w:sz w:val="22"/>
          <w:szCs w:val="22"/>
        </w:rPr>
        <w:t xml:space="preserve">was originally framed </w:t>
      </w:r>
      <w:r w:rsidRPr="005B6D16">
        <w:rPr>
          <w:rFonts w:ascii="Arial" w:hAnsi="Arial" w:cs="Arial"/>
          <w:color w:val="000000"/>
          <w:sz w:val="22"/>
          <w:szCs w:val="22"/>
        </w:rPr>
        <w:t xml:space="preserve">too </w:t>
      </w:r>
      <w:r w:rsidRPr="005B6D16">
        <w:rPr>
          <w:rFonts w:ascii="Arial" w:hAnsi="Arial" w:cs="Arial"/>
          <w:color w:val="000000"/>
          <w:sz w:val="22"/>
          <w:szCs w:val="22"/>
        </w:rPr>
        <w:lastRenderedPageBreak/>
        <w:t xml:space="preserve">narrowly </w:t>
      </w:r>
      <w:r w:rsidR="00E565C7" w:rsidRPr="005B6D16">
        <w:rPr>
          <w:rFonts w:ascii="Arial" w:hAnsi="Arial" w:cs="Arial"/>
          <w:color w:val="000000"/>
          <w:sz w:val="22"/>
          <w:szCs w:val="22"/>
        </w:rPr>
        <w:t xml:space="preserve">around </w:t>
      </w:r>
      <w:r w:rsidRPr="005B6D16">
        <w:rPr>
          <w:rFonts w:ascii="Arial" w:hAnsi="Arial" w:cs="Arial"/>
          <w:color w:val="000000"/>
          <w:sz w:val="22"/>
          <w:szCs w:val="22"/>
        </w:rPr>
        <w:t xml:space="preserve">renewable energy generation and </w:t>
      </w:r>
      <w:r w:rsidR="006F706C" w:rsidRPr="005B6D16">
        <w:rPr>
          <w:rFonts w:ascii="Arial" w:hAnsi="Arial" w:cs="Arial"/>
          <w:color w:val="000000"/>
          <w:sz w:val="22"/>
          <w:szCs w:val="22"/>
        </w:rPr>
        <w:t xml:space="preserve">consequently </w:t>
      </w:r>
      <w:r w:rsidRPr="005B6D16">
        <w:rPr>
          <w:rFonts w:ascii="Arial" w:hAnsi="Arial" w:cs="Arial"/>
          <w:color w:val="000000"/>
          <w:sz w:val="22"/>
          <w:szCs w:val="22"/>
        </w:rPr>
        <w:t xml:space="preserve">dependent on direct output metrics such as MW installed, GWh generated, or numbers of bonds issued. The resulting mismatch between what the programme is doing and what the </w:t>
      </w:r>
      <w:r w:rsidR="00BE5E91" w:rsidRPr="005B6D16">
        <w:rPr>
          <w:rFonts w:ascii="Arial" w:hAnsi="Arial" w:cs="Arial"/>
          <w:color w:val="000000"/>
          <w:sz w:val="22"/>
          <w:szCs w:val="22"/>
        </w:rPr>
        <w:t>EOPOs</w:t>
      </w:r>
      <w:r w:rsidRPr="005B6D16">
        <w:rPr>
          <w:rFonts w:ascii="Arial" w:hAnsi="Arial" w:cs="Arial"/>
          <w:color w:val="000000"/>
          <w:sz w:val="22"/>
          <w:szCs w:val="22"/>
        </w:rPr>
        <w:t xml:space="preserve"> </w:t>
      </w:r>
      <w:r w:rsidR="00BE5E91" w:rsidRPr="005B6D16">
        <w:rPr>
          <w:rFonts w:ascii="Arial" w:hAnsi="Arial" w:cs="Arial"/>
          <w:color w:val="000000"/>
          <w:sz w:val="22"/>
          <w:szCs w:val="22"/>
        </w:rPr>
        <w:t>are</w:t>
      </w:r>
      <w:r w:rsidRPr="005B6D16">
        <w:rPr>
          <w:rFonts w:ascii="Arial" w:hAnsi="Arial" w:cs="Arial"/>
          <w:color w:val="000000"/>
          <w:sz w:val="22"/>
          <w:szCs w:val="22"/>
        </w:rPr>
        <w:t xml:space="preserve"> designed to track has also contributed to reporting difficulties and weakened the explanatory power of the current framework. </w:t>
      </w:r>
    </w:p>
    <w:p w14:paraId="50EF5EE0" w14:textId="4AEBA708" w:rsidR="001B2781" w:rsidRPr="005B6D16" w:rsidRDefault="00E565C7" w:rsidP="008A6B02">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The</w:t>
      </w:r>
      <w:r w:rsidR="008A6B02" w:rsidRPr="005B6D16">
        <w:rPr>
          <w:rFonts w:ascii="Arial" w:hAnsi="Arial" w:cs="Arial"/>
          <w:color w:val="000000"/>
          <w:sz w:val="22"/>
          <w:szCs w:val="22"/>
        </w:rPr>
        <w:t xml:space="preserve"> current </w:t>
      </w:r>
      <w:r w:rsidR="00BE5E91" w:rsidRPr="005B6D16">
        <w:rPr>
          <w:rFonts w:ascii="Arial" w:hAnsi="Arial" w:cs="Arial"/>
          <w:color w:val="000000"/>
          <w:sz w:val="22"/>
          <w:szCs w:val="22"/>
        </w:rPr>
        <w:t>EOPOs/programme logic</w:t>
      </w:r>
      <w:r w:rsidR="008A6B02" w:rsidRPr="005B6D16">
        <w:rPr>
          <w:rFonts w:ascii="Arial" w:hAnsi="Arial" w:cs="Arial"/>
          <w:color w:val="000000"/>
          <w:sz w:val="22"/>
          <w:szCs w:val="22"/>
        </w:rPr>
        <w:t xml:space="preserve"> should </w:t>
      </w:r>
      <w:r w:rsidRPr="005B6D16">
        <w:rPr>
          <w:rFonts w:ascii="Arial" w:hAnsi="Arial" w:cs="Arial"/>
          <w:color w:val="000000"/>
          <w:sz w:val="22"/>
          <w:szCs w:val="22"/>
        </w:rPr>
        <w:t xml:space="preserve">therefore </w:t>
      </w:r>
      <w:r w:rsidR="008A6B02" w:rsidRPr="005B6D16">
        <w:rPr>
          <w:rFonts w:ascii="Arial" w:hAnsi="Arial" w:cs="Arial"/>
          <w:color w:val="000000"/>
          <w:sz w:val="22"/>
          <w:szCs w:val="22"/>
        </w:rPr>
        <w:t>be refined</w:t>
      </w:r>
      <w:r w:rsidRPr="005B6D16">
        <w:rPr>
          <w:rFonts w:ascii="Arial" w:hAnsi="Arial" w:cs="Arial"/>
          <w:color w:val="000000"/>
          <w:sz w:val="22"/>
          <w:szCs w:val="22"/>
        </w:rPr>
        <w:t xml:space="preserve"> and broadened</w:t>
      </w:r>
      <w:r w:rsidR="008A6B02" w:rsidRPr="005B6D16">
        <w:rPr>
          <w:rFonts w:ascii="Arial" w:hAnsi="Arial" w:cs="Arial"/>
          <w:color w:val="000000"/>
          <w:sz w:val="22"/>
          <w:szCs w:val="22"/>
        </w:rPr>
        <w:t xml:space="preserve"> rather than discarded. </w:t>
      </w:r>
      <w:r w:rsidR="00AE5FC5" w:rsidRPr="005B6D16">
        <w:rPr>
          <w:rFonts w:ascii="Arial" w:hAnsi="Arial" w:cs="Arial"/>
          <w:color w:val="000000"/>
          <w:sz w:val="22"/>
          <w:szCs w:val="22"/>
        </w:rPr>
        <w:t xml:space="preserve">Most </w:t>
      </w:r>
      <w:r w:rsidR="008A6B02" w:rsidRPr="005B6D16">
        <w:rPr>
          <w:rFonts w:ascii="Arial" w:hAnsi="Arial" w:cs="Arial"/>
          <w:color w:val="000000"/>
          <w:sz w:val="22"/>
          <w:szCs w:val="22"/>
        </w:rPr>
        <w:t xml:space="preserve">elements remain relevant, especially the capital market development strand, climate and safeguard related indicators, and the focus on mobilising private finance. However, these need to be repositioned within a broader transition finance and market development model better aligned to PIDG’s delivery model and the realised portfolio. </w:t>
      </w:r>
      <w:r w:rsidR="00C217FD" w:rsidRPr="005B6D16">
        <w:rPr>
          <w:rStyle w:val="Strong"/>
          <w:rFonts w:ascii="Arial" w:hAnsi="Arial" w:cs="Arial"/>
          <w:b w:val="0"/>
          <w:bCs w:val="0"/>
          <w:color w:val="000000"/>
          <w:sz w:val="22"/>
          <w:szCs w:val="22"/>
        </w:rPr>
        <w:t xml:space="preserve">The revised logic should better capture AVETP’s contribution not only to transaction delivery, but also to market shaping, institutional strengthening, improved investment standards, and longer-term system change in support of sustained private investment in Vietnam’s energy </w:t>
      </w:r>
      <w:r w:rsidR="002A43EB" w:rsidRPr="005B6D16">
        <w:rPr>
          <w:rStyle w:val="Strong"/>
          <w:rFonts w:ascii="Arial" w:hAnsi="Arial" w:cs="Arial"/>
          <w:b w:val="0"/>
          <w:bCs w:val="0"/>
          <w:color w:val="000000"/>
          <w:sz w:val="22"/>
          <w:szCs w:val="22"/>
        </w:rPr>
        <w:t>transition.</w:t>
      </w:r>
      <w:r w:rsidR="002A43EB" w:rsidRPr="005B6D16">
        <w:rPr>
          <w:rFonts w:ascii="Arial" w:hAnsi="Arial" w:cs="Arial"/>
          <w:color w:val="000000"/>
          <w:sz w:val="22"/>
          <w:szCs w:val="22"/>
        </w:rPr>
        <w:t xml:space="preserve"> </w:t>
      </w:r>
      <w:r w:rsidR="001C6C88" w:rsidRPr="005B6D16">
        <w:rPr>
          <w:rFonts w:asciiTheme="minorHAnsi" w:hAnsiTheme="minorHAnsi" w:cstheme="minorHAnsi"/>
          <w:color w:val="000000"/>
          <w:sz w:val="22"/>
          <w:szCs w:val="22"/>
        </w:rPr>
        <w:t>A revised</w:t>
      </w:r>
      <w:r w:rsidR="006F706C" w:rsidRPr="005B6D16">
        <w:rPr>
          <w:rFonts w:asciiTheme="minorHAnsi" w:hAnsiTheme="minorHAnsi" w:cstheme="minorHAnsi"/>
          <w:color w:val="000000"/>
          <w:sz w:val="22"/>
          <w:szCs w:val="22"/>
        </w:rPr>
        <w:t xml:space="preserve"> structure </w:t>
      </w:r>
      <w:r w:rsidR="001C6C88" w:rsidRPr="005B6D16">
        <w:rPr>
          <w:rFonts w:asciiTheme="minorHAnsi" w:hAnsiTheme="minorHAnsi" w:cstheme="minorHAnsi"/>
          <w:color w:val="000000"/>
          <w:sz w:val="22"/>
          <w:szCs w:val="22"/>
        </w:rPr>
        <w:t>could be</w:t>
      </w:r>
      <w:r w:rsidR="006F706C" w:rsidRPr="005B6D16">
        <w:rPr>
          <w:rFonts w:asciiTheme="minorHAnsi" w:hAnsiTheme="minorHAnsi" w:cstheme="minorHAnsi"/>
          <w:color w:val="000000"/>
          <w:sz w:val="22"/>
          <w:szCs w:val="22"/>
        </w:rPr>
        <w:t xml:space="preserve"> tested with PIDG and DFAT</w:t>
      </w:r>
      <w:r w:rsidR="008A6B02" w:rsidRPr="005B6D16">
        <w:rPr>
          <w:rFonts w:ascii="Arial" w:hAnsi="Arial" w:cs="Arial"/>
          <w:color w:val="000000"/>
          <w:sz w:val="22"/>
          <w:szCs w:val="22"/>
        </w:rPr>
        <w:t xml:space="preserve">: </w:t>
      </w:r>
      <w:r w:rsidR="001B2781" w:rsidRPr="005B6D16">
        <w:rPr>
          <w:rFonts w:asciiTheme="minorHAnsi" w:hAnsiTheme="minorHAnsi" w:cstheme="minorHAnsi"/>
          <w:color w:val="000000"/>
          <w:sz w:val="22"/>
          <w:szCs w:val="22"/>
        </w:rPr>
        <w:t xml:space="preserve">mobilising more and better private investment into Vietnam’s net zero transition; improving the quality and </w:t>
      </w:r>
      <w:proofErr w:type="spellStart"/>
      <w:r w:rsidR="001B2781" w:rsidRPr="005B6D16">
        <w:rPr>
          <w:rFonts w:asciiTheme="minorHAnsi" w:hAnsiTheme="minorHAnsi" w:cstheme="minorHAnsi"/>
          <w:color w:val="000000"/>
          <w:sz w:val="22"/>
          <w:szCs w:val="22"/>
        </w:rPr>
        <w:t>investability</w:t>
      </w:r>
      <w:proofErr w:type="spellEnd"/>
      <w:r w:rsidR="001B2781" w:rsidRPr="005B6D16">
        <w:rPr>
          <w:rFonts w:asciiTheme="minorHAnsi" w:hAnsiTheme="minorHAnsi" w:cstheme="minorHAnsi"/>
          <w:color w:val="000000"/>
          <w:sz w:val="22"/>
          <w:szCs w:val="22"/>
        </w:rPr>
        <w:t xml:space="preserve"> of climate resilience projects and financing structures focused on mitigation and adaptation; supporting more inclusive and equitable transition investments.</w:t>
      </w:r>
      <w:r w:rsidR="004D64CE" w:rsidRPr="005B6D16">
        <w:rPr>
          <w:rFonts w:asciiTheme="minorHAnsi" w:hAnsiTheme="minorHAnsi" w:cstheme="minorHAnsi"/>
          <w:color w:val="000000"/>
          <w:sz w:val="22"/>
          <w:szCs w:val="22"/>
        </w:rPr>
        <w:t xml:space="preserve"> </w:t>
      </w:r>
    </w:p>
    <w:p w14:paraId="321692FF" w14:textId="3F5ED452" w:rsidR="00F618AA" w:rsidRDefault="00F618AA" w:rsidP="003D231F">
      <w:pPr>
        <w:pStyle w:val="Heading2"/>
      </w:pPr>
      <w:bookmarkStart w:id="20" w:name="_Toc226976840"/>
      <w:bookmarkStart w:id="21" w:name="_Toc233026584"/>
      <w:r w:rsidRPr="008A6B02">
        <w:t>Lessons from AVETP Implementation to Date</w:t>
      </w:r>
      <w:bookmarkEnd w:id="20"/>
      <w:bookmarkEnd w:id="21"/>
      <w:r w:rsidRPr="008A6B02">
        <w:t xml:space="preserve"> </w:t>
      </w:r>
    </w:p>
    <w:p w14:paraId="01842A33" w14:textId="77777777" w:rsidR="001C6C88" w:rsidRPr="005B6D16" w:rsidRDefault="00F618AA" w:rsidP="00F618AA">
      <w:pPr>
        <w:spacing w:before="100" w:beforeAutospacing="1" w:after="100" w:afterAutospacing="1"/>
        <w:rPr>
          <w:rStyle w:val="Strong"/>
          <w:rFonts w:asciiTheme="minorHAnsi" w:hAnsiTheme="minorHAnsi" w:cstheme="minorHAnsi"/>
          <w:b w:val="0"/>
          <w:bCs w:val="0"/>
          <w:color w:val="000000"/>
          <w:sz w:val="22"/>
          <w:szCs w:val="22"/>
        </w:rPr>
      </w:pPr>
      <w:r w:rsidRPr="005B6D16">
        <w:rPr>
          <w:rFonts w:ascii="Arial" w:hAnsi="Arial" w:cs="Arial"/>
          <w:color w:val="000000"/>
          <w:sz w:val="22"/>
          <w:szCs w:val="22"/>
        </w:rPr>
        <w:t xml:space="preserve">Several clear lessons emerge from AVETP implementation to date. The overarching lesson is that the programme’s core model is working, but its delivery model needs strengthening if strong individual transactions are to translate into a stronger country programme over the remainder of implementation. AVETP has performed best where it has supported high quality, additional, market shaping transactions that fill genuine financing gaps, improve the structure or tenor of finance, and demonstrate new sector or instrument pathways. </w:t>
      </w:r>
      <w:r w:rsidR="001C6C88" w:rsidRPr="005B6D16">
        <w:rPr>
          <w:rStyle w:val="Strong"/>
          <w:rFonts w:asciiTheme="minorHAnsi" w:hAnsiTheme="minorHAnsi" w:cstheme="minorHAnsi"/>
          <w:b w:val="0"/>
          <w:bCs w:val="0"/>
          <w:color w:val="000000"/>
          <w:sz w:val="22"/>
          <w:szCs w:val="22"/>
        </w:rPr>
        <w:t>This confirms that AVETP’s comparative advantage lies in quality, additionality, and demonstration effects, rather than transaction volume alone.</w:t>
      </w:r>
    </w:p>
    <w:p w14:paraId="6F8A7C60" w14:textId="1E88FDFD" w:rsidR="00D242DF" w:rsidRPr="005B6D16" w:rsidRDefault="00D242DF" w:rsidP="00F618AA">
      <w:pPr>
        <w:spacing w:before="100" w:beforeAutospacing="1" w:after="100" w:afterAutospacing="1"/>
        <w:rPr>
          <w:rStyle w:val="Strong"/>
          <w:rFonts w:asciiTheme="minorHAnsi" w:hAnsiTheme="minorHAnsi" w:cstheme="minorHAnsi"/>
          <w:b w:val="0"/>
          <w:bCs w:val="0"/>
          <w:color w:val="000000"/>
          <w:sz w:val="22"/>
          <w:szCs w:val="22"/>
        </w:rPr>
      </w:pPr>
      <w:r w:rsidRPr="005B6D16">
        <w:rPr>
          <w:rFonts w:ascii="Arial" w:hAnsi="Arial" w:cs="Arial"/>
          <w:color w:val="000000"/>
          <w:sz w:val="22"/>
          <w:szCs w:val="22"/>
        </w:rPr>
        <w:t xml:space="preserve">A second major lesson is that PIDG’s value goes beyond finance. Due diligence, HSES requirements, ESG processes, governance expectations, and technical assistance have helped strengthen investee systems, improve readiness for future finance, and raise market standards. Technical assistance has been most effective when tightly linked to live transaction bottlenecks, such as early feasibility, unusually high transaction costs, or support to help firms meet international standards.  </w:t>
      </w:r>
    </w:p>
    <w:p w14:paraId="7C40DFF4" w14:textId="050DB4B6" w:rsidR="00D242DF" w:rsidRPr="005B6D16" w:rsidRDefault="00F618AA" w:rsidP="008A6B02">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The main lessons for the remainder of AVETP concern delivery constraints</w:t>
      </w:r>
      <w:r w:rsidR="006F706C" w:rsidRPr="005B6D16">
        <w:rPr>
          <w:rFonts w:ascii="Arial" w:hAnsi="Arial" w:cs="Arial"/>
          <w:color w:val="000000"/>
          <w:sz w:val="22"/>
          <w:szCs w:val="22"/>
        </w:rPr>
        <w:t>, pipeline development</w:t>
      </w:r>
      <w:r w:rsidRPr="005B6D16">
        <w:rPr>
          <w:rFonts w:ascii="Arial" w:hAnsi="Arial" w:cs="Arial"/>
          <w:color w:val="000000"/>
          <w:sz w:val="22"/>
          <w:szCs w:val="22"/>
        </w:rPr>
        <w:t xml:space="preserve"> and risk management. A stronger mechanism is needed to support earlier stage pipeline development, especially where opportunities are promising but not yet bankable.</w:t>
      </w:r>
      <w:r w:rsidR="006F706C" w:rsidRPr="005B6D16">
        <w:rPr>
          <w:rFonts w:ascii="-webkit-standard" w:hAnsi="-webkit-standard"/>
          <w:color w:val="000000"/>
          <w:sz w:val="22"/>
          <w:szCs w:val="22"/>
        </w:rPr>
        <w:t xml:space="preserve"> </w:t>
      </w:r>
      <w:r w:rsidR="006F706C" w:rsidRPr="005B6D16">
        <w:rPr>
          <w:rFonts w:ascii="Arial" w:hAnsi="Arial" w:cs="Arial"/>
          <w:color w:val="000000"/>
          <w:sz w:val="22"/>
          <w:szCs w:val="22"/>
        </w:rPr>
        <w:t xml:space="preserve">Primary data suggests that </w:t>
      </w:r>
      <w:r w:rsidR="006F706C" w:rsidRPr="005B6D16">
        <w:rPr>
          <w:rFonts w:ascii="Arial" w:hAnsi="Arial" w:cs="Arial" w:hint="eastAsia"/>
          <w:color w:val="000000"/>
          <w:sz w:val="22"/>
          <w:szCs w:val="22"/>
        </w:rPr>
        <w:t>“</w:t>
      </w:r>
      <w:r w:rsidR="006F706C" w:rsidRPr="005B6D16">
        <w:rPr>
          <w:rFonts w:ascii="Arial" w:hAnsi="Arial" w:cs="Arial"/>
          <w:color w:val="000000"/>
          <w:sz w:val="22"/>
          <w:szCs w:val="22"/>
        </w:rPr>
        <w:t>bankability</w:t>
      </w:r>
      <w:r w:rsidR="006F706C" w:rsidRPr="005B6D16">
        <w:rPr>
          <w:rFonts w:ascii="Arial" w:hAnsi="Arial" w:cs="Arial" w:hint="eastAsia"/>
          <w:color w:val="000000"/>
          <w:sz w:val="22"/>
          <w:szCs w:val="22"/>
        </w:rPr>
        <w:t>”</w:t>
      </w:r>
      <w:r w:rsidR="006F706C" w:rsidRPr="005B6D16">
        <w:rPr>
          <w:rFonts w:ascii="Arial" w:hAnsi="Arial" w:cs="Arial"/>
          <w:color w:val="000000"/>
          <w:sz w:val="22"/>
          <w:szCs w:val="22"/>
        </w:rPr>
        <w:t xml:space="preserve"> constraints are not only about project quality, but also about specific gaps in early-stage capital, equity depth, regulatory readiness, due diligence preparedness, financial modelling, E&amp;S/HSES systems, governance standards, and familiarity with international financier requirements. </w:t>
      </w:r>
      <w:r w:rsidR="009310C6" w:rsidRPr="005B6D16">
        <w:rPr>
          <w:rFonts w:ascii="Arial" w:hAnsi="Arial" w:cs="Arial"/>
          <w:color w:val="000000"/>
          <w:sz w:val="22"/>
          <w:szCs w:val="22"/>
        </w:rPr>
        <w:t>PIDG</w:t>
      </w:r>
      <w:r w:rsidR="006F706C" w:rsidRPr="005B6D16">
        <w:rPr>
          <w:rFonts w:ascii="Arial" w:hAnsi="Arial" w:cs="Arial"/>
          <w:color w:val="000000"/>
          <w:sz w:val="22"/>
          <w:szCs w:val="22"/>
        </w:rPr>
        <w:t xml:space="preserve"> could therefore strengthen its pipeline by providing more targeted pre-transaction support, including early-stage risk-sharing capital for smaller or higher-risk local companies, technical assistance for financial models and E&amp;S systems, support to meet international due diligence standards, local market and regulatory advisory support, and closer in-country origination to identify promising but not yet bankable opportunities.</w:t>
      </w:r>
      <w:r w:rsidRPr="005B6D16">
        <w:rPr>
          <w:rFonts w:ascii="Arial" w:hAnsi="Arial" w:cs="Arial"/>
          <w:color w:val="000000"/>
          <w:sz w:val="22"/>
          <w:szCs w:val="22"/>
        </w:rPr>
        <w:t xml:space="preserve"> </w:t>
      </w:r>
    </w:p>
    <w:p w14:paraId="216F1EEE" w14:textId="4C6DA22E" w:rsidR="00F618AA" w:rsidRPr="005B6D16" w:rsidRDefault="00F618AA" w:rsidP="008A6B02">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 xml:space="preserve">Local presence has emerged as a particularly important lesson, affecting transaction speed, policy engagement, visibility, reporting, and coordination with </w:t>
      </w:r>
      <w:r w:rsidR="0052059E" w:rsidRPr="005B6D16">
        <w:rPr>
          <w:rFonts w:ascii="Arial" w:hAnsi="Arial" w:cs="Arial"/>
          <w:color w:val="000000"/>
          <w:sz w:val="22"/>
          <w:szCs w:val="22"/>
        </w:rPr>
        <w:t xml:space="preserve">owners and </w:t>
      </w:r>
      <w:r w:rsidRPr="005B6D16">
        <w:rPr>
          <w:rFonts w:ascii="Arial" w:hAnsi="Arial" w:cs="Arial"/>
          <w:color w:val="000000"/>
          <w:sz w:val="22"/>
          <w:szCs w:val="22"/>
        </w:rPr>
        <w:t>DFAT. The evidence also suggests that a broader climate</w:t>
      </w:r>
      <w:r w:rsidR="0052059E" w:rsidRPr="005B6D16">
        <w:rPr>
          <w:rFonts w:ascii="Arial" w:hAnsi="Arial" w:cs="Arial"/>
          <w:color w:val="000000"/>
          <w:sz w:val="22"/>
          <w:szCs w:val="22"/>
        </w:rPr>
        <w:t xml:space="preserve"> resilience</w:t>
      </w:r>
      <w:r w:rsidRPr="005B6D16">
        <w:rPr>
          <w:rFonts w:ascii="Arial" w:hAnsi="Arial" w:cs="Arial"/>
          <w:color w:val="000000"/>
          <w:sz w:val="22"/>
          <w:szCs w:val="22"/>
        </w:rPr>
        <w:t xml:space="preserve"> relevant portfolio is a practical form of risk management in Vietnam’s policy environment rather than mission drift away from energy transition. In this context, the CEF shows that system level market building is feasible and relevant, but slower, more political, and more dependent on sustained local engagement than ordinary transactions. The central lesson is therefore not that AVETP requires wholesale redesign, but that it needs stronger country delivery arrangements, more deliberate use of TA, continued focus on additional and market shaping deals, and better conversion of transaction progress into visible, reportable programme level results. </w:t>
      </w:r>
    </w:p>
    <w:p w14:paraId="1B1F5122" w14:textId="63B3E043" w:rsidR="00291782" w:rsidRDefault="00291782" w:rsidP="003D231F">
      <w:pPr>
        <w:pStyle w:val="Heading1"/>
      </w:pPr>
      <w:bookmarkStart w:id="22" w:name="_Toc226976841"/>
      <w:bookmarkStart w:id="23" w:name="_Toc233026585"/>
      <w:r>
        <w:lastRenderedPageBreak/>
        <w:t>Recommendations</w:t>
      </w:r>
      <w:bookmarkEnd w:id="22"/>
      <w:bookmarkEnd w:id="23"/>
      <w:r>
        <w:t xml:space="preserve"> </w:t>
      </w:r>
    </w:p>
    <w:p w14:paraId="63E674E5" w14:textId="4BC8BA09" w:rsidR="00291782" w:rsidRPr="005B6D16" w:rsidRDefault="00E074A3" w:rsidP="00291782">
      <w:pPr>
        <w:rPr>
          <w:rFonts w:asciiTheme="minorHAnsi" w:hAnsiTheme="minorHAnsi" w:cstheme="minorHAnsi"/>
          <w:sz w:val="22"/>
          <w:szCs w:val="22"/>
        </w:rPr>
      </w:pPr>
      <w:r w:rsidRPr="005B6D16">
        <w:rPr>
          <w:rFonts w:asciiTheme="minorHAnsi" w:hAnsiTheme="minorHAnsi" w:cstheme="minorHAnsi"/>
          <w:color w:val="000000"/>
          <w:sz w:val="22"/>
          <w:szCs w:val="22"/>
        </w:rPr>
        <w:t>The review makes six core recommendations for the remainder of AVETP. These focus on the highest-priority changes needed to strengthen delivery, improve country-level management, sharpen reporting, and support stronger transaction conversion. More detailed operational suggestions are included under each recommendation rather than presented as separate recommendations, to avoid duplication and maintain focus.</w:t>
      </w:r>
    </w:p>
    <w:p w14:paraId="270D6CC9" w14:textId="24F3A990" w:rsidR="0052059E" w:rsidRPr="005B6D16" w:rsidRDefault="0052059E" w:rsidP="00857105">
      <w:pPr>
        <w:spacing w:before="240" w:after="240"/>
        <w:rPr>
          <w:rFonts w:ascii="Arial" w:hAnsi="Arial" w:cs="Arial"/>
          <w:b/>
          <w:sz w:val="22"/>
          <w:szCs w:val="22"/>
        </w:rPr>
      </w:pPr>
      <w:r w:rsidRPr="005B6D16">
        <w:rPr>
          <w:rFonts w:ascii="Arial" w:hAnsi="Arial" w:cs="Arial"/>
          <w:b/>
          <w:sz w:val="22"/>
          <w:szCs w:val="22"/>
        </w:rPr>
        <w:t>RECOMMENDATION 1. ESTABLISH A STRONGER COUNTRY</w:t>
      </w:r>
      <w:r w:rsidR="00D242DF" w:rsidRPr="005B6D16">
        <w:rPr>
          <w:rFonts w:ascii="Arial" w:hAnsi="Arial" w:cs="Arial"/>
          <w:b/>
          <w:sz w:val="22"/>
          <w:szCs w:val="22"/>
        </w:rPr>
        <w:t>-</w:t>
      </w:r>
      <w:r w:rsidRPr="005B6D16">
        <w:rPr>
          <w:rFonts w:ascii="Arial" w:hAnsi="Arial" w:cs="Arial"/>
          <w:b/>
          <w:sz w:val="22"/>
          <w:szCs w:val="22"/>
        </w:rPr>
        <w:t>FACING FUNCTION IN VIETNAM</w:t>
      </w:r>
    </w:p>
    <w:p w14:paraId="56019A75" w14:textId="469940AC" w:rsidR="00E074A3" w:rsidRPr="005B6D16" w:rsidRDefault="0052059E" w:rsidP="0052059E">
      <w:pPr>
        <w:rPr>
          <w:rFonts w:ascii="Arial" w:hAnsi="Arial" w:cs="Arial"/>
          <w:sz w:val="22"/>
          <w:szCs w:val="22"/>
        </w:rPr>
      </w:pPr>
      <w:r w:rsidRPr="005B6D16">
        <w:rPr>
          <w:rFonts w:ascii="Arial" w:hAnsi="Arial" w:cs="Arial"/>
          <w:sz w:val="22"/>
          <w:szCs w:val="22"/>
        </w:rPr>
        <w:t>PIDG should establish a clearer and more reliable country</w:t>
      </w:r>
      <w:r w:rsidR="00D91A5B" w:rsidRPr="005B6D16">
        <w:rPr>
          <w:rFonts w:ascii="Arial" w:hAnsi="Arial" w:cs="Arial"/>
          <w:sz w:val="22"/>
          <w:szCs w:val="22"/>
        </w:rPr>
        <w:t>-</w:t>
      </w:r>
      <w:r w:rsidRPr="005B6D16">
        <w:rPr>
          <w:rFonts w:ascii="Arial" w:hAnsi="Arial" w:cs="Arial"/>
          <w:sz w:val="22"/>
          <w:szCs w:val="22"/>
        </w:rPr>
        <w:t xml:space="preserve">facing function for Vietnam, whether through a dedicated local focal point, or a small in country team with clear responsibility for coordination, reporting, stakeholder engagement, </w:t>
      </w:r>
      <w:r w:rsidR="00E074A3" w:rsidRPr="005B6D16">
        <w:rPr>
          <w:rFonts w:ascii="Arial" w:hAnsi="Arial" w:cs="Arial"/>
          <w:sz w:val="22"/>
          <w:szCs w:val="22"/>
        </w:rPr>
        <w:t xml:space="preserve">public diplomacy support </w:t>
      </w:r>
      <w:r w:rsidRPr="005B6D16">
        <w:rPr>
          <w:rFonts w:ascii="Arial" w:hAnsi="Arial" w:cs="Arial"/>
          <w:sz w:val="22"/>
          <w:szCs w:val="22"/>
        </w:rPr>
        <w:t>and pipeline</w:t>
      </w:r>
      <w:r w:rsidR="00E074A3" w:rsidRPr="005B6D16">
        <w:rPr>
          <w:rFonts w:ascii="Arial" w:hAnsi="Arial" w:cs="Arial"/>
          <w:sz w:val="22"/>
          <w:szCs w:val="22"/>
        </w:rPr>
        <w:t xml:space="preserve"> development</w:t>
      </w:r>
      <w:r w:rsidRPr="005B6D16">
        <w:rPr>
          <w:rFonts w:ascii="Arial" w:hAnsi="Arial" w:cs="Arial"/>
          <w:sz w:val="22"/>
          <w:szCs w:val="22"/>
        </w:rPr>
        <w:t xml:space="preserve">. The evidence </w:t>
      </w:r>
      <w:r w:rsidR="004F3133" w:rsidRPr="005B6D16">
        <w:rPr>
          <w:rFonts w:ascii="Arial" w:hAnsi="Arial" w:cs="Arial"/>
          <w:sz w:val="22"/>
          <w:szCs w:val="22"/>
        </w:rPr>
        <w:t>highlights</w:t>
      </w:r>
      <w:r w:rsidRPr="005B6D16">
        <w:rPr>
          <w:rFonts w:ascii="Arial" w:hAnsi="Arial" w:cs="Arial"/>
          <w:sz w:val="22"/>
          <w:szCs w:val="22"/>
        </w:rPr>
        <w:t xml:space="preserve"> that weak local presence has reduced responsiveness, slowed policy and regulatory engagement, weakened visibility of Australia’s contribution, and shifted too much burden onto DFAT Post. </w:t>
      </w:r>
    </w:p>
    <w:p w14:paraId="7FD4599E" w14:textId="0052CF3E" w:rsidR="0052059E" w:rsidRPr="005B6D16" w:rsidRDefault="00D242DF" w:rsidP="00857105">
      <w:pPr>
        <w:spacing w:before="240"/>
        <w:rPr>
          <w:rFonts w:ascii="Arial" w:hAnsi="Arial" w:cs="Arial"/>
          <w:sz w:val="22"/>
          <w:szCs w:val="22"/>
        </w:rPr>
      </w:pPr>
      <w:r w:rsidRPr="005B6D16">
        <w:rPr>
          <w:rFonts w:ascii="Arial" w:hAnsi="Arial" w:cs="Arial"/>
          <w:sz w:val="22"/>
          <w:szCs w:val="22"/>
        </w:rPr>
        <w:t>S</w:t>
      </w:r>
      <w:r w:rsidR="0052059E" w:rsidRPr="005B6D16">
        <w:rPr>
          <w:rFonts w:ascii="Arial" w:hAnsi="Arial" w:cs="Arial"/>
          <w:sz w:val="22"/>
          <w:szCs w:val="22"/>
        </w:rPr>
        <w:t xml:space="preserve">tronger in country capacity is likely to improve transaction </w:t>
      </w:r>
      <w:r w:rsidR="00E074A3" w:rsidRPr="005B6D16">
        <w:rPr>
          <w:rFonts w:ascii="Arial" w:hAnsi="Arial" w:cs="Arial"/>
          <w:sz w:val="22"/>
          <w:szCs w:val="22"/>
        </w:rPr>
        <w:t xml:space="preserve">origination and </w:t>
      </w:r>
      <w:r w:rsidR="0052059E" w:rsidRPr="005B6D16">
        <w:rPr>
          <w:rFonts w:ascii="Arial" w:hAnsi="Arial" w:cs="Arial"/>
          <w:sz w:val="22"/>
          <w:szCs w:val="22"/>
        </w:rPr>
        <w:t xml:space="preserve">conversion, </w:t>
      </w:r>
      <w:r w:rsidR="00E074A3" w:rsidRPr="005B6D16">
        <w:rPr>
          <w:rFonts w:ascii="Arial" w:hAnsi="Arial" w:cs="Arial"/>
          <w:sz w:val="22"/>
          <w:szCs w:val="22"/>
        </w:rPr>
        <w:t xml:space="preserve">support more regular engagement with </w:t>
      </w:r>
      <w:r w:rsidR="0052059E" w:rsidRPr="005B6D16">
        <w:rPr>
          <w:rFonts w:ascii="Arial" w:hAnsi="Arial" w:cs="Arial"/>
          <w:sz w:val="22"/>
          <w:szCs w:val="22"/>
        </w:rPr>
        <w:t xml:space="preserve">government </w:t>
      </w:r>
      <w:r w:rsidR="00E074A3" w:rsidRPr="005B6D16">
        <w:rPr>
          <w:rFonts w:ascii="Arial" w:hAnsi="Arial" w:cs="Arial"/>
          <w:sz w:val="22"/>
          <w:szCs w:val="22"/>
        </w:rPr>
        <w:t>and market actors</w:t>
      </w:r>
      <w:r w:rsidR="0052059E" w:rsidRPr="005B6D16">
        <w:rPr>
          <w:rFonts w:ascii="Arial" w:hAnsi="Arial" w:cs="Arial"/>
          <w:sz w:val="22"/>
          <w:szCs w:val="22"/>
        </w:rPr>
        <w:t xml:space="preserve">, </w:t>
      </w:r>
      <w:r w:rsidR="00E074A3" w:rsidRPr="005B6D16">
        <w:rPr>
          <w:rFonts w:ascii="Arial" w:hAnsi="Arial" w:cs="Arial"/>
          <w:sz w:val="22"/>
          <w:szCs w:val="22"/>
        </w:rPr>
        <w:t xml:space="preserve">strengthen preparation for </w:t>
      </w:r>
      <w:r w:rsidR="0052059E" w:rsidRPr="005B6D16">
        <w:rPr>
          <w:rFonts w:ascii="Arial" w:hAnsi="Arial" w:cs="Arial"/>
          <w:sz w:val="22"/>
          <w:szCs w:val="22"/>
        </w:rPr>
        <w:t>event</w:t>
      </w:r>
      <w:r w:rsidR="00E074A3" w:rsidRPr="005B6D16">
        <w:rPr>
          <w:rFonts w:ascii="Arial" w:hAnsi="Arial" w:cs="Arial"/>
          <w:sz w:val="22"/>
          <w:szCs w:val="22"/>
        </w:rPr>
        <w:t>s and announcement</w:t>
      </w:r>
      <w:r w:rsidR="0052059E" w:rsidRPr="005B6D16">
        <w:rPr>
          <w:rFonts w:ascii="Arial" w:hAnsi="Arial" w:cs="Arial"/>
          <w:sz w:val="22"/>
          <w:szCs w:val="22"/>
        </w:rPr>
        <w:t xml:space="preserve">, </w:t>
      </w:r>
      <w:r w:rsidR="00E074A3" w:rsidRPr="005B6D16">
        <w:rPr>
          <w:rFonts w:ascii="Arial" w:hAnsi="Arial" w:cs="Arial"/>
          <w:sz w:val="22"/>
          <w:szCs w:val="22"/>
        </w:rPr>
        <w:t xml:space="preserve">improve </w:t>
      </w:r>
      <w:r w:rsidR="0052059E" w:rsidRPr="005B6D16">
        <w:rPr>
          <w:rFonts w:ascii="Arial" w:hAnsi="Arial" w:cs="Arial"/>
          <w:sz w:val="22"/>
          <w:szCs w:val="22"/>
        </w:rPr>
        <w:t xml:space="preserve">reporting quality, and </w:t>
      </w:r>
      <w:r w:rsidR="00E074A3" w:rsidRPr="005B6D16">
        <w:rPr>
          <w:rFonts w:ascii="Arial" w:hAnsi="Arial" w:cs="Arial"/>
          <w:sz w:val="22"/>
          <w:szCs w:val="22"/>
        </w:rPr>
        <w:t>provide DFAT with a clearer and more consistent country-level interface</w:t>
      </w:r>
      <w:r w:rsidR="0052059E" w:rsidRPr="005B6D16">
        <w:rPr>
          <w:rFonts w:ascii="Arial" w:hAnsi="Arial" w:cs="Arial"/>
          <w:sz w:val="22"/>
          <w:szCs w:val="22"/>
        </w:rPr>
        <w:t>. </w:t>
      </w:r>
      <w:r w:rsidR="00E074A3" w:rsidRPr="005B6D16">
        <w:rPr>
          <w:rFonts w:asciiTheme="minorHAnsi" w:hAnsiTheme="minorHAnsi" w:cstheme="minorHAnsi"/>
          <w:color w:val="000000"/>
          <w:sz w:val="22"/>
          <w:szCs w:val="22"/>
        </w:rPr>
        <w:t>This function should also help coordinate owner engagement and ensure that DFAT is informed early about transaction milestones, market developments, and public diplomacy opportunities.</w:t>
      </w:r>
    </w:p>
    <w:p w14:paraId="14E88C70" w14:textId="045BB964" w:rsidR="0052059E" w:rsidRPr="005B6D16" w:rsidRDefault="0052059E" w:rsidP="00857105">
      <w:pPr>
        <w:spacing w:before="240" w:after="240"/>
        <w:rPr>
          <w:rFonts w:ascii="Arial" w:hAnsi="Arial" w:cs="Arial"/>
          <w:b/>
          <w:sz w:val="22"/>
          <w:szCs w:val="22"/>
        </w:rPr>
      </w:pPr>
      <w:r w:rsidRPr="005B6D16">
        <w:rPr>
          <w:rFonts w:ascii="Arial" w:hAnsi="Arial" w:cs="Arial"/>
          <w:b/>
          <w:sz w:val="22"/>
          <w:szCs w:val="22"/>
        </w:rPr>
        <w:t xml:space="preserve">RECOMMENDATION </w:t>
      </w:r>
      <w:r w:rsidR="003941EB" w:rsidRPr="005B6D16">
        <w:rPr>
          <w:rFonts w:ascii="Arial" w:hAnsi="Arial" w:cs="Arial"/>
          <w:b/>
          <w:sz w:val="22"/>
          <w:szCs w:val="22"/>
        </w:rPr>
        <w:t>2</w:t>
      </w:r>
      <w:r w:rsidRPr="005B6D16">
        <w:rPr>
          <w:rFonts w:ascii="Arial" w:hAnsi="Arial" w:cs="Arial"/>
          <w:b/>
          <w:sz w:val="22"/>
          <w:szCs w:val="22"/>
        </w:rPr>
        <w:t xml:space="preserve">. STRENGTHEN VISIBILITY OF AUSTRALIA’S CONTRIBUTION THROUGH </w:t>
      </w:r>
      <w:proofErr w:type="gramStart"/>
      <w:r w:rsidRPr="005B6D16">
        <w:rPr>
          <w:rFonts w:ascii="Arial" w:hAnsi="Arial" w:cs="Arial"/>
          <w:b/>
          <w:sz w:val="22"/>
          <w:szCs w:val="22"/>
        </w:rPr>
        <w:t xml:space="preserve">A </w:t>
      </w:r>
      <w:r w:rsidR="002F1282" w:rsidRPr="005B6D16">
        <w:rPr>
          <w:rFonts w:ascii="Arial" w:hAnsi="Arial" w:cs="Arial"/>
          <w:b/>
          <w:sz w:val="22"/>
          <w:szCs w:val="22"/>
        </w:rPr>
        <w:t xml:space="preserve"> PRACTICAL</w:t>
      </w:r>
      <w:proofErr w:type="gramEnd"/>
      <w:r w:rsidR="002F1282" w:rsidRPr="005B6D16">
        <w:rPr>
          <w:rFonts w:ascii="Arial" w:hAnsi="Arial" w:cs="Arial"/>
          <w:b/>
          <w:sz w:val="22"/>
          <w:szCs w:val="22"/>
        </w:rPr>
        <w:t xml:space="preserve"> </w:t>
      </w:r>
      <w:r w:rsidRPr="005B6D16">
        <w:rPr>
          <w:rFonts w:ascii="Arial" w:hAnsi="Arial" w:cs="Arial"/>
          <w:b/>
          <w:sz w:val="22"/>
          <w:szCs w:val="22"/>
        </w:rPr>
        <w:t>COUNTRY</w:t>
      </w:r>
      <w:r w:rsidR="00D242DF" w:rsidRPr="005B6D16">
        <w:rPr>
          <w:rFonts w:ascii="Arial" w:hAnsi="Arial" w:cs="Arial"/>
          <w:b/>
          <w:sz w:val="22"/>
          <w:szCs w:val="22"/>
        </w:rPr>
        <w:t>-</w:t>
      </w:r>
      <w:r w:rsidRPr="005B6D16">
        <w:rPr>
          <w:rFonts w:ascii="Arial" w:hAnsi="Arial" w:cs="Arial"/>
          <w:b/>
          <w:sz w:val="22"/>
          <w:szCs w:val="22"/>
        </w:rPr>
        <w:t>LEVEL COMMUNICATIONS APPROACH</w:t>
      </w:r>
    </w:p>
    <w:p w14:paraId="65733A49" w14:textId="4DE3E9D3" w:rsidR="0052059E" w:rsidRPr="005B6D16" w:rsidRDefault="0052059E" w:rsidP="0052059E">
      <w:pPr>
        <w:rPr>
          <w:rFonts w:ascii="Arial" w:hAnsi="Arial" w:cs="Arial"/>
          <w:sz w:val="22"/>
          <w:szCs w:val="22"/>
        </w:rPr>
      </w:pPr>
      <w:r w:rsidRPr="005B6D16">
        <w:rPr>
          <w:rFonts w:ascii="Arial" w:hAnsi="Arial" w:cs="Arial"/>
          <w:sz w:val="22"/>
          <w:szCs w:val="22"/>
        </w:rPr>
        <w:t>DFAT and PIDG should agree a practical communications and visibility approach for Vietnam that makes Australia’s contribution more consistently visible across transactions, events, reporting, and stakeholder engagement. The review found that Australia’s substantive contribution is stronger than its public visibility, and that stronger transaction performance has not translated sufficiently into bilateral profile and influence. </w:t>
      </w:r>
    </w:p>
    <w:p w14:paraId="14FA3062" w14:textId="19C82EC8" w:rsidR="00E074A3" w:rsidRPr="005B6D16" w:rsidRDefault="002F1282" w:rsidP="00857105">
      <w:pPr>
        <w:spacing w:before="240"/>
        <w:rPr>
          <w:rFonts w:ascii="Arial" w:hAnsi="Arial" w:cs="Arial"/>
          <w:sz w:val="22"/>
          <w:szCs w:val="22"/>
        </w:rPr>
      </w:pPr>
      <w:r w:rsidRPr="005B6D16">
        <w:rPr>
          <w:rFonts w:ascii="Arial" w:hAnsi="Arial" w:cs="Arial"/>
          <w:sz w:val="22"/>
          <w:szCs w:val="22"/>
        </w:rPr>
        <w:t>This approach should include clearer branding and messaging, earlier coordination around public diplomacy opportunities, more regular market and stakeholder updates, and explicit recognition of Australia’s role in AVETP backed transactions where appropriate.</w:t>
      </w:r>
      <w:r w:rsidRPr="005B6D16">
        <w:rPr>
          <w:rFonts w:ascii="-webkit-standard" w:hAnsi="-webkit-standard"/>
          <w:color w:val="000000"/>
          <w:sz w:val="22"/>
          <w:szCs w:val="22"/>
        </w:rPr>
        <w:t xml:space="preserve"> </w:t>
      </w:r>
      <w:r w:rsidRPr="005B6D16">
        <w:rPr>
          <w:rFonts w:asciiTheme="minorHAnsi" w:hAnsiTheme="minorHAnsi" w:cstheme="minorHAnsi"/>
          <w:color w:val="000000"/>
          <w:sz w:val="22"/>
          <w:szCs w:val="22"/>
        </w:rPr>
        <w:t>It should also clarify roles between PIDG, DFAT Post and DFAT Canberra so that communications are planned earlier and not left to ad hoc arrangements around individual events.</w:t>
      </w:r>
    </w:p>
    <w:p w14:paraId="0E4FB27E" w14:textId="3B8E1BD8" w:rsidR="0052059E" w:rsidRPr="005B6D16" w:rsidRDefault="0052059E" w:rsidP="00857105">
      <w:pPr>
        <w:spacing w:before="240" w:after="240"/>
        <w:rPr>
          <w:rFonts w:asciiTheme="minorHAnsi" w:hAnsiTheme="minorHAnsi" w:cstheme="minorHAnsi"/>
          <w:b/>
          <w:sz w:val="22"/>
          <w:szCs w:val="22"/>
        </w:rPr>
      </w:pPr>
      <w:r w:rsidRPr="005B6D16">
        <w:rPr>
          <w:rFonts w:asciiTheme="minorHAnsi" w:hAnsiTheme="minorHAnsi" w:cstheme="minorHAnsi"/>
          <w:b/>
          <w:sz w:val="22"/>
          <w:szCs w:val="22"/>
        </w:rPr>
        <w:t xml:space="preserve">RECOMMENDATION </w:t>
      </w:r>
      <w:r w:rsidR="003941EB" w:rsidRPr="005B6D16">
        <w:rPr>
          <w:rFonts w:asciiTheme="minorHAnsi" w:hAnsiTheme="minorHAnsi" w:cstheme="minorHAnsi"/>
          <w:b/>
          <w:sz w:val="22"/>
          <w:szCs w:val="22"/>
        </w:rPr>
        <w:t>3</w:t>
      </w:r>
      <w:r w:rsidRPr="005B6D16">
        <w:rPr>
          <w:rFonts w:asciiTheme="minorHAnsi" w:hAnsiTheme="minorHAnsi" w:cstheme="minorHAnsi"/>
          <w:b/>
          <w:sz w:val="22"/>
          <w:szCs w:val="22"/>
        </w:rPr>
        <w:t xml:space="preserve">. REFINE THE PROGRAMME LOGIC AND </w:t>
      </w:r>
      <w:r w:rsidR="007F3207" w:rsidRPr="005B6D16">
        <w:rPr>
          <w:rFonts w:asciiTheme="minorHAnsi" w:hAnsiTheme="minorHAnsi" w:cstheme="minorHAnsi"/>
          <w:b/>
          <w:sz w:val="22"/>
          <w:szCs w:val="22"/>
        </w:rPr>
        <w:t xml:space="preserve">ESTABLISH A LIGHT AVETP-LEVEL MEL AND REPORTING FRAMEWORK </w:t>
      </w:r>
    </w:p>
    <w:p w14:paraId="5854511B" w14:textId="55CEFF4A" w:rsidR="007F3207" w:rsidRPr="005B6D16" w:rsidRDefault="0052059E" w:rsidP="0052059E">
      <w:pPr>
        <w:rPr>
          <w:rFonts w:asciiTheme="minorHAnsi" w:hAnsiTheme="minorHAnsi" w:cstheme="minorHAnsi"/>
          <w:color w:val="000000"/>
          <w:sz w:val="22"/>
          <w:szCs w:val="22"/>
        </w:rPr>
      </w:pPr>
      <w:r w:rsidRPr="005B6D16">
        <w:rPr>
          <w:rFonts w:ascii="Arial" w:hAnsi="Arial" w:cs="Arial"/>
          <w:sz w:val="22"/>
          <w:szCs w:val="22"/>
        </w:rPr>
        <w:t xml:space="preserve">DFAT and PIDG should agree </w:t>
      </w:r>
      <w:r w:rsidR="007E2330" w:rsidRPr="005B6D16">
        <w:rPr>
          <w:rFonts w:ascii="Arial" w:hAnsi="Arial" w:cs="Arial"/>
          <w:sz w:val="22"/>
          <w:szCs w:val="22"/>
        </w:rPr>
        <w:t xml:space="preserve">on </w:t>
      </w:r>
      <w:r w:rsidRPr="005B6D16">
        <w:rPr>
          <w:rFonts w:ascii="Arial" w:hAnsi="Arial" w:cs="Arial"/>
          <w:sz w:val="22"/>
          <w:szCs w:val="22"/>
        </w:rPr>
        <w:t>a refined AVETP programme logic</w:t>
      </w:r>
      <w:r w:rsidR="002F1282" w:rsidRPr="005B6D16">
        <w:rPr>
          <w:rFonts w:ascii="-webkit-standard" w:hAnsi="-webkit-standard"/>
          <w:color w:val="000000"/>
          <w:sz w:val="22"/>
          <w:szCs w:val="22"/>
        </w:rPr>
        <w:t xml:space="preserve"> </w:t>
      </w:r>
      <w:r w:rsidR="002F1282" w:rsidRPr="005B6D16">
        <w:rPr>
          <w:rFonts w:asciiTheme="minorHAnsi" w:hAnsiTheme="minorHAnsi" w:cstheme="minorHAnsi"/>
          <w:color w:val="000000"/>
          <w:sz w:val="22"/>
          <w:szCs w:val="22"/>
        </w:rPr>
        <w:t>and a concise AVETP-specific MEL framework</w:t>
      </w:r>
      <w:r w:rsidRPr="005B6D16">
        <w:rPr>
          <w:rFonts w:ascii="Arial" w:hAnsi="Arial" w:cs="Arial"/>
          <w:sz w:val="22"/>
          <w:szCs w:val="22"/>
        </w:rPr>
        <w:t xml:space="preserve"> for the remainder of the programme. </w:t>
      </w:r>
      <w:r w:rsidR="007F3207" w:rsidRPr="005B6D16">
        <w:rPr>
          <w:rFonts w:asciiTheme="minorHAnsi" w:hAnsiTheme="minorHAnsi" w:cstheme="minorHAnsi"/>
          <w:color w:val="000000"/>
          <w:sz w:val="22"/>
          <w:szCs w:val="22"/>
        </w:rPr>
        <w:t>This should not replace PIDG</w:t>
      </w:r>
      <w:r w:rsidR="007F3207" w:rsidRPr="005B6D16">
        <w:rPr>
          <w:rFonts w:asciiTheme="minorHAnsi" w:hAnsiTheme="minorHAnsi" w:cstheme="minorHAnsi" w:hint="eastAsia"/>
          <w:color w:val="000000"/>
          <w:sz w:val="22"/>
          <w:szCs w:val="22"/>
        </w:rPr>
        <w:t>’</w:t>
      </w:r>
      <w:r w:rsidR="007F3207" w:rsidRPr="005B6D16">
        <w:rPr>
          <w:rFonts w:asciiTheme="minorHAnsi" w:hAnsiTheme="minorHAnsi" w:cstheme="minorHAnsi"/>
          <w:color w:val="000000"/>
          <w:sz w:val="22"/>
          <w:szCs w:val="22"/>
        </w:rPr>
        <w:t>s corporate impact systems. Rather, it should sit above those systems and translate existing PIDG data into a practical Vietnam-facing reporting architecture aligned with AVETP</w:t>
      </w:r>
      <w:r w:rsidR="007F3207" w:rsidRPr="005B6D16">
        <w:rPr>
          <w:rFonts w:asciiTheme="minorHAnsi" w:hAnsiTheme="minorHAnsi" w:cstheme="minorHAnsi" w:hint="eastAsia"/>
          <w:color w:val="000000"/>
          <w:sz w:val="22"/>
          <w:szCs w:val="22"/>
        </w:rPr>
        <w:t>’</w:t>
      </w:r>
      <w:r w:rsidR="007F3207" w:rsidRPr="005B6D16">
        <w:rPr>
          <w:rFonts w:asciiTheme="minorHAnsi" w:hAnsiTheme="minorHAnsi" w:cstheme="minorHAnsi"/>
          <w:color w:val="000000"/>
          <w:sz w:val="22"/>
          <w:szCs w:val="22"/>
        </w:rPr>
        <w:t>s EOPOs, intermediate outcomes, and DFAT</w:t>
      </w:r>
      <w:r w:rsidR="007F3207" w:rsidRPr="005B6D16">
        <w:rPr>
          <w:rFonts w:asciiTheme="minorHAnsi" w:hAnsiTheme="minorHAnsi" w:cstheme="minorHAnsi" w:hint="eastAsia"/>
          <w:color w:val="000000"/>
          <w:sz w:val="22"/>
          <w:szCs w:val="22"/>
        </w:rPr>
        <w:t>’</w:t>
      </w:r>
      <w:r w:rsidR="007F3207" w:rsidRPr="005B6D16">
        <w:rPr>
          <w:rFonts w:asciiTheme="minorHAnsi" w:hAnsiTheme="minorHAnsi" w:cstheme="minorHAnsi"/>
          <w:color w:val="000000"/>
          <w:sz w:val="22"/>
          <w:szCs w:val="22"/>
        </w:rPr>
        <w:t xml:space="preserve">s country-level accountability requirements. </w:t>
      </w:r>
    </w:p>
    <w:p w14:paraId="0503BEF0" w14:textId="53066487" w:rsidR="0052059E" w:rsidRPr="005B6D16" w:rsidRDefault="0052059E" w:rsidP="00857105">
      <w:pPr>
        <w:spacing w:before="240"/>
        <w:rPr>
          <w:rFonts w:ascii="Arial" w:hAnsi="Arial" w:cs="Arial"/>
          <w:sz w:val="22"/>
          <w:szCs w:val="22"/>
        </w:rPr>
      </w:pPr>
      <w:r w:rsidRPr="005B6D16">
        <w:rPr>
          <w:rFonts w:ascii="Arial" w:hAnsi="Arial" w:cs="Arial"/>
          <w:sz w:val="22"/>
          <w:szCs w:val="22"/>
        </w:rPr>
        <w:t xml:space="preserve">The current </w:t>
      </w:r>
      <w:r w:rsidR="00280EA8" w:rsidRPr="005B6D16">
        <w:rPr>
          <w:rFonts w:ascii="Arial" w:hAnsi="Arial" w:cs="Arial"/>
          <w:sz w:val="22"/>
          <w:szCs w:val="22"/>
        </w:rPr>
        <w:t xml:space="preserve">programme </w:t>
      </w:r>
      <w:r w:rsidRPr="005B6D16">
        <w:rPr>
          <w:rFonts w:ascii="Arial" w:hAnsi="Arial" w:cs="Arial"/>
          <w:sz w:val="22"/>
          <w:szCs w:val="22"/>
        </w:rPr>
        <w:t xml:space="preserve">logic remains too narrowly anchored in renewable energy generation and direct output metrics, while the actual portfolio now spans e-mobility, water infrastructure, recycling, and the CEF. A revised logic </w:t>
      </w:r>
      <w:r w:rsidR="00582046" w:rsidRPr="005B6D16">
        <w:rPr>
          <w:rFonts w:ascii="Arial" w:hAnsi="Arial" w:cs="Arial"/>
          <w:sz w:val="22"/>
          <w:szCs w:val="22"/>
        </w:rPr>
        <w:t xml:space="preserve">could </w:t>
      </w:r>
      <w:r w:rsidRPr="005B6D16">
        <w:rPr>
          <w:rFonts w:ascii="Arial" w:hAnsi="Arial" w:cs="Arial"/>
          <w:sz w:val="22"/>
          <w:szCs w:val="22"/>
        </w:rPr>
        <w:t xml:space="preserve">organise AVETP around </w:t>
      </w:r>
      <w:r w:rsidR="007F3207" w:rsidRPr="005B6D16">
        <w:rPr>
          <w:rFonts w:ascii="Arial" w:hAnsi="Arial" w:cs="Arial"/>
          <w:sz w:val="22"/>
          <w:szCs w:val="22"/>
        </w:rPr>
        <w:t xml:space="preserve">three </w:t>
      </w:r>
      <w:r w:rsidRPr="005B6D16">
        <w:rPr>
          <w:rFonts w:ascii="Arial" w:hAnsi="Arial" w:cs="Arial"/>
          <w:sz w:val="22"/>
          <w:szCs w:val="22"/>
        </w:rPr>
        <w:t xml:space="preserve">broader areas: </w:t>
      </w:r>
      <w:r w:rsidR="001B2781" w:rsidRPr="005B6D16">
        <w:rPr>
          <w:rFonts w:asciiTheme="minorHAnsi" w:hAnsiTheme="minorHAnsi" w:cstheme="minorHAnsi"/>
          <w:color w:val="000000"/>
          <w:sz w:val="22"/>
          <w:szCs w:val="22"/>
        </w:rPr>
        <w:t xml:space="preserve">mobilising more </w:t>
      </w:r>
      <w:r w:rsidR="00582046" w:rsidRPr="005B6D16">
        <w:rPr>
          <w:rFonts w:asciiTheme="minorHAnsi" w:hAnsiTheme="minorHAnsi" w:cstheme="minorHAnsi"/>
          <w:color w:val="000000"/>
          <w:sz w:val="22"/>
          <w:szCs w:val="22"/>
        </w:rPr>
        <w:t>local</w:t>
      </w:r>
      <w:r w:rsidR="001B2781" w:rsidRPr="005B6D16">
        <w:rPr>
          <w:rFonts w:asciiTheme="minorHAnsi" w:hAnsiTheme="minorHAnsi" w:cstheme="minorHAnsi"/>
          <w:color w:val="000000"/>
          <w:sz w:val="22"/>
          <w:szCs w:val="22"/>
        </w:rPr>
        <w:t xml:space="preserve"> </w:t>
      </w:r>
      <w:r w:rsidR="00D91A5B" w:rsidRPr="005B6D16">
        <w:rPr>
          <w:rFonts w:asciiTheme="minorHAnsi" w:hAnsiTheme="minorHAnsi" w:cstheme="minorHAnsi"/>
          <w:color w:val="000000"/>
          <w:sz w:val="22"/>
          <w:szCs w:val="22"/>
        </w:rPr>
        <w:t xml:space="preserve">and </w:t>
      </w:r>
      <w:r w:rsidR="001B2781" w:rsidRPr="005B6D16">
        <w:rPr>
          <w:rFonts w:asciiTheme="minorHAnsi" w:hAnsiTheme="minorHAnsi" w:cstheme="minorHAnsi"/>
          <w:color w:val="000000"/>
          <w:sz w:val="22"/>
          <w:szCs w:val="22"/>
        </w:rPr>
        <w:t xml:space="preserve">private investment into Vietnam’s net zero transition; improving the quality and </w:t>
      </w:r>
      <w:proofErr w:type="spellStart"/>
      <w:r w:rsidR="001B2781" w:rsidRPr="005B6D16">
        <w:rPr>
          <w:rFonts w:asciiTheme="minorHAnsi" w:hAnsiTheme="minorHAnsi" w:cstheme="minorHAnsi"/>
          <w:color w:val="000000"/>
          <w:sz w:val="22"/>
          <w:szCs w:val="22"/>
        </w:rPr>
        <w:t>investability</w:t>
      </w:r>
      <w:proofErr w:type="spellEnd"/>
      <w:r w:rsidR="001B2781" w:rsidRPr="005B6D16">
        <w:rPr>
          <w:rFonts w:asciiTheme="minorHAnsi" w:hAnsiTheme="minorHAnsi" w:cstheme="minorHAnsi"/>
          <w:color w:val="000000"/>
          <w:sz w:val="22"/>
          <w:szCs w:val="22"/>
        </w:rPr>
        <w:t xml:space="preserve"> of </w:t>
      </w:r>
      <w:r w:rsidR="00BB386E" w:rsidRPr="005B6D16">
        <w:rPr>
          <w:rFonts w:asciiTheme="minorHAnsi" w:hAnsiTheme="minorHAnsi" w:cstheme="minorHAnsi"/>
          <w:color w:val="000000"/>
          <w:sz w:val="22"/>
          <w:szCs w:val="22"/>
        </w:rPr>
        <w:t xml:space="preserve">sustainable infrastructure and green finance opportunities, including financing structures that support </w:t>
      </w:r>
      <w:r w:rsidR="001B2781" w:rsidRPr="005B6D16">
        <w:rPr>
          <w:rFonts w:asciiTheme="minorHAnsi" w:hAnsiTheme="minorHAnsi" w:cstheme="minorHAnsi"/>
          <w:color w:val="000000"/>
          <w:sz w:val="22"/>
          <w:szCs w:val="22"/>
        </w:rPr>
        <w:t>climate resilience</w:t>
      </w:r>
      <w:r w:rsidR="00BB386E" w:rsidRPr="005B6D16">
        <w:rPr>
          <w:rFonts w:asciiTheme="minorHAnsi" w:hAnsiTheme="minorHAnsi" w:cstheme="minorHAnsi"/>
          <w:color w:val="000000"/>
          <w:sz w:val="22"/>
          <w:szCs w:val="22"/>
        </w:rPr>
        <w:t>, mitigation</w:t>
      </w:r>
      <w:r w:rsidR="00F87CA6" w:rsidRPr="005B6D16">
        <w:rPr>
          <w:rFonts w:asciiTheme="minorHAnsi" w:hAnsiTheme="minorHAnsi" w:cstheme="minorHAnsi"/>
          <w:color w:val="000000"/>
          <w:sz w:val="22"/>
          <w:szCs w:val="22"/>
        </w:rPr>
        <w:t>,</w:t>
      </w:r>
      <w:r w:rsidR="00BB386E" w:rsidRPr="005B6D16">
        <w:rPr>
          <w:rFonts w:asciiTheme="minorHAnsi" w:hAnsiTheme="minorHAnsi" w:cstheme="minorHAnsi"/>
          <w:color w:val="000000"/>
          <w:sz w:val="22"/>
          <w:szCs w:val="22"/>
        </w:rPr>
        <w:t xml:space="preserve"> and</w:t>
      </w:r>
      <w:r w:rsidR="00F87CA6" w:rsidRPr="005B6D16">
        <w:rPr>
          <w:rFonts w:asciiTheme="minorHAnsi" w:hAnsiTheme="minorHAnsi" w:cstheme="minorHAnsi"/>
          <w:color w:val="000000"/>
          <w:sz w:val="22"/>
          <w:szCs w:val="22"/>
        </w:rPr>
        <w:t xml:space="preserve"> where relevant,</w:t>
      </w:r>
      <w:r w:rsidR="00BB386E" w:rsidRPr="005B6D16">
        <w:rPr>
          <w:rFonts w:asciiTheme="minorHAnsi" w:hAnsiTheme="minorHAnsi" w:cstheme="minorHAnsi"/>
          <w:color w:val="000000"/>
          <w:sz w:val="22"/>
          <w:szCs w:val="22"/>
        </w:rPr>
        <w:t xml:space="preserve"> adaptation outcomes</w:t>
      </w:r>
      <w:r w:rsidR="001B2781" w:rsidRPr="005B6D16">
        <w:rPr>
          <w:rFonts w:asciiTheme="minorHAnsi" w:hAnsiTheme="minorHAnsi" w:cstheme="minorHAnsi"/>
          <w:color w:val="000000"/>
          <w:sz w:val="22"/>
          <w:szCs w:val="22"/>
        </w:rPr>
        <w:t xml:space="preserve"> </w:t>
      </w:r>
      <w:r w:rsidR="006E0159" w:rsidRPr="005B6D16">
        <w:rPr>
          <w:rFonts w:asciiTheme="minorHAnsi" w:hAnsiTheme="minorHAnsi" w:cstheme="minorHAnsi"/>
          <w:sz w:val="22"/>
          <w:szCs w:val="22"/>
          <w:lang w:val="en-GB" w:eastAsia="en-US"/>
        </w:rPr>
        <w:t>to combat the effects of climate change</w:t>
      </w:r>
      <w:r w:rsidR="001B2781" w:rsidRPr="005B6D16">
        <w:rPr>
          <w:rFonts w:asciiTheme="minorHAnsi" w:hAnsiTheme="minorHAnsi" w:cstheme="minorHAnsi"/>
          <w:color w:val="000000"/>
          <w:sz w:val="22"/>
          <w:szCs w:val="22"/>
        </w:rPr>
        <w:t>;</w:t>
      </w:r>
      <w:r w:rsidR="00D75B70" w:rsidRPr="005B6D16">
        <w:rPr>
          <w:rFonts w:asciiTheme="minorHAnsi" w:hAnsiTheme="minorHAnsi" w:cstheme="minorHAnsi"/>
          <w:color w:val="000000"/>
          <w:sz w:val="22"/>
          <w:szCs w:val="22"/>
        </w:rPr>
        <w:t xml:space="preserve"> and</w:t>
      </w:r>
      <w:r w:rsidR="001B2781" w:rsidRPr="005B6D16">
        <w:rPr>
          <w:rFonts w:asciiTheme="minorHAnsi" w:hAnsiTheme="minorHAnsi" w:cstheme="minorHAnsi"/>
          <w:color w:val="000000"/>
          <w:sz w:val="22"/>
          <w:szCs w:val="22"/>
        </w:rPr>
        <w:t xml:space="preserve"> supporting more inclusive and equitable transition investments</w:t>
      </w:r>
      <w:r w:rsidRPr="005B6D16">
        <w:rPr>
          <w:rFonts w:ascii="Arial" w:hAnsi="Arial" w:cs="Arial"/>
          <w:sz w:val="22"/>
          <w:szCs w:val="22"/>
        </w:rPr>
        <w:t>. This would improve both alignment and feasibility and would make it easier to link PIDG’s activities to the EOPOs. </w:t>
      </w:r>
    </w:p>
    <w:p w14:paraId="1E7384D3" w14:textId="6256FF88" w:rsidR="007F3207" w:rsidRPr="005B6D16" w:rsidRDefault="007F3207" w:rsidP="007F3207">
      <w:pPr>
        <w:spacing w:before="100" w:beforeAutospacing="1" w:after="100" w:afterAutospacing="1"/>
        <w:rPr>
          <w:rFonts w:asciiTheme="minorHAnsi" w:hAnsiTheme="minorHAnsi" w:cstheme="minorHAnsi"/>
          <w:color w:val="000000"/>
          <w:sz w:val="22"/>
          <w:szCs w:val="22"/>
        </w:rPr>
      </w:pPr>
      <w:r w:rsidRPr="005B6D16">
        <w:rPr>
          <w:rFonts w:asciiTheme="minorHAnsi" w:hAnsiTheme="minorHAnsi" w:cstheme="minorHAnsi"/>
          <w:color w:val="000000"/>
          <w:sz w:val="22"/>
          <w:szCs w:val="22"/>
        </w:rPr>
        <w:lastRenderedPageBreak/>
        <w:t>The MEL framework should distinguish clearly between transaction performance and programme performance. Transaction performance should cover areas such as financ</w:t>
      </w:r>
      <w:r w:rsidR="00817A48" w:rsidRPr="005B6D16">
        <w:rPr>
          <w:rFonts w:asciiTheme="minorHAnsi" w:hAnsiTheme="minorHAnsi" w:cstheme="minorHAnsi"/>
          <w:color w:val="000000"/>
          <w:sz w:val="22"/>
          <w:szCs w:val="22"/>
        </w:rPr>
        <w:t>ial assistance</w:t>
      </w:r>
      <w:r w:rsidRPr="005B6D16">
        <w:rPr>
          <w:rFonts w:asciiTheme="minorHAnsi" w:hAnsiTheme="minorHAnsi" w:cstheme="minorHAnsi"/>
          <w:color w:val="000000"/>
          <w:sz w:val="22"/>
          <w:szCs w:val="22"/>
        </w:rPr>
        <w:t xml:space="preserve"> </w:t>
      </w:r>
      <w:r w:rsidR="00542669" w:rsidRPr="005B6D16">
        <w:rPr>
          <w:rFonts w:asciiTheme="minorHAnsi" w:hAnsiTheme="minorHAnsi" w:cstheme="minorHAnsi"/>
          <w:color w:val="000000"/>
          <w:sz w:val="22"/>
          <w:szCs w:val="22"/>
        </w:rPr>
        <w:t>prov</w:t>
      </w:r>
      <w:r w:rsidR="004464B9" w:rsidRPr="005B6D16">
        <w:rPr>
          <w:rFonts w:asciiTheme="minorHAnsi" w:hAnsiTheme="minorHAnsi" w:cstheme="minorHAnsi"/>
          <w:color w:val="000000"/>
          <w:sz w:val="22"/>
          <w:szCs w:val="22"/>
        </w:rPr>
        <w:t>ided</w:t>
      </w:r>
      <w:r w:rsidR="00DD3FC0" w:rsidRPr="005B6D16">
        <w:rPr>
          <w:rFonts w:asciiTheme="minorHAnsi" w:hAnsiTheme="minorHAnsi" w:cstheme="minorHAnsi"/>
          <w:color w:val="000000"/>
          <w:sz w:val="22"/>
          <w:szCs w:val="22"/>
        </w:rPr>
        <w:t xml:space="preserve"> (debt, guarantees, project development support and other PIDG instruments)</w:t>
      </w:r>
      <w:r w:rsidRPr="005B6D16">
        <w:rPr>
          <w:rFonts w:asciiTheme="minorHAnsi" w:hAnsiTheme="minorHAnsi" w:cstheme="minorHAnsi"/>
          <w:color w:val="000000"/>
          <w:sz w:val="22"/>
          <w:szCs w:val="22"/>
        </w:rPr>
        <w:t xml:space="preserve">, </w:t>
      </w:r>
      <w:r w:rsidR="004464B9" w:rsidRPr="005B6D16">
        <w:rPr>
          <w:rFonts w:asciiTheme="minorHAnsi" w:hAnsiTheme="minorHAnsi" w:cstheme="minorHAnsi"/>
          <w:color w:val="000000"/>
          <w:sz w:val="22"/>
          <w:szCs w:val="22"/>
        </w:rPr>
        <w:t xml:space="preserve">renewable energy </w:t>
      </w:r>
      <w:r w:rsidRPr="005B6D16">
        <w:rPr>
          <w:rFonts w:asciiTheme="minorHAnsi" w:hAnsiTheme="minorHAnsi" w:cstheme="minorHAnsi"/>
          <w:color w:val="000000"/>
          <w:sz w:val="22"/>
          <w:szCs w:val="22"/>
        </w:rPr>
        <w:t xml:space="preserve">capacity installed, emissions avoided, standards strengthened, and </w:t>
      </w:r>
      <w:r w:rsidR="004464B9" w:rsidRPr="005B6D16">
        <w:rPr>
          <w:rFonts w:asciiTheme="minorHAnsi" w:hAnsiTheme="minorHAnsi" w:cstheme="minorHAnsi"/>
          <w:color w:val="000000"/>
          <w:sz w:val="22"/>
          <w:szCs w:val="22"/>
        </w:rPr>
        <w:t xml:space="preserve">private </w:t>
      </w:r>
      <w:r w:rsidRPr="005B6D16">
        <w:rPr>
          <w:rFonts w:asciiTheme="minorHAnsi" w:hAnsiTheme="minorHAnsi" w:cstheme="minorHAnsi"/>
          <w:color w:val="000000"/>
          <w:sz w:val="22"/>
          <w:szCs w:val="22"/>
        </w:rPr>
        <w:t>capital mobilised. Programme performance should cover Australia’s visibility, country-level engagement, policy traction, pipeline development, reporting quality, and the extent to which AVETP is contributing to wider market development.</w:t>
      </w:r>
    </w:p>
    <w:p w14:paraId="50BB623A" w14:textId="77777777" w:rsidR="007F3207" w:rsidRPr="005B6D16" w:rsidRDefault="007F3207" w:rsidP="007F3207">
      <w:pPr>
        <w:spacing w:before="100" w:beforeAutospacing="1" w:after="100" w:afterAutospacing="1"/>
        <w:rPr>
          <w:rFonts w:asciiTheme="minorHAnsi" w:hAnsiTheme="minorHAnsi" w:cstheme="minorHAnsi"/>
          <w:color w:val="000000"/>
          <w:sz w:val="22"/>
          <w:szCs w:val="22"/>
        </w:rPr>
      </w:pPr>
      <w:r w:rsidRPr="005B6D16">
        <w:rPr>
          <w:rFonts w:asciiTheme="minorHAnsi" w:hAnsiTheme="minorHAnsi" w:cstheme="minorHAnsi"/>
          <w:color w:val="000000"/>
          <w:sz w:val="22"/>
          <w:szCs w:val="22"/>
        </w:rPr>
        <w:t>Reporting should be structured at three practical levels:</w:t>
      </w:r>
    </w:p>
    <w:p w14:paraId="3FB4212A" w14:textId="2F074B18" w:rsidR="007F3207" w:rsidRPr="005B6D16" w:rsidRDefault="007F3207" w:rsidP="007F3207">
      <w:pPr>
        <w:numPr>
          <w:ilvl w:val="0"/>
          <w:numId w:val="21"/>
        </w:numPr>
        <w:spacing w:before="100" w:beforeAutospacing="1" w:after="100" w:afterAutospacing="1"/>
        <w:rPr>
          <w:rFonts w:asciiTheme="minorHAnsi" w:hAnsiTheme="minorHAnsi" w:cstheme="minorHAnsi"/>
          <w:color w:val="000000"/>
          <w:sz w:val="22"/>
          <w:szCs w:val="22"/>
        </w:rPr>
      </w:pPr>
      <w:r w:rsidRPr="005B6D16">
        <w:rPr>
          <w:rFonts w:asciiTheme="minorHAnsi" w:hAnsiTheme="minorHAnsi" w:cstheme="minorHAnsi"/>
          <w:b/>
          <w:bCs/>
          <w:color w:val="000000"/>
          <w:sz w:val="22"/>
          <w:szCs w:val="22"/>
        </w:rPr>
        <w:t>Transaction level:</w:t>
      </w:r>
      <w:r w:rsidRPr="005B6D16">
        <w:rPr>
          <w:rFonts w:asciiTheme="minorHAnsi" w:hAnsiTheme="minorHAnsi" w:cstheme="minorHAnsi"/>
          <w:color w:val="000000"/>
          <w:sz w:val="22"/>
          <w:szCs w:val="22"/>
        </w:rPr>
        <w:t xml:space="preserve"> a short scorecard for each AVETP-relevant transaction, covering transaction status, </w:t>
      </w:r>
      <w:r w:rsidR="000E08F7" w:rsidRPr="005B6D16">
        <w:rPr>
          <w:rFonts w:ascii="Arial" w:hAnsi="Arial" w:cs="Arial"/>
          <w:sz w:val="22"/>
          <w:szCs w:val="22"/>
          <w:lang w:val="en-GB" w:eastAsia="en-US"/>
        </w:rPr>
        <w:t xml:space="preserve">MW or MWp produced, climate data, </w:t>
      </w:r>
      <w:r w:rsidRPr="005B6D16">
        <w:rPr>
          <w:rFonts w:ascii="Arial" w:hAnsi="Arial" w:cs="Arial"/>
          <w:color w:val="000000"/>
          <w:sz w:val="22"/>
          <w:szCs w:val="22"/>
        </w:rPr>
        <w:t>finance</w:t>
      </w:r>
      <w:r w:rsidRPr="005B6D16">
        <w:rPr>
          <w:rFonts w:asciiTheme="minorHAnsi" w:hAnsiTheme="minorHAnsi" w:cstheme="minorHAnsi"/>
          <w:color w:val="000000"/>
          <w:sz w:val="22"/>
          <w:szCs w:val="22"/>
        </w:rPr>
        <w:t xml:space="preserve"> mobilised, core climate indicators, HSES actions, GEDSI indicators, implementation issues, and expected versus realised results.</w:t>
      </w:r>
    </w:p>
    <w:p w14:paraId="7C6916C8" w14:textId="77777777" w:rsidR="007F3207" w:rsidRPr="005B6D16" w:rsidRDefault="007F3207" w:rsidP="007F3207">
      <w:pPr>
        <w:numPr>
          <w:ilvl w:val="0"/>
          <w:numId w:val="21"/>
        </w:numPr>
        <w:spacing w:before="100" w:beforeAutospacing="1" w:after="100" w:afterAutospacing="1"/>
        <w:rPr>
          <w:rFonts w:asciiTheme="minorHAnsi" w:hAnsiTheme="minorHAnsi" w:cstheme="minorHAnsi"/>
          <w:color w:val="000000"/>
          <w:sz w:val="22"/>
          <w:szCs w:val="22"/>
        </w:rPr>
      </w:pPr>
      <w:r w:rsidRPr="005B6D16">
        <w:rPr>
          <w:rFonts w:asciiTheme="minorHAnsi" w:hAnsiTheme="minorHAnsi" w:cstheme="minorHAnsi"/>
          <w:b/>
          <w:bCs/>
          <w:color w:val="000000"/>
          <w:sz w:val="22"/>
          <w:szCs w:val="22"/>
        </w:rPr>
        <w:t>Portfolio level:</w:t>
      </w:r>
      <w:r w:rsidRPr="005B6D16">
        <w:rPr>
          <w:rFonts w:asciiTheme="minorHAnsi" w:hAnsiTheme="minorHAnsi" w:cstheme="minorHAnsi"/>
          <w:color w:val="000000"/>
          <w:sz w:val="22"/>
          <w:szCs w:val="22"/>
        </w:rPr>
        <w:t> a small set of aggregated indicators across transactions, such as renewable capacity supported, generation where relevant, emissions avoided where measurable, capital mobilised, number and value of green or sustainable bonds supported, local currency solutions, and core GEDSI metrics.</w:t>
      </w:r>
    </w:p>
    <w:p w14:paraId="669BDE48" w14:textId="77777777" w:rsidR="007F3207" w:rsidRPr="005B6D16" w:rsidRDefault="007F3207" w:rsidP="007F3207">
      <w:pPr>
        <w:numPr>
          <w:ilvl w:val="0"/>
          <w:numId w:val="21"/>
        </w:numPr>
        <w:spacing w:before="100" w:beforeAutospacing="1" w:after="100" w:afterAutospacing="1"/>
        <w:rPr>
          <w:rFonts w:asciiTheme="minorHAnsi" w:hAnsiTheme="minorHAnsi" w:cstheme="minorHAnsi"/>
          <w:color w:val="000000"/>
          <w:sz w:val="22"/>
          <w:szCs w:val="22"/>
        </w:rPr>
      </w:pPr>
      <w:r w:rsidRPr="005B6D16">
        <w:rPr>
          <w:rFonts w:asciiTheme="minorHAnsi" w:hAnsiTheme="minorHAnsi" w:cstheme="minorHAnsi"/>
          <w:b/>
          <w:bCs/>
          <w:color w:val="000000"/>
          <w:sz w:val="22"/>
          <w:szCs w:val="22"/>
        </w:rPr>
        <w:t>System level:</w:t>
      </w:r>
      <w:r w:rsidRPr="005B6D16">
        <w:rPr>
          <w:rFonts w:asciiTheme="minorHAnsi" w:hAnsiTheme="minorHAnsi" w:cstheme="minorHAnsi"/>
          <w:color w:val="000000"/>
          <w:sz w:val="22"/>
          <w:szCs w:val="22"/>
        </w:rPr>
        <w:t> short contribution-based case studies on catalytic and market-shaping outcomes, such as demonstration effects, improved investee systems, green bond market development, and progress on the CEF.</w:t>
      </w:r>
    </w:p>
    <w:p w14:paraId="339B9F1A" w14:textId="7615D88B" w:rsidR="0052059E" w:rsidRPr="005B6D16" w:rsidRDefault="007F3207" w:rsidP="0052059E">
      <w:pPr>
        <w:rPr>
          <w:rFonts w:ascii="Arial" w:hAnsi="Arial" w:cs="Arial"/>
          <w:sz w:val="22"/>
          <w:szCs w:val="22"/>
        </w:rPr>
      </w:pPr>
      <w:r w:rsidRPr="005B6D16">
        <w:rPr>
          <w:rFonts w:asciiTheme="minorHAnsi" w:hAnsiTheme="minorHAnsi" w:cstheme="minorHAnsi"/>
          <w:color w:val="000000"/>
          <w:sz w:val="22"/>
          <w:szCs w:val="22"/>
        </w:rPr>
        <w:t>This would make AVETP reporting more useful for DFAT, PIDG and stakeholders, while avoiding a heavy or duplicative MEL system.</w:t>
      </w:r>
    </w:p>
    <w:p w14:paraId="6B16993A" w14:textId="74AA9FAD" w:rsidR="0052059E" w:rsidRPr="005B6D16" w:rsidRDefault="0052059E" w:rsidP="00857105">
      <w:pPr>
        <w:spacing w:before="240" w:after="240"/>
        <w:rPr>
          <w:rFonts w:ascii="Arial" w:hAnsi="Arial" w:cs="Arial"/>
          <w:b/>
          <w:sz w:val="22"/>
          <w:szCs w:val="22"/>
        </w:rPr>
      </w:pPr>
      <w:r w:rsidRPr="005B6D16">
        <w:rPr>
          <w:rFonts w:ascii="Arial" w:hAnsi="Arial" w:cs="Arial"/>
          <w:b/>
          <w:sz w:val="22"/>
          <w:szCs w:val="22"/>
        </w:rPr>
        <w:t xml:space="preserve">RECOMMENDATION </w:t>
      </w:r>
      <w:r w:rsidR="007F3207" w:rsidRPr="005B6D16">
        <w:rPr>
          <w:rFonts w:ascii="Arial" w:hAnsi="Arial" w:cs="Arial"/>
          <w:b/>
          <w:sz w:val="22"/>
          <w:szCs w:val="22"/>
        </w:rPr>
        <w:t>4</w:t>
      </w:r>
      <w:r w:rsidRPr="005B6D16">
        <w:rPr>
          <w:rFonts w:ascii="Arial" w:hAnsi="Arial" w:cs="Arial"/>
          <w:b/>
          <w:sz w:val="22"/>
          <w:szCs w:val="22"/>
        </w:rPr>
        <w:t>. INTRODUCE A MINIMUM CROSS</w:t>
      </w:r>
      <w:r w:rsidR="00526702" w:rsidRPr="005B6D16">
        <w:rPr>
          <w:rFonts w:ascii="Arial" w:hAnsi="Arial" w:cs="Arial"/>
          <w:b/>
          <w:sz w:val="22"/>
          <w:szCs w:val="22"/>
        </w:rPr>
        <w:t>CUTTING AND</w:t>
      </w:r>
      <w:r w:rsidR="007F3207" w:rsidRPr="005B6D16">
        <w:rPr>
          <w:rFonts w:ascii="Arial" w:hAnsi="Arial" w:cs="Arial"/>
          <w:b/>
          <w:sz w:val="22"/>
          <w:szCs w:val="22"/>
        </w:rPr>
        <w:t xml:space="preserve"> CLIMATE </w:t>
      </w:r>
      <w:r w:rsidRPr="005B6D16">
        <w:rPr>
          <w:rFonts w:ascii="Arial" w:hAnsi="Arial" w:cs="Arial"/>
          <w:b/>
          <w:sz w:val="22"/>
          <w:szCs w:val="22"/>
        </w:rPr>
        <w:t>DATASET FOR ALL AVETP TRANSACTIONS</w:t>
      </w:r>
    </w:p>
    <w:p w14:paraId="5E078383" w14:textId="6A885C8B" w:rsidR="007E2330" w:rsidRPr="005B6D16" w:rsidRDefault="0052059E" w:rsidP="0052059E">
      <w:pPr>
        <w:rPr>
          <w:rFonts w:asciiTheme="minorHAnsi" w:hAnsiTheme="minorHAnsi" w:cstheme="minorHAnsi"/>
          <w:color w:val="000000"/>
          <w:sz w:val="22"/>
          <w:szCs w:val="22"/>
        </w:rPr>
      </w:pPr>
      <w:r w:rsidRPr="005B6D16">
        <w:rPr>
          <w:rFonts w:ascii="Arial" w:hAnsi="Arial" w:cs="Arial"/>
          <w:sz w:val="22"/>
          <w:szCs w:val="22"/>
        </w:rPr>
        <w:t xml:space="preserve">PIDG and DFAT should require a minimum dataset across all AVETP relevant transactions covering </w:t>
      </w:r>
      <w:r w:rsidR="007F3207" w:rsidRPr="005B6D16">
        <w:rPr>
          <w:rFonts w:ascii="Arial" w:hAnsi="Arial" w:cs="Arial"/>
          <w:sz w:val="22"/>
          <w:szCs w:val="22"/>
        </w:rPr>
        <w:t xml:space="preserve">climate, </w:t>
      </w:r>
      <w:r w:rsidRPr="005B6D16">
        <w:rPr>
          <w:rFonts w:ascii="Arial" w:hAnsi="Arial" w:cs="Arial"/>
          <w:sz w:val="22"/>
          <w:szCs w:val="22"/>
        </w:rPr>
        <w:t xml:space="preserve">gender equality, disability inclusion, </w:t>
      </w:r>
      <w:r w:rsidR="007F3207" w:rsidRPr="005B6D16">
        <w:rPr>
          <w:rFonts w:ascii="Arial" w:hAnsi="Arial" w:cs="Arial"/>
          <w:sz w:val="22"/>
          <w:szCs w:val="22"/>
        </w:rPr>
        <w:t>safeguards, and HSES</w:t>
      </w:r>
      <w:r w:rsidRPr="005B6D16">
        <w:rPr>
          <w:rFonts w:ascii="Arial" w:hAnsi="Arial" w:cs="Arial"/>
          <w:sz w:val="22"/>
          <w:szCs w:val="22"/>
        </w:rPr>
        <w:t>. The current evidence shows that some data exists</w:t>
      </w:r>
      <w:r w:rsidR="007F3207" w:rsidRPr="005B6D16">
        <w:rPr>
          <w:rFonts w:ascii="Arial" w:hAnsi="Arial" w:cs="Arial"/>
          <w:sz w:val="22"/>
          <w:szCs w:val="22"/>
        </w:rPr>
        <w:t xml:space="preserve"> at transaction level</w:t>
      </w:r>
      <w:r w:rsidRPr="005B6D16">
        <w:rPr>
          <w:rFonts w:ascii="Arial" w:hAnsi="Arial" w:cs="Arial"/>
          <w:sz w:val="22"/>
          <w:szCs w:val="22"/>
        </w:rPr>
        <w:t>, but it is uneven, fragmented, and poorly surfaced</w:t>
      </w:r>
      <w:r w:rsidRPr="005B6D16">
        <w:rPr>
          <w:rFonts w:asciiTheme="minorHAnsi" w:hAnsiTheme="minorHAnsi" w:cstheme="minorHAnsi"/>
          <w:sz w:val="22"/>
          <w:szCs w:val="22"/>
        </w:rPr>
        <w:t xml:space="preserve">. </w:t>
      </w:r>
      <w:r w:rsidR="007F3207" w:rsidRPr="005B6D16">
        <w:rPr>
          <w:rFonts w:asciiTheme="minorHAnsi" w:hAnsiTheme="minorHAnsi" w:cstheme="minorHAnsi"/>
          <w:color w:val="000000"/>
          <w:sz w:val="22"/>
          <w:szCs w:val="22"/>
        </w:rPr>
        <w:t>Disability inclusion is especially weak, while climate figures are sometimes projected, modelled, or calculated using different assumptions.</w:t>
      </w:r>
    </w:p>
    <w:p w14:paraId="1125810E" w14:textId="7BFD5A58" w:rsidR="007E2330" w:rsidRPr="005B6D16" w:rsidRDefault="007E2330" w:rsidP="00857105">
      <w:pPr>
        <w:spacing w:before="240"/>
        <w:rPr>
          <w:rFonts w:ascii="Arial" w:hAnsi="Arial" w:cs="Arial"/>
          <w:sz w:val="22"/>
          <w:szCs w:val="22"/>
        </w:rPr>
      </w:pPr>
      <w:r w:rsidRPr="005B6D16">
        <w:rPr>
          <w:rFonts w:ascii="Arial" w:hAnsi="Arial" w:cs="Arial"/>
          <w:color w:val="000000"/>
          <w:sz w:val="22"/>
          <w:szCs w:val="22"/>
        </w:rPr>
        <w:t>The minimum dataset should include women</w:t>
      </w:r>
      <w:r w:rsidRPr="005B6D16">
        <w:rPr>
          <w:rFonts w:ascii="Arial" w:hAnsi="Arial" w:cs="Arial" w:hint="eastAsia"/>
          <w:color w:val="000000"/>
          <w:sz w:val="22"/>
          <w:szCs w:val="22"/>
        </w:rPr>
        <w:t>’</w:t>
      </w:r>
      <w:r w:rsidRPr="005B6D16">
        <w:rPr>
          <w:rFonts w:ascii="Arial" w:hAnsi="Arial" w:cs="Arial"/>
          <w:color w:val="000000"/>
          <w:sz w:val="22"/>
          <w:szCs w:val="22"/>
        </w:rPr>
        <w:t>s participation in the workforce, management and senior leadership; any gender-related workforce or market initiatives; whether persons with disabilities are employed or intentionally reached; whether a disability inclusion policy or practice exists; major HSES incidents, complaints, or safeguard issues; and the assumptions used to estimate emissions avoided or other climate results. This would create a practical reporting floor without imposing a heavy additional MEL burden.</w:t>
      </w:r>
    </w:p>
    <w:p w14:paraId="796FC68E" w14:textId="3EAAFF0B" w:rsidR="00291782" w:rsidRPr="005B6D16" w:rsidRDefault="00291782" w:rsidP="00857105">
      <w:pPr>
        <w:spacing w:before="240"/>
        <w:rPr>
          <w:rFonts w:ascii="Arial" w:hAnsi="Arial" w:cs="Arial"/>
          <w:b/>
          <w:sz w:val="22"/>
          <w:szCs w:val="22"/>
        </w:rPr>
      </w:pPr>
      <w:r w:rsidRPr="005B6D16">
        <w:rPr>
          <w:rFonts w:ascii="Arial" w:hAnsi="Arial" w:cs="Arial"/>
          <w:b/>
          <w:sz w:val="22"/>
          <w:szCs w:val="22"/>
        </w:rPr>
        <w:t xml:space="preserve">RECOMMENDATION </w:t>
      </w:r>
      <w:r w:rsidR="0016343C" w:rsidRPr="005B6D16">
        <w:rPr>
          <w:rFonts w:ascii="Arial" w:hAnsi="Arial" w:cs="Arial"/>
          <w:b/>
          <w:sz w:val="22"/>
          <w:szCs w:val="22"/>
        </w:rPr>
        <w:t>5</w:t>
      </w:r>
      <w:r w:rsidRPr="005B6D16">
        <w:rPr>
          <w:rFonts w:ascii="Arial" w:hAnsi="Arial" w:cs="Arial"/>
          <w:b/>
          <w:sz w:val="22"/>
          <w:szCs w:val="22"/>
        </w:rPr>
        <w:t>. PRIORITISE HIGH QUALITY, ADDITIONAL, AND MARKET SHAPING TRANSACTIONS OVER SIMPLE VOLUME TARGETS</w:t>
      </w:r>
    </w:p>
    <w:p w14:paraId="261F4CD3" w14:textId="6A702B09" w:rsidR="0016343C" w:rsidRPr="005B6D16" w:rsidRDefault="0016343C" w:rsidP="0016343C">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AVETP should continue to prioritise transactions based on quality, additionality, demonstration effect and market-shaping potential. While several stakeholders noted that the number and volume of transactions remain limited, the strongest evidence of effectiveness comes from transactions that filled financing gaps, improved tenor, strengthened investee systems, raised standards, and demonstrated new pathways for climate-aligned investment in Vietnam.</w:t>
      </w:r>
    </w:p>
    <w:p w14:paraId="19D305F5" w14:textId="77777777" w:rsidR="0016343C" w:rsidRPr="005B6D16" w:rsidRDefault="0016343C" w:rsidP="0016343C">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Future prioritisation should therefore favour transactions that:</w:t>
      </w:r>
    </w:p>
    <w:p w14:paraId="4F985089" w14:textId="77777777" w:rsidR="0016343C" w:rsidRPr="005B6D16" w:rsidRDefault="0016343C" w:rsidP="0016343C">
      <w:pPr>
        <w:numPr>
          <w:ilvl w:val="0"/>
          <w:numId w:val="22"/>
        </w:num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address clear financing gaps not well served by local banks or commercial investors;</w:t>
      </w:r>
    </w:p>
    <w:p w14:paraId="21566B04" w14:textId="77777777" w:rsidR="0016343C" w:rsidRPr="005B6D16" w:rsidRDefault="0016343C" w:rsidP="0016343C">
      <w:pPr>
        <w:numPr>
          <w:ilvl w:val="0"/>
          <w:numId w:val="22"/>
        </w:num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demonstrate new or underdeveloped financing structures, such as longer-tenor bonds, local currency guarantees, mezzanine finance, or early-stage risk-sharing capital;</w:t>
      </w:r>
    </w:p>
    <w:p w14:paraId="0B544ABA" w14:textId="77777777" w:rsidR="0016343C" w:rsidRPr="005B6D16" w:rsidRDefault="0016343C" w:rsidP="0016343C">
      <w:pPr>
        <w:numPr>
          <w:ilvl w:val="0"/>
          <w:numId w:val="22"/>
        </w:num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support first-of-kind or harder-to-finance sectors;</w:t>
      </w:r>
    </w:p>
    <w:p w14:paraId="3BC385FB" w14:textId="77777777" w:rsidR="0016343C" w:rsidRPr="005B6D16" w:rsidRDefault="0016343C" w:rsidP="0016343C">
      <w:pPr>
        <w:numPr>
          <w:ilvl w:val="0"/>
          <w:numId w:val="22"/>
        </w:num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improve investee readiness, governance, HSES and ESG systems; and</w:t>
      </w:r>
    </w:p>
    <w:p w14:paraId="56F7C1CD" w14:textId="77777777" w:rsidR="0016343C" w:rsidRPr="005B6D16" w:rsidRDefault="0016343C" w:rsidP="0016343C">
      <w:pPr>
        <w:numPr>
          <w:ilvl w:val="0"/>
          <w:numId w:val="22"/>
        </w:num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create credible demonstration effects for other investors or market actors.</w:t>
      </w:r>
    </w:p>
    <w:p w14:paraId="2E4DC41F" w14:textId="3E95EEE1" w:rsidR="00291782" w:rsidRPr="005B6D16" w:rsidRDefault="0016343C" w:rsidP="00291782">
      <w:pPr>
        <w:rPr>
          <w:rFonts w:ascii="Arial" w:hAnsi="Arial" w:cs="Arial"/>
          <w:sz w:val="22"/>
          <w:szCs w:val="22"/>
        </w:rPr>
      </w:pPr>
      <w:r w:rsidRPr="005B6D16">
        <w:rPr>
          <w:rFonts w:ascii="Arial" w:hAnsi="Arial" w:cs="Arial"/>
          <w:color w:val="000000"/>
          <w:sz w:val="22"/>
          <w:szCs w:val="22"/>
        </w:rPr>
        <w:lastRenderedPageBreak/>
        <w:t xml:space="preserve">To support this, AVETP should continue use technical assistance more strategically as a transaction-enabling tool at the front end of the pipeline. Primary data suggests that “bankability” constraints vary by transaction and may relate to early-stage capital, sponsor equity depth, regulatory readiness, due diligence preparedness, financial modelling, E&amp;S/HSES systems, governance standards, pricing, and local market conditions. AVETP should </w:t>
      </w:r>
      <w:r w:rsidR="00501FAA" w:rsidRPr="005B6D16">
        <w:rPr>
          <w:rFonts w:ascii="Arial" w:hAnsi="Arial" w:cs="Arial"/>
          <w:color w:val="000000"/>
          <w:sz w:val="22"/>
          <w:szCs w:val="22"/>
        </w:rPr>
        <w:t xml:space="preserve">continue </w:t>
      </w:r>
      <w:r w:rsidRPr="005B6D16">
        <w:rPr>
          <w:rFonts w:ascii="Arial" w:hAnsi="Arial" w:cs="Arial"/>
          <w:color w:val="000000"/>
          <w:sz w:val="22"/>
          <w:szCs w:val="22"/>
        </w:rPr>
        <w:t>provide more targeted pre-transaction support, including early-stage feasibility work, financial modelling, E&amp;S and HSES strengthening, due diligence readiness support, local regulatory advice, and support to meet international financier requirements.</w:t>
      </w:r>
    </w:p>
    <w:p w14:paraId="234DD54B" w14:textId="47AA9CD6" w:rsidR="00291782" w:rsidRPr="005B6D16" w:rsidRDefault="00291782" w:rsidP="00857105">
      <w:pPr>
        <w:spacing w:before="240" w:after="240"/>
        <w:rPr>
          <w:rFonts w:ascii="Arial" w:hAnsi="Arial" w:cs="Arial"/>
          <w:b/>
          <w:sz w:val="22"/>
          <w:szCs w:val="22"/>
        </w:rPr>
      </w:pPr>
      <w:r w:rsidRPr="005B6D16">
        <w:rPr>
          <w:rFonts w:ascii="Arial" w:hAnsi="Arial" w:cs="Arial"/>
          <w:b/>
          <w:sz w:val="22"/>
          <w:szCs w:val="22"/>
        </w:rPr>
        <w:t xml:space="preserve">RECOMMENDATION </w:t>
      </w:r>
      <w:r w:rsidR="0016343C" w:rsidRPr="005B6D16">
        <w:rPr>
          <w:rFonts w:ascii="Arial" w:hAnsi="Arial" w:cs="Arial"/>
          <w:b/>
          <w:sz w:val="22"/>
          <w:szCs w:val="22"/>
        </w:rPr>
        <w:t>6</w:t>
      </w:r>
      <w:r w:rsidRPr="005B6D16">
        <w:rPr>
          <w:rFonts w:ascii="Arial" w:hAnsi="Arial" w:cs="Arial"/>
          <w:b/>
          <w:sz w:val="22"/>
          <w:szCs w:val="22"/>
        </w:rPr>
        <w:t>. MANAGE THE CREDIT ENHANCEMENT FACILITY AS A LONGER HORIZON MARKET BUILDING INITIATIVE</w:t>
      </w:r>
    </w:p>
    <w:p w14:paraId="0A9C549A" w14:textId="675C36B6" w:rsidR="007E2330" w:rsidRPr="005B6D16" w:rsidRDefault="00291782" w:rsidP="00291782">
      <w:pPr>
        <w:rPr>
          <w:rFonts w:ascii="Arial" w:hAnsi="Arial" w:cs="Arial"/>
          <w:sz w:val="22"/>
          <w:szCs w:val="22"/>
        </w:rPr>
      </w:pPr>
      <w:r w:rsidRPr="5F242609">
        <w:rPr>
          <w:rFonts w:ascii="Arial" w:hAnsi="Arial" w:cs="Arial"/>
          <w:sz w:val="22"/>
          <w:szCs w:val="22"/>
        </w:rPr>
        <w:t xml:space="preserve">The CEF should continue to be pursued with realistic </w:t>
      </w:r>
      <w:r w:rsidR="00857D37" w:rsidRPr="5F242609">
        <w:rPr>
          <w:rFonts w:ascii="Arial" w:hAnsi="Arial" w:cs="Arial"/>
          <w:sz w:val="22"/>
          <w:szCs w:val="22"/>
        </w:rPr>
        <w:t>expectations and</w:t>
      </w:r>
      <w:r w:rsidRPr="5F242609">
        <w:rPr>
          <w:rFonts w:ascii="Arial" w:hAnsi="Arial" w:cs="Arial"/>
          <w:sz w:val="22"/>
          <w:szCs w:val="22"/>
        </w:rPr>
        <w:t xml:space="preserve"> a delivery model suited to institution</w:t>
      </w:r>
      <w:r w:rsidR="00123BFE" w:rsidRPr="5F242609">
        <w:rPr>
          <w:rFonts w:ascii="Arial" w:hAnsi="Arial" w:cs="Arial"/>
          <w:sz w:val="22"/>
          <w:szCs w:val="22"/>
        </w:rPr>
        <w:t xml:space="preserve"> and longer-term market building</w:t>
      </w:r>
      <w:r w:rsidRPr="5F242609">
        <w:rPr>
          <w:rFonts w:ascii="Arial" w:hAnsi="Arial" w:cs="Arial"/>
          <w:sz w:val="22"/>
          <w:szCs w:val="22"/>
        </w:rPr>
        <w:t xml:space="preserve">. The evidence shows that the CEF remains highly relevant to Vietnam’s capital market and net zero financing needs, but progress has been slowed by regulatory, political, and institutional factors. </w:t>
      </w:r>
      <w:r w:rsidR="00AA6D4B" w:rsidRPr="5F242609">
        <w:rPr>
          <w:rFonts w:asciiTheme="minorHAnsi" w:hAnsiTheme="minorHAnsi" w:cstheme="minorBidi"/>
          <w:color w:val="000000" w:themeColor="text2"/>
          <w:sz w:val="22"/>
          <w:szCs w:val="22"/>
        </w:rPr>
        <w:t>Engagement to date has been supported through local consultancy and Owner engagement; however, the process is now largely with government</w:t>
      </w:r>
      <w:r w:rsidR="00857D37" w:rsidRPr="5F242609">
        <w:rPr>
          <w:rFonts w:asciiTheme="minorHAnsi" w:hAnsiTheme="minorHAnsi" w:cstheme="minorBidi"/>
          <w:color w:val="000000" w:themeColor="text2"/>
          <w:sz w:val="22"/>
          <w:szCs w:val="22"/>
        </w:rPr>
        <w:t>.</w:t>
      </w:r>
      <w:r w:rsidR="00857D37" w:rsidRPr="5F242609">
        <w:rPr>
          <w:rFonts w:ascii="Arial" w:hAnsi="Arial" w:cs="Arial"/>
          <w:sz w:val="22"/>
          <w:szCs w:val="22"/>
        </w:rPr>
        <w:t xml:space="preserve"> For</w:t>
      </w:r>
      <w:r w:rsidRPr="5F242609">
        <w:rPr>
          <w:rFonts w:ascii="Arial" w:hAnsi="Arial" w:cs="Arial"/>
          <w:sz w:val="22"/>
          <w:szCs w:val="22"/>
        </w:rPr>
        <w:t xml:space="preserve"> the remainder of </w:t>
      </w:r>
      <w:proofErr w:type="spellStart"/>
      <w:r w:rsidRPr="5F242609">
        <w:rPr>
          <w:rFonts w:ascii="Arial" w:hAnsi="Arial" w:cs="Arial"/>
          <w:sz w:val="22"/>
          <w:szCs w:val="22"/>
        </w:rPr>
        <w:t>AVETPthe</w:t>
      </w:r>
      <w:proofErr w:type="spellEnd"/>
      <w:r w:rsidRPr="5F242609">
        <w:rPr>
          <w:rFonts w:ascii="Arial" w:hAnsi="Arial" w:cs="Arial"/>
          <w:sz w:val="22"/>
          <w:szCs w:val="22"/>
        </w:rPr>
        <w:t xml:space="preserve"> CEF</w:t>
      </w:r>
      <w:r w:rsidR="715F63B2" w:rsidRPr="5F242609">
        <w:rPr>
          <w:rFonts w:ascii="Arial" w:hAnsi="Arial" w:cs="Arial"/>
          <w:sz w:val="22"/>
          <w:szCs w:val="22"/>
        </w:rPr>
        <w:t xml:space="preserve"> should be viewed</w:t>
      </w:r>
      <w:r w:rsidRPr="5F242609">
        <w:rPr>
          <w:rFonts w:ascii="Arial" w:hAnsi="Arial" w:cs="Arial"/>
          <w:sz w:val="22"/>
          <w:szCs w:val="22"/>
        </w:rPr>
        <w:t xml:space="preserve"> as a longer</w:t>
      </w:r>
      <w:r w:rsidR="007E2330" w:rsidRPr="5F242609">
        <w:rPr>
          <w:rFonts w:ascii="Arial" w:hAnsi="Arial" w:cs="Arial"/>
          <w:sz w:val="22"/>
          <w:szCs w:val="22"/>
        </w:rPr>
        <w:t>-</w:t>
      </w:r>
      <w:r w:rsidRPr="5F242609">
        <w:rPr>
          <w:rFonts w:ascii="Arial" w:hAnsi="Arial" w:cs="Arial"/>
          <w:sz w:val="22"/>
          <w:szCs w:val="22"/>
        </w:rPr>
        <w:t>horizon market</w:t>
      </w:r>
      <w:r w:rsidR="007E2330" w:rsidRPr="5F242609">
        <w:rPr>
          <w:rFonts w:ascii="Arial" w:hAnsi="Arial" w:cs="Arial"/>
          <w:sz w:val="22"/>
          <w:szCs w:val="22"/>
        </w:rPr>
        <w:t>-</w:t>
      </w:r>
      <w:r w:rsidRPr="5F242609">
        <w:rPr>
          <w:rFonts w:ascii="Arial" w:hAnsi="Arial" w:cs="Arial"/>
          <w:sz w:val="22"/>
          <w:szCs w:val="22"/>
        </w:rPr>
        <w:t xml:space="preserve">building initiative requiring sustained advocacy, government engagement, market education, and technical support. </w:t>
      </w:r>
    </w:p>
    <w:p w14:paraId="7BFC64E6" w14:textId="626973EF" w:rsidR="00291782" w:rsidRPr="005B6D16" w:rsidRDefault="00291782" w:rsidP="00857105">
      <w:pPr>
        <w:spacing w:before="240"/>
        <w:rPr>
          <w:rFonts w:ascii="Arial" w:hAnsi="Arial" w:cs="Arial"/>
          <w:sz w:val="22"/>
          <w:szCs w:val="22"/>
        </w:rPr>
      </w:pPr>
      <w:r w:rsidRPr="005B6D16">
        <w:rPr>
          <w:rFonts w:ascii="Arial" w:hAnsi="Arial" w:cs="Arial"/>
          <w:sz w:val="22"/>
          <w:szCs w:val="22"/>
        </w:rPr>
        <w:t xml:space="preserve">Progress should be tracked through </w:t>
      </w:r>
      <w:r w:rsidR="00930754" w:rsidRPr="005B6D16">
        <w:rPr>
          <w:rFonts w:ascii="Arial" w:hAnsi="Arial" w:cs="Arial"/>
          <w:color w:val="000000"/>
          <w:sz w:val="22"/>
          <w:szCs w:val="22"/>
        </w:rPr>
        <w:t xml:space="preserve">market-building, institutional engagement, and capacity development </w:t>
      </w:r>
      <w:r w:rsidR="00857D37" w:rsidRPr="005B6D16">
        <w:rPr>
          <w:rFonts w:ascii="Arial" w:hAnsi="Arial" w:cs="Arial"/>
          <w:color w:val="000000"/>
          <w:sz w:val="22"/>
          <w:szCs w:val="22"/>
        </w:rPr>
        <w:t>milestones</w:t>
      </w:r>
      <w:r w:rsidR="00857D37" w:rsidRPr="005B6D16">
        <w:rPr>
          <w:rFonts w:ascii="Arial" w:hAnsi="Arial" w:cs="Arial"/>
          <w:sz w:val="22"/>
          <w:szCs w:val="22"/>
        </w:rPr>
        <w:t xml:space="preserve"> rather</w:t>
      </w:r>
      <w:r w:rsidRPr="005B6D16">
        <w:rPr>
          <w:rFonts w:ascii="Arial" w:hAnsi="Arial" w:cs="Arial"/>
          <w:sz w:val="22"/>
          <w:szCs w:val="22"/>
        </w:rPr>
        <w:t xml:space="preserve"> than through short term transaction style indicators alone. </w:t>
      </w:r>
      <w:r w:rsidR="007E2330" w:rsidRPr="005B6D16">
        <w:rPr>
          <w:rStyle w:val="Strong"/>
          <w:rFonts w:asciiTheme="minorHAnsi" w:hAnsiTheme="minorHAnsi" w:cstheme="minorBidi"/>
          <w:b w:val="0"/>
          <w:color w:val="000000" w:themeColor="text2"/>
          <w:sz w:val="22"/>
          <w:szCs w:val="22"/>
        </w:rPr>
        <w:t>Until the legal framework is approved, realistic indicators could include progress on draft regulations or guidelines; technical inputs provided by PIDG; progress on governance structure, product design, operating model, and risk management arrangements; identification of capitalisation requirements; and capacity-building support for relevant counterparts.</w:t>
      </w:r>
    </w:p>
    <w:p w14:paraId="2317F6BF" w14:textId="7B9AC8BE" w:rsidR="00FD1E22" w:rsidRDefault="00FD1E22" w:rsidP="00DB0528">
      <w:pPr>
        <w:rPr>
          <w:rFonts w:ascii="Arial" w:hAnsi="Arial" w:cs="Arial"/>
          <w:sz w:val="20"/>
          <w:szCs w:val="20"/>
        </w:rPr>
        <w:sectPr w:rsidR="00FD1E22" w:rsidSect="00BD74AB">
          <w:type w:val="continuous"/>
          <w:pgSz w:w="11910" w:h="16840"/>
          <w:pgMar w:top="1134" w:right="851" w:bottom="964" w:left="851" w:header="573" w:footer="556" w:gutter="0"/>
          <w:pgNumType w:fmt="lowerRoman"/>
          <w:cols w:space="720"/>
          <w:docGrid w:linePitch="272"/>
        </w:sectPr>
      </w:pPr>
    </w:p>
    <w:p w14:paraId="64989125" w14:textId="3104D955" w:rsidR="00832EB1" w:rsidRPr="00AE7105" w:rsidRDefault="00832EB1" w:rsidP="003D231F">
      <w:pPr>
        <w:pStyle w:val="Heading1"/>
      </w:pPr>
      <w:bookmarkStart w:id="24" w:name="_Toc226976842"/>
      <w:bookmarkStart w:id="25" w:name="_Toc233026586"/>
      <w:r w:rsidRPr="00AE7105">
        <w:lastRenderedPageBreak/>
        <w:t>Introduction</w:t>
      </w:r>
      <w:bookmarkEnd w:id="24"/>
      <w:bookmarkEnd w:id="25"/>
      <w:r w:rsidRPr="00AE7105">
        <w:t xml:space="preserve"> </w:t>
      </w:r>
    </w:p>
    <w:p w14:paraId="16404F02" w14:textId="0C236D98" w:rsidR="00325C0F" w:rsidRPr="00325C0F" w:rsidRDefault="00325C0F" w:rsidP="003D231F">
      <w:pPr>
        <w:pStyle w:val="Heading2"/>
      </w:pPr>
      <w:bookmarkStart w:id="26" w:name="_Toc226976843"/>
      <w:bookmarkStart w:id="27" w:name="_Toc233026587"/>
      <w:r w:rsidRPr="00325C0F">
        <w:t>The Australia–Vietnam Energy Transition Platform (AVETP)</w:t>
      </w:r>
      <w:bookmarkEnd w:id="26"/>
      <w:bookmarkEnd w:id="27"/>
    </w:p>
    <w:p w14:paraId="772B308D" w14:textId="7DA84667" w:rsidR="00E56A70" w:rsidRPr="005B6D16" w:rsidRDefault="00E56A70" w:rsidP="00325C0F">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The AVETP is a DFAT funded investment designed to support Vietnam’s transition to a low carbon and climate resilient economy by mobilising private sector investment in renewable energy, sustainable infrastructure, and capital market development. It commenced in 2023 and was originally scheduled to run to June 2025, but was extended to June 2028 to allow continued implementation, including work on the proposed CEF, which had been delayed by regulatory constraints. The Platform comprises two investments, with AUD 17 million allocated to the PIDG</w:t>
      </w:r>
      <w:r w:rsidR="00EF51DC" w:rsidRPr="005B6D16">
        <w:rPr>
          <w:rFonts w:asciiTheme="minorHAnsi" w:hAnsiTheme="minorHAnsi" w:cstheme="minorHAnsi"/>
          <w:color w:val="000000"/>
          <w:sz w:val="22"/>
          <w:szCs w:val="22"/>
        </w:rPr>
        <w:t xml:space="preserve"> </w:t>
      </w:r>
      <w:r w:rsidRPr="005B6D16">
        <w:rPr>
          <w:rFonts w:asciiTheme="minorHAnsi" w:hAnsiTheme="minorHAnsi" w:cstheme="minorHAnsi"/>
          <w:color w:val="000000"/>
          <w:sz w:val="22"/>
          <w:szCs w:val="22"/>
        </w:rPr>
        <w:t xml:space="preserve">and AUD 3 million to Australian Development Investments, although the PIDG component is the primary focus of this review. </w:t>
      </w:r>
    </w:p>
    <w:p w14:paraId="1085EA13" w14:textId="76B0B3E3" w:rsidR="00E56A70" w:rsidRPr="005B6D16" w:rsidRDefault="00E56A70" w:rsidP="00325C0F">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The Mid</w:t>
      </w:r>
      <w:r w:rsidR="00CE6F04" w:rsidRPr="005B6D16">
        <w:rPr>
          <w:rFonts w:asciiTheme="minorHAnsi" w:hAnsiTheme="minorHAnsi" w:cstheme="minorHAnsi"/>
          <w:color w:val="000000"/>
          <w:sz w:val="22"/>
          <w:szCs w:val="22"/>
        </w:rPr>
        <w:t>-</w:t>
      </w:r>
      <w:r w:rsidRPr="005B6D16">
        <w:rPr>
          <w:rFonts w:asciiTheme="minorHAnsi" w:hAnsiTheme="minorHAnsi" w:cstheme="minorHAnsi"/>
          <w:color w:val="000000"/>
          <w:sz w:val="22"/>
          <w:szCs w:val="22"/>
        </w:rPr>
        <w:t>Term Review was commissioned by DFAT to assess progress towards the AVETP’s end of program outcomes, examine whether its current program logic and MEL arrangements remain fit for purpose, and generate practical recommendations to strengthen delivery, sustainability, and alignment over the remainder of the investment. Building on Australia’s broader partnership with PIDG, the AVETP aims to expand the pipeline of bankable clean energy and sustainable infrastructure transactions in Vietnam, unlock private capital through blended finance and capital market instruments, and support more inclusive, equitable, and higher quality investments that contribute to Vietnam’s net zero transition.</w:t>
      </w:r>
    </w:p>
    <w:p w14:paraId="65692CDE" w14:textId="3BA1CBB7" w:rsidR="00E56A70" w:rsidRPr="005B6D16" w:rsidRDefault="00E56A70" w:rsidP="00DB0528">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The AVETP responds to a core structural challenge in Vietnam’s energy transition. Although investment needs for energy generation, transmission, and supporting infrastructure are substantial, private capital mobilisation has been constrained by regulatory uncertainty, elevated risk perceptions, and a limited pipeline of bankable projects. These constraints have affected both domestic and international investors and have shaped the pace and composition of AVETP implementation to date. The platform therefore operates in a context where electricity demand is rising rapidly, coal remains embedded in the short to medium term energy mix, and the urgency of transition is increasing under pressure from Vietnam’s net zero commitments, fiscal constraints, uneven regulatory reform, and wider global decarbonisation trends. </w:t>
      </w:r>
    </w:p>
    <w:p w14:paraId="4F92A79A" w14:textId="296E15D9" w:rsidR="00DB0528" w:rsidRPr="005B6D16" w:rsidRDefault="00325C0F" w:rsidP="00DB0528">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The starting point for this Mid-Term Review is an examination of AVETP’s programme logic, delivery architecture, and progress toward its two EOPOs:</w:t>
      </w:r>
    </w:p>
    <w:p w14:paraId="48CACBC1" w14:textId="3180AF75" w:rsidR="00DB0528" w:rsidRPr="005B6D16" w:rsidRDefault="00325C0F" w:rsidP="002A5232">
      <w:pPr>
        <w:pStyle w:val="NormalWeb"/>
        <w:numPr>
          <w:ilvl w:val="0"/>
          <w:numId w:val="13"/>
        </w:numPr>
        <w:rPr>
          <w:rFonts w:asciiTheme="minorHAnsi" w:hAnsiTheme="minorHAnsi" w:cstheme="minorHAnsi"/>
          <w:color w:val="000000"/>
          <w:sz w:val="22"/>
          <w:szCs w:val="22"/>
        </w:rPr>
      </w:pPr>
      <w:r w:rsidRPr="005B6D16">
        <w:rPr>
          <w:rFonts w:asciiTheme="minorHAnsi" w:hAnsiTheme="minorHAnsi" w:cstheme="minorHAnsi"/>
          <w:color w:val="000000"/>
          <w:sz w:val="22"/>
          <w:szCs w:val="22"/>
        </w:rPr>
        <w:t>Australia will play a visible and influential role in increasing and improving the quality of private investment in Vietnam’s transition to net zero, including in renewable energy and small and medium enterprises supporting climate action; and</w:t>
      </w:r>
    </w:p>
    <w:p w14:paraId="40E14286" w14:textId="520F2722" w:rsidR="00325C0F" w:rsidRPr="005B6D16" w:rsidRDefault="00DB0528" w:rsidP="002A5232">
      <w:pPr>
        <w:pStyle w:val="NormalWeb"/>
        <w:numPr>
          <w:ilvl w:val="0"/>
          <w:numId w:val="13"/>
        </w:numPr>
        <w:rPr>
          <w:rFonts w:asciiTheme="minorHAnsi" w:hAnsiTheme="minorHAnsi" w:cstheme="minorHAnsi"/>
          <w:color w:val="000000"/>
          <w:sz w:val="22"/>
          <w:szCs w:val="22"/>
        </w:rPr>
      </w:pPr>
      <w:r w:rsidRPr="005B6D16">
        <w:rPr>
          <w:rFonts w:asciiTheme="minorHAnsi" w:hAnsiTheme="minorHAnsi" w:cstheme="minorHAnsi"/>
          <w:color w:val="000000"/>
          <w:sz w:val="22"/>
          <w:szCs w:val="22"/>
        </w:rPr>
        <w:t>I</w:t>
      </w:r>
      <w:r w:rsidR="00325C0F" w:rsidRPr="005B6D16">
        <w:rPr>
          <w:rFonts w:asciiTheme="minorHAnsi" w:hAnsiTheme="minorHAnsi" w:cstheme="minorHAnsi"/>
          <w:color w:val="000000"/>
          <w:sz w:val="22"/>
          <w:szCs w:val="22"/>
        </w:rPr>
        <w:t>ncreased investments in Vietnam’s net zero transition will be inclusive and equitable, including by supporting and augmenting Vietnam’s own policies in these areas.</w:t>
      </w:r>
      <w:r w:rsidR="00325C0F" w:rsidRPr="005B6D16">
        <w:rPr>
          <w:rStyle w:val="apple-converted-space"/>
          <w:rFonts w:asciiTheme="minorHAnsi" w:hAnsiTheme="minorHAnsi" w:cstheme="minorHAnsi"/>
          <w:color w:val="000000"/>
          <w:sz w:val="22"/>
          <w:szCs w:val="22"/>
        </w:rPr>
        <w:t> </w:t>
      </w:r>
    </w:p>
    <w:p w14:paraId="1CC1ED64" w14:textId="77777777" w:rsidR="00325C0F" w:rsidRPr="005B6D16" w:rsidRDefault="00325C0F" w:rsidP="00325C0F">
      <w:pPr>
        <w:pStyle w:val="NormalWeb"/>
        <w:rPr>
          <w:rStyle w:val="apple-converted-space"/>
          <w:rFonts w:asciiTheme="minorHAnsi" w:hAnsiTheme="minorHAnsi" w:cstheme="minorHAnsi"/>
          <w:color w:val="000000"/>
          <w:sz w:val="22"/>
          <w:szCs w:val="22"/>
        </w:rPr>
      </w:pPr>
      <w:r w:rsidRPr="005B6D16">
        <w:rPr>
          <w:rFonts w:asciiTheme="minorHAnsi" w:hAnsiTheme="minorHAnsi" w:cstheme="minorHAnsi"/>
          <w:color w:val="000000"/>
          <w:sz w:val="22"/>
          <w:szCs w:val="22"/>
        </w:rPr>
        <w:t>The review also considers the Intermediate Outcomes (IOs) intended to contribute to these EOPOs. These cover two broad domains. The first is</w:t>
      </w:r>
      <w:r w:rsidRPr="005B6D16">
        <w:rPr>
          <w:rStyle w:val="apple-converted-space"/>
          <w:rFonts w:asciiTheme="minorHAnsi" w:hAnsiTheme="minorHAnsi" w:cstheme="minorHAnsi"/>
          <w:color w:val="000000"/>
          <w:sz w:val="22"/>
          <w:szCs w:val="22"/>
        </w:rPr>
        <w:t> </w:t>
      </w:r>
      <w:r w:rsidRPr="005B6D16">
        <w:rPr>
          <w:rStyle w:val="Strong"/>
          <w:rFonts w:asciiTheme="minorHAnsi" w:hAnsiTheme="minorHAnsi" w:cstheme="minorHAnsi"/>
          <w:color w:val="000000"/>
          <w:sz w:val="22"/>
          <w:szCs w:val="22"/>
        </w:rPr>
        <w:t>energy transition</w:t>
      </w:r>
      <w:r w:rsidRPr="005B6D16">
        <w:rPr>
          <w:rFonts w:asciiTheme="minorHAnsi" w:hAnsiTheme="minorHAnsi" w:cstheme="minorHAnsi"/>
          <w:color w:val="000000"/>
          <w:sz w:val="22"/>
          <w:szCs w:val="22"/>
        </w:rPr>
        <w:t>, including renewable energy generation, installed capacity, emissions reduction, improved standards, and mobilisation of finance for renewable energy growth. The second is</w:t>
      </w:r>
      <w:r w:rsidRPr="005B6D16">
        <w:rPr>
          <w:rStyle w:val="apple-converted-space"/>
          <w:rFonts w:asciiTheme="minorHAnsi" w:hAnsiTheme="minorHAnsi" w:cstheme="minorHAnsi"/>
          <w:color w:val="000000"/>
          <w:sz w:val="22"/>
          <w:szCs w:val="22"/>
        </w:rPr>
        <w:t> </w:t>
      </w:r>
      <w:r w:rsidRPr="005B6D16">
        <w:rPr>
          <w:rStyle w:val="Strong"/>
          <w:rFonts w:asciiTheme="minorHAnsi" w:hAnsiTheme="minorHAnsi" w:cstheme="minorHAnsi"/>
          <w:color w:val="000000"/>
          <w:sz w:val="22"/>
          <w:szCs w:val="22"/>
        </w:rPr>
        <w:t>capital market development</w:t>
      </w:r>
      <w:r w:rsidRPr="005B6D16">
        <w:rPr>
          <w:rFonts w:asciiTheme="minorHAnsi" w:hAnsiTheme="minorHAnsi" w:cstheme="minorHAnsi"/>
          <w:color w:val="000000"/>
          <w:sz w:val="22"/>
          <w:szCs w:val="22"/>
        </w:rPr>
        <w:t>, including sustainable bond issuance, expansion of the investor base, local currency solutions, mobilisation of domestic investors and entrepreneurs, and progress toward an enabling environment for sustainable capital market issuances. Together, these IOs reflect AVETP’s dual ambition to support both transaction level delivery and wider market development.</w:t>
      </w:r>
      <w:r w:rsidRPr="005B6D16">
        <w:rPr>
          <w:rStyle w:val="apple-converted-space"/>
          <w:rFonts w:asciiTheme="minorHAnsi" w:hAnsiTheme="minorHAnsi" w:cstheme="minorHAnsi"/>
          <w:color w:val="000000"/>
          <w:sz w:val="22"/>
          <w:szCs w:val="22"/>
        </w:rPr>
        <w:t> </w:t>
      </w:r>
    </w:p>
    <w:p w14:paraId="48BE48A7" w14:textId="49619501" w:rsidR="00E56A70" w:rsidRPr="005B6D16" w:rsidRDefault="00E56A70" w:rsidP="00E56A70">
      <w:pPr>
        <w:pStyle w:val="NormalWeb"/>
        <w:rPr>
          <w:rStyle w:val="Questionbold"/>
          <w:rFonts w:ascii="Arial" w:hAnsi="Arial" w:cs="Arial"/>
          <w:sz w:val="22"/>
          <w:szCs w:val="22"/>
        </w:rPr>
      </w:pPr>
      <w:r w:rsidRPr="005B6D16">
        <w:rPr>
          <w:rFonts w:ascii="Arial" w:hAnsi="Arial" w:cs="Arial" w:hint="eastAsia"/>
          <w:color w:val="000000"/>
          <w:sz w:val="22"/>
          <w:szCs w:val="22"/>
        </w:rPr>
        <w:t xml:space="preserve">The </w:t>
      </w:r>
      <w:r w:rsidR="00E10FBD">
        <w:rPr>
          <w:rFonts w:ascii="Arial" w:hAnsi="Arial" w:cs="Arial"/>
          <w:color w:val="000000"/>
          <w:sz w:val="22"/>
          <w:szCs w:val="22"/>
        </w:rPr>
        <w:t>Table</w:t>
      </w:r>
      <w:r w:rsidRPr="005B6D16">
        <w:rPr>
          <w:rFonts w:ascii="Arial" w:hAnsi="Arial" w:cs="Arial"/>
          <w:color w:val="000000"/>
          <w:sz w:val="22"/>
          <w:szCs w:val="22"/>
        </w:rPr>
        <w:t>-</w:t>
      </w:r>
      <w:r w:rsidR="00E10FBD">
        <w:rPr>
          <w:rFonts w:ascii="Arial" w:hAnsi="Arial" w:cs="Arial"/>
          <w:color w:val="000000"/>
          <w:sz w:val="22"/>
          <w:szCs w:val="22"/>
        </w:rPr>
        <w:t>2</w:t>
      </w:r>
      <w:r w:rsidRPr="005B6D16">
        <w:rPr>
          <w:rFonts w:ascii="Arial" w:hAnsi="Arial" w:cs="Arial" w:hint="eastAsia"/>
          <w:color w:val="000000"/>
          <w:sz w:val="22"/>
          <w:szCs w:val="22"/>
        </w:rPr>
        <w:t xml:space="preserve"> illustrates PIDG</w:t>
      </w:r>
      <w:r w:rsidRPr="005B6D16">
        <w:rPr>
          <w:rFonts w:ascii="Arial" w:hAnsi="Arial" w:cs="Arial"/>
          <w:color w:val="000000"/>
          <w:sz w:val="22"/>
          <w:szCs w:val="22"/>
        </w:rPr>
        <w:t>’</w:t>
      </w:r>
      <w:r w:rsidRPr="005B6D16">
        <w:rPr>
          <w:rFonts w:ascii="Arial" w:hAnsi="Arial" w:cs="Arial" w:hint="eastAsia"/>
          <w:color w:val="000000"/>
          <w:sz w:val="22"/>
          <w:szCs w:val="22"/>
        </w:rPr>
        <w:t xml:space="preserve">s integrated lifecycle approach, showing how technical assistance and concessional capital support projects from upstream incubation through development and construction to operation. Across this lifecycle, PIDG deploys project development through </w:t>
      </w:r>
      <w:proofErr w:type="spellStart"/>
      <w:r w:rsidRPr="005B6D16">
        <w:rPr>
          <w:rFonts w:ascii="Arial" w:hAnsi="Arial" w:cs="Arial" w:hint="eastAsia"/>
          <w:color w:val="000000"/>
          <w:sz w:val="22"/>
          <w:szCs w:val="22"/>
        </w:rPr>
        <w:t>InfraCo</w:t>
      </w:r>
      <w:proofErr w:type="spellEnd"/>
      <w:r w:rsidRPr="005B6D16">
        <w:rPr>
          <w:rFonts w:ascii="Arial" w:hAnsi="Arial" w:cs="Arial" w:hint="eastAsia"/>
          <w:color w:val="000000"/>
          <w:sz w:val="22"/>
          <w:szCs w:val="22"/>
        </w:rPr>
        <w:t xml:space="preserve"> Asia and credit solutions including EAAIF and </w:t>
      </w:r>
      <w:proofErr w:type="spellStart"/>
      <w:r w:rsidRPr="005B6D16">
        <w:rPr>
          <w:rFonts w:ascii="Arial" w:hAnsi="Arial" w:cs="Arial" w:hint="eastAsia"/>
          <w:color w:val="000000"/>
          <w:sz w:val="22"/>
          <w:szCs w:val="22"/>
        </w:rPr>
        <w:t>GuarantCo</w:t>
      </w:r>
      <w:proofErr w:type="spellEnd"/>
      <w:r w:rsidRPr="005B6D16">
        <w:rPr>
          <w:rFonts w:ascii="Arial" w:hAnsi="Arial" w:cs="Arial" w:hint="eastAsia"/>
          <w:color w:val="000000"/>
          <w:sz w:val="22"/>
          <w:szCs w:val="22"/>
        </w:rPr>
        <w:t xml:space="preserve"> to mobilise private capital and strengthen local capital markets in support of Vietnam</w:t>
      </w:r>
      <w:r w:rsidRPr="005B6D16">
        <w:rPr>
          <w:rFonts w:ascii="Arial" w:hAnsi="Arial" w:cs="Arial"/>
          <w:color w:val="000000"/>
          <w:sz w:val="22"/>
          <w:szCs w:val="22"/>
        </w:rPr>
        <w:t>’</w:t>
      </w:r>
      <w:r w:rsidRPr="005B6D16">
        <w:rPr>
          <w:rFonts w:ascii="Arial" w:hAnsi="Arial" w:cs="Arial" w:hint="eastAsia"/>
          <w:color w:val="000000"/>
          <w:sz w:val="22"/>
          <w:szCs w:val="22"/>
        </w:rPr>
        <w:t>s energy transition under AVETP.</w:t>
      </w:r>
    </w:p>
    <w:p w14:paraId="5B9764EE" w14:textId="4846D5FD" w:rsidR="00E56A70" w:rsidRPr="00325C0F" w:rsidRDefault="00E56A70" w:rsidP="00325C0F">
      <w:pPr>
        <w:pStyle w:val="NormalWeb"/>
        <w:rPr>
          <w:rFonts w:asciiTheme="minorHAnsi" w:hAnsiTheme="minorHAnsi" w:cstheme="minorHAnsi"/>
          <w:color w:val="000000"/>
          <w:sz w:val="20"/>
          <w:szCs w:val="20"/>
        </w:rPr>
      </w:pPr>
    </w:p>
    <w:p w14:paraId="233A72EE" w14:textId="1402B81F" w:rsidR="002F572F" w:rsidRPr="002F572F" w:rsidRDefault="002F572F" w:rsidP="002F572F">
      <w:pPr>
        <w:pStyle w:val="Caption"/>
        <w:keepNext/>
        <w:jc w:val="left"/>
        <w:rPr>
          <w:i w:val="0"/>
          <w:iCs/>
        </w:rPr>
      </w:pPr>
      <w:bookmarkStart w:id="28" w:name="_Toc233026561"/>
      <w:r w:rsidRPr="002F572F">
        <w:rPr>
          <w:i w:val="0"/>
          <w:iCs/>
        </w:rPr>
        <w:lastRenderedPageBreak/>
        <w:t xml:space="preserve">Table </w:t>
      </w:r>
      <w:r w:rsidRPr="002F572F">
        <w:rPr>
          <w:i w:val="0"/>
          <w:iCs/>
        </w:rPr>
        <w:fldChar w:fldCharType="begin"/>
      </w:r>
      <w:r w:rsidRPr="002F572F">
        <w:rPr>
          <w:i w:val="0"/>
          <w:iCs/>
        </w:rPr>
        <w:instrText xml:space="preserve"> SEQ Table \* ARABIC </w:instrText>
      </w:r>
      <w:r w:rsidRPr="002F572F">
        <w:rPr>
          <w:i w:val="0"/>
          <w:iCs/>
        </w:rPr>
        <w:fldChar w:fldCharType="separate"/>
      </w:r>
      <w:r w:rsidR="006C7E0E">
        <w:rPr>
          <w:i w:val="0"/>
          <w:iCs/>
          <w:noProof/>
        </w:rPr>
        <w:t>2</w:t>
      </w:r>
      <w:r w:rsidRPr="002F572F">
        <w:rPr>
          <w:i w:val="0"/>
          <w:iCs/>
        </w:rPr>
        <w:fldChar w:fldCharType="end"/>
      </w:r>
      <w:r>
        <w:rPr>
          <w:i w:val="0"/>
          <w:iCs/>
        </w:rPr>
        <w:t xml:space="preserve">: </w:t>
      </w:r>
      <w:r>
        <w:t>PIDG approach and Solutions</w:t>
      </w:r>
      <w:bookmarkEnd w:id="28"/>
    </w:p>
    <w:tbl>
      <w:tblPr>
        <w:tblStyle w:val="CBSTable1"/>
        <w:tblW w:w="0" w:type="auto"/>
        <w:tblLook w:val="04A0" w:firstRow="1" w:lastRow="0" w:firstColumn="1" w:lastColumn="0" w:noHBand="0" w:noVBand="1"/>
      </w:tblPr>
      <w:tblGrid>
        <w:gridCol w:w="1542"/>
        <w:gridCol w:w="1559"/>
        <w:gridCol w:w="1865"/>
        <w:gridCol w:w="2626"/>
        <w:gridCol w:w="2597"/>
      </w:tblGrid>
      <w:tr w:rsidR="0039330F" w:rsidRPr="0039330F" w14:paraId="4FF6089F" w14:textId="77777777" w:rsidTr="0039330F">
        <w:trPr>
          <w:tblHeader/>
        </w:trPr>
        <w:tc>
          <w:tcPr>
            <w:tcW w:w="0" w:type="auto"/>
            <w:shd w:val="clear" w:color="auto" w:fill="0065BC" w:themeFill="background2"/>
            <w:hideMark/>
          </w:tcPr>
          <w:p w14:paraId="65449767" w14:textId="77777777" w:rsidR="0039330F" w:rsidRPr="0039330F" w:rsidRDefault="0039330F">
            <w:pPr>
              <w:jc w:val="center"/>
              <w:rPr>
                <w:rFonts w:ascii="Arial" w:hAnsi="Arial" w:cs="Arial"/>
                <w:b/>
                <w:bCs/>
                <w:color w:val="FFFFFF" w:themeColor="background1"/>
                <w:sz w:val="18"/>
                <w:szCs w:val="18"/>
              </w:rPr>
            </w:pPr>
            <w:r w:rsidRPr="0039330F">
              <w:rPr>
                <w:rFonts w:ascii="Arial" w:hAnsi="Arial" w:cs="Arial"/>
                <w:b/>
                <w:bCs/>
                <w:color w:val="FFFFFF" w:themeColor="background1"/>
                <w:sz w:val="18"/>
                <w:szCs w:val="18"/>
              </w:rPr>
              <w:t>Stage</w:t>
            </w:r>
          </w:p>
        </w:tc>
        <w:tc>
          <w:tcPr>
            <w:tcW w:w="0" w:type="auto"/>
            <w:shd w:val="clear" w:color="auto" w:fill="0065BC" w:themeFill="background2"/>
            <w:hideMark/>
          </w:tcPr>
          <w:p w14:paraId="137146F4" w14:textId="77777777" w:rsidR="0039330F" w:rsidRPr="0039330F" w:rsidRDefault="0039330F">
            <w:pPr>
              <w:jc w:val="center"/>
              <w:rPr>
                <w:rFonts w:ascii="Arial" w:hAnsi="Arial" w:cs="Arial"/>
                <w:b/>
                <w:bCs/>
                <w:color w:val="FFFFFF" w:themeColor="background1"/>
                <w:sz w:val="18"/>
                <w:szCs w:val="18"/>
              </w:rPr>
            </w:pPr>
            <w:r w:rsidRPr="0039330F">
              <w:rPr>
                <w:rFonts w:ascii="Arial" w:hAnsi="Arial" w:cs="Arial"/>
                <w:b/>
                <w:bCs/>
                <w:color w:val="FFFFFF" w:themeColor="background1"/>
                <w:sz w:val="18"/>
                <w:szCs w:val="18"/>
              </w:rPr>
              <w:t>PIDG solution area</w:t>
            </w:r>
          </w:p>
        </w:tc>
        <w:tc>
          <w:tcPr>
            <w:tcW w:w="0" w:type="auto"/>
            <w:shd w:val="clear" w:color="auto" w:fill="0065BC" w:themeFill="background2"/>
            <w:hideMark/>
          </w:tcPr>
          <w:p w14:paraId="7BBBC4C5" w14:textId="51DB783A" w:rsidR="0039330F" w:rsidRPr="0039330F" w:rsidRDefault="0039330F">
            <w:pPr>
              <w:jc w:val="center"/>
              <w:rPr>
                <w:rFonts w:ascii="Arial" w:hAnsi="Arial" w:cs="Arial"/>
                <w:b/>
                <w:bCs/>
                <w:color w:val="FFFFFF" w:themeColor="background1"/>
                <w:sz w:val="18"/>
                <w:szCs w:val="18"/>
              </w:rPr>
            </w:pPr>
            <w:r w:rsidRPr="0039330F">
              <w:rPr>
                <w:rFonts w:ascii="Arial" w:hAnsi="Arial" w:cs="Arial"/>
                <w:b/>
                <w:bCs/>
                <w:color w:val="FFFFFF" w:themeColor="background1"/>
                <w:sz w:val="18"/>
                <w:szCs w:val="18"/>
              </w:rPr>
              <w:t>Instrument or activity</w:t>
            </w:r>
            <w:r w:rsidR="00984F53">
              <w:rPr>
                <w:rFonts w:ascii="Arial" w:hAnsi="Arial" w:cs="Arial"/>
                <w:b/>
                <w:bCs/>
                <w:color w:val="FFFFFF" w:themeColor="background1"/>
                <w:sz w:val="18"/>
                <w:szCs w:val="18"/>
              </w:rPr>
              <w:t>/Partners</w:t>
            </w:r>
          </w:p>
        </w:tc>
        <w:tc>
          <w:tcPr>
            <w:tcW w:w="0" w:type="auto"/>
            <w:shd w:val="clear" w:color="auto" w:fill="0065BC" w:themeFill="background2"/>
            <w:hideMark/>
          </w:tcPr>
          <w:p w14:paraId="6D78BA5E" w14:textId="77777777" w:rsidR="0039330F" w:rsidRPr="0039330F" w:rsidRDefault="0039330F">
            <w:pPr>
              <w:jc w:val="center"/>
              <w:rPr>
                <w:rFonts w:ascii="Arial" w:hAnsi="Arial" w:cs="Arial"/>
                <w:b/>
                <w:bCs/>
                <w:color w:val="FFFFFF" w:themeColor="background1"/>
                <w:sz w:val="18"/>
                <w:szCs w:val="18"/>
              </w:rPr>
            </w:pPr>
            <w:r w:rsidRPr="0039330F">
              <w:rPr>
                <w:rFonts w:ascii="Arial" w:hAnsi="Arial" w:cs="Arial"/>
                <w:b/>
                <w:bCs/>
                <w:color w:val="FFFFFF" w:themeColor="background1"/>
                <w:sz w:val="18"/>
                <w:szCs w:val="18"/>
              </w:rPr>
              <w:t>Description</w:t>
            </w:r>
          </w:p>
        </w:tc>
        <w:tc>
          <w:tcPr>
            <w:tcW w:w="0" w:type="auto"/>
            <w:shd w:val="clear" w:color="auto" w:fill="0065BC" w:themeFill="background2"/>
            <w:hideMark/>
          </w:tcPr>
          <w:p w14:paraId="4B928B47" w14:textId="77777777" w:rsidR="0039330F" w:rsidRPr="0039330F" w:rsidRDefault="0039330F">
            <w:pPr>
              <w:jc w:val="center"/>
              <w:rPr>
                <w:rFonts w:ascii="Arial" w:hAnsi="Arial" w:cs="Arial"/>
                <w:b/>
                <w:bCs/>
                <w:color w:val="FFFFFF" w:themeColor="background1"/>
                <w:sz w:val="18"/>
                <w:szCs w:val="18"/>
              </w:rPr>
            </w:pPr>
            <w:r w:rsidRPr="0039330F">
              <w:rPr>
                <w:rFonts w:ascii="Arial" w:hAnsi="Arial" w:cs="Arial"/>
                <w:b/>
                <w:bCs/>
                <w:color w:val="FFFFFF" w:themeColor="background1"/>
                <w:sz w:val="18"/>
                <w:szCs w:val="18"/>
              </w:rPr>
              <w:t>Examples or notes</w:t>
            </w:r>
          </w:p>
        </w:tc>
      </w:tr>
      <w:tr w:rsidR="0039330F" w:rsidRPr="0039330F" w14:paraId="1D414CA7" w14:textId="77777777" w:rsidTr="0039330F">
        <w:tc>
          <w:tcPr>
            <w:tcW w:w="0" w:type="auto"/>
            <w:hideMark/>
          </w:tcPr>
          <w:p w14:paraId="2CB58FD5"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Incubation</w:t>
            </w:r>
          </w:p>
        </w:tc>
        <w:tc>
          <w:tcPr>
            <w:tcW w:w="0" w:type="auto"/>
            <w:hideMark/>
          </w:tcPr>
          <w:p w14:paraId="4C5BB093"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Technical assistance</w:t>
            </w:r>
          </w:p>
        </w:tc>
        <w:tc>
          <w:tcPr>
            <w:tcW w:w="0" w:type="auto"/>
            <w:hideMark/>
          </w:tcPr>
          <w:p w14:paraId="7491DB34"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Upstream early-stage support</w:t>
            </w:r>
          </w:p>
        </w:tc>
        <w:tc>
          <w:tcPr>
            <w:tcW w:w="0" w:type="auto"/>
            <w:hideMark/>
          </w:tcPr>
          <w:p w14:paraId="1A9357FF"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Early support to identify, prepare, structure, and strengthen potential climate finance and infrastructure opportunities before they are ready for investment.</w:t>
            </w:r>
          </w:p>
        </w:tc>
        <w:tc>
          <w:tcPr>
            <w:tcW w:w="0" w:type="auto"/>
            <w:hideMark/>
          </w:tcPr>
          <w:p w14:paraId="21A3A017"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Supports project preparation, feasibility, market development, and early-stage advisory work.</w:t>
            </w:r>
          </w:p>
        </w:tc>
      </w:tr>
      <w:tr w:rsidR="0039330F" w:rsidRPr="0039330F" w14:paraId="423FA1FE" w14:textId="77777777" w:rsidTr="0039330F">
        <w:tc>
          <w:tcPr>
            <w:tcW w:w="0" w:type="auto"/>
            <w:hideMark/>
          </w:tcPr>
          <w:p w14:paraId="6D266248"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Development and construction</w:t>
            </w:r>
          </w:p>
        </w:tc>
        <w:tc>
          <w:tcPr>
            <w:tcW w:w="0" w:type="auto"/>
            <w:hideMark/>
          </w:tcPr>
          <w:p w14:paraId="74954629"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PIDG project development</w:t>
            </w:r>
          </w:p>
        </w:tc>
        <w:tc>
          <w:tcPr>
            <w:tcW w:w="0" w:type="auto"/>
            <w:hideMark/>
          </w:tcPr>
          <w:p w14:paraId="1DB18337" w14:textId="77777777" w:rsidR="0039330F" w:rsidRPr="005C5713" w:rsidRDefault="0039330F">
            <w:pPr>
              <w:rPr>
                <w:rFonts w:ascii="Arial" w:hAnsi="Arial" w:cs="Arial"/>
                <w:color w:val="000000"/>
                <w:sz w:val="20"/>
                <w:szCs w:val="20"/>
              </w:rPr>
            </w:pPr>
            <w:proofErr w:type="spellStart"/>
            <w:r w:rsidRPr="005C5713">
              <w:rPr>
                <w:rFonts w:ascii="Arial" w:hAnsi="Arial" w:cs="Arial"/>
                <w:color w:val="000000"/>
                <w:sz w:val="20"/>
                <w:szCs w:val="20"/>
              </w:rPr>
              <w:t>InfraCo</w:t>
            </w:r>
            <w:proofErr w:type="spellEnd"/>
          </w:p>
        </w:tc>
        <w:tc>
          <w:tcPr>
            <w:tcW w:w="0" w:type="auto"/>
            <w:hideMark/>
          </w:tcPr>
          <w:p w14:paraId="3E03933F"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Project origination, structuring, and management. Equity and other forms of investment into operational businesses.</w:t>
            </w:r>
          </w:p>
        </w:tc>
        <w:tc>
          <w:tcPr>
            <w:tcW w:w="0" w:type="auto"/>
            <w:hideMark/>
          </w:tcPr>
          <w:p w14:paraId="2A34AF8E"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Supports project development and investment readiness before projects move into operation.</w:t>
            </w:r>
          </w:p>
        </w:tc>
      </w:tr>
      <w:tr w:rsidR="0039330F" w:rsidRPr="0039330F" w14:paraId="395490E5" w14:textId="77777777" w:rsidTr="0039330F">
        <w:tc>
          <w:tcPr>
            <w:tcW w:w="0" w:type="auto"/>
            <w:hideMark/>
          </w:tcPr>
          <w:p w14:paraId="1E366B16"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Operation</w:t>
            </w:r>
          </w:p>
        </w:tc>
        <w:tc>
          <w:tcPr>
            <w:tcW w:w="0" w:type="auto"/>
            <w:hideMark/>
          </w:tcPr>
          <w:p w14:paraId="28B6EE5B"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Debt solutions</w:t>
            </w:r>
          </w:p>
        </w:tc>
        <w:tc>
          <w:tcPr>
            <w:tcW w:w="0" w:type="auto"/>
            <w:hideMark/>
          </w:tcPr>
          <w:p w14:paraId="0CE2D7DA"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EAIF</w:t>
            </w:r>
          </w:p>
        </w:tc>
        <w:tc>
          <w:tcPr>
            <w:tcW w:w="0" w:type="auto"/>
            <w:hideMark/>
          </w:tcPr>
          <w:p w14:paraId="757F81E9"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Long-term debt fund.</w:t>
            </w:r>
          </w:p>
        </w:tc>
        <w:tc>
          <w:tcPr>
            <w:tcW w:w="0" w:type="auto"/>
            <w:hideMark/>
          </w:tcPr>
          <w:p w14:paraId="37A7BEEE"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Provides long-term debt finance for eligible infrastructure and climate-related projects.</w:t>
            </w:r>
          </w:p>
        </w:tc>
      </w:tr>
      <w:tr w:rsidR="0039330F" w:rsidRPr="0039330F" w14:paraId="7DE2778E" w14:textId="77777777" w:rsidTr="0039330F">
        <w:tc>
          <w:tcPr>
            <w:tcW w:w="0" w:type="auto"/>
            <w:hideMark/>
          </w:tcPr>
          <w:p w14:paraId="7C477243"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Operation</w:t>
            </w:r>
          </w:p>
        </w:tc>
        <w:tc>
          <w:tcPr>
            <w:tcW w:w="0" w:type="auto"/>
            <w:hideMark/>
          </w:tcPr>
          <w:p w14:paraId="5BF762B5"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Guarantee solutions</w:t>
            </w:r>
          </w:p>
        </w:tc>
        <w:tc>
          <w:tcPr>
            <w:tcW w:w="0" w:type="auto"/>
            <w:hideMark/>
          </w:tcPr>
          <w:p w14:paraId="3C92A906" w14:textId="77777777" w:rsidR="0039330F" w:rsidRPr="005C5713" w:rsidRDefault="0039330F">
            <w:pPr>
              <w:rPr>
                <w:rFonts w:ascii="Arial" w:hAnsi="Arial" w:cs="Arial"/>
                <w:color w:val="000000"/>
                <w:sz w:val="20"/>
                <w:szCs w:val="20"/>
              </w:rPr>
            </w:pPr>
            <w:proofErr w:type="spellStart"/>
            <w:r w:rsidRPr="005C5713">
              <w:rPr>
                <w:rFonts w:ascii="Arial" w:hAnsi="Arial" w:cs="Arial"/>
                <w:color w:val="000000"/>
                <w:sz w:val="20"/>
                <w:szCs w:val="20"/>
              </w:rPr>
              <w:t>GuarantCo</w:t>
            </w:r>
            <w:proofErr w:type="spellEnd"/>
          </w:p>
        </w:tc>
        <w:tc>
          <w:tcPr>
            <w:tcW w:w="0" w:type="auto"/>
            <w:hideMark/>
          </w:tcPr>
          <w:p w14:paraId="616B1AE7"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Primarily local currency guarantees that unlock loans and bonds.</w:t>
            </w:r>
          </w:p>
        </w:tc>
        <w:tc>
          <w:tcPr>
            <w:tcW w:w="0" w:type="auto"/>
            <w:hideMark/>
          </w:tcPr>
          <w:p w14:paraId="64F3F3F2"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Helps mobilise domestic finance and reduce perceived risk for lenders and investors.</w:t>
            </w:r>
          </w:p>
        </w:tc>
      </w:tr>
      <w:tr w:rsidR="0039330F" w:rsidRPr="0039330F" w14:paraId="44563D82" w14:textId="77777777" w:rsidTr="0039330F">
        <w:tc>
          <w:tcPr>
            <w:tcW w:w="0" w:type="auto"/>
            <w:hideMark/>
          </w:tcPr>
          <w:p w14:paraId="74119152"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Operation</w:t>
            </w:r>
          </w:p>
        </w:tc>
        <w:tc>
          <w:tcPr>
            <w:tcW w:w="0" w:type="auto"/>
            <w:hideMark/>
          </w:tcPr>
          <w:p w14:paraId="6100F80A"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Credit enhancement facilities</w:t>
            </w:r>
          </w:p>
        </w:tc>
        <w:tc>
          <w:tcPr>
            <w:tcW w:w="0" w:type="auto"/>
            <w:hideMark/>
          </w:tcPr>
          <w:p w14:paraId="7D387E35"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Credit Enhancement Facilities</w:t>
            </w:r>
          </w:p>
        </w:tc>
        <w:tc>
          <w:tcPr>
            <w:tcW w:w="0" w:type="auto"/>
            <w:hideMark/>
          </w:tcPr>
          <w:p w14:paraId="7B4EAAA4"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Mobilise local capital into projects and businesses.</w:t>
            </w:r>
          </w:p>
        </w:tc>
        <w:tc>
          <w:tcPr>
            <w:tcW w:w="0" w:type="auto"/>
            <w:hideMark/>
          </w:tcPr>
          <w:p w14:paraId="13F54B4B"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 xml:space="preserve">Examples include </w:t>
            </w:r>
            <w:proofErr w:type="spellStart"/>
            <w:r w:rsidRPr="005C5713">
              <w:rPr>
                <w:rFonts w:ascii="Arial" w:hAnsi="Arial" w:cs="Arial"/>
                <w:color w:val="000000"/>
                <w:sz w:val="20"/>
                <w:szCs w:val="20"/>
              </w:rPr>
              <w:t>InfraCredit</w:t>
            </w:r>
            <w:proofErr w:type="spellEnd"/>
            <w:r w:rsidRPr="005C5713">
              <w:rPr>
                <w:rFonts w:ascii="Arial" w:hAnsi="Arial" w:cs="Arial"/>
                <w:color w:val="000000"/>
                <w:sz w:val="20"/>
                <w:szCs w:val="20"/>
              </w:rPr>
              <w:t xml:space="preserve">, </w:t>
            </w:r>
            <w:proofErr w:type="spellStart"/>
            <w:r w:rsidRPr="005C5713">
              <w:rPr>
                <w:rFonts w:ascii="Arial" w:hAnsi="Arial" w:cs="Arial"/>
                <w:color w:val="000000"/>
                <w:sz w:val="20"/>
                <w:szCs w:val="20"/>
              </w:rPr>
              <w:t>InfraZamin</w:t>
            </w:r>
            <w:proofErr w:type="spellEnd"/>
            <w:r w:rsidRPr="005C5713">
              <w:rPr>
                <w:rFonts w:ascii="Arial" w:hAnsi="Arial" w:cs="Arial"/>
                <w:color w:val="000000"/>
                <w:sz w:val="20"/>
                <w:szCs w:val="20"/>
              </w:rPr>
              <w:t xml:space="preserve">, </w:t>
            </w:r>
            <w:proofErr w:type="spellStart"/>
            <w:r w:rsidRPr="005C5713">
              <w:rPr>
                <w:rFonts w:ascii="Arial" w:hAnsi="Arial" w:cs="Arial"/>
                <w:color w:val="000000"/>
                <w:sz w:val="20"/>
                <w:szCs w:val="20"/>
              </w:rPr>
              <w:t>Dhamana</w:t>
            </w:r>
            <w:proofErr w:type="spellEnd"/>
            <w:r w:rsidRPr="005C5713">
              <w:rPr>
                <w:rFonts w:ascii="Arial" w:hAnsi="Arial" w:cs="Arial"/>
                <w:color w:val="000000"/>
                <w:sz w:val="20"/>
                <w:szCs w:val="20"/>
              </w:rPr>
              <w:t>, and other credit enhancement facilities. Some are already active, while others are in set-up mode.</w:t>
            </w:r>
          </w:p>
        </w:tc>
      </w:tr>
      <w:tr w:rsidR="0039330F" w:rsidRPr="0039330F" w14:paraId="0D0B1DBC" w14:textId="77777777" w:rsidTr="0039330F">
        <w:tc>
          <w:tcPr>
            <w:tcW w:w="0" w:type="auto"/>
            <w:hideMark/>
          </w:tcPr>
          <w:p w14:paraId="3B828615"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Cross-cutting support</w:t>
            </w:r>
          </w:p>
        </w:tc>
        <w:tc>
          <w:tcPr>
            <w:tcW w:w="0" w:type="auto"/>
            <w:hideMark/>
          </w:tcPr>
          <w:p w14:paraId="195EB603"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PIDG solutions</w:t>
            </w:r>
          </w:p>
        </w:tc>
        <w:tc>
          <w:tcPr>
            <w:tcW w:w="0" w:type="auto"/>
            <w:hideMark/>
          </w:tcPr>
          <w:p w14:paraId="61795785"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Concessional capital, grants, debt and equity</w:t>
            </w:r>
          </w:p>
        </w:tc>
        <w:tc>
          <w:tcPr>
            <w:tcW w:w="0" w:type="auto"/>
            <w:hideMark/>
          </w:tcPr>
          <w:p w14:paraId="071F7FA2"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Concessional capital and blended finance are used across PIDG solutions to improve project viability and unlock investment.</w:t>
            </w:r>
          </w:p>
        </w:tc>
        <w:tc>
          <w:tcPr>
            <w:tcW w:w="0" w:type="auto"/>
            <w:hideMark/>
          </w:tcPr>
          <w:p w14:paraId="5E70160F" w14:textId="77777777" w:rsidR="0039330F" w:rsidRPr="005C5713" w:rsidRDefault="0039330F">
            <w:pPr>
              <w:rPr>
                <w:rFonts w:ascii="Arial" w:hAnsi="Arial" w:cs="Arial"/>
                <w:color w:val="000000"/>
                <w:sz w:val="20"/>
                <w:szCs w:val="20"/>
              </w:rPr>
            </w:pPr>
            <w:r w:rsidRPr="005C5713">
              <w:rPr>
                <w:rFonts w:ascii="Arial" w:hAnsi="Arial" w:cs="Arial"/>
                <w:color w:val="000000"/>
                <w:sz w:val="20"/>
                <w:szCs w:val="20"/>
              </w:rPr>
              <w:t>Includes viability gap funding and impact-enhancing activities.</w:t>
            </w:r>
          </w:p>
        </w:tc>
      </w:tr>
    </w:tbl>
    <w:p w14:paraId="35CF3548" w14:textId="77777777" w:rsidR="0039330F" w:rsidRDefault="0039330F" w:rsidP="002D7127">
      <w:pPr>
        <w:rPr>
          <w:rFonts w:ascii="Arial" w:hAnsi="Arial" w:cs="Arial"/>
          <w:color w:val="000000"/>
          <w:sz w:val="22"/>
          <w:szCs w:val="22"/>
        </w:rPr>
      </w:pPr>
    </w:p>
    <w:p w14:paraId="3A30A260" w14:textId="272AF394" w:rsidR="00CB055D" w:rsidRDefault="00CB055D" w:rsidP="002D7127">
      <w:pPr>
        <w:rPr>
          <w:rFonts w:ascii="Arial" w:hAnsi="Arial" w:cs="Arial"/>
          <w:color w:val="000000"/>
          <w:sz w:val="22"/>
          <w:szCs w:val="22"/>
        </w:rPr>
      </w:pPr>
      <w:r w:rsidRPr="005B6D16">
        <w:rPr>
          <w:rFonts w:ascii="Arial" w:hAnsi="Arial" w:cs="Arial"/>
          <w:color w:val="000000"/>
          <w:sz w:val="22"/>
          <w:szCs w:val="22"/>
        </w:rPr>
        <w:t>AVETP cannot be assessed at mid-term solely through transaction counts or disbursement volumes. Its core value lies in catalytic additionality: the extent to which DFAT’s investment through PIDG helps de risk transactions, improve the quality of investment, mobilise private capital, strengthen market confidence, and demonstrate financing models that can be replicated or scaled over time. This is particularly important in a context such as Vietnam, where infrastructure transactions, regulatory reform, and capital market development often move unevenly and over long-time horizons. The review therefore adopts an assessment approach that is systems aware, adaptive, and attentive not only to transaction volume, but also to market shaping effects, institutional strengthening, and the longer gestation periods that characterise blended finance, infrastructure development, and capital market reform.</w:t>
      </w:r>
    </w:p>
    <w:p w14:paraId="271D7CBC" w14:textId="77777777" w:rsidR="006C7E0E" w:rsidRPr="005B6D16" w:rsidRDefault="006C7E0E" w:rsidP="002D7127">
      <w:pPr>
        <w:rPr>
          <w:rFonts w:ascii="Arial" w:hAnsi="Arial" w:cs="Arial"/>
          <w:color w:val="000000"/>
          <w:sz w:val="22"/>
          <w:szCs w:val="22"/>
        </w:rPr>
      </w:pPr>
    </w:p>
    <w:p w14:paraId="2AB4D5B7" w14:textId="77777777" w:rsidR="00F0067A" w:rsidRPr="006C7E0E" w:rsidRDefault="00CB055D" w:rsidP="006C7E0E">
      <w:pPr>
        <w:rPr>
          <w:rFonts w:asciiTheme="minorHAnsi" w:hAnsiTheme="minorHAnsi" w:cstheme="minorHAnsi"/>
          <w:sz w:val="22"/>
          <w:szCs w:val="22"/>
        </w:rPr>
      </w:pPr>
      <w:r w:rsidRPr="006C7E0E">
        <w:rPr>
          <w:rFonts w:asciiTheme="minorHAnsi" w:hAnsiTheme="minorHAnsi" w:cstheme="minorHAnsi"/>
          <w:sz w:val="22"/>
          <w:szCs w:val="22"/>
        </w:rPr>
        <w:t>Consistent with the Terms of Reference, the Mid-Term Review is framed around five broad evaluative dimensions: progress toward the EOPOs, the effectiveness of AVETP’s MEL arrangements, DFAT oversight, lessons learned, and the integration of gender equality, disability, and social inclusion. Given the absence of a dedicated AVETP-specific MEL framework, the review places particular emphasis on the adequacy and practicality of current monitoring and reporting arrangements. It also recognises limitations in the robustness and granularity of available data and therefore draws on targeted primary evidence, including stakeholder interviews, document triangulation, and selected deep-dive case studies outlined in the annex to this report.</w:t>
      </w:r>
      <w:bookmarkStart w:id="29" w:name="_Toc226976844"/>
      <w:r w:rsidR="00526702" w:rsidRPr="006C7E0E">
        <w:rPr>
          <w:rFonts w:asciiTheme="minorHAnsi" w:hAnsiTheme="minorHAnsi" w:cstheme="minorHAnsi"/>
          <w:noProof/>
          <w:sz w:val="22"/>
          <w:szCs w:val="22"/>
        </w:rPr>
        <mc:AlternateContent>
          <mc:Choice Requires="wps">
            <w:drawing>
              <wp:anchor distT="4294967295" distB="4294967295" distL="114300" distR="114300" simplePos="0" relativeHeight="251657216" behindDoc="0" locked="0" layoutInCell="1" allowOverlap="1" wp14:anchorId="5EA21775" wp14:editId="62322C44">
                <wp:simplePos x="0" y="0"/>
                <wp:positionH relativeFrom="column">
                  <wp:posOffset>-439612</wp:posOffset>
                </wp:positionH>
                <wp:positionV relativeFrom="paragraph">
                  <wp:posOffset>-451485</wp:posOffset>
                </wp:positionV>
                <wp:extent cx="10696575" cy="0"/>
                <wp:effectExtent l="0" t="57150" r="0" b="38100"/>
                <wp:wrapNone/>
                <wp:docPr id="1407818387"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6575" cy="0"/>
                        </a:xfrm>
                        <a:prstGeom prst="rect">
                          <a:avLst/>
                        </a:prstGeom>
                        <a:noFill/>
                        <a:ln>
                          <a:noFill/>
                        </a:ln>
                        <a:effectLst/>
                      </wps:spPr>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640412C9">
              <v:rect id="Rechteck 13" style="position:absolute;margin-left:-34.6pt;margin-top:-35.55pt;width:842.25pt;height:0;z-index:251657216;visibility:visible;mso-wrap-style:square;mso-width-percent:0;mso-height-percent:0;mso-wrap-distance-left:9pt;mso-wrap-distance-top:.ﬁmm;mso-wrap-distance-right:9pt;mso-wrap-distance-bottom:.ﬁmm;mso-position-horizontal:absolute;mso-position-horizontal-relative:text;mso-position-vertical:absolute;mso-position-vertical-relative:text;mso-width-percent:0;mso-height-percent:0;mso-width-relative:page;mso-height-relative:page;v-text-anchor:middle" o:spid="_x0000_s1026" filled="f" stroked="f" w14:anchorId="75747C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"/>
            </w:pict>
          </mc:Fallback>
        </mc:AlternateContent>
      </w:r>
      <w:r w:rsidR="0031170C" w:rsidRPr="006C7E0E">
        <w:rPr>
          <w:rFonts w:asciiTheme="minorHAnsi" w:hAnsiTheme="minorHAnsi" w:cstheme="minorHAnsi"/>
          <w:sz w:val="22"/>
          <w:szCs w:val="22"/>
        </w:rPr>
        <w:t xml:space="preserve"> </w:t>
      </w:r>
    </w:p>
    <w:p w14:paraId="32725C5E" w14:textId="505A13C2" w:rsidR="002D7127" w:rsidRPr="00C00B28" w:rsidRDefault="00857D37" w:rsidP="003D231F">
      <w:pPr>
        <w:pStyle w:val="Heading2"/>
      </w:pPr>
      <w:bookmarkStart w:id="30" w:name="_Toc233026588"/>
      <w:r w:rsidRPr="00C00B28">
        <w:t>AVETP Log</w:t>
      </w:r>
      <w:r w:rsidR="002D7127" w:rsidRPr="00C00B28">
        <w:t xml:space="preserve"> frame</w:t>
      </w:r>
      <w:bookmarkEnd w:id="29"/>
      <w:bookmarkEnd w:id="30"/>
    </w:p>
    <w:p w14:paraId="028F35BB" w14:textId="4949DC43" w:rsidR="004F2555" w:rsidRPr="00B174E0" w:rsidRDefault="00B174E0" w:rsidP="004F2555">
      <w:pPr>
        <w:rPr>
          <w:rFonts w:asciiTheme="minorHAnsi" w:hAnsiTheme="minorHAnsi" w:cstheme="minorHAnsi"/>
          <w:sz w:val="22"/>
          <w:szCs w:val="22"/>
          <w:lang w:eastAsia="en-US"/>
        </w:rPr>
      </w:pPr>
      <w:r w:rsidRPr="00B174E0">
        <w:rPr>
          <w:rFonts w:asciiTheme="minorHAnsi" w:hAnsiTheme="minorHAnsi" w:cstheme="minorHAnsi"/>
          <w:color w:val="000000"/>
          <w:sz w:val="22"/>
          <w:szCs w:val="22"/>
        </w:rPr>
        <w:t xml:space="preserve">The AVETP </w:t>
      </w:r>
      <w:proofErr w:type="spellStart"/>
      <w:r w:rsidRPr="00B174E0">
        <w:rPr>
          <w:rFonts w:asciiTheme="minorHAnsi" w:hAnsiTheme="minorHAnsi" w:cstheme="minorHAnsi"/>
          <w:color w:val="000000"/>
          <w:sz w:val="22"/>
          <w:szCs w:val="22"/>
        </w:rPr>
        <w:t>logframe</w:t>
      </w:r>
      <w:proofErr w:type="spellEnd"/>
      <w:r w:rsidRPr="00B174E0">
        <w:rPr>
          <w:rFonts w:asciiTheme="minorHAnsi" w:hAnsiTheme="minorHAnsi" w:cstheme="minorHAnsi"/>
          <w:color w:val="000000"/>
          <w:sz w:val="22"/>
          <w:szCs w:val="22"/>
        </w:rPr>
        <w:t xml:space="preserve"> </w:t>
      </w:r>
      <w:r w:rsidR="00E10FBD">
        <w:rPr>
          <w:rFonts w:asciiTheme="minorHAnsi" w:hAnsiTheme="minorHAnsi" w:cstheme="minorHAnsi"/>
          <w:color w:val="000000"/>
          <w:sz w:val="22"/>
          <w:szCs w:val="22"/>
        </w:rPr>
        <w:t xml:space="preserve">Table-3 </w:t>
      </w:r>
      <w:r w:rsidRPr="00B174E0">
        <w:rPr>
          <w:rFonts w:asciiTheme="minorHAnsi" w:hAnsiTheme="minorHAnsi" w:cstheme="minorHAnsi"/>
          <w:color w:val="000000"/>
          <w:sz w:val="22"/>
          <w:szCs w:val="22"/>
        </w:rPr>
        <w:t xml:space="preserve">sets out the relationship between the programme’s two main investment components, their intended activities, expected outputs, and end-of-program outcomes. It shows how the Renewable Energy Access Fund is expected to support clean energy generation, renewable energy </w:t>
      </w:r>
      <w:r w:rsidRPr="00B174E0">
        <w:rPr>
          <w:rFonts w:asciiTheme="minorHAnsi" w:hAnsiTheme="minorHAnsi" w:cstheme="minorHAnsi"/>
          <w:color w:val="000000"/>
          <w:sz w:val="22"/>
          <w:szCs w:val="22"/>
        </w:rPr>
        <w:lastRenderedPageBreak/>
        <w:t>capacity, improved access, emissions avoidance, and gender-responsive investment, while the Capital Markets for Climate Action Fund is expected to deepen Vietnam’s climate finance market through green bonds, local currency finance, institutional investor participation, and sustainable infrastructure investment.</w:t>
      </w:r>
    </w:p>
    <w:p w14:paraId="1B2DB838" w14:textId="6865BF12" w:rsidR="00B174E0" w:rsidRDefault="00B174E0" w:rsidP="00B174E0">
      <w:pPr>
        <w:pStyle w:val="Caption"/>
        <w:keepNext/>
        <w:jc w:val="left"/>
      </w:pPr>
      <w:bookmarkStart w:id="31" w:name="_Toc233026562"/>
      <w:r w:rsidRPr="00B174E0">
        <w:rPr>
          <w:i w:val="0"/>
          <w:iCs/>
        </w:rPr>
        <w:t xml:space="preserve">Table </w:t>
      </w:r>
      <w:r w:rsidRPr="00B174E0">
        <w:rPr>
          <w:i w:val="0"/>
          <w:iCs/>
        </w:rPr>
        <w:fldChar w:fldCharType="begin"/>
      </w:r>
      <w:r w:rsidRPr="00B174E0">
        <w:rPr>
          <w:i w:val="0"/>
          <w:iCs/>
        </w:rPr>
        <w:instrText xml:space="preserve"> SEQ Table \* ARABIC </w:instrText>
      </w:r>
      <w:r w:rsidRPr="00B174E0">
        <w:rPr>
          <w:i w:val="0"/>
          <w:iCs/>
        </w:rPr>
        <w:fldChar w:fldCharType="separate"/>
      </w:r>
      <w:r w:rsidR="006C7E0E">
        <w:rPr>
          <w:i w:val="0"/>
          <w:iCs/>
          <w:noProof/>
        </w:rPr>
        <w:t>3</w:t>
      </w:r>
      <w:r w:rsidRPr="00B174E0">
        <w:rPr>
          <w:i w:val="0"/>
          <w:iCs/>
        </w:rPr>
        <w:fldChar w:fldCharType="end"/>
      </w:r>
      <w:r w:rsidRPr="00B174E0">
        <w:rPr>
          <w:i w:val="0"/>
          <w:iCs/>
        </w:rPr>
        <w:t>:</w:t>
      </w:r>
      <w:r>
        <w:t xml:space="preserve"> </w:t>
      </w:r>
      <w:r w:rsidRPr="00303D1A">
        <w:rPr>
          <w:i w:val="0"/>
          <w:iCs/>
          <w:sz w:val="18"/>
        </w:rPr>
        <w:t xml:space="preserve">AVETP </w:t>
      </w:r>
      <w:proofErr w:type="spellStart"/>
      <w:r w:rsidRPr="00303D1A">
        <w:rPr>
          <w:i w:val="0"/>
          <w:iCs/>
          <w:sz w:val="18"/>
        </w:rPr>
        <w:t>logframe</w:t>
      </w:r>
      <w:proofErr w:type="spellEnd"/>
      <w:r w:rsidRPr="00303D1A">
        <w:rPr>
          <w:i w:val="0"/>
          <w:iCs/>
          <w:sz w:val="18"/>
        </w:rPr>
        <w:t xml:space="preserve"> reviewed and tested as part of the Mid-Term Review</w:t>
      </w:r>
      <w:bookmarkEnd w:id="31"/>
    </w:p>
    <w:tbl>
      <w:tblPr>
        <w:tblStyle w:val="CBSTable1"/>
        <w:tblW w:w="0" w:type="auto"/>
        <w:tblLook w:val="04A0" w:firstRow="1" w:lastRow="0" w:firstColumn="1" w:lastColumn="0" w:noHBand="0" w:noVBand="1"/>
      </w:tblPr>
      <w:tblGrid>
        <w:gridCol w:w="1250"/>
        <w:gridCol w:w="2731"/>
        <w:gridCol w:w="4236"/>
        <w:gridCol w:w="1972"/>
      </w:tblGrid>
      <w:tr w:rsidR="004F2555" w:rsidRPr="004F2555" w14:paraId="5F5A245B" w14:textId="77777777" w:rsidTr="005C5713">
        <w:trPr>
          <w:tblHeader/>
        </w:trPr>
        <w:tc>
          <w:tcPr>
            <w:tcW w:w="0" w:type="auto"/>
            <w:shd w:val="clear" w:color="auto" w:fill="0065BC" w:themeFill="background2"/>
            <w:hideMark/>
          </w:tcPr>
          <w:p w14:paraId="5B0C43CD" w14:textId="77777777" w:rsidR="004F2555" w:rsidRPr="004F2555" w:rsidRDefault="004F2555">
            <w:pPr>
              <w:jc w:val="center"/>
              <w:rPr>
                <w:rFonts w:ascii="Arial" w:hAnsi="Arial" w:cs="Arial"/>
                <w:b/>
                <w:bCs/>
                <w:color w:val="FFFFFF" w:themeColor="background1"/>
                <w:sz w:val="18"/>
                <w:szCs w:val="18"/>
              </w:rPr>
            </w:pPr>
            <w:r w:rsidRPr="004F2555">
              <w:rPr>
                <w:rFonts w:ascii="Arial" w:hAnsi="Arial" w:cs="Arial"/>
                <w:b/>
                <w:bCs/>
                <w:color w:val="FFFFFF" w:themeColor="background1"/>
                <w:sz w:val="18"/>
                <w:szCs w:val="18"/>
              </w:rPr>
              <w:t>Component</w:t>
            </w:r>
          </w:p>
        </w:tc>
        <w:tc>
          <w:tcPr>
            <w:tcW w:w="2731" w:type="dxa"/>
            <w:shd w:val="clear" w:color="auto" w:fill="0065BC" w:themeFill="background2"/>
            <w:hideMark/>
          </w:tcPr>
          <w:p w14:paraId="00920078" w14:textId="77777777" w:rsidR="004F2555" w:rsidRPr="004F2555" w:rsidRDefault="004F2555">
            <w:pPr>
              <w:jc w:val="center"/>
              <w:rPr>
                <w:rFonts w:ascii="Arial" w:hAnsi="Arial" w:cs="Arial"/>
                <w:b/>
                <w:bCs/>
                <w:color w:val="FFFFFF" w:themeColor="background1"/>
                <w:sz w:val="18"/>
                <w:szCs w:val="18"/>
              </w:rPr>
            </w:pPr>
            <w:r w:rsidRPr="004F2555">
              <w:rPr>
                <w:rFonts w:ascii="Arial" w:hAnsi="Arial" w:cs="Arial"/>
                <w:b/>
                <w:bCs/>
                <w:color w:val="FFFFFF" w:themeColor="background1"/>
                <w:sz w:val="18"/>
                <w:szCs w:val="18"/>
              </w:rPr>
              <w:t>Programme activities</w:t>
            </w:r>
          </w:p>
        </w:tc>
        <w:tc>
          <w:tcPr>
            <w:tcW w:w="4236" w:type="dxa"/>
            <w:shd w:val="clear" w:color="auto" w:fill="0065BC" w:themeFill="background2"/>
            <w:hideMark/>
          </w:tcPr>
          <w:p w14:paraId="7C28ABC5" w14:textId="77777777" w:rsidR="004F2555" w:rsidRPr="004F2555" w:rsidRDefault="004F2555">
            <w:pPr>
              <w:jc w:val="center"/>
              <w:rPr>
                <w:rFonts w:ascii="Arial" w:hAnsi="Arial" w:cs="Arial"/>
                <w:b/>
                <w:bCs/>
                <w:color w:val="FFFFFF" w:themeColor="background1"/>
                <w:sz w:val="18"/>
                <w:szCs w:val="18"/>
              </w:rPr>
            </w:pPr>
            <w:r w:rsidRPr="004F2555">
              <w:rPr>
                <w:rFonts w:ascii="Arial" w:hAnsi="Arial" w:cs="Arial"/>
                <w:b/>
                <w:bCs/>
                <w:color w:val="FFFFFF" w:themeColor="background1"/>
                <w:sz w:val="18"/>
                <w:szCs w:val="18"/>
              </w:rPr>
              <w:t>Outputs</w:t>
            </w:r>
          </w:p>
        </w:tc>
        <w:tc>
          <w:tcPr>
            <w:tcW w:w="1972" w:type="dxa"/>
            <w:shd w:val="clear" w:color="auto" w:fill="0065BC" w:themeFill="background2"/>
            <w:hideMark/>
          </w:tcPr>
          <w:p w14:paraId="3F529CE7" w14:textId="77777777" w:rsidR="004F2555" w:rsidRPr="004F2555" w:rsidRDefault="004F2555">
            <w:pPr>
              <w:jc w:val="center"/>
              <w:rPr>
                <w:rFonts w:ascii="Arial" w:hAnsi="Arial" w:cs="Arial"/>
                <w:b/>
                <w:bCs/>
                <w:color w:val="FFFFFF" w:themeColor="background1"/>
                <w:sz w:val="18"/>
                <w:szCs w:val="18"/>
              </w:rPr>
            </w:pPr>
            <w:r w:rsidRPr="004F2555">
              <w:rPr>
                <w:rFonts w:ascii="Arial" w:hAnsi="Arial" w:cs="Arial"/>
                <w:b/>
                <w:bCs/>
                <w:color w:val="FFFFFF" w:themeColor="background1"/>
                <w:sz w:val="18"/>
                <w:szCs w:val="18"/>
              </w:rPr>
              <w:t>End-of-program outcome</w:t>
            </w:r>
          </w:p>
        </w:tc>
      </w:tr>
      <w:tr w:rsidR="004F2555" w:rsidRPr="004F2555" w14:paraId="291F9EDC" w14:textId="77777777" w:rsidTr="005C5713">
        <w:tc>
          <w:tcPr>
            <w:tcW w:w="0" w:type="auto"/>
            <w:hideMark/>
          </w:tcPr>
          <w:p w14:paraId="20319A1E" w14:textId="77777777" w:rsidR="004F2555" w:rsidRPr="005C5713" w:rsidRDefault="004F2555">
            <w:pPr>
              <w:rPr>
                <w:rFonts w:ascii="Arial" w:hAnsi="Arial" w:cs="Arial"/>
                <w:color w:val="000000"/>
                <w:sz w:val="20"/>
                <w:szCs w:val="20"/>
              </w:rPr>
            </w:pPr>
            <w:r w:rsidRPr="005C5713">
              <w:rPr>
                <w:rFonts w:ascii="Arial" w:hAnsi="Arial" w:cs="Arial"/>
                <w:color w:val="000000"/>
                <w:sz w:val="20"/>
                <w:szCs w:val="20"/>
              </w:rPr>
              <w:t>Component 1: Renewable Energy Access Fund</w:t>
            </w:r>
          </w:p>
        </w:tc>
        <w:tc>
          <w:tcPr>
            <w:tcW w:w="2731" w:type="dxa"/>
            <w:hideMark/>
          </w:tcPr>
          <w:p w14:paraId="29F22952" w14:textId="77777777" w:rsidR="004F2555" w:rsidRPr="005C5713" w:rsidRDefault="004F2555">
            <w:pPr>
              <w:rPr>
                <w:rFonts w:ascii="Arial" w:hAnsi="Arial" w:cs="Arial"/>
                <w:color w:val="000000"/>
                <w:sz w:val="20"/>
                <w:szCs w:val="20"/>
              </w:rPr>
            </w:pPr>
            <w:r w:rsidRPr="005C5713">
              <w:rPr>
                <w:rFonts w:ascii="Arial" w:hAnsi="Arial" w:cs="Arial"/>
                <w:color w:val="000000"/>
                <w:sz w:val="20"/>
                <w:szCs w:val="20"/>
              </w:rPr>
              <w:t>The Renewable Energy Access Fund is designed to expand PIDG’s investment footprint in Vietnam, accelerating the deployment of clean energy solutions and broadening access to renewable power sources. Catalytic capital, including technical assistance and capital grants, is provided as soft capital to support Vietnam’s progress, unlock investments facing delays, and reduce additional costs caused by long development times.</w:t>
            </w:r>
          </w:p>
        </w:tc>
        <w:tc>
          <w:tcPr>
            <w:tcW w:w="4236" w:type="dxa"/>
            <w:hideMark/>
          </w:tcPr>
          <w:p w14:paraId="4E15DA88" w14:textId="77777777" w:rsidR="004F2555" w:rsidRPr="005C5713" w:rsidRDefault="004F2555" w:rsidP="004F2555">
            <w:pPr>
              <w:pStyle w:val="ListParagraph"/>
              <w:numPr>
                <w:ilvl w:val="0"/>
                <w:numId w:val="26"/>
              </w:numPr>
              <w:rPr>
                <w:rFonts w:ascii="Arial" w:hAnsi="Arial" w:cs="Arial"/>
                <w:color w:val="000000"/>
              </w:rPr>
            </w:pPr>
            <w:r w:rsidRPr="005C5713">
              <w:rPr>
                <w:rFonts w:ascii="Arial" w:hAnsi="Arial" w:cs="Arial"/>
                <w:color w:val="000000"/>
              </w:rPr>
              <w:t xml:space="preserve">New renewable energy generation. </w:t>
            </w:r>
          </w:p>
          <w:p w14:paraId="75DD0DDE" w14:textId="77777777" w:rsidR="004F2555" w:rsidRPr="005C5713" w:rsidRDefault="004F2555" w:rsidP="004F2555">
            <w:pPr>
              <w:pStyle w:val="ListParagraph"/>
              <w:numPr>
                <w:ilvl w:val="0"/>
                <w:numId w:val="26"/>
              </w:numPr>
              <w:rPr>
                <w:rFonts w:ascii="Arial" w:hAnsi="Arial" w:cs="Arial"/>
                <w:color w:val="000000"/>
              </w:rPr>
            </w:pPr>
            <w:r w:rsidRPr="005C5713">
              <w:rPr>
                <w:rFonts w:ascii="Arial" w:hAnsi="Arial" w:cs="Arial"/>
                <w:color w:val="000000"/>
              </w:rPr>
              <w:t xml:space="preserve">Increased renewable energy installed capacity, measured in megawatts (MW), and renewable energy generation. </w:t>
            </w:r>
          </w:p>
          <w:p w14:paraId="54A7DAB8" w14:textId="77777777" w:rsidR="004F2555" w:rsidRPr="005C5713" w:rsidRDefault="004F2555" w:rsidP="004F2555">
            <w:pPr>
              <w:pStyle w:val="ListParagraph"/>
              <w:numPr>
                <w:ilvl w:val="0"/>
                <w:numId w:val="26"/>
              </w:numPr>
              <w:rPr>
                <w:rFonts w:ascii="Arial" w:hAnsi="Arial" w:cs="Arial"/>
                <w:color w:val="000000"/>
              </w:rPr>
            </w:pPr>
            <w:r w:rsidRPr="005C5713">
              <w:rPr>
                <w:rFonts w:ascii="Arial" w:hAnsi="Arial" w:cs="Arial"/>
                <w:color w:val="000000"/>
              </w:rPr>
              <w:t xml:space="preserve">Increase in the share of renewables. </w:t>
            </w:r>
          </w:p>
          <w:p w14:paraId="119EEBD3" w14:textId="77777777" w:rsidR="004F2555" w:rsidRPr="005C5713" w:rsidRDefault="004F2555" w:rsidP="004F2555">
            <w:pPr>
              <w:pStyle w:val="ListParagraph"/>
              <w:numPr>
                <w:ilvl w:val="0"/>
                <w:numId w:val="26"/>
              </w:numPr>
              <w:rPr>
                <w:rFonts w:ascii="Arial" w:hAnsi="Arial" w:cs="Arial"/>
                <w:color w:val="000000"/>
              </w:rPr>
            </w:pPr>
            <w:r w:rsidRPr="005C5713">
              <w:rPr>
                <w:rFonts w:ascii="Arial" w:hAnsi="Arial" w:cs="Arial"/>
                <w:color w:val="000000"/>
              </w:rPr>
              <w:t xml:space="preserve">Increased number of people with new and improved access. </w:t>
            </w:r>
          </w:p>
          <w:p w14:paraId="7E8FD259" w14:textId="77777777" w:rsidR="004F2555" w:rsidRPr="005C5713" w:rsidRDefault="004F2555" w:rsidP="004F2555">
            <w:pPr>
              <w:pStyle w:val="ListParagraph"/>
              <w:numPr>
                <w:ilvl w:val="0"/>
                <w:numId w:val="26"/>
              </w:numPr>
              <w:rPr>
                <w:rFonts w:ascii="Arial" w:hAnsi="Arial" w:cs="Arial"/>
                <w:color w:val="000000"/>
              </w:rPr>
            </w:pPr>
            <w:r w:rsidRPr="005C5713">
              <w:rPr>
                <w:rFonts w:ascii="Arial" w:hAnsi="Arial" w:cs="Arial"/>
                <w:color w:val="000000"/>
              </w:rPr>
              <w:t xml:space="preserve">Displacement of fossil-fuel-generated power and amount of greenhouse gas emissions avoided. </w:t>
            </w:r>
          </w:p>
          <w:p w14:paraId="6FD9367C" w14:textId="77777777" w:rsidR="004F2555" w:rsidRPr="005C5713" w:rsidRDefault="004F2555" w:rsidP="004F2555">
            <w:pPr>
              <w:pStyle w:val="ListParagraph"/>
              <w:numPr>
                <w:ilvl w:val="0"/>
                <w:numId w:val="26"/>
              </w:numPr>
              <w:rPr>
                <w:rFonts w:ascii="Arial" w:hAnsi="Arial" w:cs="Arial"/>
                <w:color w:val="000000"/>
              </w:rPr>
            </w:pPr>
            <w:r w:rsidRPr="005C5713">
              <w:rPr>
                <w:rFonts w:ascii="Arial" w:hAnsi="Arial" w:cs="Arial"/>
                <w:color w:val="000000"/>
              </w:rPr>
              <w:t xml:space="preserve">Number of projects classified as empowering women and girls. </w:t>
            </w:r>
          </w:p>
          <w:p w14:paraId="1CFDD028" w14:textId="77777777" w:rsidR="004F2555" w:rsidRPr="005C5713" w:rsidRDefault="004F2555" w:rsidP="004F2555">
            <w:pPr>
              <w:pStyle w:val="ListParagraph"/>
              <w:numPr>
                <w:ilvl w:val="0"/>
                <w:numId w:val="26"/>
              </w:numPr>
              <w:rPr>
                <w:rFonts w:ascii="Arial" w:hAnsi="Arial" w:cs="Arial"/>
                <w:color w:val="000000"/>
              </w:rPr>
            </w:pPr>
            <w:r w:rsidRPr="005C5713">
              <w:rPr>
                <w:rFonts w:ascii="Arial" w:hAnsi="Arial" w:cs="Arial"/>
                <w:color w:val="000000"/>
              </w:rPr>
              <w:t xml:space="preserve">Number of green or sustainable bonds issued or supported. </w:t>
            </w:r>
          </w:p>
          <w:p w14:paraId="4A280003" w14:textId="574F6C62" w:rsidR="004F2555" w:rsidRPr="005C5713" w:rsidRDefault="004F2555" w:rsidP="004F2555">
            <w:pPr>
              <w:pStyle w:val="ListParagraph"/>
              <w:numPr>
                <w:ilvl w:val="0"/>
                <w:numId w:val="26"/>
              </w:numPr>
              <w:rPr>
                <w:rFonts w:ascii="Arial" w:hAnsi="Arial" w:cs="Arial"/>
                <w:color w:val="000000"/>
              </w:rPr>
            </w:pPr>
            <w:r w:rsidRPr="005C5713">
              <w:rPr>
                <w:rFonts w:ascii="Arial" w:hAnsi="Arial" w:cs="Arial"/>
                <w:color w:val="000000"/>
              </w:rPr>
              <w:t>Value of green or sustainable bonds issued or supported.</w:t>
            </w:r>
          </w:p>
        </w:tc>
        <w:tc>
          <w:tcPr>
            <w:tcW w:w="1972" w:type="dxa"/>
            <w:hideMark/>
          </w:tcPr>
          <w:p w14:paraId="7B954907" w14:textId="77777777" w:rsidR="004F2555" w:rsidRPr="005C5713" w:rsidRDefault="004F2555">
            <w:pPr>
              <w:rPr>
                <w:rFonts w:ascii="Arial" w:hAnsi="Arial" w:cs="Arial"/>
                <w:color w:val="000000"/>
                <w:sz w:val="20"/>
                <w:szCs w:val="20"/>
              </w:rPr>
            </w:pPr>
            <w:r w:rsidRPr="005C5713">
              <w:rPr>
                <w:rFonts w:ascii="Arial" w:hAnsi="Arial" w:cs="Arial"/>
                <w:color w:val="000000"/>
                <w:sz w:val="20"/>
                <w:szCs w:val="20"/>
              </w:rPr>
              <w:t>EOPO-1: Australia will play a visible and influential role in increasing and improving the quality of private investment in Vietnam’s transition to net zero. This includes both the renewable energy sector and SMEs supporting climate action.</w:t>
            </w:r>
          </w:p>
        </w:tc>
      </w:tr>
      <w:tr w:rsidR="004F2555" w:rsidRPr="004F2555" w14:paraId="2B57E375" w14:textId="77777777" w:rsidTr="005C5713">
        <w:tc>
          <w:tcPr>
            <w:tcW w:w="0" w:type="auto"/>
            <w:hideMark/>
          </w:tcPr>
          <w:p w14:paraId="3D1E276D" w14:textId="77777777" w:rsidR="004F2555" w:rsidRPr="005C5713" w:rsidRDefault="004F2555">
            <w:pPr>
              <w:rPr>
                <w:rFonts w:ascii="Arial" w:hAnsi="Arial" w:cs="Arial"/>
                <w:color w:val="000000"/>
                <w:sz w:val="20"/>
                <w:szCs w:val="20"/>
              </w:rPr>
            </w:pPr>
            <w:r w:rsidRPr="005C5713">
              <w:rPr>
                <w:rFonts w:ascii="Arial" w:hAnsi="Arial" w:cs="Arial"/>
                <w:color w:val="000000"/>
                <w:sz w:val="20"/>
                <w:szCs w:val="20"/>
              </w:rPr>
              <w:t>Component 2: Capital Markets for Climate Action Fund</w:t>
            </w:r>
          </w:p>
        </w:tc>
        <w:tc>
          <w:tcPr>
            <w:tcW w:w="2731" w:type="dxa"/>
            <w:hideMark/>
          </w:tcPr>
          <w:p w14:paraId="48DB61B4" w14:textId="77777777" w:rsidR="004F2555" w:rsidRPr="005C5713" w:rsidRDefault="004F2555">
            <w:pPr>
              <w:rPr>
                <w:rFonts w:ascii="Arial" w:hAnsi="Arial" w:cs="Arial"/>
                <w:color w:val="000000"/>
                <w:sz w:val="20"/>
                <w:szCs w:val="20"/>
              </w:rPr>
            </w:pPr>
            <w:r w:rsidRPr="005C5713">
              <w:rPr>
                <w:rFonts w:ascii="Arial" w:hAnsi="Arial" w:cs="Arial"/>
                <w:color w:val="000000"/>
                <w:sz w:val="20"/>
                <w:szCs w:val="20"/>
              </w:rPr>
              <w:t xml:space="preserve">The Capital Markets for Climate Action Fund focuses on developing Vietnam’s financial markets by supporting green bonds, local currency investment mechanisms, and sustainable financing instruments that attract institutional investors. The provision of investment capital to PIDG subsidiaries, including </w:t>
            </w:r>
            <w:proofErr w:type="spellStart"/>
            <w:r w:rsidRPr="005C5713">
              <w:rPr>
                <w:rFonts w:ascii="Arial" w:hAnsi="Arial" w:cs="Arial"/>
                <w:color w:val="000000"/>
                <w:sz w:val="20"/>
                <w:szCs w:val="20"/>
              </w:rPr>
              <w:t>InfraCo</w:t>
            </w:r>
            <w:proofErr w:type="spellEnd"/>
            <w:r w:rsidRPr="005C5713">
              <w:rPr>
                <w:rFonts w:ascii="Arial" w:hAnsi="Arial" w:cs="Arial"/>
                <w:color w:val="000000"/>
                <w:sz w:val="20"/>
                <w:szCs w:val="20"/>
              </w:rPr>
              <w:t xml:space="preserve"> Asia, </w:t>
            </w:r>
            <w:proofErr w:type="spellStart"/>
            <w:r w:rsidRPr="005C5713">
              <w:rPr>
                <w:rFonts w:ascii="Arial" w:hAnsi="Arial" w:cs="Arial"/>
                <w:color w:val="000000"/>
                <w:sz w:val="20"/>
                <w:szCs w:val="20"/>
              </w:rPr>
              <w:t>GuarantCo</w:t>
            </w:r>
            <w:proofErr w:type="spellEnd"/>
            <w:r w:rsidRPr="005C5713">
              <w:rPr>
                <w:rFonts w:ascii="Arial" w:hAnsi="Arial" w:cs="Arial"/>
                <w:color w:val="000000"/>
                <w:sz w:val="20"/>
                <w:szCs w:val="20"/>
              </w:rPr>
              <w:t>, and the Emerging Africa and Asia Infrastructure Fund (EAIF), enables investment in new deals in Vietnam.</w:t>
            </w:r>
          </w:p>
        </w:tc>
        <w:tc>
          <w:tcPr>
            <w:tcW w:w="4236" w:type="dxa"/>
            <w:hideMark/>
          </w:tcPr>
          <w:p w14:paraId="1CB181A2" w14:textId="77777777" w:rsidR="004F2555" w:rsidRPr="005C5713" w:rsidRDefault="004F2555" w:rsidP="004F2555">
            <w:pPr>
              <w:pStyle w:val="ListParagraph"/>
              <w:numPr>
                <w:ilvl w:val="0"/>
                <w:numId w:val="27"/>
              </w:numPr>
              <w:rPr>
                <w:rFonts w:ascii="Arial" w:hAnsi="Arial" w:cs="Arial"/>
                <w:color w:val="000000"/>
              </w:rPr>
            </w:pPr>
            <w:r w:rsidRPr="005C5713">
              <w:rPr>
                <w:rFonts w:ascii="Arial" w:hAnsi="Arial" w:cs="Arial"/>
                <w:color w:val="000000"/>
              </w:rPr>
              <w:t xml:space="preserve">Increased number of people with new and improved access to sustainable infrastructure in line with a country investment approach. </w:t>
            </w:r>
          </w:p>
          <w:p w14:paraId="182801AE" w14:textId="77777777" w:rsidR="004F2555" w:rsidRPr="005C5713" w:rsidRDefault="004F2555" w:rsidP="004F2555">
            <w:pPr>
              <w:pStyle w:val="ListParagraph"/>
              <w:numPr>
                <w:ilvl w:val="0"/>
                <w:numId w:val="27"/>
              </w:numPr>
              <w:rPr>
                <w:rFonts w:ascii="Arial" w:hAnsi="Arial" w:cs="Arial"/>
                <w:color w:val="000000"/>
              </w:rPr>
            </w:pPr>
            <w:r w:rsidRPr="005C5713">
              <w:rPr>
                <w:rFonts w:ascii="Arial" w:hAnsi="Arial" w:cs="Arial"/>
                <w:color w:val="000000"/>
              </w:rPr>
              <w:t xml:space="preserve">Increased number of green or sustainable bonds issued or supported. </w:t>
            </w:r>
          </w:p>
          <w:p w14:paraId="7BF6DAC1" w14:textId="77777777" w:rsidR="004F2555" w:rsidRPr="005C5713" w:rsidRDefault="004F2555" w:rsidP="004F2555">
            <w:pPr>
              <w:pStyle w:val="ListParagraph"/>
              <w:numPr>
                <w:ilvl w:val="0"/>
                <w:numId w:val="27"/>
              </w:numPr>
              <w:rPr>
                <w:rFonts w:ascii="Arial" w:hAnsi="Arial" w:cs="Arial"/>
                <w:color w:val="000000"/>
              </w:rPr>
            </w:pPr>
            <w:r w:rsidRPr="005C5713">
              <w:rPr>
                <w:rFonts w:ascii="Arial" w:hAnsi="Arial" w:cs="Arial"/>
                <w:color w:val="000000"/>
              </w:rPr>
              <w:t xml:space="preserve">Increased value of green or sustainable bonds issued or supported. </w:t>
            </w:r>
          </w:p>
          <w:p w14:paraId="3A359725" w14:textId="77777777" w:rsidR="004F2555" w:rsidRPr="005C5713" w:rsidRDefault="004F2555" w:rsidP="004F2555">
            <w:pPr>
              <w:pStyle w:val="ListParagraph"/>
              <w:numPr>
                <w:ilvl w:val="0"/>
                <w:numId w:val="27"/>
              </w:numPr>
              <w:rPr>
                <w:rFonts w:ascii="Arial" w:hAnsi="Arial" w:cs="Arial"/>
                <w:color w:val="000000"/>
              </w:rPr>
            </w:pPr>
            <w:r w:rsidRPr="005C5713">
              <w:rPr>
                <w:rFonts w:ascii="Arial" w:hAnsi="Arial" w:cs="Arial"/>
                <w:color w:val="000000"/>
              </w:rPr>
              <w:t xml:space="preserve">Increased number of participating institutional investors. </w:t>
            </w:r>
          </w:p>
          <w:p w14:paraId="7A998383" w14:textId="77777777" w:rsidR="004F2555" w:rsidRPr="005C5713" w:rsidRDefault="004F2555" w:rsidP="004F2555">
            <w:pPr>
              <w:pStyle w:val="ListParagraph"/>
              <w:numPr>
                <w:ilvl w:val="0"/>
                <w:numId w:val="27"/>
              </w:numPr>
              <w:rPr>
                <w:rFonts w:ascii="Arial" w:hAnsi="Arial" w:cs="Arial"/>
                <w:color w:val="000000"/>
              </w:rPr>
            </w:pPr>
            <w:r w:rsidRPr="005C5713">
              <w:rPr>
                <w:rFonts w:ascii="Arial" w:hAnsi="Arial" w:cs="Arial"/>
                <w:color w:val="000000"/>
              </w:rPr>
              <w:t xml:space="preserve">Increased number of first-time green bond issuers. </w:t>
            </w:r>
          </w:p>
          <w:p w14:paraId="3B313FBE" w14:textId="77777777" w:rsidR="004F2555" w:rsidRPr="005C5713" w:rsidRDefault="004F2555" w:rsidP="004F2555">
            <w:pPr>
              <w:pStyle w:val="ListParagraph"/>
              <w:numPr>
                <w:ilvl w:val="0"/>
                <w:numId w:val="27"/>
              </w:numPr>
              <w:rPr>
                <w:rFonts w:ascii="Arial" w:hAnsi="Arial" w:cs="Arial"/>
                <w:color w:val="000000"/>
              </w:rPr>
            </w:pPr>
            <w:r w:rsidRPr="005C5713">
              <w:rPr>
                <w:rFonts w:ascii="Arial" w:hAnsi="Arial" w:cs="Arial"/>
                <w:color w:val="000000"/>
              </w:rPr>
              <w:t xml:space="preserve">Renewable energy and energy-transition projects financed or advanced. </w:t>
            </w:r>
          </w:p>
          <w:p w14:paraId="23401FD1" w14:textId="5D986A42" w:rsidR="004F2555" w:rsidRPr="005C5713" w:rsidRDefault="004F2555" w:rsidP="004F2555">
            <w:pPr>
              <w:pStyle w:val="ListParagraph"/>
              <w:numPr>
                <w:ilvl w:val="0"/>
                <w:numId w:val="27"/>
              </w:numPr>
              <w:rPr>
                <w:rFonts w:ascii="Arial" w:hAnsi="Arial" w:cs="Arial"/>
                <w:color w:val="000000"/>
              </w:rPr>
            </w:pPr>
            <w:r w:rsidRPr="005C5713">
              <w:rPr>
                <w:rFonts w:ascii="Arial" w:hAnsi="Arial" w:cs="Arial"/>
                <w:color w:val="000000"/>
              </w:rPr>
              <w:t>Green and climate finance transactions supported, including green or sustainability-linked bond issuances.</w:t>
            </w:r>
          </w:p>
        </w:tc>
        <w:tc>
          <w:tcPr>
            <w:tcW w:w="1972" w:type="dxa"/>
            <w:hideMark/>
          </w:tcPr>
          <w:p w14:paraId="6E115E34" w14:textId="77777777" w:rsidR="004F2555" w:rsidRPr="005C5713" w:rsidRDefault="004F2555">
            <w:pPr>
              <w:rPr>
                <w:rFonts w:ascii="Arial" w:hAnsi="Arial" w:cs="Arial"/>
                <w:color w:val="000000"/>
                <w:sz w:val="20"/>
                <w:szCs w:val="20"/>
              </w:rPr>
            </w:pPr>
            <w:r w:rsidRPr="005C5713">
              <w:rPr>
                <w:rFonts w:ascii="Arial" w:hAnsi="Arial" w:cs="Arial"/>
                <w:color w:val="000000"/>
                <w:sz w:val="20"/>
                <w:szCs w:val="20"/>
              </w:rPr>
              <w:t>EOPO-2: Increased investments in Vietnam’s net zero transition will be inclusive and equitable, including by supporting and augmenting Vietnam’s own policies in these areas.</w:t>
            </w:r>
          </w:p>
        </w:tc>
      </w:tr>
    </w:tbl>
    <w:p w14:paraId="4AE40BD8" w14:textId="77777777" w:rsidR="004F2555" w:rsidRPr="004F2555" w:rsidRDefault="004F2555" w:rsidP="004F2555">
      <w:pPr>
        <w:rPr>
          <w:lang w:eastAsia="en-US"/>
        </w:rPr>
      </w:pPr>
    </w:p>
    <w:p w14:paraId="51D556E3" w14:textId="1781DFC0" w:rsidR="00D67554" w:rsidRPr="00AE7105" w:rsidRDefault="00D67554" w:rsidP="003D231F">
      <w:pPr>
        <w:pStyle w:val="Heading2"/>
      </w:pPr>
      <w:bookmarkStart w:id="32" w:name="_Toc226976845"/>
      <w:bookmarkStart w:id="33" w:name="_Toc233026589"/>
      <w:r w:rsidRPr="00AE7105">
        <w:t>Methodology</w:t>
      </w:r>
      <w:bookmarkEnd w:id="32"/>
      <w:bookmarkEnd w:id="33"/>
    </w:p>
    <w:p w14:paraId="700773FE" w14:textId="15503081" w:rsidR="00132F9C" w:rsidRDefault="00132F9C" w:rsidP="009C3F1F">
      <w:pPr>
        <w:rPr>
          <w:rFonts w:asciiTheme="minorHAnsi" w:hAnsiTheme="minorHAnsi" w:cstheme="minorHAnsi"/>
          <w:color w:val="000000"/>
          <w:sz w:val="22"/>
          <w:szCs w:val="22"/>
        </w:rPr>
      </w:pPr>
      <w:r w:rsidRPr="00132F9C">
        <w:rPr>
          <w:rFonts w:asciiTheme="minorHAnsi" w:hAnsiTheme="minorHAnsi" w:cstheme="minorHAnsi"/>
          <w:color w:val="000000"/>
          <w:sz w:val="20"/>
          <w:szCs w:val="20"/>
        </w:rPr>
        <w:t xml:space="preserve">The </w:t>
      </w:r>
      <w:r w:rsidRPr="005B6D16">
        <w:rPr>
          <w:rFonts w:asciiTheme="minorHAnsi" w:hAnsiTheme="minorHAnsi" w:cstheme="minorHAnsi"/>
          <w:color w:val="000000"/>
          <w:sz w:val="22"/>
          <w:szCs w:val="22"/>
        </w:rPr>
        <w:t>methodology adopt</w:t>
      </w:r>
      <w:r w:rsidR="00E14FA1">
        <w:rPr>
          <w:rFonts w:asciiTheme="minorHAnsi" w:hAnsiTheme="minorHAnsi" w:cstheme="minorHAnsi"/>
          <w:color w:val="000000"/>
          <w:sz w:val="22"/>
          <w:szCs w:val="22"/>
        </w:rPr>
        <w:t>ed</w:t>
      </w:r>
      <w:r w:rsidRPr="005B6D16">
        <w:rPr>
          <w:rFonts w:asciiTheme="minorHAnsi" w:hAnsiTheme="minorHAnsi" w:cstheme="minorHAnsi"/>
          <w:color w:val="000000"/>
          <w:sz w:val="22"/>
          <w:szCs w:val="22"/>
        </w:rPr>
        <w:t xml:space="preserve"> a mixed method, theory informed approach designed for a complex, catalytic investment platform rather than a conventional service delivery programme. It combine</w:t>
      </w:r>
      <w:r w:rsidR="00E14FA1">
        <w:rPr>
          <w:rFonts w:asciiTheme="minorHAnsi" w:hAnsiTheme="minorHAnsi" w:cstheme="minorHAnsi"/>
          <w:color w:val="000000"/>
          <w:sz w:val="22"/>
          <w:szCs w:val="22"/>
        </w:rPr>
        <w:t>d</w:t>
      </w:r>
      <w:r w:rsidRPr="005B6D16">
        <w:rPr>
          <w:rFonts w:asciiTheme="minorHAnsi" w:hAnsiTheme="minorHAnsi" w:cstheme="minorHAnsi"/>
          <w:color w:val="000000"/>
          <w:sz w:val="22"/>
          <w:szCs w:val="22"/>
        </w:rPr>
        <w:t xml:space="preserve"> document and portfolio review, key informant interviews, case-based analysis, and comparative trend analysis to assess how AVETP is contributing to change across </w:t>
      </w:r>
      <w:r w:rsidR="00CB055D" w:rsidRPr="005B6D16">
        <w:rPr>
          <w:rFonts w:asciiTheme="minorHAnsi" w:hAnsiTheme="minorHAnsi" w:cstheme="minorHAnsi"/>
          <w:color w:val="000000"/>
          <w:sz w:val="22"/>
          <w:szCs w:val="22"/>
        </w:rPr>
        <w:t xml:space="preserve">Vietnam’s </w:t>
      </w:r>
      <w:r w:rsidRPr="005B6D16">
        <w:rPr>
          <w:rFonts w:asciiTheme="minorHAnsi" w:hAnsiTheme="minorHAnsi" w:cstheme="minorHAnsi"/>
          <w:color w:val="000000"/>
          <w:sz w:val="22"/>
          <w:szCs w:val="22"/>
        </w:rPr>
        <w:t xml:space="preserve">market, institutions, and investor behaviour. At its core, the approach </w:t>
      </w:r>
      <w:r w:rsidR="00E14FA1">
        <w:rPr>
          <w:rFonts w:asciiTheme="minorHAnsi" w:hAnsiTheme="minorHAnsi" w:cstheme="minorHAnsi"/>
          <w:color w:val="000000"/>
          <w:sz w:val="22"/>
          <w:szCs w:val="22"/>
        </w:rPr>
        <w:t>was</w:t>
      </w:r>
      <w:r w:rsidRPr="005B6D16">
        <w:rPr>
          <w:rFonts w:asciiTheme="minorHAnsi" w:hAnsiTheme="minorHAnsi" w:cstheme="minorHAnsi"/>
          <w:color w:val="000000"/>
          <w:sz w:val="22"/>
          <w:szCs w:val="22"/>
        </w:rPr>
        <w:t xml:space="preserve"> contribution focused and systems aware, examining not only what has changed, but how and under what conditions AVETP is helping to mobilise private capital, strengthen market confidence, and support Vietnam’s energy transition. The methodology </w:t>
      </w:r>
      <w:r w:rsidR="00E14FA1">
        <w:rPr>
          <w:rFonts w:asciiTheme="minorHAnsi" w:hAnsiTheme="minorHAnsi" w:cstheme="minorHAnsi"/>
          <w:color w:val="000000"/>
          <w:sz w:val="22"/>
          <w:szCs w:val="22"/>
        </w:rPr>
        <w:t>was</w:t>
      </w:r>
      <w:r w:rsidRPr="005B6D16">
        <w:rPr>
          <w:rFonts w:asciiTheme="minorHAnsi" w:hAnsiTheme="minorHAnsi" w:cstheme="minorHAnsi"/>
          <w:color w:val="000000"/>
          <w:sz w:val="22"/>
          <w:szCs w:val="22"/>
        </w:rPr>
        <w:t xml:space="preserve"> also guided by principles of inclusion, responsible investment, ethics, independence, and learning, so that the review supports both accountability and practical course correction for the remainder of the programme.</w:t>
      </w:r>
    </w:p>
    <w:p w14:paraId="6D6EADCB" w14:textId="77777777" w:rsidR="00C376B6" w:rsidRDefault="00C376B6" w:rsidP="009C3F1F">
      <w:pPr>
        <w:rPr>
          <w:rFonts w:asciiTheme="minorHAnsi" w:hAnsiTheme="minorHAnsi" w:cstheme="minorHAnsi"/>
          <w:color w:val="000000"/>
          <w:sz w:val="22"/>
          <w:szCs w:val="22"/>
        </w:rPr>
      </w:pPr>
    </w:p>
    <w:p w14:paraId="29E83F71" w14:textId="34E19EB0" w:rsidR="006C7E0E" w:rsidRPr="006C7E0E" w:rsidRDefault="006C7E0E" w:rsidP="006C7E0E">
      <w:pPr>
        <w:pStyle w:val="Caption"/>
        <w:keepNext/>
        <w:jc w:val="left"/>
        <w:rPr>
          <w:i w:val="0"/>
          <w:iCs/>
        </w:rPr>
      </w:pPr>
      <w:bookmarkStart w:id="34" w:name="_Toc233026563"/>
      <w:r w:rsidRPr="006C7E0E">
        <w:rPr>
          <w:i w:val="0"/>
          <w:iCs/>
        </w:rPr>
        <w:lastRenderedPageBreak/>
        <w:t xml:space="preserve">Table </w:t>
      </w:r>
      <w:r w:rsidRPr="006C7E0E">
        <w:rPr>
          <w:i w:val="0"/>
          <w:iCs/>
        </w:rPr>
        <w:fldChar w:fldCharType="begin"/>
      </w:r>
      <w:r w:rsidRPr="006C7E0E">
        <w:rPr>
          <w:i w:val="0"/>
          <w:iCs/>
        </w:rPr>
        <w:instrText xml:space="preserve"> SEQ Table \* ARABIC </w:instrText>
      </w:r>
      <w:r w:rsidRPr="006C7E0E">
        <w:rPr>
          <w:i w:val="0"/>
          <w:iCs/>
        </w:rPr>
        <w:fldChar w:fldCharType="separate"/>
      </w:r>
      <w:r>
        <w:rPr>
          <w:i w:val="0"/>
          <w:iCs/>
          <w:noProof/>
        </w:rPr>
        <w:t>4</w:t>
      </w:r>
      <w:r w:rsidRPr="006C7E0E">
        <w:rPr>
          <w:i w:val="0"/>
          <w:iCs/>
        </w:rPr>
        <w:fldChar w:fldCharType="end"/>
      </w:r>
      <w:r>
        <w:rPr>
          <w:i w:val="0"/>
          <w:iCs/>
        </w:rPr>
        <w:t>: Overview of the AVETP Review Design and Methodology</w:t>
      </w:r>
      <w:bookmarkEnd w:id="34"/>
      <w:r>
        <w:rPr>
          <w:i w:val="0"/>
          <w:iCs/>
        </w:rPr>
        <w:t xml:space="preserve"> </w:t>
      </w:r>
    </w:p>
    <w:tbl>
      <w:tblPr>
        <w:tblStyle w:val="TableGrid"/>
        <w:tblW w:w="0" w:type="auto"/>
        <w:tblLook w:val="04A0" w:firstRow="1" w:lastRow="0" w:firstColumn="1" w:lastColumn="0" w:noHBand="0" w:noVBand="1"/>
      </w:tblPr>
      <w:tblGrid>
        <w:gridCol w:w="1511"/>
        <w:gridCol w:w="8678"/>
      </w:tblGrid>
      <w:tr w:rsidR="00C376B6" w:rsidRPr="00A341DF" w14:paraId="149BE5CD" w14:textId="77777777" w:rsidTr="00C376B6">
        <w:trPr>
          <w:tblHeader/>
        </w:trPr>
        <w:tc>
          <w:tcPr>
            <w:tcW w:w="0" w:type="auto"/>
            <w:shd w:val="clear" w:color="auto" w:fill="0065BC" w:themeFill="background2"/>
            <w:hideMark/>
          </w:tcPr>
          <w:p w14:paraId="01FF589D" w14:textId="77777777" w:rsidR="00C376B6" w:rsidRPr="005C5713" w:rsidRDefault="00C376B6" w:rsidP="00043F90">
            <w:pPr>
              <w:jc w:val="center"/>
              <w:rPr>
                <w:rFonts w:asciiTheme="minorHAnsi" w:hAnsiTheme="minorHAnsi" w:cstheme="minorHAnsi"/>
                <w:b/>
                <w:bCs/>
                <w:color w:val="FFFFFF" w:themeColor="background1"/>
                <w:sz w:val="20"/>
                <w:szCs w:val="20"/>
              </w:rPr>
            </w:pPr>
            <w:r w:rsidRPr="005C5713">
              <w:rPr>
                <w:rFonts w:asciiTheme="minorHAnsi" w:hAnsiTheme="minorHAnsi" w:cstheme="minorHAnsi"/>
                <w:b/>
                <w:bCs/>
                <w:color w:val="FFFFFF" w:themeColor="background1"/>
                <w:sz w:val="20"/>
                <w:szCs w:val="20"/>
              </w:rPr>
              <w:t xml:space="preserve">Main component </w:t>
            </w:r>
          </w:p>
        </w:tc>
        <w:tc>
          <w:tcPr>
            <w:tcW w:w="0" w:type="auto"/>
            <w:shd w:val="clear" w:color="auto" w:fill="0065BC" w:themeFill="background2"/>
            <w:hideMark/>
          </w:tcPr>
          <w:p w14:paraId="3BF72D91" w14:textId="77777777" w:rsidR="00C376B6" w:rsidRPr="005C5713" w:rsidRDefault="00C376B6" w:rsidP="00043F90">
            <w:pPr>
              <w:jc w:val="center"/>
              <w:rPr>
                <w:rFonts w:asciiTheme="minorHAnsi" w:hAnsiTheme="minorHAnsi" w:cstheme="minorHAnsi"/>
                <w:b/>
                <w:bCs/>
                <w:color w:val="FFFFFF" w:themeColor="background1"/>
                <w:sz w:val="20"/>
                <w:szCs w:val="20"/>
              </w:rPr>
            </w:pPr>
            <w:r w:rsidRPr="005C5713">
              <w:rPr>
                <w:rFonts w:asciiTheme="minorHAnsi" w:hAnsiTheme="minorHAnsi" w:cstheme="minorHAnsi"/>
                <w:b/>
                <w:bCs/>
                <w:color w:val="FFFFFF" w:themeColor="background1"/>
                <w:sz w:val="20"/>
                <w:szCs w:val="20"/>
              </w:rPr>
              <w:t xml:space="preserve">Description </w:t>
            </w:r>
          </w:p>
        </w:tc>
      </w:tr>
      <w:tr w:rsidR="00C376B6" w:rsidRPr="00A341DF" w14:paraId="42E84660" w14:textId="77777777" w:rsidTr="00043F90">
        <w:tc>
          <w:tcPr>
            <w:tcW w:w="0" w:type="auto"/>
            <w:hideMark/>
          </w:tcPr>
          <w:p w14:paraId="4C7EDAB5" w14:textId="7170A240" w:rsidR="00C376B6" w:rsidRPr="005C5713" w:rsidRDefault="002F572F" w:rsidP="00043F90">
            <w:pPr>
              <w:rPr>
                <w:rFonts w:asciiTheme="minorHAnsi" w:hAnsiTheme="minorHAnsi" w:cstheme="minorHAnsi"/>
                <w:color w:val="000000"/>
                <w:sz w:val="20"/>
                <w:szCs w:val="20"/>
              </w:rPr>
            </w:pPr>
            <w:r w:rsidRPr="005C5713">
              <w:rPr>
                <w:rFonts w:asciiTheme="minorHAnsi" w:hAnsiTheme="minorHAnsi" w:cstheme="minorHAnsi"/>
                <w:color w:val="000000"/>
                <w:sz w:val="20"/>
                <w:szCs w:val="20"/>
              </w:rPr>
              <w:t>Evaluation design</w:t>
            </w:r>
          </w:p>
        </w:tc>
        <w:tc>
          <w:tcPr>
            <w:tcW w:w="0" w:type="auto"/>
            <w:hideMark/>
          </w:tcPr>
          <w:p w14:paraId="39992334" w14:textId="09860700" w:rsidR="00B174E0" w:rsidRPr="005C5713" w:rsidRDefault="00E10FBD" w:rsidP="00043F90">
            <w:pPr>
              <w:rPr>
                <w:rFonts w:asciiTheme="minorHAnsi" w:hAnsiTheme="minorHAnsi" w:cstheme="minorHAnsi"/>
                <w:color w:val="000000"/>
                <w:sz w:val="20"/>
                <w:szCs w:val="20"/>
              </w:rPr>
            </w:pPr>
            <w:r w:rsidRPr="005C5713">
              <w:rPr>
                <w:rFonts w:asciiTheme="minorHAnsi" w:hAnsiTheme="minorHAnsi" w:cstheme="minorHAnsi"/>
                <w:color w:val="000000"/>
                <w:sz w:val="20"/>
                <w:szCs w:val="20"/>
              </w:rPr>
              <w:t>The review applied a mixed-methods, theory-informed and systems-thinking approach, with contribution analysis at its core. It integrated qualitative and quantitative evidence to understand how AVETP contributes to market development, investment behaviour, and Vietnam’s net zero transition.</w:t>
            </w:r>
          </w:p>
        </w:tc>
      </w:tr>
      <w:tr w:rsidR="00C376B6" w:rsidRPr="00A341DF" w14:paraId="2519017D" w14:textId="77777777" w:rsidTr="00043F90">
        <w:tc>
          <w:tcPr>
            <w:tcW w:w="0" w:type="auto"/>
            <w:hideMark/>
          </w:tcPr>
          <w:p w14:paraId="38BFAB34" w14:textId="0A0156FA" w:rsidR="00C376B6" w:rsidRPr="005C5713" w:rsidRDefault="002F572F" w:rsidP="00043F90">
            <w:pPr>
              <w:rPr>
                <w:rFonts w:asciiTheme="minorHAnsi" w:hAnsiTheme="minorHAnsi" w:cstheme="minorHAnsi"/>
                <w:color w:val="000000"/>
                <w:sz w:val="20"/>
                <w:szCs w:val="20"/>
              </w:rPr>
            </w:pPr>
            <w:r w:rsidRPr="005C5713">
              <w:rPr>
                <w:rFonts w:asciiTheme="minorHAnsi" w:hAnsiTheme="minorHAnsi" w:cstheme="minorHAnsi"/>
                <w:color w:val="000000"/>
                <w:sz w:val="20"/>
                <w:szCs w:val="20"/>
              </w:rPr>
              <w:t>Evidence sources</w:t>
            </w:r>
          </w:p>
        </w:tc>
        <w:tc>
          <w:tcPr>
            <w:tcW w:w="0" w:type="auto"/>
            <w:hideMark/>
          </w:tcPr>
          <w:p w14:paraId="2C17B8CB" w14:textId="5A879243" w:rsidR="00C376B6" w:rsidRPr="005C5713" w:rsidRDefault="00E10FBD" w:rsidP="00043F90">
            <w:pPr>
              <w:rPr>
                <w:rFonts w:asciiTheme="minorHAnsi" w:hAnsiTheme="minorHAnsi" w:cstheme="minorHAnsi"/>
                <w:color w:val="000000"/>
                <w:sz w:val="20"/>
                <w:szCs w:val="20"/>
              </w:rPr>
            </w:pPr>
            <w:r w:rsidRPr="005C5713">
              <w:rPr>
                <w:rFonts w:asciiTheme="minorHAnsi" w:hAnsiTheme="minorHAnsi" w:cstheme="minorHAnsi"/>
                <w:color w:val="000000"/>
                <w:sz w:val="20"/>
                <w:szCs w:val="20"/>
              </w:rPr>
              <w:t>The review drew on AVETP programme documents, transaction records, portfolio data, reporting products, and stakeholder perspectives gathered through key informant interviews with DFAT, PIDG, partners, investees, and other relevant stakeholders.</w:t>
            </w:r>
          </w:p>
        </w:tc>
      </w:tr>
      <w:tr w:rsidR="00C376B6" w:rsidRPr="00A341DF" w14:paraId="44A0837E" w14:textId="77777777" w:rsidTr="00043F90">
        <w:tc>
          <w:tcPr>
            <w:tcW w:w="0" w:type="auto"/>
            <w:hideMark/>
          </w:tcPr>
          <w:p w14:paraId="4B5AE5A9" w14:textId="71BBA7E9" w:rsidR="00C376B6" w:rsidRPr="005C5713" w:rsidRDefault="002F572F" w:rsidP="00043F90">
            <w:pPr>
              <w:rPr>
                <w:rFonts w:asciiTheme="minorHAnsi" w:hAnsiTheme="minorHAnsi" w:cstheme="minorHAnsi"/>
                <w:color w:val="000000"/>
                <w:sz w:val="20"/>
                <w:szCs w:val="20"/>
              </w:rPr>
            </w:pPr>
            <w:r w:rsidRPr="005C5713">
              <w:rPr>
                <w:rFonts w:asciiTheme="minorHAnsi" w:hAnsiTheme="minorHAnsi" w:cstheme="minorHAnsi"/>
                <w:color w:val="000000"/>
                <w:sz w:val="20"/>
                <w:szCs w:val="20"/>
              </w:rPr>
              <w:t>Analytical methods</w:t>
            </w:r>
          </w:p>
        </w:tc>
        <w:tc>
          <w:tcPr>
            <w:tcW w:w="0" w:type="auto"/>
            <w:hideMark/>
          </w:tcPr>
          <w:p w14:paraId="792968A5" w14:textId="27F5EA2E" w:rsidR="00C376B6" w:rsidRPr="005C5713" w:rsidRDefault="00E10FBD" w:rsidP="00043F90">
            <w:pPr>
              <w:rPr>
                <w:rFonts w:asciiTheme="minorHAnsi" w:hAnsiTheme="minorHAnsi" w:cstheme="minorHAnsi"/>
                <w:color w:val="000000"/>
                <w:sz w:val="20"/>
                <w:szCs w:val="20"/>
              </w:rPr>
            </w:pPr>
            <w:r w:rsidRPr="005C5713">
              <w:rPr>
                <w:rFonts w:asciiTheme="minorHAnsi" w:hAnsiTheme="minorHAnsi" w:cstheme="minorHAnsi"/>
                <w:color w:val="000000"/>
                <w:sz w:val="20"/>
                <w:szCs w:val="20"/>
              </w:rPr>
              <w:t xml:space="preserve">The </w:t>
            </w:r>
            <w:r w:rsidR="00E14FA1" w:rsidRPr="005C5713">
              <w:rPr>
                <w:rFonts w:asciiTheme="minorHAnsi" w:hAnsiTheme="minorHAnsi" w:cstheme="minorHAnsi"/>
                <w:color w:val="000000"/>
                <w:sz w:val="20"/>
                <w:szCs w:val="20"/>
              </w:rPr>
              <w:t>review</w:t>
            </w:r>
            <w:r w:rsidRPr="005C5713">
              <w:rPr>
                <w:rFonts w:asciiTheme="minorHAnsi" w:hAnsiTheme="minorHAnsi" w:cstheme="minorHAnsi"/>
                <w:color w:val="000000"/>
                <w:sz w:val="20"/>
                <w:szCs w:val="20"/>
              </w:rPr>
              <w:t xml:space="preserve"> used contribution-focused analysis, case-based analysis, and comparative and trend analysis to examine plausible contribution, identify patterns across transactions, and assess emerging results, barriers, enablers, and learning across the portfolio.</w:t>
            </w:r>
          </w:p>
        </w:tc>
      </w:tr>
      <w:tr w:rsidR="00C376B6" w:rsidRPr="00A341DF" w14:paraId="3D1FBBDD" w14:textId="77777777" w:rsidTr="00043F90">
        <w:tc>
          <w:tcPr>
            <w:tcW w:w="0" w:type="auto"/>
            <w:hideMark/>
          </w:tcPr>
          <w:p w14:paraId="5CE154DC" w14:textId="1A9910E8" w:rsidR="00C376B6" w:rsidRPr="005C5713" w:rsidRDefault="002F572F" w:rsidP="00043F90">
            <w:pPr>
              <w:rPr>
                <w:rFonts w:asciiTheme="minorHAnsi" w:hAnsiTheme="minorHAnsi" w:cstheme="minorHAnsi"/>
                <w:color w:val="000000"/>
                <w:sz w:val="20"/>
                <w:szCs w:val="20"/>
              </w:rPr>
            </w:pPr>
            <w:r w:rsidRPr="005C5713">
              <w:rPr>
                <w:rFonts w:asciiTheme="minorHAnsi" w:hAnsiTheme="minorHAnsi" w:cstheme="minorHAnsi"/>
                <w:color w:val="000000"/>
                <w:sz w:val="20"/>
                <w:szCs w:val="20"/>
              </w:rPr>
              <w:t>Cross-cutting lens</w:t>
            </w:r>
          </w:p>
        </w:tc>
        <w:tc>
          <w:tcPr>
            <w:tcW w:w="0" w:type="auto"/>
            <w:hideMark/>
          </w:tcPr>
          <w:p w14:paraId="4B815ED4" w14:textId="489D60AB" w:rsidR="00C376B6" w:rsidRPr="005C5713" w:rsidRDefault="00E10FBD" w:rsidP="00043F90">
            <w:pPr>
              <w:rPr>
                <w:rFonts w:asciiTheme="minorHAnsi" w:hAnsiTheme="minorHAnsi" w:cstheme="minorHAnsi"/>
                <w:color w:val="000000"/>
                <w:sz w:val="20"/>
                <w:szCs w:val="20"/>
              </w:rPr>
            </w:pPr>
            <w:r w:rsidRPr="005C5713">
              <w:rPr>
                <w:rFonts w:asciiTheme="minorHAnsi" w:hAnsiTheme="minorHAnsi" w:cstheme="minorHAnsi"/>
                <w:color w:val="000000"/>
                <w:sz w:val="20"/>
                <w:szCs w:val="20"/>
              </w:rPr>
              <w:t>The review applied an inclusive and responsible investment lens, considering gender equality, disability inclusion, safeguards, transparency, accountability, and responsible climate finance practice.</w:t>
            </w:r>
          </w:p>
        </w:tc>
      </w:tr>
      <w:tr w:rsidR="00C376B6" w:rsidRPr="00A341DF" w14:paraId="5252938B" w14:textId="77777777" w:rsidTr="00043F90">
        <w:tc>
          <w:tcPr>
            <w:tcW w:w="0" w:type="auto"/>
            <w:hideMark/>
          </w:tcPr>
          <w:p w14:paraId="0576E6C1" w14:textId="18A8697B" w:rsidR="00C376B6" w:rsidRPr="005C5713" w:rsidRDefault="002F572F" w:rsidP="00043F90">
            <w:pPr>
              <w:rPr>
                <w:rFonts w:asciiTheme="minorHAnsi" w:hAnsiTheme="minorHAnsi" w:cstheme="minorHAnsi"/>
                <w:color w:val="000000"/>
                <w:sz w:val="20"/>
                <w:szCs w:val="20"/>
              </w:rPr>
            </w:pPr>
            <w:r w:rsidRPr="005C5713">
              <w:rPr>
                <w:rFonts w:asciiTheme="minorHAnsi" w:hAnsiTheme="minorHAnsi" w:cstheme="minorHAnsi"/>
                <w:color w:val="000000"/>
                <w:sz w:val="20"/>
                <w:szCs w:val="20"/>
              </w:rPr>
              <w:t>Ethics and credibility</w:t>
            </w:r>
          </w:p>
        </w:tc>
        <w:tc>
          <w:tcPr>
            <w:tcW w:w="0" w:type="auto"/>
            <w:hideMark/>
          </w:tcPr>
          <w:p w14:paraId="3D7F28F2" w14:textId="42F25655" w:rsidR="00C376B6" w:rsidRPr="005C5713" w:rsidRDefault="00E10FBD" w:rsidP="00043F90">
            <w:pPr>
              <w:rPr>
                <w:rFonts w:asciiTheme="minorHAnsi" w:hAnsiTheme="minorHAnsi" w:cstheme="minorHAnsi"/>
                <w:color w:val="000000"/>
                <w:sz w:val="20"/>
                <w:szCs w:val="20"/>
              </w:rPr>
            </w:pPr>
            <w:r w:rsidRPr="005C5713">
              <w:rPr>
                <w:rFonts w:asciiTheme="minorHAnsi" w:hAnsiTheme="minorHAnsi" w:cstheme="minorHAnsi"/>
                <w:color w:val="000000"/>
                <w:sz w:val="20"/>
                <w:szCs w:val="20"/>
              </w:rPr>
              <w:t xml:space="preserve">The </w:t>
            </w:r>
            <w:r w:rsidR="00E14FA1" w:rsidRPr="005C5713">
              <w:rPr>
                <w:rFonts w:asciiTheme="minorHAnsi" w:hAnsiTheme="minorHAnsi" w:cstheme="minorHAnsi"/>
                <w:color w:val="000000"/>
                <w:sz w:val="20"/>
                <w:szCs w:val="20"/>
              </w:rPr>
              <w:t>review</w:t>
            </w:r>
            <w:r w:rsidRPr="005C5713">
              <w:rPr>
                <w:rFonts w:asciiTheme="minorHAnsi" w:hAnsiTheme="minorHAnsi" w:cstheme="minorHAnsi"/>
                <w:color w:val="000000"/>
                <w:sz w:val="20"/>
                <w:szCs w:val="20"/>
              </w:rPr>
              <w:t xml:space="preserve"> was grounded in independence, transparency, evidence quality, and ethical practice to support credible findings, accountability, learning, and practical course correction.</w:t>
            </w:r>
          </w:p>
        </w:tc>
      </w:tr>
    </w:tbl>
    <w:p w14:paraId="0FB3DBAE" w14:textId="77777777" w:rsidR="00C376B6" w:rsidRDefault="00C376B6" w:rsidP="009C3F1F">
      <w:pPr>
        <w:rPr>
          <w:rFonts w:asciiTheme="minorHAnsi" w:hAnsiTheme="minorHAnsi" w:cstheme="minorHAnsi"/>
          <w:color w:val="000000"/>
          <w:sz w:val="22"/>
          <w:szCs w:val="22"/>
        </w:rPr>
      </w:pPr>
    </w:p>
    <w:p w14:paraId="283D1353" w14:textId="215C62B3" w:rsidR="0031170C" w:rsidRPr="00AE7105" w:rsidRDefault="006C224B" w:rsidP="003D231F">
      <w:pPr>
        <w:pStyle w:val="Heading2"/>
      </w:pPr>
      <w:bookmarkStart w:id="35" w:name="_Toc226976846"/>
      <w:bookmarkStart w:id="36" w:name="_Toc233026590"/>
      <w:r>
        <w:t>Review</w:t>
      </w:r>
      <w:r w:rsidR="0031170C">
        <w:t xml:space="preserve"> Purpose and Approach</w:t>
      </w:r>
      <w:bookmarkEnd w:id="35"/>
      <w:bookmarkEnd w:id="36"/>
      <w:r w:rsidR="0031170C">
        <w:t xml:space="preserve"> </w:t>
      </w:r>
    </w:p>
    <w:p w14:paraId="5C875D32" w14:textId="5A906E90" w:rsidR="00D67554" w:rsidRPr="005B6D16" w:rsidRDefault="00D67554" w:rsidP="00D6755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This Mid-Term Review was designed as an independent, mixed-methods, utili</w:t>
      </w:r>
      <w:r w:rsidR="00AD3693" w:rsidRPr="005B6D16">
        <w:rPr>
          <w:rFonts w:asciiTheme="minorHAnsi" w:hAnsiTheme="minorHAnsi" w:cstheme="minorHAnsi"/>
          <w:color w:val="000000"/>
          <w:sz w:val="22"/>
          <w:szCs w:val="22"/>
        </w:rPr>
        <w:t>s</w:t>
      </w:r>
      <w:r w:rsidRPr="005B6D16">
        <w:rPr>
          <w:rFonts w:asciiTheme="minorHAnsi" w:hAnsiTheme="minorHAnsi" w:cstheme="minorHAnsi"/>
          <w:color w:val="000000"/>
          <w:sz w:val="22"/>
          <w:szCs w:val="22"/>
        </w:rPr>
        <w:t xml:space="preserve">ation-focused assessment of the AVETP. Its purpose was not only to assess progress to date, but also to generate practical findings and recommendations that can improve programme delivery, reporting, and strategic alignment over the remainder of implementation. This approach was appropriate because AVETP is not a conventional bilateral development </w:t>
      </w:r>
      <w:r w:rsidR="00EC73B7" w:rsidRPr="005B6D16">
        <w:rPr>
          <w:rFonts w:asciiTheme="minorHAnsi" w:hAnsiTheme="minorHAnsi" w:cstheme="minorHAnsi"/>
          <w:color w:val="000000"/>
          <w:sz w:val="22"/>
          <w:szCs w:val="22"/>
        </w:rPr>
        <w:t>programme</w:t>
      </w:r>
      <w:r w:rsidRPr="005B6D16">
        <w:rPr>
          <w:rFonts w:asciiTheme="minorHAnsi" w:hAnsiTheme="minorHAnsi" w:cstheme="minorHAnsi"/>
          <w:color w:val="000000"/>
          <w:sz w:val="22"/>
          <w:szCs w:val="22"/>
        </w:rPr>
        <w:t xml:space="preserve">. It is a blended-finance platform operating through multiple instruments and business lines, with a portfolio that has evolved across renewable energy, e-mobility, water, recycling, green bonds, guarantees, and credit enhancement. </w:t>
      </w:r>
    </w:p>
    <w:p w14:paraId="500F21E7" w14:textId="69229432" w:rsidR="00D67554" w:rsidRPr="005B6D16" w:rsidRDefault="00D67554" w:rsidP="00D6755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The review was informed by a theory-based and contribution-oriented logic. It did not seek to establish attribution through counterfactual analysis. Rather, it assessed how and to what extent AVETP has plausibly contributed to progress toward the EOPOs, intermediate outcomes, and wider strategic objectives, drawing on available evidence from documents, interviews, transaction case material, and stakeholder reflections. This was consistent with a utili</w:t>
      </w:r>
      <w:r w:rsidR="00AD3693" w:rsidRPr="005B6D16">
        <w:rPr>
          <w:rFonts w:asciiTheme="minorHAnsi" w:hAnsiTheme="minorHAnsi" w:cstheme="minorHAnsi"/>
          <w:color w:val="000000"/>
          <w:sz w:val="22"/>
          <w:szCs w:val="22"/>
        </w:rPr>
        <w:t>s</w:t>
      </w:r>
      <w:r w:rsidRPr="005B6D16">
        <w:rPr>
          <w:rFonts w:asciiTheme="minorHAnsi" w:hAnsiTheme="minorHAnsi" w:cstheme="minorHAnsi"/>
          <w:color w:val="000000"/>
          <w:sz w:val="22"/>
          <w:szCs w:val="22"/>
        </w:rPr>
        <w:t>ation-focused evaluation logic in which evidence is aligned to real-world decision needs, programme timing, and practical management questions rather than only to ex post summative judgement.</w:t>
      </w:r>
      <w:r w:rsidRPr="005B6D16">
        <w:rPr>
          <w:rStyle w:val="apple-converted-space"/>
          <w:rFonts w:asciiTheme="minorHAnsi" w:hAnsiTheme="minorHAnsi" w:cstheme="minorHAnsi"/>
          <w:color w:val="000000"/>
          <w:sz w:val="22"/>
          <w:szCs w:val="22"/>
        </w:rPr>
        <w:t> </w:t>
      </w:r>
    </w:p>
    <w:p w14:paraId="6F947EF2" w14:textId="1A7B546A" w:rsidR="00D67554" w:rsidRPr="00E70DBE" w:rsidRDefault="006C224B" w:rsidP="003D231F">
      <w:pPr>
        <w:pStyle w:val="Heading2"/>
      </w:pPr>
      <w:bookmarkStart w:id="37" w:name="_Toc233026591"/>
      <w:r>
        <w:t>Review</w:t>
      </w:r>
      <w:r w:rsidR="00D67554" w:rsidRPr="00E70DBE">
        <w:t xml:space="preserve"> </w:t>
      </w:r>
      <w:r w:rsidR="009335AE">
        <w:t>D</w:t>
      </w:r>
      <w:r w:rsidR="00D67554" w:rsidRPr="00E70DBE">
        <w:t>esign</w:t>
      </w:r>
      <w:bookmarkEnd w:id="37"/>
    </w:p>
    <w:p w14:paraId="2ED6F690" w14:textId="77777777" w:rsidR="00D67554" w:rsidRPr="005B6D16" w:rsidRDefault="00D67554" w:rsidP="00D6755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The review used a convergent mixed-methods design that combined document review, key informant interviews, field-based consultation, transaction case study analysis, and iterative triangulation. Quantitative and qualitative evidence were considered together, with quantitative information used where available to examine transaction scale, mobilisation, climate results, workforce composition, and other measurable indicators, and qualitative evidence used to interpret relevance, additionality, catalytic effects, policy engagement, oversight, implementation constraints, and programme learning.</w:t>
      </w:r>
    </w:p>
    <w:p w14:paraId="07BDB454" w14:textId="6E9C1F86" w:rsidR="00D67554" w:rsidRPr="005B6D16" w:rsidRDefault="00D67554" w:rsidP="00D6755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Given the structure of AVETP, the methodology combined two linked lenses. The first was a</w:t>
      </w:r>
      <w:r w:rsidRPr="005B6D16">
        <w:rPr>
          <w:rStyle w:val="apple-converted-space"/>
          <w:rFonts w:asciiTheme="minorHAnsi" w:hAnsiTheme="minorHAnsi" w:cstheme="minorHAnsi"/>
          <w:color w:val="000000"/>
          <w:sz w:val="22"/>
          <w:szCs w:val="22"/>
        </w:rPr>
        <w:t> </w:t>
      </w:r>
      <w:r w:rsidRPr="005B6D16">
        <w:rPr>
          <w:rStyle w:val="Strong"/>
          <w:rFonts w:asciiTheme="minorHAnsi" w:hAnsiTheme="minorHAnsi" w:cstheme="minorHAnsi"/>
          <w:color w:val="000000"/>
          <w:sz w:val="22"/>
          <w:szCs w:val="22"/>
        </w:rPr>
        <w:t>transaction lens</w:t>
      </w:r>
      <w:r w:rsidRPr="005B6D16">
        <w:rPr>
          <w:rFonts w:asciiTheme="minorHAnsi" w:hAnsiTheme="minorHAnsi" w:cstheme="minorHAnsi"/>
          <w:color w:val="000000"/>
          <w:sz w:val="22"/>
          <w:szCs w:val="22"/>
        </w:rPr>
        <w:t>, examining what had been financed, what had changed, and what evidence existed at investee or instrument level. The second was a</w:t>
      </w:r>
      <w:r w:rsidRPr="005B6D16">
        <w:rPr>
          <w:rStyle w:val="apple-converted-space"/>
          <w:rFonts w:asciiTheme="minorHAnsi" w:hAnsiTheme="minorHAnsi" w:cstheme="minorHAnsi"/>
          <w:color w:val="000000"/>
          <w:sz w:val="22"/>
          <w:szCs w:val="22"/>
        </w:rPr>
        <w:t> </w:t>
      </w:r>
      <w:r w:rsidRPr="005B6D16">
        <w:rPr>
          <w:rStyle w:val="Strong"/>
          <w:rFonts w:asciiTheme="minorHAnsi" w:hAnsiTheme="minorHAnsi" w:cstheme="minorHAnsi"/>
          <w:color w:val="000000"/>
          <w:sz w:val="22"/>
          <w:szCs w:val="22"/>
        </w:rPr>
        <w:t>programme lens</w:t>
      </w:r>
      <w:r w:rsidRPr="005B6D16">
        <w:rPr>
          <w:rFonts w:asciiTheme="minorHAnsi" w:hAnsiTheme="minorHAnsi" w:cstheme="minorHAnsi"/>
          <w:color w:val="000000"/>
          <w:sz w:val="22"/>
          <w:szCs w:val="22"/>
        </w:rPr>
        <w:t xml:space="preserve">, examining how those transactions were being translated into a coherent country programme, including reporting, visibility, policy relevance, oversight, country interface, and progress toward the EOPOs. </w:t>
      </w:r>
    </w:p>
    <w:p w14:paraId="13BBAEF8" w14:textId="49CD1075" w:rsidR="00D67554" w:rsidRPr="00E70DBE" w:rsidRDefault="00D67554" w:rsidP="003D231F">
      <w:pPr>
        <w:pStyle w:val="Heading2"/>
      </w:pPr>
      <w:bookmarkStart w:id="38" w:name="_Toc233026592"/>
      <w:r w:rsidRPr="00E70DBE">
        <w:t xml:space="preserve">Data </w:t>
      </w:r>
      <w:r w:rsidR="009335AE">
        <w:t>C</w:t>
      </w:r>
      <w:r w:rsidRPr="00E70DBE">
        <w:t xml:space="preserve">ollection </w:t>
      </w:r>
      <w:r w:rsidR="009335AE">
        <w:t>M</w:t>
      </w:r>
      <w:r w:rsidRPr="00E70DBE">
        <w:t>ethods</w:t>
      </w:r>
      <w:bookmarkEnd w:id="38"/>
    </w:p>
    <w:p w14:paraId="22341944" w14:textId="77777777" w:rsidR="00D67554" w:rsidRPr="005B6D16" w:rsidRDefault="00D67554" w:rsidP="00D6755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The review drew on four main sources of evidence.</w:t>
      </w:r>
    </w:p>
    <w:p w14:paraId="43BA0FE2" w14:textId="2B301A1C" w:rsidR="00D67554" w:rsidRPr="005B6D16" w:rsidRDefault="00D67554" w:rsidP="00D67554">
      <w:pPr>
        <w:pStyle w:val="NormalWeb"/>
        <w:rPr>
          <w:rFonts w:asciiTheme="minorHAnsi" w:hAnsiTheme="minorHAnsi" w:cstheme="minorHAnsi"/>
          <w:color w:val="000000"/>
          <w:sz w:val="22"/>
          <w:szCs w:val="22"/>
        </w:rPr>
      </w:pPr>
      <w:r w:rsidRPr="005B6D16">
        <w:rPr>
          <w:rStyle w:val="Strong"/>
          <w:rFonts w:asciiTheme="minorHAnsi" w:hAnsiTheme="minorHAnsi" w:cstheme="minorHAnsi"/>
          <w:color w:val="000000"/>
          <w:sz w:val="22"/>
          <w:szCs w:val="22"/>
        </w:rPr>
        <w:lastRenderedPageBreak/>
        <w:t>Desk review</w:t>
      </w:r>
      <w:r w:rsidRPr="005B6D16">
        <w:rPr>
          <w:rFonts w:asciiTheme="minorHAnsi" w:hAnsiTheme="minorHAnsi" w:cstheme="minorHAnsi"/>
          <w:color w:val="000000"/>
          <w:sz w:val="22"/>
          <w:szCs w:val="22"/>
        </w:rPr>
        <w:br/>
        <w:t xml:space="preserve">A structured desk review was undertaken of programme documents, reporting materials, transaction summaries, interview notes, and stakeholder submissions. This included review of DFAT and PIDG documentation, transaction-level materials, stakeholder interview notes, and records related to programme logic, MEL, oversight, and implementation progress. The desk review was used to map the original programme framing, identify evidence gaps, and test the fit between reported results and the actual shape of the portfolio. </w:t>
      </w:r>
    </w:p>
    <w:p w14:paraId="54002432" w14:textId="6F667E9C" w:rsidR="00D67554" w:rsidRPr="005B6D16" w:rsidRDefault="00D67554" w:rsidP="00D67554">
      <w:pPr>
        <w:pStyle w:val="NormalWeb"/>
        <w:rPr>
          <w:rFonts w:asciiTheme="minorHAnsi" w:hAnsiTheme="minorHAnsi" w:cstheme="minorHAnsi"/>
          <w:color w:val="000000"/>
          <w:sz w:val="22"/>
          <w:szCs w:val="22"/>
        </w:rPr>
      </w:pPr>
      <w:r w:rsidRPr="005B6D16">
        <w:rPr>
          <w:rStyle w:val="Strong"/>
          <w:rFonts w:asciiTheme="minorHAnsi" w:hAnsiTheme="minorHAnsi" w:cstheme="minorHAnsi"/>
          <w:color w:val="000000"/>
          <w:sz w:val="22"/>
          <w:szCs w:val="22"/>
        </w:rPr>
        <w:t>Key informant interviews and consultations</w:t>
      </w:r>
      <w:r w:rsidRPr="005B6D16">
        <w:rPr>
          <w:rFonts w:asciiTheme="minorHAnsi" w:hAnsiTheme="minorHAnsi" w:cstheme="minorHAnsi"/>
          <w:color w:val="000000"/>
          <w:sz w:val="22"/>
          <w:szCs w:val="22"/>
        </w:rPr>
        <w:br/>
        <w:t>The review team conducted semi-structured interviews and consultations with DFAT, PIDG, Vietnamese government counterparts, investees, intermediaries, and other relevant stakeholders. These interviews were designed to explore not only what had happened, but how and why it had happened, what constraints had emerged, and where perceptions converged or diverged across stakeholder groups. Interviews were especially important for understanding catalytic and market-shaping effects, transaction additionality, policy and regulatory dynamics, and the practical functioning of oversight, reporting, and country-level coordination. The PIDG core team interview, for example, provided detail on PIDG’s impact systems, reporting processes, gender integration, and organisational model, while DFAT and Vietnamese stakeholders provided perspective on country relevance, visibility, policy alignment, and interface challenges.</w:t>
      </w:r>
      <w:r w:rsidRPr="005B6D16">
        <w:rPr>
          <w:rStyle w:val="apple-converted-space"/>
          <w:rFonts w:asciiTheme="minorHAnsi" w:hAnsiTheme="minorHAnsi" w:cstheme="minorHAnsi"/>
          <w:color w:val="000000"/>
          <w:sz w:val="22"/>
          <w:szCs w:val="22"/>
        </w:rPr>
        <w:t> </w:t>
      </w:r>
    </w:p>
    <w:p w14:paraId="24797CDD" w14:textId="4A1409BA" w:rsidR="00D67554" w:rsidRPr="005B6D16" w:rsidRDefault="00D67554" w:rsidP="00D67554">
      <w:pPr>
        <w:pStyle w:val="NormalWeb"/>
        <w:rPr>
          <w:rFonts w:asciiTheme="minorHAnsi" w:hAnsiTheme="minorHAnsi" w:cstheme="minorHAnsi"/>
          <w:color w:val="000000"/>
          <w:sz w:val="22"/>
          <w:szCs w:val="22"/>
        </w:rPr>
      </w:pPr>
      <w:r w:rsidRPr="005B6D16">
        <w:rPr>
          <w:rStyle w:val="Strong"/>
          <w:rFonts w:asciiTheme="minorHAnsi" w:hAnsiTheme="minorHAnsi" w:cstheme="minorHAnsi"/>
          <w:color w:val="000000"/>
          <w:sz w:val="22"/>
          <w:szCs w:val="22"/>
        </w:rPr>
        <w:t>Field-based inquiry and case study work</w:t>
      </w:r>
      <w:r w:rsidRPr="005B6D16">
        <w:rPr>
          <w:rFonts w:asciiTheme="minorHAnsi" w:hAnsiTheme="minorHAnsi" w:cstheme="minorHAnsi"/>
          <w:color w:val="000000"/>
          <w:sz w:val="22"/>
          <w:szCs w:val="22"/>
        </w:rPr>
        <w:br/>
        <w:t>The review used transaction case studies as a central method for assessing effectiveness, additionality, implementation experience, and emerging results. Case material was developed from site visits, interviews, transaction documents, and stakeholder reflections across investments such as Dat Bike, CME, Aqua</w:t>
      </w:r>
      <w:r w:rsidR="00AD3693" w:rsidRPr="005B6D16">
        <w:rPr>
          <w:rFonts w:asciiTheme="minorHAnsi" w:hAnsiTheme="minorHAnsi" w:cstheme="minorHAnsi"/>
          <w:color w:val="000000"/>
          <w:sz w:val="22"/>
          <w:szCs w:val="22"/>
        </w:rPr>
        <w:t>-</w:t>
      </w:r>
      <w:r w:rsidRPr="005B6D16">
        <w:rPr>
          <w:rFonts w:asciiTheme="minorHAnsi" w:hAnsiTheme="minorHAnsi" w:cstheme="minorHAnsi"/>
          <w:color w:val="000000"/>
          <w:sz w:val="22"/>
          <w:szCs w:val="22"/>
        </w:rPr>
        <w:t>One, BPG, and August Energy. These case studies allowed the review to examine the diversity of AVETP’s portfolio, including different instruments, sectors, maturities, and result pathways. They were particularly useful for identifying demonstration effects, systems strengthening, inclusion outcomes, standards upgrading, and the limits of the original programme logic. The case-based approach also helped surface practical lessons for the remainder of the programme.</w:t>
      </w:r>
      <w:r w:rsidRPr="005B6D16">
        <w:rPr>
          <w:rStyle w:val="apple-converted-space"/>
          <w:rFonts w:asciiTheme="minorHAnsi" w:hAnsiTheme="minorHAnsi" w:cstheme="minorHAnsi"/>
          <w:color w:val="000000"/>
          <w:sz w:val="22"/>
          <w:szCs w:val="22"/>
        </w:rPr>
        <w:t> </w:t>
      </w:r>
    </w:p>
    <w:p w14:paraId="63B7F6EF" w14:textId="7DC6035A" w:rsidR="00D67554" w:rsidRPr="005B6D16" w:rsidRDefault="00D67554" w:rsidP="00D67554">
      <w:pPr>
        <w:pStyle w:val="NormalWeb"/>
        <w:rPr>
          <w:rFonts w:asciiTheme="minorHAnsi" w:hAnsiTheme="minorHAnsi" w:cstheme="minorHAnsi"/>
          <w:color w:val="000000"/>
          <w:sz w:val="22"/>
          <w:szCs w:val="22"/>
        </w:rPr>
      </w:pPr>
      <w:r w:rsidRPr="005B6D16">
        <w:rPr>
          <w:rStyle w:val="Strong"/>
          <w:rFonts w:asciiTheme="minorHAnsi" w:hAnsiTheme="minorHAnsi" w:cstheme="minorHAnsi"/>
          <w:color w:val="000000"/>
          <w:sz w:val="22"/>
          <w:szCs w:val="22"/>
        </w:rPr>
        <w:t>Review of existing monitoring and impact data</w:t>
      </w:r>
      <w:r w:rsidRPr="005B6D16">
        <w:rPr>
          <w:rFonts w:asciiTheme="minorHAnsi" w:hAnsiTheme="minorHAnsi" w:cstheme="minorHAnsi"/>
          <w:color w:val="000000"/>
          <w:sz w:val="22"/>
          <w:szCs w:val="22"/>
        </w:rPr>
        <w:br/>
        <w:t xml:space="preserve">The evaluation also drew on PIDG’s own impact and monitoring systems, including published impact data, annual updates, transaction-level metrics, and internal descriptions of how project data is collected and checked. PIDG reported that it uses an online database across its investments, standardised indicators where possible, annual updates from projects, and internal quality checks by impact staff. </w:t>
      </w:r>
    </w:p>
    <w:p w14:paraId="2389280F" w14:textId="3D05BCB6" w:rsidR="00D67554" w:rsidRPr="00E70DBE" w:rsidRDefault="00D67554" w:rsidP="003D231F">
      <w:pPr>
        <w:pStyle w:val="Heading2"/>
      </w:pPr>
      <w:bookmarkStart w:id="39" w:name="_Toc233026593"/>
      <w:r w:rsidRPr="00E70DBE">
        <w:t xml:space="preserve">Sampling </w:t>
      </w:r>
      <w:r w:rsidR="009335AE">
        <w:t>S</w:t>
      </w:r>
      <w:r w:rsidRPr="00E70DBE">
        <w:t>trategy</w:t>
      </w:r>
      <w:bookmarkEnd w:id="39"/>
    </w:p>
    <w:p w14:paraId="5FD29D3E" w14:textId="0FEF103A" w:rsidR="00D67554" w:rsidRPr="005B6D16" w:rsidRDefault="00D67554" w:rsidP="00D6755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Sampling was purposive rather than statistical. Stakeholders were selected to ensure coverage across the main functions and perspectives relevant to the review questions. This included DFAT Canberra and Post, PIDG corporate and business-line representatives, investees, financial and market intermediaries, Vietnamese government agencies, owners and partners, and selected actors involved in enabling environment or market-building work such as the </w:t>
      </w:r>
      <w:proofErr w:type="spellStart"/>
      <w:r w:rsidR="00C479C4" w:rsidRPr="005B6D16">
        <w:rPr>
          <w:rFonts w:asciiTheme="minorHAnsi" w:hAnsiTheme="minorHAnsi" w:cstheme="minorHAnsi"/>
          <w:color w:val="000000"/>
          <w:sz w:val="22"/>
          <w:szCs w:val="22"/>
        </w:rPr>
        <w:t>Fiingroup</w:t>
      </w:r>
      <w:proofErr w:type="spellEnd"/>
      <w:r w:rsidRPr="005B6D16">
        <w:rPr>
          <w:rFonts w:asciiTheme="minorHAnsi" w:hAnsiTheme="minorHAnsi" w:cstheme="minorHAnsi"/>
          <w:color w:val="000000"/>
          <w:sz w:val="22"/>
          <w:szCs w:val="22"/>
        </w:rPr>
        <w:t>.</w:t>
      </w:r>
    </w:p>
    <w:p w14:paraId="62E94A64" w14:textId="3901056C" w:rsidR="009669EC" w:rsidRPr="00DD5E46" w:rsidRDefault="00D67554" w:rsidP="00DD5E46">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The case study sample was also purposive. It was designed to capture diversity across sectors, financing instruments, maturity of transactions, and intended result pathways. This was important because AVETP’s value proposition does not rest on one homogeneous investment type. The review therefore intentionally included cases from e-mobility, rooftop solar, water, recycling, and early-stage distributed energy </w:t>
      </w:r>
      <w:proofErr w:type="gramStart"/>
      <w:r w:rsidRPr="005B6D16">
        <w:rPr>
          <w:rFonts w:asciiTheme="minorHAnsi" w:hAnsiTheme="minorHAnsi" w:cstheme="minorHAnsi"/>
          <w:color w:val="000000"/>
          <w:sz w:val="22"/>
          <w:szCs w:val="22"/>
        </w:rPr>
        <w:t>in order to</w:t>
      </w:r>
      <w:proofErr w:type="gramEnd"/>
      <w:r w:rsidRPr="005B6D16">
        <w:rPr>
          <w:rFonts w:asciiTheme="minorHAnsi" w:hAnsiTheme="minorHAnsi" w:cstheme="minorHAnsi"/>
          <w:color w:val="000000"/>
          <w:sz w:val="22"/>
          <w:szCs w:val="22"/>
        </w:rPr>
        <w:t xml:space="preserve"> test how well the programme logic and monitoring arrangements fitted the portfolio as actually implemented.</w:t>
      </w:r>
      <w:r w:rsidRPr="005B6D16">
        <w:rPr>
          <w:rStyle w:val="apple-converted-space"/>
          <w:rFonts w:asciiTheme="minorHAnsi" w:hAnsiTheme="minorHAnsi" w:cstheme="minorHAnsi"/>
          <w:color w:val="000000"/>
          <w:sz w:val="22"/>
          <w:szCs w:val="22"/>
        </w:rPr>
        <w:t> </w:t>
      </w:r>
    </w:p>
    <w:p w14:paraId="1D995B72" w14:textId="067707FC" w:rsidR="00611677" w:rsidRDefault="00611677" w:rsidP="0040259E">
      <w:pPr>
        <w:pStyle w:val="Caption"/>
        <w:keepNext/>
        <w:jc w:val="left"/>
      </w:pPr>
      <w:bookmarkStart w:id="40" w:name="_Toc230168209"/>
      <w:bookmarkStart w:id="41" w:name="_Toc233026564"/>
      <w:r>
        <w:t xml:space="preserve">Table </w:t>
      </w:r>
      <w:r>
        <w:fldChar w:fldCharType="begin"/>
      </w:r>
      <w:r>
        <w:instrText xml:space="preserve"> SEQ Table \* ARABIC </w:instrText>
      </w:r>
      <w:r>
        <w:fldChar w:fldCharType="separate"/>
      </w:r>
      <w:r w:rsidR="006C7E0E">
        <w:rPr>
          <w:noProof/>
        </w:rPr>
        <w:t>5</w:t>
      </w:r>
      <w:r>
        <w:fldChar w:fldCharType="end"/>
      </w:r>
      <w:r>
        <w:t>: List of participant organisations and stakeholders</w:t>
      </w:r>
      <w:bookmarkEnd w:id="40"/>
      <w:r w:rsidR="00214F45">
        <w:t xml:space="preserve"> interviewed</w:t>
      </w:r>
      <w:bookmarkEnd w:id="41"/>
      <w:r w:rsidR="00214F45">
        <w:t xml:space="preserve"> </w:t>
      </w:r>
    </w:p>
    <w:tbl>
      <w:tblPr>
        <w:tblStyle w:val="CBSTable1"/>
        <w:tblW w:w="9923" w:type="dxa"/>
        <w:tblLayout w:type="fixed"/>
        <w:tblLook w:val="04A0" w:firstRow="1" w:lastRow="0" w:firstColumn="1" w:lastColumn="0" w:noHBand="0" w:noVBand="1"/>
      </w:tblPr>
      <w:tblGrid>
        <w:gridCol w:w="3951"/>
        <w:gridCol w:w="2824"/>
        <w:gridCol w:w="942"/>
        <w:gridCol w:w="941"/>
        <w:gridCol w:w="1265"/>
      </w:tblGrid>
      <w:tr w:rsidR="009A291C" w:rsidRPr="009669EC" w14:paraId="065F7328" w14:textId="77777777" w:rsidTr="0047596E">
        <w:trPr>
          <w:trHeight w:val="436"/>
          <w:tblHeader/>
        </w:trPr>
        <w:tc>
          <w:tcPr>
            <w:tcW w:w="3951" w:type="dxa"/>
            <w:shd w:val="clear" w:color="auto" w:fill="0065BC" w:themeFill="background2"/>
          </w:tcPr>
          <w:p w14:paraId="43BEA6D4" w14:textId="3BCE1242" w:rsidR="009A291C" w:rsidRPr="0040259E" w:rsidRDefault="009A291C">
            <w:pPr>
              <w:jc w:val="center"/>
              <w:rPr>
                <w:rFonts w:asciiTheme="minorHAnsi" w:hAnsiTheme="minorHAnsi" w:cstheme="minorHAnsi"/>
                <w:sz w:val="20"/>
                <w:szCs w:val="20"/>
              </w:rPr>
            </w:pPr>
            <w:r w:rsidRPr="0040259E">
              <w:rPr>
                <w:rFonts w:asciiTheme="minorHAnsi" w:hAnsiTheme="minorHAnsi" w:cstheme="minorHAnsi"/>
                <w:b/>
                <w:color w:val="FFFFFF"/>
                <w:sz w:val="20"/>
                <w:szCs w:val="20"/>
              </w:rPr>
              <w:t>Stakeholder group</w:t>
            </w:r>
            <w:r>
              <w:rPr>
                <w:rFonts w:asciiTheme="minorHAnsi" w:hAnsiTheme="minorHAnsi" w:cstheme="minorHAnsi"/>
                <w:b/>
                <w:color w:val="FFFFFF"/>
                <w:sz w:val="20"/>
                <w:szCs w:val="20"/>
              </w:rPr>
              <w:t xml:space="preserve"> interviewed</w:t>
            </w:r>
          </w:p>
        </w:tc>
        <w:tc>
          <w:tcPr>
            <w:tcW w:w="2824" w:type="dxa"/>
            <w:shd w:val="clear" w:color="auto" w:fill="0065BC" w:themeFill="background2"/>
          </w:tcPr>
          <w:p w14:paraId="0412DEEC" w14:textId="77777777" w:rsidR="009A291C" w:rsidRPr="0040259E" w:rsidRDefault="009A291C">
            <w:pPr>
              <w:jc w:val="center"/>
              <w:rPr>
                <w:rFonts w:asciiTheme="minorHAnsi" w:hAnsiTheme="minorHAnsi" w:cstheme="minorHAnsi"/>
                <w:sz w:val="20"/>
                <w:szCs w:val="20"/>
              </w:rPr>
            </w:pPr>
            <w:r w:rsidRPr="0040259E">
              <w:rPr>
                <w:rFonts w:asciiTheme="minorHAnsi" w:hAnsiTheme="minorHAnsi" w:cstheme="minorHAnsi"/>
                <w:b/>
                <w:color w:val="FFFFFF"/>
                <w:sz w:val="20"/>
                <w:szCs w:val="20"/>
              </w:rPr>
              <w:t>Organisations</w:t>
            </w:r>
          </w:p>
        </w:tc>
        <w:tc>
          <w:tcPr>
            <w:tcW w:w="942" w:type="dxa"/>
            <w:shd w:val="clear" w:color="auto" w:fill="0065BC" w:themeFill="background2"/>
          </w:tcPr>
          <w:p w14:paraId="62FEB749" w14:textId="77777777" w:rsidR="009A291C" w:rsidRPr="0040259E" w:rsidRDefault="009A291C">
            <w:pPr>
              <w:jc w:val="center"/>
              <w:rPr>
                <w:rFonts w:asciiTheme="minorHAnsi" w:hAnsiTheme="minorHAnsi" w:cstheme="minorHAnsi"/>
                <w:sz w:val="20"/>
                <w:szCs w:val="20"/>
              </w:rPr>
            </w:pPr>
            <w:r w:rsidRPr="0040259E">
              <w:rPr>
                <w:rFonts w:asciiTheme="minorHAnsi" w:hAnsiTheme="minorHAnsi" w:cstheme="minorHAnsi"/>
                <w:b/>
                <w:color w:val="FFFFFF"/>
                <w:sz w:val="20"/>
                <w:szCs w:val="20"/>
              </w:rPr>
              <w:t>Total</w:t>
            </w:r>
          </w:p>
        </w:tc>
        <w:tc>
          <w:tcPr>
            <w:tcW w:w="941" w:type="dxa"/>
            <w:shd w:val="clear" w:color="auto" w:fill="0065BC" w:themeFill="background2"/>
          </w:tcPr>
          <w:p w14:paraId="60CA4428" w14:textId="77777777" w:rsidR="009A291C" w:rsidRPr="0040259E" w:rsidRDefault="009A291C">
            <w:pPr>
              <w:jc w:val="center"/>
              <w:rPr>
                <w:rFonts w:asciiTheme="minorHAnsi" w:hAnsiTheme="minorHAnsi" w:cstheme="minorHAnsi"/>
                <w:sz w:val="20"/>
                <w:szCs w:val="20"/>
              </w:rPr>
            </w:pPr>
            <w:r w:rsidRPr="0040259E">
              <w:rPr>
                <w:rFonts w:asciiTheme="minorHAnsi" w:hAnsiTheme="minorHAnsi" w:cstheme="minorHAnsi"/>
                <w:b/>
                <w:color w:val="FFFFFF"/>
                <w:sz w:val="20"/>
                <w:szCs w:val="20"/>
              </w:rPr>
              <w:t>Male</w:t>
            </w:r>
          </w:p>
        </w:tc>
        <w:tc>
          <w:tcPr>
            <w:tcW w:w="1265" w:type="dxa"/>
            <w:shd w:val="clear" w:color="auto" w:fill="0065BC" w:themeFill="background2"/>
          </w:tcPr>
          <w:p w14:paraId="4AA5AE2A" w14:textId="77777777" w:rsidR="009A291C" w:rsidRPr="0040259E" w:rsidRDefault="009A291C">
            <w:pPr>
              <w:jc w:val="center"/>
              <w:rPr>
                <w:rFonts w:asciiTheme="minorHAnsi" w:hAnsiTheme="minorHAnsi" w:cstheme="minorHAnsi"/>
                <w:sz w:val="20"/>
                <w:szCs w:val="20"/>
              </w:rPr>
            </w:pPr>
            <w:r w:rsidRPr="0040259E">
              <w:rPr>
                <w:rFonts w:asciiTheme="minorHAnsi" w:hAnsiTheme="minorHAnsi" w:cstheme="minorHAnsi"/>
                <w:b/>
                <w:color w:val="FFFFFF"/>
                <w:sz w:val="20"/>
                <w:szCs w:val="20"/>
              </w:rPr>
              <w:t>Female</w:t>
            </w:r>
          </w:p>
        </w:tc>
      </w:tr>
      <w:tr w:rsidR="009A291C" w:rsidRPr="009669EC" w14:paraId="7646AFF0" w14:textId="77777777" w:rsidTr="009A291C">
        <w:trPr>
          <w:trHeight w:val="493"/>
        </w:trPr>
        <w:tc>
          <w:tcPr>
            <w:tcW w:w="3951" w:type="dxa"/>
          </w:tcPr>
          <w:p w14:paraId="16D17CE8"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Five core case studies</w:t>
            </w:r>
          </w:p>
          <w:p w14:paraId="7DB18CAC"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color w:val="000000" w:themeColor="text2"/>
                <w:sz w:val="20"/>
                <w:szCs w:val="20"/>
              </w:rPr>
              <w:t>Private sector / investee companies</w:t>
            </w:r>
          </w:p>
        </w:tc>
        <w:tc>
          <w:tcPr>
            <w:tcW w:w="2824" w:type="dxa"/>
          </w:tcPr>
          <w:p w14:paraId="1F6E8BC3"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color w:val="000000" w:themeColor="text2"/>
                <w:sz w:val="20"/>
                <w:szCs w:val="20"/>
              </w:rPr>
              <w:t>CME Solar; Dat Bike; Binh Thuan Plastic Group (BPG); Aqua-One; August Energy</w:t>
            </w:r>
          </w:p>
        </w:tc>
        <w:tc>
          <w:tcPr>
            <w:tcW w:w="942" w:type="dxa"/>
          </w:tcPr>
          <w:p w14:paraId="6EF47341"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11</w:t>
            </w:r>
          </w:p>
        </w:tc>
        <w:tc>
          <w:tcPr>
            <w:tcW w:w="941" w:type="dxa"/>
          </w:tcPr>
          <w:p w14:paraId="32F68664"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9</w:t>
            </w:r>
          </w:p>
        </w:tc>
        <w:tc>
          <w:tcPr>
            <w:tcW w:w="1265" w:type="dxa"/>
          </w:tcPr>
          <w:p w14:paraId="368E74E2"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2</w:t>
            </w:r>
          </w:p>
        </w:tc>
      </w:tr>
      <w:tr w:rsidR="009A291C" w:rsidRPr="009669EC" w14:paraId="7E2C4416" w14:textId="77777777" w:rsidTr="009A291C">
        <w:trPr>
          <w:trHeight w:val="493"/>
        </w:trPr>
        <w:tc>
          <w:tcPr>
            <w:tcW w:w="3951" w:type="dxa"/>
          </w:tcPr>
          <w:p w14:paraId="10D87F14"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lastRenderedPageBreak/>
              <w:t>Government / regulators</w:t>
            </w:r>
          </w:p>
          <w:p w14:paraId="5C8FE387"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color w:val="000000" w:themeColor="text2"/>
                <w:sz w:val="20"/>
                <w:szCs w:val="20"/>
              </w:rPr>
              <w:t>Policy and finance counterparts</w:t>
            </w:r>
          </w:p>
        </w:tc>
        <w:tc>
          <w:tcPr>
            <w:tcW w:w="2824" w:type="dxa"/>
          </w:tcPr>
          <w:p w14:paraId="171893E7"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color w:val="000000" w:themeColor="text2"/>
                <w:sz w:val="20"/>
                <w:szCs w:val="20"/>
              </w:rPr>
              <w:t>Ministry of Finance (MoF); State Securities Commission (SSC)</w:t>
            </w:r>
          </w:p>
        </w:tc>
        <w:tc>
          <w:tcPr>
            <w:tcW w:w="942" w:type="dxa"/>
          </w:tcPr>
          <w:p w14:paraId="24EEC0F0"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3</w:t>
            </w:r>
          </w:p>
        </w:tc>
        <w:tc>
          <w:tcPr>
            <w:tcW w:w="941" w:type="dxa"/>
          </w:tcPr>
          <w:p w14:paraId="766C7D9E"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2</w:t>
            </w:r>
          </w:p>
        </w:tc>
        <w:tc>
          <w:tcPr>
            <w:tcW w:w="1265" w:type="dxa"/>
          </w:tcPr>
          <w:p w14:paraId="3B1C0CB6"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1</w:t>
            </w:r>
          </w:p>
        </w:tc>
      </w:tr>
      <w:tr w:rsidR="009A291C" w:rsidRPr="009669EC" w14:paraId="0FAC15FF" w14:textId="77777777" w:rsidTr="009A291C">
        <w:trPr>
          <w:trHeight w:val="642"/>
        </w:trPr>
        <w:tc>
          <w:tcPr>
            <w:tcW w:w="3951" w:type="dxa"/>
          </w:tcPr>
          <w:p w14:paraId="033D0BBD"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DFAT / Australian Government</w:t>
            </w:r>
          </w:p>
          <w:p w14:paraId="57F7FBFE"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color w:val="000000" w:themeColor="text2"/>
                <w:sz w:val="20"/>
                <w:szCs w:val="20"/>
              </w:rPr>
              <w:t>Australian government stakeholders</w:t>
            </w:r>
          </w:p>
        </w:tc>
        <w:tc>
          <w:tcPr>
            <w:tcW w:w="2824" w:type="dxa"/>
          </w:tcPr>
          <w:p w14:paraId="5F8B312A"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color w:val="000000" w:themeColor="text2"/>
                <w:sz w:val="20"/>
                <w:szCs w:val="20"/>
              </w:rPr>
              <w:t>Australian Consulate General; Australian Embassy Hanoi</w:t>
            </w:r>
          </w:p>
        </w:tc>
        <w:tc>
          <w:tcPr>
            <w:tcW w:w="942" w:type="dxa"/>
          </w:tcPr>
          <w:p w14:paraId="79EA0CB1"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5</w:t>
            </w:r>
          </w:p>
        </w:tc>
        <w:tc>
          <w:tcPr>
            <w:tcW w:w="941" w:type="dxa"/>
          </w:tcPr>
          <w:p w14:paraId="22F5ECD8"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2</w:t>
            </w:r>
          </w:p>
        </w:tc>
        <w:tc>
          <w:tcPr>
            <w:tcW w:w="1265" w:type="dxa"/>
          </w:tcPr>
          <w:p w14:paraId="4F8BEEC3"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3</w:t>
            </w:r>
          </w:p>
        </w:tc>
      </w:tr>
      <w:tr w:rsidR="009A291C" w:rsidRPr="009669EC" w14:paraId="7A947BE0" w14:textId="77777777" w:rsidTr="009A291C">
        <w:trPr>
          <w:trHeight w:val="573"/>
        </w:trPr>
        <w:tc>
          <w:tcPr>
            <w:tcW w:w="3951" w:type="dxa"/>
          </w:tcPr>
          <w:p w14:paraId="57D48A23"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Development partners</w:t>
            </w:r>
          </w:p>
          <w:p w14:paraId="0FC44AE4"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color w:val="000000" w:themeColor="text2"/>
                <w:sz w:val="20"/>
                <w:szCs w:val="20"/>
              </w:rPr>
              <w:t>Other owners and development partners</w:t>
            </w:r>
          </w:p>
        </w:tc>
        <w:tc>
          <w:tcPr>
            <w:tcW w:w="2824" w:type="dxa"/>
          </w:tcPr>
          <w:p w14:paraId="7879CF10"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color w:val="000000" w:themeColor="text2"/>
                <w:sz w:val="20"/>
                <w:szCs w:val="20"/>
              </w:rPr>
              <w:t>Swiss Embassy (SECO) and UK Embassy</w:t>
            </w:r>
          </w:p>
        </w:tc>
        <w:tc>
          <w:tcPr>
            <w:tcW w:w="942" w:type="dxa"/>
          </w:tcPr>
          <w:p w14:paraId="74098887"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3</w:t>
            </w:r>
          </w:p>
        </w:tc>
        <w:tc>
          <w:tcPr>
            <w:tcW w:w="941" w:type="dxa"/>
          </w:tcPr>
          <w:p w14:paraId="2CC79CA7"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1</w:t>
            </w:r>
          </w:p>
        </w:tc>
        <w:tc>
          <w:tcPr>
            <w:tcW w:w="1265" w:type="dxa"/>
          </w:tcPr>
          <w:p w14:paraId="00D18505"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2</w:t>
            </w:r>
          </w:p>
        </w:tc>
      </w:tr>
      <w:tr w:rsidR="009A291C" w:rsidRPr="009669EC" w14:paraId="108FEDBF" w14:textId="77777777" w:rsidTr="009A291C">
        <w:trPr>
          <w:trHeight w:val="493"/>
        </w:trPr>
        <w:tc>
          <w:tcPr>
            <w:tcW w:w="3951" w:type="dxa"/>
          </w:tcPr>
          <w:p w14:paraId="2D61415D"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Private intermediaries</w:t>
            </w:r>
          </w:p>
          <w:p w14:paraId="0715570B"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color w:val="000000" w:themeColor="text2"/>
                <w:sz w:val="20"/>
                <w:szCs w:val="20"/>
              </w:rPr>
              <w:t>Market actors and financial advisory</w:t>
            </w:r>
          </w:p>
        </w:tc>
        <w:tc>
          <w:tcPr>
            <w:tcW w:w="2824" w:type="dxa"/>
          </w:tcPr>
          <w:p w14:paraId="58B8F4B2" w14:textId="77777777" w:rsidR="009A291C" w:rsidRPr="005C5713" w:rsidRDefault="009A291C">
            <w:pPr>
              <w:rPr>
                <w:rFonts w:asciiTheme="minorHAnsi" w:hAnsiTheme="minorHAnsi" w:cstheme="minorHAnsi"/>
                <w:color w:val="000000" w:themeColor="text2"/>
                <w:sz w:val="20"/>
                <w:szCs w:val="20"/>
              </w:rPr>
            </w:pPr>
            <w:proofErr w:type="spellStart"/>
            <w:r w:rsidRPr="005C5713">
              <w:rPr>
                <w:rFonts w:asciiTheme="minorHAnsi" w:hAnsiTheme="minorHAnsi" w:cstheme="minorHAnsi"/>
                <w:color w:val="000000" w:themeColor="text2"/>
                <w:sz w:val="20"/>
                <w:szCs w:val="20"/>
              </w:rPr>
              <w:t>Fiingroup</w:t>
            </w:r>
            <w:proofErr w:type="spellEnd"/>
            <w:r w:rsidRPr="005C5713">
              <w:rPr>
                <w:rFonts w:asciiTheme="minorHAnsi" w:hAnsiTheme="minorHAnsi" w:cstheme="minorHAnsi"/>
                <w:color w:val="000000" w:themeColor="text2"/>
                <w:sz w:val="20"/>
                <w:szCs w:val="20"/>
              </w:rPr>
              <w:t xml:space="preserve"> / </w:t>
            </w:r>
            <w:proofErr w:type="spellStart"/>
            <w:r w:rsidRPr="005C5713">
              <w:rPr>
                <w:rFonts w:asciiTheme="minorHAnsi" w:hAnsiTheme="minorHAnsi" w:cstheme="minorHAnsi"/>
                <w:color w:val="000000" w:themeColor="text2"/>
                <w:sz w:val="20"/>
                <w:szCs w:val="20"/>
              </w:rPr>
              <w:t>FiinRatings</w:t>
            </w:r>
            <w:proofErr w:type="spellEnd"/>
            <w:r w:rsidRPr="005C5713">
              <w:rPr>
                <w:rFonts w:asciiTheme="minorHAnsi" w:hAnsiTheme="minorHAnsi" w:cstheme="minorHAnsi"/>
                <w:color w:val="000000" w:themeColor="text2"/>
                <w:sz w:val="20"/>
                <w:szCs w:val="20"/>
              </w:rPr>
              <w:t>; Fast Capital</w:t>
            </w:r>
          </w:p>
        </w:tc>
        <w:tc>
          <w:tcPr>
            <w:tcW w:w="942" w:type="dxa"/>
          </w:tcPr>
          <w:p w14:paraId="4A90373E"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2</w:t>
            </w:r>
          </w:p>
        </w:tc>
        <w:tc>
          <w:tcPr>
            <w:tcW w:w="941" w:type="dxa"/>
          </w:tcPr>
          <w:p w14:paraId="19A4128D"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1</w:t>
            </w:r>
          </w:p>
        </w:tc>
        <w:tc>
          <w:tcPr>
            <w:tcW w:w="1265" w:type="dxa"/>
          </w:tcPr>
          <w:p w14:paraId="46687A92"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1</w:t>
            </w:r>
          </w:p>
        </w:tc>
      </w:tr>
      <w:tr w:rsidR="009A291C" w:rsidRPr="009669EC" w14:paraId="3DA1A472" w14:textId="77777777" w:rsidTr="009A291C">
        <w:trPr>
          <w:trHeight w:val="814"/>
        </w:trPr>
        <w:tc>
          <w:tcPr>
            <w:tcW w:w="3951" w:type="dxa"/>
          </w:tcPr>
          <w:p w14:paraId="7CA07886"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PIDG core team and partners</w:t>
            </w:r>
          </w:p>
          <w:p w14:paraId="333C991A" w14:textId="77777777" w:rsidR="009A291C" w:rsidRPr="005C5713" w:rsidRDefault="009A291C">
            <w:pPr>
              <w:rPr>
                <w:rFonts w:asciiTheme="minorHAnsi" w:hAnsiTheme="minorHAnsi" w:cstheme="minorHAnsi"/>
                <w:color w:val="000000" w:themeColor="text2"/>
                <w:sz w:val="20"/>
                <w:szCs w:val="20"/>
              </w:rPr>
            </w:pPr>
            <w:proofErr w:type="spellStart"/>
            <w:r w:rsidRPr="005C5713">
              <w:rPr>
                <w:rFonts w:asciiTheme="minorHAnsi" w:hAnsiTheme="minorHAnsi" w:cstheme="minorHAnsi"/>
                <w:color w:val="000000" w:themeColor="text2"/>
                <w:sz w:val="20"/>
                <w:szCs w:val="20"/>
              </w:rPr>
              <w:t>GuarantCo</w:t>
            </w:r>
            <w:proofErr w:type="spellEnd"/>
            <w:r w:rsidRPr="005C5713">
              <w:rPr>
                <w:rFonts w:asciiTheme="minorHAnsi" w:hAnsiTheme="minorHAnsi" w:cstheme="minorHAnsi"/>
                <w:color w:val="000000" w:themeColor="text2"/>
                <w:sz w:val="20"/>
                <w:szCs w:val="20"/>
              </w:rPr>
              <w:t xml:space="preserve">, </w:t>
            </w:r>
            <w:proofErr w:type="spellStart"/>
            <w:r w:rsidRPr="005C5713">
              <w:rPr>
                <w:rFonts w:asciiTheme="minorHAnsi" w:hAnsiTheme="minorHAnsi" w:cstheme="minorHAnsi"/>
                <w:color w:val="000000" w:themeColor="text2"/>
                <w:sz w:val="20"/>
                <w:szCs w:val="20"/>
              </w:rPr>
              <w:t>InfraCo</w:t>
            </w:r>
            <w:proofErr w:type="spellEnd"/>
            <w:r w:rsidRPr="005C5713">
              <w:rPr>
                <w:rFonts w:asciiTheme="minorHAnsi" w:hAnsiTheme="minorHAnsi" w:cstheme="minorHAnsi"/>
                <w:color w:val="000000" w:themeColor="text2"/>
                <w:sz w:val="20"/>
                <w:szCs w:val="20"/>
              </w:rPr>
              <w:t>, EAAIF, TA and MEL</w:t>
            </w:r>
          </w:p>
        </w:tc>
        <w:tc>
          <w:tcPr>
            <w:tcW w:w="2824" w:type="dxa"/>
          </w:tcPr>
          <w:p w14:paraId="36CA4DFE" w14:textId="77777777" w:rsidR="009A291C" w:rsidRPr="005C5713" w:rsidRDefault="009A291C">
            <w:pPr>
              <w:rPr>
                <w:rFonts w:asciiTheme="minorHAnsi" w:hAnsiTheme="minorHAnsi" w:cstheme="minorHAnsi"/>
                <w:color w:val="000000" w:themeColor="text2"/>
                <w:sz w:val="20"/>
                <w:szCs w:val="20"/>
              </w:rPr>
            </w:pPr>
            <w:r w:rsidRPr="005C5713">
              <w:rPr>
                <w:rFonts w:asciiTheme="minorHAnsi" w:hAnsiTheme="minorHAnsi" w:cstheme="minorHAnsi"/>
                <w:color w:val="000000" w:themeColor="text2"/>
                <w:sz w:val="20"/>
                <w:szCs w:val="20"/>
              </w:rPr>
              <w:t>PIDG Core Team and Partners</w:t>
            </w:r>
          </w:p>
        </w:tc>
        <w:tc>
          <w:tcPr>
            <w:tcW w:w="942" w:type="dxa"/>
          </w:tcPr>
          <w:p w14:paraId="0A1ED10F"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7</w:t>
            </w:r>
          </w:p>
        </w:tc>
        <w:tc>
          <w:tcPr>
            <w:tcW w:w="941" w:type="dxa"/>
          </w:tcPr>
          <w:p w14:paraId="5B46E060"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5</w:t>
            </w:r>
          </w:p>
        </w:tc>
        <w:tc>
          <w:tcPr>
            <w:tcW w:w="1265" w:type="dxa"/>
          </w:tcPr>
          <w:p w14:paraId="491A97FE" w14:textId="77777777" w:rsidR="009A291C" w:rsidRPr="005C5713" w:rsidRDefault="009A291C">
            <w:pPr>
              <w:jc w:val="center"/>
              <w:rPr>
                <w:rFonts w:asciiTheme="minorHAnsi" w:hAnsiTheme="minorHAnsi" w:cstheme="minorHAnsi"/>
                <w:color w:val="000000" w:themeColor="text2"/>
                <w:sz w:val="20"/>
                <w:szCs w:val="20"/>
              </w:rPr>
            </w:pPr>
            <w:r w:rsidRPr="005C5713">
              <w:rPr>
                <w:rFonts w:asciiTheme="minorHAnsi" w:hAnsiTheme="minorHAnsi" w:cstheme="minorHAnsi"/>
                <w:b/>
                <w:color w:val="000000" w:themeColor="text2"/>
                <w:sz w:val="20"/>
                <w:szCs w:val="20"/>
              </w:rPr>
              <w:t>2</w:t>
            </w:r>
          </w:p>
        </w:tc>
      </w:tr>
    </w:tbl>
    <w:p w14:paraId="4D430422" w14:textId="03294CC7" w:rsidR="00D67554" w:rsidRPr="00E70DBE" w:rsidRDefault="00D67554" w:rsidP="003D231F">
      <w:pPr>
        <w:pStyle w:val="Heading2"/>
      </w:pPr>
      <w:bookmarkStart w:id="42" w:name="_Toc233026594"/>
      <w:r w:rsidRPr="00E70DBE">
        <w:t xml:space="preserve">Quality </w:t>
      </w:r>
      <w:r w:rsidR="009335AE">
        <w:t>A</w:t>
      </w:r>
      <w:r w:rsidRPr="00E70DBE">
        <w:t xml:space="preserve">ssurance, </w:t>
      </w:r>
      <w:r w:rsidR="009335AE">
        <w:t>E</w:t>
      </w:r>
      <w:r w:rsidRPr="00E70DBE">
        <w:t xml:space="preserve">thics, and </w:t>
      </w:r>
      <w:r w:rsidR="009335AE">
        <w:t>L</w:t>
      </w:r>
      <w:r w:rsidRPr="00E70DBE">
        <w:t>imitations</w:t>
      </w:r>
      <w:bookmarkEnd w:id="42"/>
    </w:p>
    <w:p w14:paraId="1F025CFA" w14:textId="77777777" w:rsidR="00D67554" w:rsidRPr="005B6D16" w:rsidRDefault="00D67554" w:rsidP="00D6755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The review applied standard qualitative and mixed-methods quality safeguards, including triangulation, source comparison, transparent distinction between observed and projected results, and cautious treatment of causal claims. Where outcome evidence was estimated rather than fully realised, this was treated explicitly as emerging evidence rather than confirmed impact. The review also paid attention to the political and institutional context in which different stakeholders were speaking, particularly where issues of visibility, oversight, regulation, or owner expectations were involved.</w:t>
      </w:r>
    </w:p>
    <w:p w14:paraId="38B5A761" w14:textId="4F17F310" w:rsidR="00D67554" w:rsidRPr="005B6D16" w:rsidRDefault="00D67554" w:rsidP="00D6755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Several limitations should be noted. First, the portfolio is still at a mid-term stage, and several investments remain early stage, under construction, or recently closed. This means that many intended development outcomes are not yet fully observable. Second, AVETP does not yet have a sufficiently clear Vietnam-specific MEL framework, which limited the availability of directly comparable programme-level data across transactions. Third, transaction-level information was uneven </w:t>
      </w:r>
      <w:r w:rsidR="00AD3693" w:rsidRPr="005B6D16">
        <w:rPr>
          <w:rFonts w:asciiTheme="minorHAnsi" w:hAnsiTheme="minorHAnsi" w:cstheme="minorHAnsi"/>
          <w:color w:val="000000"/>
          <w:sz w:val="22"/>
          <w:szCs w:val="22"/>
        </w:rPr>
        <w:t xml:space="preserve">and limited </w:t>
      </w:r>
      <w:r w:rsidRPr="005B6D16">
        <w:rPr>
          <w:rFonts w:asciiTheme="minorHAnsi" w:hAnsiTheme="minorHAnsi" w:cstheme="minorHAnsi"/>
          <w:color w:val="000000"/>
          <w:sz w:val="22"/>
          <w:szCs w:val="22"/>
        </w:rPr>
        <w:t>across sectors and investees: some could provide stronger climate and financial data, while others had better workforce or HSES evidence, and some areas such as disability inclusion were weakly tracked. Fourth, PIDG’s corporate systems are stronger than AVETP’s country-level reporting architecture, which meant the team often had to reconstruct programme-level findings from transaction and stakeholder evidence retrospectively. These limitations were mitigated through triangulation, use of multiple case studies, cautious interpretation, and explicit distinction between realised, emerging, and projected results.</w:t>
      </w:r>
      <w:r w:rsidRPr="005B6D16">
        <w:rPr>
          <w:rStyle w:val="apple-converted-space"/>
          <w:rFonts w:asciiTheme="minorHAnsi" w:hAnsiTheme="minorHAnsi" w:cstheme="minorHAnsi"/>
          <w:color w:val="000000"/>
          <w:sz w:val="22"/>
          <w:szCs w:val="22"/>
        </w:rPr>
        <w:t> </w:t>
      </w:r>
    </w:p>
    <w:p w14:paraId="72B98949" w14:textId="7816BAE4" w:rsidR="00303D1A" w:rsidRPr="00E70DBE" w:rsidRDefault="00303D1A" w:rsidP="003D231F">
      <w:pPr>
        <w:pStyle w:val="Heading2"/>
      </w:pPr>
      <w:bookmarkStart w:id="43" w:name="_Toc233026595"/>
      <w:r w:rsidRPr="00E70DBE">
        <w:t xml:space="preserve">Analytical </w:t>
      </w:r>
      <w:r w:rsidR="009335AE">
        <w:t>F</w:t>
      </w:r>
      <w:r w:rsidRPr="00E70DBE">
        <w:t>ramework</w:t>
      </w:r>
      <w:bookmarkEnd w:id="43"/>
    </w:p>
    <w:p w14:paraId="52D4A7C9" w14:textId="2D98BC9B" w:rsidR="00303D1A" w:rsidRPr="005B6D16" w:rsidRDefault="00303D1A" w:rsidP="00303D1A">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Analysis was organised around the evaluation questions and informed by OECD DAC style evaluative reasoning, while remaining sensitive to the distinctive features of a blended-finance platform. The review placed particular emphasis on effectiveness, emerging impact, programme logic, MEL fitness for purpose, oversight and engagement arrangements, and lessons for the remainder of implementation.</w:t>
      </w:r>
    </w:p>
    <w:p w14:paraId="4335A402" w14:textId="77777777" w:rsidR="00303D1A" w:rsidRPr="005B6D16" w:rsidRDefault="00303D1A" w:rsidP="00303D1A">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Three analytical principles guided interpretation.</w:t>
      </w:r>
    </w:p>
    <w:p w14:paraId="7BE1C055" w14:textId="77777777" w:rsidR="00303D1A" w:rsidRPr="005B6D16" w:rsidRDefault="00303D1A" w:rsidP="00303D1A">
      <w:pPr>
        <w:pStyle w:val="NormalWeb"/>
        <w:rPr>
          <w:rStyle w:val="apple-converted-space"/>
          <w:rFonts w:asciiTheme="minorHAnsi" w:hAnsiTheme="minorHAnsi" w:cstheme="minorHAnsi"/>
          <w:color w:val="000000"/>
          <w:sz w:val="22"/>
          <w:szCs w:val="22"/>
        </w:rPr>
      </w:pPr>
      <w:r w:rsidRPr="005B6D16">
        <w:rPr>
          <w:rFonts w:asciiTheme="minorHAnsi" w:hAnsiTheme="minorHAnsi" w:cstheme="minorHAnsi"/>
          <w:color w:val="000000"/>
          <w:sz w:val="22"/>
          <w:szCs w:val="22"/>
        </w:rPr>
        <w:t>First, the review distinguished between</w:t>
      </w:r>
      <w:r w:rsidRPr="005B6D16">
        <w:rPr>
          <w:rStyle w:val="apple-converted-space"/>
          <w:rFonts w:asciiTheme="minorHAnsi" w:hAnsiTheme="minorHAnsi" w:cstheme="minorHAnsi"/>
          <w:color w:val="000000"/>
          <w:sz w:val="22"/>
          <w:szCs w:val="22"/>
        </w:rPr>
        <w:t> </w:t>
      </w:r>
      <w:r w:rsidRPr="005B6D16">
        <w:rPr>
          <w:rStyle w:val="Strong"/>
          <w:rFonts w:asciiTheme="minorHAnsi" w:hAnsiTheme="minorHAnsi" w:cstheme="minorHAnsi"/>
          <w:color w:val="000000"/>
          <w:sz w:val="22"/>
          <w:szCs w:val="22"/>
        </w:rPr>
        <w:t>direct outputs</w:t>
      </w:r>
      <w:r w:rsidRPr="005B6D16">
        <w:rPr>
          <w:rFonts w:asciiTheme="minorHAnsi" w:hAnsiTheme="minorHAnsi" w:cstheme="minorHAnsi"/>
          <w:color w:val="000000"/>
          <w:sz w:val="22"/>
          <w:szCs w:val="22"/>
        </w:rPr>
        <w:t>,</w:t>
      </w:r>
      <w:r w:rsidRPr="005B6D16">
        <w:rPr>
          <w:rStyle w:val="apple-converted-space"/>
          <w:rFonts w:asciiTheme="minorHAnsi" w:hAnsiTheme="minorHAnsi" w:cstheme="minorHAnsi"/>
          <w:color w:val="000000"/>
          <w:sz w:val="22"/>
          <w:szCs w:val="22"/>
        </w:rPr>
        <w:t> </w:t>
      </w:r>
      <w:r w:rsidRPr="005B6D16">
        <w:rPr>
          <w:rStyle w:val="Strong"/>
          <w:rFonts w:asciiTheme="minorHAnsi" w:hAnsiTheme="minorHAnsi" w:cstheme="minorHAnsi"/>
          <w:color w:val="000000"/>
          <w:sz w:val="22"/>
          <w:szCs w:val="22"/>
        </w:rPr>
        <w:t>emerging outcomes</w:t>
      </w:r>
      <w:r w:rsidRPr="005B6D16">
        <w:rPr>
          <w:rFonts w:asciiTheme="minorHAnsi" w:hAnsiTheme="minorHAnsi" w:cstheme="minorHAnsi"/>
          <w:color w:val="000000"/>
          <w:sz w:val="22"/>
          <w:szCs w:val="22"/>
        </w:rPr>
        <w:t>, and</w:t>
      </w:r>
      <w:r w:rsidRPr="005B6D16">
        <w:rPr>
          <w:rStyle w:val="apple-converted-space"/>
          <w:rFonts w:asciiTheme="minorHAnsi" w:hAnsiTheme="minorHAnsi" w:cstheme="minorHAnsi"/>
          <w:color w:val="000000"/>
          <w:sz w:val="22"/>
          <w:szCs w:val="22"/>
        </w:rPr>
        <w:t> </w:t>
      </w:r>
      <w:r w:rsidRPr="005B6D16">
        <w:rPr>
          <w:rStyle w:val="Strong"/>
          <w:rFonts w:asciiTheme="minorHAnsi" w:hAnsiTheme="minorHAnsi" w:cstheme="minorHAnsi"/>
          <w:color w:val="000000"/>
          <w:sz w:val="22"/>
          <w:szCs w:val="22"/>
        </w:rPr>
        <w:t>catalytic or enabling effects</w:t>
      </w:r>
      <w:r w:rsidRPr="005B6D16">
        <w:rPr>
          <w:rFonts w:asciiTheme="minorHAnsi" w:hAnsiTheme="minorHAnsi" w:cstheme="minorHAnsi"/>
          <w:color w:val="000000"/>
          <w:sz w:val="22"/>
          <w:szCs w:val="22"/>
        </w:rPr>
        <w:t>. This was important because AVETP includes both immediate, measurable results such as financing closed or MW installed, and slower or indirect results such as market confidence, improved standards, local capital market development, and institutional progress on the CEF.</w:t>
      </w:r>
      <w:r w:rsidRPr="005B6D16">
        <w:rPr>
          <w:rStyle w:val="apple-converted-space"/>
          <w:rFonts w:asciiTheme="minorHAnsi" w:hAnsiTheme="minorHAnsi" w:cstheme="minorHAnsi"/>
          <w:color w:val="000000"/>
          <w:sz w:val="22"/>
          <w:szCs w:val="22"/>
        </w:rPr>
        <w:t> </w:t>
      </w:r>
    </w:p>
    <w:p w14:paraId="52F2DFC1" w14:textId="5E85ABC0" w:rsidR="00AD3693" w:rsidRPr="005B6D16" w:rsidRDefault="00AD3693" w:rsidP="00AD3693">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Second, the review distinguished between</w:t>
      </w:r>
      <w:r w:rsidRPr="005B6D16">
        <w:rPr>
          <w:rStyle w:val="apple-converted-space"/>
          <w:rFonts w:asciiTheme="minorHAnsi" w:hAnsiTheme="minorHAnsi" w:cstheme="minorHAnsi"/>
          <w:color w:val="000000"/>
          <w:sz w:val="22"/>
          <w:szCs w:val="22"/>
        </w:rPr>
        <w:t> </w:t>
      </w:r>
      <w:r w:rsidRPr="005B6D16">
        <w:rPr>
          <w:rStyle w:val="Strong"/>
          <w:rFonts w:asciiTheme="minorHAnsi" w:hAnsiTheme="minorHAnsi" w:cstheme="minorHAnsi"/>
          <w:color w:val="000000"/>
          <w:sz w:val="22"/>
          <w:szCs w:val="22"/>
        </w:rPr>
        <w:t>transaction-level performance</w:t>
      </w:r>
      <w:r w:rsidRPr="005B6D16">
        <w:rPr>
          <w:rStyle w:val="apple-converted-space"/>
          <w:rFonts w:asciiTheme="minorHAnsi" w:hAnsiTheme="minorHAnsi" w:cstheme="minorHAnsi"/>
          <w:color w:val="000000"/>
          <w:sz w:val="22"/>
          <w:szCs w:val="22"/>
        </w:rPr>
        <w:t> </w:t>
      </w:r>
      <w:r w:rsidRPr="005B6D16">
        <w:rPr>
          <w:rFonts w:asciiTheme="minorHAnsi" w:hAnsiTheme="minorHAnsi" w:cstheme="minorHAnsi"/>
          <w:color w:val="000000"/>
          <w:sz w:val="22"/>
          <w:szCs w:val="22"/>
        </w:rPr>
        <w:t>and</w:t>
      </w:r>
      <w:r w:rsidRPr="005B6D16">
        <w:rPr>
          <w:rStyle w:val="apple-converted-space"/>
          <w:rFonts w:asciiTheme="minorHAnsi" w:hAnsiTheme="minorHAnsi" w:cstheme="minorHAnsi"/>
          <w:color w:val="000000"/>
          <w:sz w:val="22"/>
          <w:szCs w:val="22"/>
        </w:rPr>
        <w:t> </w:t>
      </w:r>
      <w:r w:rsidRPr="005B6D16">
        <w:rPr>
          <w:rStyle w:val="Strong"/>
          <w:rFonts w:asciiTheme="minorHAnsi" w:hAnsiTheme="minorHAnsi" w:cstheme="minorHAnsi"/>
          <w:color w:val="000000"/>
          <w:sz w:val="22"/>
          <w:szCs w:val="22"/>
        </w:rPr>
        <w:t>programme-level (platform) performance</w:t>
      </w:r>
      <w:r w:rsidRPr="005B6D16">
        <w:rPr>
          <w:rFonts w:asciiTheme="minorHAnsi" w:hAnsiTheme="minorHAnsi" w:cstheme="minorHAnsi"/>
          <w:color w:val="000000"/>
          <w:sz w:val="22"/>
          <w:szCs w:val="22"/>
        </w:rPr>
        <w:t>. This was necessary because the evidence repeatedly showed that AVETP has often performed more strongly at the level of individual transactions than at the level of DFAT-facing (platform/programme) reporting, visibility, and country programme management.</w:t>
      </w:r>
      <w:r w:rsidRPr="005B6D16">
        <w:rPr>
          <w:rStyle w:val="apple-converted-space"/>
          <w:rFonts w:asciiTheme="minorHAnsi" w:hAnsiTheme="minorHAnsi" w:cstheme="minorHAnsi"/>
          <w:color w:val="000000"/>
          <w:sz w:val="22"/>
          <w:szCs w:val="22"/>
        </w:rPr>
        <w:t> </w:t>
      </w:r>
    </w:p>
    <w:p w14:paraId="038CC967" w14:textId="7426167D" w:rsidR="005F3315" w:rsidRDefault="00AD3693" w:rsidP="00303D1A">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lastRenderedPageBreak/>
        <w:t>Third, the review used</w:t>
      </w:r>
      <w:r w:rsidRPr="005B6D16">
        <w:rPr>
          <w:rStyle w:val="apple-converted-space"/>
          <w:rFonts w:asciiTheme="minorHAnsi" w:hAnsiTheme="minorHAnsi" w:cstheme="minorHAnsi"/>
          <w:color w:val="000000"/>
          <w:sz w:val="22"/>
          <w:szCs w:val="22"/>
        </w:rPr>
        <w:t> </w:t>
      </w:r>
      <w:r w:rsidRPr="005B6D16">
        <w:rPr>
          <w:rStyle w:val="Strong"/>
          <w:rFonts w:asciiTheme="minorHAnsi" w:hAnsiTheme="minorHAnsi" w:cstheme="minorHAnsi"/>
          <w:color w:val="000000"/>
          <w:sz w:val="22"/>
          <w:szCs w:val="22"/>
        </w:rPr>
        <w:t>triangulation</w:t>
      </w:r>
      <w:r w:rsidRPr="005B6D16">
        <w:rPr>
          <w:rStyle w:val="apple-converted-space"/>
          <w:rFonts w:asciiTheme="minorHAnsi" w:hAnsiTheme="minorHAnsi" w:cstheme="minorHAnsi"/>
          <w:color w:val="000000"/>
          <w:sz w:val="22"/>
          <w:szCs w:val="22"/>
        </w:rPr>
        <w:t> </w:t>
      </w:r>
      <w:r w:rsidRPr="005B6D16">
        <w:rPr>
          <w:rFonts w:asciiTheme="minorHAnsi" w:hAnsiTheme="minorHAnsi" w:cstheme="minorHAnsi"/>
          <w:color w:val="000000"/>
          <w:sz w:val="22"/>
          <w:szCs w:val="22"/>
        </w:rPr>
        <w:t>as a core method of validation. Findings were not based on single-source claims where stronger corroboration was possible. Instead, evidence from documents, interviews, case studies, and transaction data was compared and tested across sources. Where stakeholder accounts diverged, the review treated this as analytically meaningful rather than as an error to be eliminated. Differences in perspective often revealed important tensions between corporate systems and country needs, between transaction logic and bilateral programme expectations, or between strategic alignment and operational delivery.</w:t>
      </w:r>
    </w:p>
    <w:p w14:paraId="7439AA19" w14:textId="77777777" w:rsidR="005F3315" w:rsidRDefault="005F3315">
      <w:pPr>
        <w:spacing w:before="120" w:after="120"/>
        <w:rPr>
          <w:rFonts w:asciiTheme="minorHAnsi" w:eastAsiaTheme="minorEastAsia" w:hAnsiTheme="minorHAnsi" w:cstheme="minorHAnsi"/>
          <w:color w:val="000000"/>
          <w:sz w:val="22"/>
          <w:szCs w:val="22"/>
          <w:lang w:val="en-GB" w:eastAsia="en-AU"/>
        </w:rPr>
      </w:pPr>
      <w:r>
        <w:rPr>
          <w:rFonts w:asciiTheme="minorHAnsi" w:hAnsiTheme="minorHAnsi" w:cstheme="minorHAnsi"/>
          <w:color w:val="000000"/>
          <w:sz w:val="22"/>
          <w:szCs w:val="22"/>
        </w:rPr>
        <w:br w:type="page"/>
      </w:r>
    </w:p>
    <w:p w14:paraId="5D3F56D0" w14:textId="71132DFC" w:rsidR="00970D7D" w:rsidRDefault="38458FDB" w:rsidP="003D231F">
      <w:pPr>
        <w:pStyle w:val="Heading1"/>
      </w:pPr>
      <w:bookmarkStart w:id="44" w:name="_Toc226976847"/>
      <w:bookmarkStart w:id="45" w:name="_Toc233026596"/>
      <w:r w:rsidRPr="00AE7105">
        <w:lastRenderedPageBreak/>
        <w:t>Findings and Analysis</w:t>
      </w:r>
      <w:bookmarkEnd w:id="44"/>
      <w:bookmarkEnd w:id="45"/>
      <w:r w:rsidRPr="00AE7105">
        <w:t xml:space="preserve"> </w:t>
      </w:r>
    </w:p>
    <w:p w14:paraId="7F4A73C3" w14:textId="7EC9E234" w:rsidR="00984F53" w:rsidRDefault="00C4009E" w:rsidP="00280EA8">
      <w:pPr>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This section </w:t>
      </w:r>
      <w:r w:rsidR="00AC03A4" w:rsidRPr="005B6D16">
        <w:rPr>
          <w:rFonts w:asciiTheme="minorHAnsi" w:hAnsiTheme="minorHAnsi" w:cstheme="minorHAnsi"/>
          <w:color w:val="000000"/>
          <w:sz w:val="22"/>
          <w:szCs w:val="22"/>
        </w:rPr>
        <w:t>presents findings on the AVETP’s</w:t>
      </w:r>
      <w:r w:rsidRPr="005B6D16">
        <w:rPr>
          <w:rFonts w:asciiTheme="minorHAnsi" w:hAnsiTheme="minorHAnsi" w:cstheme="minorHAnsi"/>
          <w:color w:val="000000"/>
          <w:sz w:val="22"/>
          <w:szCs w:val="22"/>
        </w:rPr>
        <w:t xml:space="preserve"> effectiveness, </w:t>
      </w:r>
      <w:r w:rsidR="00AC03A4" w:rsidRPr="005B6D16">
        <w:rPr>
          <w:rFonts w:asciiTheme="minorHAnsi" w:hAnsiTheme="minorHAnsi" w:cstheme="minorHAnsi"/>
          <w:color w:val="000000"/>
          <w:sz w:val="22"/>
          <w:szCs w:val="22"/>
        </w:rPr>
        <w:t>with a focus</w:t>
      </w:r>
      <w:r w:rsidRPr="005B6D16">
        <w:rPr>
          <w:rFonts w:asciiTheme="minorHAnsi" w:hAnsiTheme="minorHAnsi" w:cstheme="minorHAnsi"/>
          <w:color w:val="000000"/>
          <w:sz w:val="22"/>
          <w:szCs w:val="22"/>
        </w:rPr>
        <w:t xml:space="preserve"> on the two EOPOs,</w:t>
      </w:r>
      <w:r w:rsidR="00AC03A4" w:rsidRPr="005B6D16">
        <w:rPr>
          <w:rFonts w:asciiTheme="minorHAnsi" w:hAnsiTheme="minorHAnsi" w:cstheme="minorHAnsi"/>
          <w:color w:val="000000"/>
          <w:sz w:val="22"/>
          <w:szCs w:val="22"/>
        </w:rPr>
        <w:t xml:space="preserve"> the CEF,</w:t>
      </w:r>
      <w:r w:rsidRPr="005B6D16">
        <w:rPr>
          <w:rFonts w:asciiTheme="minorHAnsi" w:hAnsiTheme="minorHAnsi" w:cstheme="minorHAnsi"/>
          <w:color w:val="000000"/>
          <w:sz w:val="22"/>
          <w:szCs w:val="22"/>
        </w:rPr>
        <w:t xml:space="preserve"> MEL arrangements, DFAT oversight and engagement, programme logic, and implementation lessons </w:t>
      </w:r>
      <w:r w:rsidR="00AC03A4" w:rsidRPr="005B6D16">
        <w:rPr>
          <w:rFonts w:asciiTheme="minorHAnsi" w:hAnsiTheme="minorHAnsi" w:cstheme="minorHAnsi"/>
          <w:color w:val="000000"/>
          <w:sz w:val="22"/>
          <w:szCs w:val="22"/>
        </w:rPr>
        <w:t>for the remainder of the investment period</w:t>
      </w:r>
      <w:r w:rsidRPr="005B6D16">
        <w:rPr>
          <w:rFonts w:asciiTheme="minorHAnsi" w:hAnsiTheme="minorHAnsi" w:cstheme="minorHAnsi"/>
          <w:color w:val="000000"/>
          <w:sz w:val="22"/>
          <w:szCs w:val="22"/>
        </w:rPr>
        <w:t>.</w:t>
      </w:r>
    </w:p>
    <w:p w14:paraId="45B8170E" w14:textId="177BADDE" w:rsidR="00984F53" w:rsidRDefault="00984F53" w:rsidP="003D231F">
      <w:pPr>
        <w:pStyle w:val="Heading2"/>
      </w:pPr>
      <w:bookmarkStart w:id="46" w:name="_Toc233026597"/>
      <w:r>
        <w:t>Effectiveness</w:t>
      </w:r>
      <w:bookmarkEnd w:id="46"/>
      <w:r>
        <w:t xml:space="preserve"> </w:t>
      </w:r>
    </w:p>
    <w:p w14:paraId="18AA785D" w14:textId="28E31EDF" w:rsidR="000D0F92" w:rsidRPr="005B6D16" w:rsidRDefault="000D0F92" w:rsidP="000D0F92">
      <w:pPr>
        <w:spacing w:before="100" w:beforeAutospacing="1" w:after="100" w:afterAutospacing="1"/>
        <w:rPr>
          <w:rFonts w:asciiTheme="minorHAnsi" w:hAnsiTheme="minorHAnsi" w:cstheme="minorHAnsi"/>
          <w:color w:val="000000"/>
          <w:sz w:val="22"/>
          <w:szCs w:val="22"/>
        </w:rPr>
      </w:pPr>
      <w:r w:rsidRPr="005B6D16">
        <w:rPr>
          <w:rFonts w:ascii="Arial" w:hAnsi="Arial" w:cs="Arial"/>
          <w:color w:val="000000"/>
          <w:sz w:val="22"/>
          <w:szCs w:val="22"/>
        </w:rPr>
        <w:t xml:space="preserve">Overall, AVETP has been </w:t>
      </w:r>
      <w:r w:rsidR="00655DF6" w:rsidRPr="005B6D16">
        <w:rPr>
          <w:rFonts w:ascii="Arial" w:hAnsi="Arial" w:cs="Arial"/>
          <w:color w:val="000000"/>
          <w:sz w:val="22"/>
          <w:szCs w:val="22"/>
        </w:rPr>
        <w:t>very</w:t>
      </w:r>
      <w:r w:rsidRPr="005B6D16">
        <w:rPr>
          <w:rFonts w:ascii="Arial" w:hAnsi="Arial" w:cs="Arial"/>
          <w:color w:val="000000"/>
          <w:sz w:val="22"/>
          <w:szCs w:val="22"/>
        </w:rPr>
        <w:t xml:space="preserve"> effective in catalysing relevant, good-quality transactions and in demonstrating the value of PIDG’s blended-finance model in Vietnam, but less effective as a DFAT-facing bilateral programme. At transaction level, the platform has shown clear strengths: PIDG’s mix of early-stage equity, longer-tenor debt, guarantees, and technical assistance has helped fill financing gaps not well served by local banks or conventional MDB products. This has translated into a diverse portfolio across e-mobility, rooftop solar, water infrastructure, and recycling-related green </w:t>
      </w:r>
      <w:r w:rsidR="00365A56" w:rsidRPr="005B6D16">
        <w:rPr>
          <w:rFonts w:ascii="Arial" w:hAnsi="Arial" w:cs="Arial"/>
          <w:color w:val="000000"/>
          <w:sz w:val="22"/>
          <w:szCs w:val="22"/>
        </w:rPr>
        <w:t xml:space="preserve">bonds, and early-stage renewable energy </w:t>
      </w:r>
      <w:r w:rsidR="00EF51DC" w:rsidRPr="005B6D16">
        <w:rPr>
          <w:rFonts w:ascii="Arial" w:hAnsi="Arial" w:cs="Arial"/>
          <w:color w:val="000000"/>
          <w:sz w:val="22"/>
          <w:szCs w:val="22"/>
        </w:rPr>
        <w:t>platforms</w:t>
      </w:r>
      <w:r w:rsidRPr="005B6D16">
        <w:rPr>
          <w:rFonts w:ascii="Arial" w:hAnsi="Arial" w:cs="Arial"/>
          <w:color w:val="000000"/>
          <w:sz w:val="22"/>
          <w:szCs w:val="22"/>
        </w:rPr>
        <w:t xml:space="preserve">. </w:t>
      </w:r>
      <w:r w:rsidR="00F96615" w:rsidRPr="005B6D16">
        <w:rPr>
          <w:rFonts w:asciiTheme="minorHAnsi" w:hAnsiTheme="minorHAnsi" w:cstheme="minorHAnsi"/>
          <w:color w:val="000000"/>
          <w:sz w:val="22"/>
          <w:szCs w:val="22"/>
        </w:rPr>
        <w:t xml:space="preserve">The </w:t>
      </w:r>
      <w:r w:rsidR="00365A56" w:rsidRPr="005B6D16">
        <w:rPr>
          <w:rFonts w:asciiTheme="minorHAnsi" w:hAnsiTheme="minorHAnsi" w:cstheme="minorHAnsi"/>
          <w:color w:val="000000"/>
          <w:sz w:val="22"/>
          <w:szCs w:val="22"/>
        </w:rPr>
        <w:t xml:space="preserve">strongest evidence of effectiveness lies in the </w:t>
      </w:r>
      <w:r w:rsidR="00F96615" w:rsidRPr="005B6D16">
        <w:rPr>
          <w:rFonts w:asciiTheme="minorHAnsi" w:hAnsiTheme="minorHAnsi" w:cstheme="minorHAnsi"/>
          <w:color w:val="000000"/>
          <w:sz w:val="22"/>
          <w:szCs w:val="22"/>
        </w:rPr>
        <w:t xml:space="preserve">quality and catalytic character of </w:t>
      </w:r>
      <w:r w:rsidR="00365A56" w:rsidRPr="005B6D16">
        <w:rPr>
          <w:rFonts w:asciiTheme="minorHAnsi" w:hAnsiTheme="minorHAnsi" w:cstheme="minorHAnsi"/>
          <w:color w:val="000000"/>
          <w:sz w:val="22"/>
          <w:szCs w:val="22"/>
        </w:rPr>
        <w:t>the</w:t>
      </w:r>
      <w:r w:rsidR="00F96615" w:rsidRPr="005B6D16">
        <w:rPr>
          <w:rFonts w:asciiTheme="minorHAnsi" w:hAnsiTheme="minorHAnsi" w:cstheme="minorHAnsi"/>
          <w:color w:val="000000"/>
          <w:sz w:val="22"/>
          <w:szCs w:val="22"/>
        </w:rPr>
        <w:t xml:space="preserve"> transactions</w:t>
      </w:r>
      <w:r w:rsidR="00365A56" w:rsidRPr="005B6D16">
        <w:rPr>
          <w:rFonts w:asciiTheme="minorHAnsi" w:hAnsiTheme="minorHAnsi" w:cstheme="minorHAnsi"/>
          <w:color w:val="000000"/>
          <w:sz w:val="22"/>
          <w:szCs w:val="22"/>
        </w:rPr>
        <w:t xml:space="preserve"> supported</w:t>
      </w:r>
      <w:r w:rsidR="00F96615" w:rsidRPr="005B6D16">
        <w:rPr>
          <w:rFonts w:asciiTheme="minorHAnsi" w:hAnsiTheme="minorHAnsi" w:cstheme="minorHAnsi"/>
          <w:color w:val="000000"/>
          <w:sz w:val="22"/>
          <w:szCs w:val="22"/>
        </w:rPr>
        <w:t xml:space="preserve">. </w:t>
      </w:r>
      <w:r w:rsidR="00365A56" w:rsidRPr="005B6D16">
        <w:rPr>
          <w:rFonts w:asciiTheme="minorHAnsi" w:hAnsiTheme="minorHAnsi" w:cstheme="minorHAnsi"/>
          <w:color w:val="000000"/>
          <w:sz w:val="22"/>
          <w:szCs w:val="22"/>
        </w:rPr>
        <w:t xml:space="preserve">AVETP has helped bring forward first-of-kind or harder-to-finance transactions, improved the tenor and structure of finance, strengthened investee systems, and supported local capital market development. </w:t>
      </w:r>
      <w:r w:rsidR="00F96615" w:rsidRPr="005B6D16">
        <w:rPr>
          <w:rFonts w:asciiTheme="minorHAnsi" w:hAnsiTheme="minorHAnsi" w:cstheme="minorHAnsi"/>
          <w:color w:val="000000"/>
          <w:sz w:val="22"/>
          <w:szCs w:val="22"/>
        </w:rPr>
        <w:t xml:space="preserve">At the same time, stakeholders </w:t>
      </w:r>
      <w:r w:rsidR="00EC73B7" w:rsidRPr="005B6D16">
        <w:rPr>
          <w:rFonts w:asciiTheme="minorHAnsi" w:hAnsiTheme="minorHAnsi" w:cstheme="minorHAnsi"/>
          <w:color w:val="000000"/>
          <w:sz w:val="22"/>
          <w:szCs w:val="22"/>
        </w:rPr>
        <w:t>off</w:t>
      </w:r>
      <w:r w:rsidR="002839B8" w:rsidRPr="005B6D16">
        <w:rPr>
          <w:rFonts w:asciiTheme="minorHAnsi" w:hAnsiTheme="minorHAnsi" w:cstheme="minorHAnsi"/>
          <w:color w:val="000000"/>
          <w:sz w:val="22"/>
          <w:szCs w:val="22"/>
        </w:rPr>
        <w:t>ered a balanced view on transaction volume. Some noted</w:t>
      </w:r>
      <w:r w:rsidR="00EC73B7" w:rsidRPr="005B6D16">
        <w:rPr>
          <w:rFonts w:asciiTheme="minorHAnsi" w:hAnsiTheme="minorHAnsi" w:cstheme="minorHAnsi"/>
          <w:color w:val="000000"/>
          <w:sz w:val="22"/>
          <w:szCs w:val="22"/>
        </w:rPr>
        <w:t xml:space="preserve"> </w:t>
      </w:r>
      <w:r w:rsidR="004D2528" w:rsidRPr="005B6D16">
        <w:rPr>
          <w:rFonts w:asciiTheme="minorHAnsi" w:hAnsiTheme="minorHAnsi" w:cstheme="minorHAnsi"/>
          <w:color w:val="000000"/>
          <w:sz w:val="22"/>
          <w:szCs w:val="22"/>
        </w:rPr>
        <w:t>the potential for PIDG to close more transactions</w:t>
      </w:r>
      <w:r w:rsidR="00F96615" w:rsidRPr="005B6D16">
        <w:rPr>
          <w:rFonts w:asciiTheme="minorHAnsi" w:hAnsiTheme="minorHAnsi" w:cstheme="minorHAnsi"/>
          <w:color w:val="000000"/>
          <w:sz w:val="22"/>
          <w:szCs w:val="22"/>
        </w:rPr>
        <w:t xml:space="preserve">, given the </w:t>
      </w:r>
      <w:r w:rsidR="002839B8" w:rsidRPr="005B6D16">
        <w:rPr>
          <w:rFonts w:asciiTheme="minorHAnsi" w:hAnsiTheme="minorHAnsi" w:cstheme="minorHAnsi"/>
          <w:color w:val="000000"/>
          <w:sz w:val="22"/>
          <w:szCs w:val="22"/>
        </w:rPr>
        <w:t xml:space="preserve">size </w:t>
      </w:r>
      <w:r w:rsidR="00F96615" w:rsidRPr="005B6D16">
        <w:rPr>
          <w:rFonts w:asciiTheme="minorHAnsi" w:hAnsiTheme="minorHAnsi" w:cstheme="minorHAnsi"/>
          <w:color w:val="000000"/>
          <w:sz w:val="22"/>
          <w:szCs w:val="22"/>
        </w:rPr>
        <w:t xml:space="preserve">and depth of the </w:t>
      </w:r>
      <w:r w:rsidR="002839B8" w:rsidRPr="005B6D16">
        <w:rPr>
          <w:rFonts w:asciiTheme="minorHAnsi" w:hAnsiTheme="minorHAnsi" w:cstheme="minorHAnsi"/>
          <w:color w:val="000000"/>
          <w:sz w:val="22"/>
          <w:szCs w:val="22"/>
        </w:rPr>
        <w:t xml:space="preserve">Vietnamese </w:t>
      </w:r>
      <w:r w:rsidR="00F96615" w:rsidRPr="005B6D16">
        <w:rPr>
          <w:rFonts w:asciiTheme="minorHAnsi" w:hAnsiTheme="minorHAnsi" w:cstheme="minorHAnsi"/>
          <w:color w:val="000000"/>
          <w:sz w:val="22"/>
          <w:szCs w:val="22"/>
        </w:rPr>
        <w:t>market opportunity.</w:t>
      </w:r>
      <w:r w:rsidR="002839B8" w:rsidRPr="005B6D16">
        <w:rPr>
          <w:rFonts w:ascii="-webkit-standard" w:hAnsi="-webkit-standard"/>
          <w:color w:val="000000"/>
          <w:sz w:val="22"/>
          <w:szCs w:val="22"/>
        </w:rPr>
        <w:t xml:space="preserve"> </w:t>
      </w:r>
      <w:r w:rsidR="002839B8" w:rsidRPr="005B6D16">
        <w:rPr>
          <w:rFonts w:asciiTheme="minorHAnsi" w:hAnsiTheme="minorHAnsi" w:cstheme="minorHAnsi"/>
          <w:color w:val="000000"/>
          <w:sz w:val="22"/>
          <w:szCs w:val="22"/>
        </w:rPr>
        <w:t>Others emphasised that the transactions completed to date were high quality, additional, and market-shaping, demonstrating strong progress through first-of-kind financing structures, improved standards, and catalytic examples across sectors such as e-mobility, rooftop solar, water, and circular manufacturing.</w:t>
      </w:r>
      <w:r w:rsidR="00F96615" w:rsidRPr="005B6D16">
        <w:rPr>
          <w:rFonts w:asciiTheme="minorHAnsi" w:hAnsiTheme="minorHAnsi" w:cstheme="minorHAnsi"/>
          <w:color w:val="000000"/>
          <w:sz w:val="22"/>
          <w:szCs w:val="22"/>
        </w:rPr>
        <w:t xml:space="preserve"> </w:t>
      </w:r>
    </w:p>
    <w:p w14:paraId="0AF43413" w14:textId="14C51A31" w:rsidR="00CC3701" w:rsidRPr="005B6D16" w:rsidRDefault="00CC3701" w:rsidP="000D0F92">
      <w:pPr>
        <w:spacing w:before="100" w:beforeAutospacing="1" w:after="100" w:afterAutospacing="1"/>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AVETP has also shown transaction-level </w:t>
      </w:r>
      <w:r w:rsidR="00365A56" w:rsidRPr="005B6D16">
        <w:rPr>
          <w:rFonts w:asciiTheme="minorHAnsi" w:hAnsiTheme="minorHAnsi" w:cstheme="minorHAnsi"/>
          <w:color w:val="000000"/>
          <w:sz w:val="22"/>
          <w:szCs w:val="22"/>
        </w:rPr>
        <w:t>adaptability</w:t>
      </w:r>
      <w:r w:rsidRPr="005B6D16">
        <w:rPr>
          <w:rFonts w:asciiTheme="minorHAnsi" w:hAnsiTheme="minorHAnsi" w:cstheme="minorHAnsi"/>
          <w:color w:val="000000"/>
          <w:sz w:val="22"/>
          <w:szCs w:val="22"/>
        </w:rPr>
        <w:t xml:space="preserve">. While the original programme logic was strongly oriented toward renewable energy generation, </w:t>
      </w:r>
      <w:r w:rsidR="00365A56" w:rsidRPr="005B6D16">
        <w:rPr>
          <w:rFonts w:asciiTheme="minorHAnsi" w:hAnsiTheme="minorHAnsi" w:cstheme="minorHAnsi"/>
          <w:color w:val="000000"/>
          <w:sz w:val="22"/>
          <w:szCs w:val="22"/>
        </w:rPr>
        <w:t>the realised portfolio has expanded into climate-relevant sectors where market and regulatory conditions allowed progress, including e-mobility, water infrastructure, circular manufacturing</w:t>
      </w:r>
      <w:r w:rsidRPr="005B6D16">
        <w:rPr>
          <w:rFonts w:asciiTheme="minorHAnsi" w:hAnsiTheme="minorHAnsi" w:cstheme="minorHAnsi"/>
          <w:color w:val="000000"/>
          <w:sz w:val="22"/>
          <w:szCs w:val="22"/>
        </w:rPr>
        <w:t>. This reflects a pragmatic response to Vietnam</w:t>
      </w:r>
      <w:r w:rsidRPr="005B6D16">
        <w:rPr>
          <w:rFonts w:asciiTheme="minorHAnsi" w:hAnsiTheme="minorHAnsi" w:cstheme="minorHAnsi" w:hint="eastAsia"/>
          <w:color w:val="000000"/>
          <w:sz w:val="22"/>
          <w:szCs w:val="22"/>
        </w:rPr>
        <w:t>’</w:t>
      </w:r>
      <w:r w:rsidRPr="005B6D16">
        <w:rPr>
          <w:rFonts w:asciiTheme="minorHAnsi" w:hAnsiTheme="minorHAnsi" w:cstheme="minorHAnsi"/>
          <w:color w:val="000000"/>
          <w:sz w:val="22"/>
          <w:szCs w:val="22"/>
        </w:rPr>
        <w:t xml:space="preserve">s regulatory and market conditions, particularly during a period when new renewable generation projects faced approval, licensing, and PPA-related delays. </w:t>
      </w:r>
    </w:p>
    <w:p w14:paraId="5ED845C0" w14:textId="727FA348" w:rsidR="000D0F92" w:rsidRPr="005B6D16" w:rsidRDefault="000D0F92" w:rsidP="000D0F92">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 xml:space="preserve">However, programme-level effectiveness has been noticeably weaker. Stakeholders consistently reported </w:t>
      </w:r>
      <w:r w:rsidR="00C31514" w:rsidRPr="005B6D16">
        <w:rPr>
          <w:rFonts w:ascii="Arial" w:hAnsi="Arial" w:cs="Arial"/>
          <w:color w:val="000000"/>
          <w:sz w:val="22"/>
          <w:szCs w:val="22"/>
        </w:rPr>
        <w:t>weaker stakeholder</w:t>
      </w:r>
      <w:r w:rsidRPr="005B6D16">
        <w:rPr>
          <w:rFonts w:ascii="Arial" w:hAnsi="Arial" w:cs="Arial"/>
          <w:color w:val="000000"/>
          <w:sz w:val="22"/>
          <w:szCs w:val="22"/>
        </w:rPr>
        <w:t xml:space="preserve"> engagement, delayed and insufficient reporting, weak alignment between PIDG’s corporate systems and AVETP’s country-level reporting needs, and inadequate local presence in Vietnam. This has reduced visibility of Australia’s contribution, placed additional pressure on DFAT Post for coordination and communication, and limited PIDG’s responsiveness in government engagement, upstream transaction development, and support for initiatives such as the </w:t>
      </w:r>
      <w:r w:rsidR="00365A56" w:rsidRPr="005B6D16">
        <w:rPr>
          <w:rFonts w:ascii="Arial" w:hAnsi="Arial" w:cs="Arial"/>
          <w:color w:val="000000"/>
          <w:sz w:val="22"/>
          <w:szCs w:val="22"/>
        </w:rPr>
        <w:t>CEF</w:t>
      </w:r>
      <w:r w:rsidRPr="005B6D16">
        <w:rPr>
          <w:rFonts w:ascii="Arial" w:hAnsi="Arial" w:cs="Arial"/>
          <w:color w:val="000000"/>
          <w:sz w:val="22"/>
          <w:szCs w:val="22"/>
        </w:rPr>
        <w:t xml:space="preserve">. The result is a clear </w:t>
      </w:r>
      <w:r w:rsidR="002839B8" w:rsidRPr="005B6D16">
        <w:rPr>
          <w:rFonts w:ascii="Arial" w:hAnsi="Arial" w:cs="Arial"/>
          <w:color w:val="000000"/>
          <w:sz w:val="22"/>
          <w:szCs w:val="22"/>
        </w:rPr>
        <w:t xml:space="preserve">aggregation and country-interface </w:t>
      </w:r>
      <w:r w:rsidRPr="005B6D16">
        <w:rPr>
          <w:rFonts w:ascii="Arial" w:hAnsi="Arial" w:cs="Arial"/>
          <w:color w:val="000000"/>
          <w:sz w:val="22"/>
          <w:szCs w:val="22"/>
        </w:rPr>
        <w:t>gap</w:t>
      </w:r>
      <w:r w:rsidR="002839B8" w:rsidRPr="005B6D16">
        <w:rPr>
          <w:rFonts w:ascii="Arial" w:hAnsi="Arial" w:cs="Arial"/>
          <w:color w:val="000000"/>
          <w:sz w:val="22"/>
          <w:szCs w:val="22"/>
        </w:rPr>
        <w:t>. While</w:t>
      </w:r>
      <w:r w:rsidRPr="005B6D16">
        <w:rPr>
          <w:rFonts w:ascii="Arial" w:hAnsi="Arial" w:cs="Arial"/>
          <w:color w:val="000000"/>
          <w:sz w:val="22"/>
          <w:szCs w:val="22"/>
        </w:rPr>
        <w:t xml:space="preserve"> </w:t>
      </w:r>
      <w:r w:rsidR="002839B8" w:rsidRPr="005B6D16">
        <w:rPr>
          <w:rFonts w:ascii="Arial" w:hAnsi="Arial" w:cs="Arial"/>
          <w:color w:val="000000"/>
          <w:sz w:val="22"/>
          <w:szCs w:val="22"/>
        </w:rPr>
        <w:t xml:space="preserve">useful transaction-level data exists, and PIDG has credible corporate monitoring capacity, </w:t>
      </w:r>
      <w:r w:rsidR="00500739" w:rsidRPr="005B6D16">
        <w:rPr>
          <w:rFonts w:ascii="Arial" w:hAnsi="Arial" w:cs="Arial"/>
          <w:color w:val="000000"/>
          <w:sz w:val="22"/>
          <w:szCs w:val="22"/>
        </w:rPr>
        <w:t xml:space="preserve">relevant </w:t>
      </w:r>
      <w:r w:rsidR="002839B8" w:rsidRPr="005B6D16">
        <w:rPr>
          <w:rFonts w:ascii="Arial" w:hAnsi="Arial" w:cs="Arial"/>
          <w:color w:val="000000"/>
          <w:sz w:val="22"/>
          <w:szCs w:val="22"/>
        </w:rPr>
        <w:t xml:space="preserve">data </w:t>
      </w:r>
      <w:r w:rsidR="00500739" w:rsidRPr="005B6D16">
        <w:rPr>
          <w:rFonts w:ascii="Arial" w:hAnsi="Arial" w:cs="Arial"/>
          <w:color w:val="000000"/>
          <w:sz w:val="22"/>
          <w:szCs w:val="22"/>
        </w:rPr>
        <w:t xml:space="preserve">is </w:t>
      </w:r>
      <w:r w:rsidR="002839B8" w:rsidRPr="005B6D16">
        <w:rPr>
          <w:rFonts w:ascii="Arial" w:hAnsi="Arial" w:cs="Arial"/>
          <w:color w:val="000000"/>
          <w:sz w:val="22"/>
          <w:szCs w:val="22"/>
        </w:rPr>
        <w:t>not consistently assembled, translated and reported through an AVETP-level framework that meet DFAT’s country-level management, reporting and visibility needs.</w:t>
      </w:r>
      <w:r w:rsidRPr="005B6D16">
        <w:rPr>
          <w:rFonts w:ascii="Arial" w:hAnsi="Arial" w:cs="Arial"/>
          <w:color w:val="000000"/>
          <w:sz w:val="22"/>
          <w:szCs w:val="22"/>
        </w:rPr>
        <w:t xml:space="preserve"> </w:t>
      </w:r>
    </w:p>
    <w:p w14:paraId="0C281D1D" w14:textId="7012964D" w:rsidR="00792463" w:rsidRPr="005B6D16" w:rsidRDefault="00030BBA" w:rsidP="000D0F92">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The remainder of this effectiveness section assesses progress against the two end-of-programme outcomes</w:t>
      </w:r>
      <w:r w:rsidR="00AC4FF3" w:rsidRPr="005B6D16">
        <w:rPr>
          <w:rFonts w:ascii="Arial" w:hAnsi="Arial" w:cs="Arial"/>
          <w:color w:val="000000"/>
          <w:sz w:val="22"/>
          <w:szCs w:val="22"/>
        </w:rPr>
        <w:t xml:space="preserve"> and the Credit Enhancement Facility (CEF)</w:t>
      </w:r>
      <w:r w:rsidRPr="005B6D16">
        <w:rPr>
          <w:rFonts w:ascii="Arial" w:hAnsi="Arial" w:cs="Arial"/>
          <w:color w:val="000000"/>
          <w:sz w:val="22"/>
          <w:szCs w:val="22"/>
        </w:rPr>
        <w:t>. It also draws on relevant case studies to illustrate how AVETP-supported transactions have contributed to results in practice across different sectors and financing instruments.</w:t>
      </w:r>
    </w:p>
    <w:p w14:paraId="653A4842" w14:textId="60506CDA" w:rsidR="00AE7105" w:rsidRPr="00C00B28" w:rsidRDefault="00AE7105" w:rsidP="003D231F">
      <w:pPr>
        <w:pStyle w:val="Heading2"/>
      </w:pPr>
      <w:bookmarkStart w:id="47" w:name="_Toc226976849"/>
      <w:bookmarkStart w:id="48" w:name="_Toc233026598"/>
      <w:r w:rsidRPr="00C00B28">
        <w:t>Finding by the End of Programme Outcomes (EOPOs)</w:t>
      </w:r>
      <w:bookmarkEnd w:id="47"/>
      <w:bookmarkEnd w:id="48"/>
      <w:r w:rsidR="007B57CD" w:rsidRPr="00C00B28">
        <w:t xml:space="preserve"> </w:t>
      </w:r>
    </w:p>
    <w:p w14:paraId="44D7D733" w14:textId="26C2BD00" w:rsidR="00AB27C5" w:rsidRPr="00AB27C5" w:rsidRDefault="00AC4FF3" w:rsidP="00261991">
      <w:pPr>
        <w:pStyle w:val="NormalWeb"/>
        <w:rPr>
          <w:rFonts w:asciiTheme="minorHAnsi" w:hAnsiTheme="minorHAnsi" w:cstheme="minorHAnsi"/>
          <w:b/>
          <w:bCs/>
          <w:color w:val="000000"/>
        </w:rPr>
      </w:pPr>
      <w:r>
        <w:rPr>
          <w:rFonts w:asciiTheme="minorHAnsi" w:hAnsiTheme="minorHAnsi" w:cstheme="minorHAnsi"/>
          <w:b/>
          <w:bCs/>
          <w:color w:val="000000"/>
        </w:rPr>
        <w:t>EOPO-</w:t>
      </w:r>
      <w:r w:rsidR="00AB27C5" w:rsidRPr="00AB27C5">
        <w:rPr>
          <w:rFonts w:asciiTheme="minorHAnsi" w:hAnsiTheme="minorHAnsi" w:cstheme="minorHAnsi"/>
          <w:b/>
          <w:bCs/>
          <w:color w:val="000000"/>
        </w:rPr>
        <w:t>1: Australia will play a visible and influential role in increasing and improving the quality of private investment in Vietnam’s transition to net zero. This includes both the renewable energy sector and small and medium enterprises (SMEs) supporting climate action</w:t>
      </w:r>
      <w:r>
        <w:rPr>
          <w:rFonts w:asciiTheme="minorHAnsi" w:hAnsiTheme="minorHAnsi" w:cstheme="minorHAnsi"/>
          <w:b/>
          <w:bCs/>
          <w:color w:val="000000"/>
        </w:rPr>
        <w:t>.</w:t>
      </w:r>
    </w:p>
    <w:p w14:paraId="64E0E9B2" w14:textId="385D4E2A" w:rsidR="009D25C9" w:rsidRPr="005B6D16" w:rsidRDefault="00051575" w:rsidP="00C4009E">
      <w:pPr>
        <w:rPr>
          <w:rFonts w:asciiTheme="minorHAnsi" w:hAnsiTheme="minorHAnsi" w:cstheme="minorHAnsi"/>
          <w:sz w:val="22"/>
          <w:szCs w:val="22"/>
        </w:rPr>
      </w:pPr>
      <w:r w:rsidRPr="005B6D16">
        <w:rPr>
          <w:rFonts w:asciiTheme="minorHAnsi" w:hAnsiTheme="minorHAnsi" w:cstheme="minorHAnsi"/>
          <w:sz w:val="22"/>
          <w:szCs w:val="22"/>
        </w:rPr>
        <w:t xml:space="preserve">Evidence suggests that AVETP has made a credible and influential contribution to increasing and improving the quality of private investment in Vietnam’s net zero transition. Through PIDG, the platform </w:t>
      </w:r>
      <w:r w:rsidRPr="005B6D16">
        <w:rPr>
          <w:rFonts w:asciiTheme="minorHAnsi" w:hAnsiTheme="minorHAnsi" w:cstheme="minorHAnsi"/>
          <w:sz w:val="22"/>
          <w:szCs w:val="22"/>
        </w:rPr>
        <w:lastRenderedPageBreak/>
        <w:t xml:space="preserve">has helped bring forward investments across renewable energy, e-mobility, water infrastructure, circular manufacturing, and early-stage distributed energy platforms. These transactions show that DFAT </w:t>
      </w:r>
      <w:r w:rsidR="00701BE2" w:rsidRPr="005B6D16">
        <w:rPr>
          <w:rFonts w:asciiTheme="minorHAnsi" w:hAnsiTheme="minorHAnsi" w:cstheme="minorHAnsi"/>
          <w:sz w:val="22"/>
          <w:szCs w:val="22"/>
        </w:rPr>
        <w:t xml:space="preserve">funding </w:t>
      </w:r>
      <w:r w:rsidRPr="005B6D16">
        <w:rPr>
          <w:rFonts w:asciiTheme="minorHAnsi" w:hAnsiTheme="minorHAnsi" w:cstheme="minorHAnsi"/>
          <w:sz w:val="22"/>
          <w:szCs w:val="22"/>
        </w:rPr>
        <w:t xml:space="preserve">PIDG’s support has helped unlock or accelerate private investment where capital was constrained, risk was perceived as high, or financing structures were not readily available through local markets. </w:t>
      </w:r>
    </w:p>
    <w:p w14:paraId="5BF7590A" w14:textId="366D371E" w:rsidR="00193B4A" w:rsidRPr="005B6D16" w:rsidRDefault="00051575" w:rsidP="001E7F0F">
      <w:pPr>
        <w:rPr>
          <w:rStyle w:val="Strong"/>
          <w:color w:val="000000"/>
          <w:sz w:val="22"/>
          <w:szCs w:val="22"/>
        </w:rPr>
      </w:pPr>
      <w:r w:rsidRPr="005B6D16">
        <w:rPr>
          <w:rFonts w:asciiTheme="minorHAnsi" w:hAnsiTheme="minorHAnsi" w:cstheme="minorHAnsi"/>
          <w:sz w:val="22"/>
          <w:szCs w:val="22"/>
        </w:rPr>
        <w:t xml:space="preserve">The strongest evidence lies not only in increased investment volumes, but in the quality, structure, and catalytic </w:t>
      </w:r>
      <w:r w:rsidR="009D25C9" w:rsidRPr="005B6D16">
        <w:rPr>
          <w:rFonts w:asciiTheme="minorHAnsi" w:hAnsiTheme="minorHAnsi" w:cstheme="minorHAnsi"/>
          <w:sz w:val="22"/>
          <w:szCs w:val="22"/>
        </w:rPr>
        <w:t>value of the</w:t>
      </w:r>
      <w:r w:rsidRPr="005B6D16">
        <w:rPr>
          <w:rFonts w:asciiTheme="minorHAnsi" w:hAnsiTheme="minorHAnsi" w:cstheme="minorHAnsi"/>
          <w:sz w:val="22"/>
          <w:szCs w:val="22"/>
        </w:rPr>
        <w:t xml:space="preserve"> investment. </w:t>
      </w:r>
      <w:r w:rsidR="00586313" w:rsidRPr="005B6D16">
        <w:rPr>
          <w:rStyle w:val="Strong"/>
          <w:rFonts w:ascii="Arial" w:hAnsi="Arial" w:cs="Arial"/>
          <w:b w:val="0"/>
          <w:bCs w:val="0"/>
          <w:color w:val="000000"/>
          <w:sz w:val="22"/>
          <w:szCs w:val="22"/>
        </w:rPr>
        <w:t xml:space="preserve">As summarised in Table </w:t>
      </w:r>
      <w:r w:rsidR="00E14FA1">
        <w:rPr>
          <w:rStyle w:val="Strong"/>
          <w:rFonts w:ascii="Arial" w:hAnsi="Arial" w:cs="Arial"/>
          <w:b w:val="0"/>
          <w:bCs w:val="0"/>
          <w:color w:val="000000"/>
          <w:sz w:val="22"/>
          <w:szCs w:val="22"/>
        </w:rPr>
        <w:t>6 -7</w:t>
      </w:r>
      <w:r w:rsidR="00586313" w:rsidRPr="005B6D16">
        <w:rPr>
          <w:rStyle w:val="Strong"/>
          <w:rFonts w:ascii="Arial" w:hAnsi="Arial" w:cs="Arial"/>
          <w:b w:val="0"/>
          <w:bCs w:val="0"/>
          <w:color w:val="000000"/>
          <w:sz w:val="22"/>
          <w:szCs w:val="22"/>
        </w:rPr>
        <w:t xml:space="preserve">, AVETP-supported transactions are associated with an estimated or projected 260,777 </w:t>
      </w:r>
      <w:proofErr w:type="spellStart"/>
      <w:r w:rsidR="00586313" w:rsidRPr="005B6D16">
        <w:rPr>
          <w:rStyle w:val="Strong"/>
          <w:rFonts w:ascii="Arial" w:hAnsi="Arial" w:cs="Arial"/>
          <w:b w:val="0"/>
          <w:bCs w:val="0"/>
          <w:color w:val="000000"/>
          <w:sz w:val="22"/>
          <w:szCs w:val="22"/>
        </w:rPr>
        <w:t>tCO</w:t>
      </w:r>
      <w:r w:rsidR="00586313" w:rsidRPr="005B6D16">
        <w:rPr>
          <w:rStyle w:val="Strong"/>
          <w:rFonts w:ascii="Cambria Math" w:hAnsi="Cambria Math" w:cs="Cambria Math"/>
          <w:b w:val="0"/>
          <w:bCs w:val="0"/>
          <w:color w:val="000000"/>
          <w:sz w:val="22"/>
          <w:szCs w:val="22"/>
        </w:rPr>
        <w:t>₂</w:t>
      </w:r>
      <w:r w:rsidR="00586313" w:rsidRPr="005B6D16">
        <w:rPr>
          <w:rStyle w:val="Strong"/>
          <w:rFonts w:ascii="Arial" w:hAnsi="Arial" w:cs="Arial"/>
          <w:b w:val="0"/>
          <w:bCs w:val="0"/>
          <w:color w:val="000000"/>
          <w:sz w:val="22"/>
          <w:szCs w:val="22"/>
        </w:rPr>
        <w:t>e</w:t>
      </w:r>
      <w:proofErr w:type="spellEnd"/>
      <w:r w:rsidR="00586313" w:rsidRPr="005B6D16">
        <w:rPr>
          <w:rStyle w:val="Strong"/>
          <w:rFonts w:ascii="Arial" w:hAnsi="Arial" w:cs="Arial"/>
          <w:b w:val="0"/>
          <w:bCs w:val="0"/>
          <w:color w:val="000000"/>
          <w:sz w:val="22"/>
          <w:szCs w:val="22"/>
        </w:rPr>
        <w:t>/year in avoided emissions, 313.68 MW of realised or planned renewable capacity, 382,060 MWh/year of current or projected renewable electricity generation, at least VND 4</w:t>
      </w:r>
      <w:r w:rsidR="00B32031">
        <w:rPr>
          <w:rStyle w:val="Strong"/>
          <w:rFonts w:ascii="Arial" w:hAnsi="Arial" w:cs="Arial"/>
          <w:b w:val="0"/>
          <w:bCs w:val="0"/>
          <w:color w:val="000000"/>
          <w:sz w:val="22"/>
          <w:szCs w:val="22"/>
        </w:rPr>
        <w:t>78</w:t>
      </w:r>
      <w:r w:rsidR="00586313" w:rsidRPr="005B6D16">
        <w:rPr>
          <w:rStyle w:val="Strong"/>
          <w:rFonts w:ascii="Arial" w:hAnsi="Arial" w:cs="Arial"/>
          <w:b w:val="0"/>
          <w:bCs w:val="0"/>
          <w:color w:val="000000"/>
          <w:sz w:val="22"/>
          <w:szCs w:val="22"/>
        </w:rPr>
        <w:t>bn in green bond-related finance, and USD 129.8m in additional or projected private capital mobilisation.</w:t>
      </w:r>
      <w:r w:rsidR="00586313" w:rsidRPr="005B6D16">
        <w:rPr>
          <w:rStyle w:val="Strong"/>
          <w:color w:val="000000"/>
          <w:sz w:val="22"/>
          <w:szCs w:val="22"/>
        </w:rPr>
        <w:t xml:space="preserve"> </w:t>
      </w:r>
    </w:p>
    <w:p w14:paraId="63D79B13" w14:textId="103373AE" w:rsidR="00051575" w:rsidRPr="005B6D16" w:rsidRDefault="00051575" w:rsidP="005F3315">
      <w:pPr>
        <w:spacing w:before="240"/>
        <w:rPr>
          <w:rFonts w:asciiTheme="minorHAnsi" w:hAnsiTheme="minorHAnsi" w:cstheme="minorHAnsi"/>
          <w:sz w:val="22"/>
          <w:szCs w:val="22"/>
        </w:rPr>
      </w:pPr>
      <w:r w:rsidRPr="005B6D16">
        <w:rPr>
          <w:rFonts w:asciiTheme="minorHAnsi" w:hAnsiTheme="minorHAnsi" w:cstheme="minorHAnsi"/>
          <w:sz w:val="22"/>
          <w:szCs w:val="22"/>
        </w:rPr>
        <w:t>A further strength is the way AVETP has improved the quality and credibility of investees and projects. Across the case studies, PIDG support strengthened ESG, HSES, governance, documentation, and risk management systems</w:t>
      </w:r>
      <w:r w:rsidR="005E4BFD" w:rsidRPr="005B6D16">
        <w:rPr>
          <w:rFonts w:asciiTheme="minorHAnsi" w:hAnsiTheme="minorHAnsi" w:cstheme="minorHAnsi"/>
          <w:sz w:val="22"/>
          <w:szCs w:val="22"/>
        </w:rPr>
        <w:t xml:space="preserve"> and investor readiness</w:t>
      </w:r>
      <w:r w:rsidRPr="005B6D16">
        <w:rPr>
          <w:rFonts w:asciiTheme="minorHAnsi" w:hAnsiTheme="minorHAnsi" w:cstheme="minorHAnsi"/>
          <w:sz w:val="22"/>
          <w:szCs w:val="22"/>
        </w:rPr>
        <w:t>. This has helped prepare firms for later rounds of finance, improve investor confidence, and demonstrate more robust standards in emerging sectors. In this sense, AVETP’s influence is strongest in transaction quality, additionality, and demonstration effect rather than in headline volume alone. </w:t>
      </w:r>
      <w:r w:rsidR="00AC4FF3" w:rsidRPr="005B6D16">
        <w:rPr>
          <w:rFonts w:asciiTheme="minorHAnsi" w:hAnsiTheme="minorHAnsi" w:cstheme="minorHAnsi"/>
          <w:sz w:val="22"/>
          <w:szCs w:val="22"/>
        </w:rPr>
        <w:t xml:space="preserve"> </w:t>
      </w:r>
    </w:p>
    <w:p w14:paraId="47630710" w14:textId="7632D4B2" w:rsidR="00CC3701" w:rsidRPr="005B6D16" w:rsidRDefault="00CC3701" w:rsidP="005F3315">
      <w:pPr>
        <w:spacing w:before="240"/>
        <w:rPr>
          <w:rFonts w:asciiTheme="minorHAnsi" w:hAnsiTheme="minorHAnsi" w:cstheme="minorHAnsi"/>
          <w:color w:val="000000"/>
          <w:sz w:val="22"/>
          <w:szCs w:val="22"/>
        </w:rPr>
      </w:pPr>
      <w:r w:rsidRPr="005B6D16">
        <w:rPr>
          <w:rFonts w:asciiTheme="minorHAnsi" w:hAnsiTheme="minorHAnsi" w:cstheme="minorHAnsi"/>
          <w:color w:val="000000"/>
          <w:sz w:val="22"/>
          <w:szCs w:val="22"/>
        </w:rPr>
        <w:t>The capital market contribution is also important. Aqua-One and BPG demonstrate how guarantees and blended structures can help make long-tenor, climate-aligned finance more feasible in sectors where local bank finance may be shorter-term or less suitable. CME</w:t>
      </w:r>
      <w:r w:rsidRPr="005B6D16">
        <w:rPr>
          <w:rFonts w:asciiTheme="minorHAnsi" w:hAnsiTheme="minorHAnsi" w:cstheme="minorHAnsi" w:hint="eastAsia"/>
          <w:color w:val="000000"/>
          <w:sz w:val="22"/>
          <w:szCs w:val="22"/>
        </w:rPr>
        <w:t>’</w:t>
      </w:r>
      <w:r w:rsidRPr="005B6D16">
        <w:rPr>
          <w:rFonts w:asciiTheme="minorHAnsi" w:hAnsiTheme="minorHAnsi" w:cstheme="minorHAnsi"/>
          <w:color w:val="000000"/>
          <w:sz w:val="22"/>
          <w:szCs w:val="22"/>
        </w:rPr>
        <w:t xml:space="preserve">s mobilisation of both local debt and foreign debt also shows that AVETP-supported transactions can help combine domestic and international finance. </w:t>
      </w:r>
      <w:r w:rsidR="00586313" w:rsidRPr="005B6D16">
        <w:rPr>
          <w:rStyle w:val="Strong"/>
          <w:rFonts w:asciiTheme="minorHAnsi" w:hAnsiTheme="minorHAnsi" w:cstheme="minorHAnsi"/>
          <w:b w:val="0"/>
          <w:bCs w:val="0"/>
          <w:color w:val="000000"/>
          <w:sz w:val="22"/>
          <w:szCs w:val="22"/>
        </w:rPr>
        <w:t>As shown in the Table-</w:t>
      </w:r>
      <w:r w:rsidR="00E14FA1">
        <w:rPr>
          <w:rStyle w:val="Strong"/>
          <w:rFonts w:asciiTheme="minorHAnsi" w:hAnsiTheme="minorHAnsi" w:cstheme="minorHAnsi"/>
          <w:b w:val="0"/>
          <w:bCs w:val="0"/>
          <w:color w:val="000000"/>
          <w:sz w:val="22"/>
          <w:szCs w:val="22"/>
        </w:rPr>
        <w:t>6</w:t>
      </w:r>
      <w:r w:rsidR="00586313" w:rsidRPr="005B6D16">
        <w:rPr>
          <w:rStyle w:val="Strong"/>
          <w:rFonts w:asciiTheme="minorHAnsi" w:hAnsiTheme="minorHAnsi" w:cstheme="minorHAnsi"/>
          <w:b w:val="0"/>
          <w:bCs w:val="0"/>
          <w:color w:val="000000"/>
          <w:sz w:val="22"/>
          <w:szCs w:val="22"/>
        </w:rPr>
        <w:t xml:space="preserve">, the finance results include at least VND </w:t>
      </w:r>
      <w:r w:rsidR="00DD5E46">
        <w:rPr>
          <w:rStyle w:val="Strong"/>
          <w:rFonts w:asciiTheme="minorHAnsi" w:hAnsiTheme="minorHAnsi" w:cstheme="minorHAnsi"/>
          <w:b w:val="0"/>
          <w:bCs w:val="0"/>
          <w:color w:val="000000"/>
          <w:sz w:val="22"/>
          <w:szCs w:val="22"/>
        </w:rPr>
        <w:t>478</w:t>
      </w:r>
      <w:r w:rsidR="00586313" w:rsidRPr="005B6D16">
        <w:rPr>
          <w:rStyle w:val="Strong"/>
          <w:rFonts w:asciiTheme="minorHAnsi" w:hAnsiTheme="minorHAnsi" w:cstheme="minorHAnsi"/>
          <w:b w:val="0"/>
          <w:bCs w:val="0"/>
          <w:color w:val="000000"/>
          <w:sz w:val="22"/>
          <w:szCs w:val="22"/>
        </w:rPr>
        <w:t xml:space="preserve">bn in green bond-related finance, USD 40.9m and VND 391bn in foreign and local debt mobilised, and USD 129.8m in additional or projected private capital mobilisation. </w:t>
      </w:r>
      <w:r w:rsidRPr="005B6D16">
        <w:rPr>
          <w:rFonts w:asciiTheme="minorHAnsi" w:hAnsiTheme="minorHAnsi" w:cstheme="minorHAnsi"/>
          <w:color w:val="000000"/>
          <w:sz w:val="22"/>
          <w:szCs w:val="22"/>
        </w:rPr>
        <w:t>These examples indicate a contribution to market development through guarantees, local currency solutions, first-time issuers, and financing structures that may be replicated in other sectors.</w:t>
      </w:r>
    </w:p>
    <w:p w14:paraId="3EF06C77" w14:textId="30369824" w:rsidR="00FB15E9" w:rsidRDefault="00FB15E9" w:rsidP="005F3315">
      <w:pPr>
        <w:spacing w:before="240"/>
        <w:rPr>
          <w:rFonts w:asciiTheme="minorHAnsi" w:hAnsiTheme="minorHAnsi" w:cstheme="minorHAnsi"/>
          <w:color w:val="000000"/>
          <w:sz w:val="22"/>
          <w:szCs w:val="22"/>
        </w:rPr>
      </w:pPr>
      <w:r w:rsidRPr="005B6D16">
        <w:rPr>
          <w:rFonts w:asciiTheme="minorHAnsi" w:hAnsiTheme="minorHAnsi" w:cstheme="minorHAnsi"/>
          <w:color w:val="000000"/>
          <w:sz w:val="22"/>
          <w:szCs w:val="22"/>
        </w:rPr>
        <w:t>PIDG, investees, and some government and market stakeholders recognise Australia</w:t>
      </w:r>
      <w:r w:rsidRPr="005B6D16">
        <w:rPr>
          <w:rFonts w:asciiTheme="minorHAnsi" w:hAnsiTheme="minorHAnsi" w:cstheme="minorHAnsi" w:hint="eastAsia"/>
          <w:color w:val="000000"/>
          <w:sz w:val="22"/>
          <w:szCs w:val="22"/>
        </w:rPr>
        <w:t>’</w:t>
      </w:r>
      <w:r w:rsidRPr="005B6D16">
        <w:rPr>
          <w:rFonts w:asciiTheme="minorHAnsi" w:hAnsiTheme="minorHAnsi" w:cstheme="minorHAnsi"/>
          <w:color w:val="000000"/>
          <w:sz w:val="22"/>
          <w:szCs w:val="22"/>
        </w:rPr>
        <w:t>s contribution, particularly at the transaction level. PIDG is also gaining increased visibility in Vietnam</w:t>
      </w:r>
      <w:r w:rsidRPr="005B6D16">
        <w:rPr>
          <w:rFonts w:asciiTheme="minorHAnsi" w:hAnsiTheme="minorHAnsi" w:cstheme="minorHAnsi" w:hint="eastAsia"/>
          <w:color w:val="000000"/>
          <w:sz w:val="22"/>
          <w:szCs w:val="22"/>
        </w:rPr>
        <w:t>’</w:t>
      </w:r>
      <w:r w:rsidRPr="005B6D16">
        <w:rPr>
          <w:rFonts w:asciiTheme="minorHAnsi" w:hAnsiTheme="minorHAnsi" w:cstheme="minorHAnsi"/>
          <w:color w:val="000000"/>
          <w:sz w:val="22"/>
          <w:szCs w:val="22"/>
        </w:rPr>
        <w:t>s private sector through recent transactions and its practice of issuing media releases when transactions close. However, the broader AVETP public-facing identity is less visible across the wider market engagement. This limits the extent to which Australia</w:t>
      </w:r>
      <w:r w:rsidRPr="005B6D16">
        <w:rPr>
          <w:rFonts w:asciiTheme="minorHAnsi" w:hAnsiTheme="minorHAnsi" w:cstheme="minorHAnsi" w:hint="eastAsia"/>
          <w:color w:val="000000"/>
          <w:sz w:val="22"/>
          <w:szCs w:val="22"/>
        </w:rPr>
        <w:t>’</w:t>
      </w:r>
      <w:r w:rsidRPr="005B6D16">
        <w:rPr>
          <w:rFonts w:asciiTheme="minorHAnsi" w:hAnsiTheme="minorHAnsi" w:cstheme="minorHAnsi"/>
          <w:color w:val="000000"/>
          <w:sz w:val="22"/>
          <w:szCs w:val="22"/>
        </w:rPr>
        <w:t>s role is understood as a coherent contribution to Vietnam</w:t>
      </w:r>
      <w:r w:rsidRPr="005B6D16">
        <w:rPr>
          <w:rFonts w:asciiTheme="minorHAnsi" w:hAnsiTheme="minorHAnsi" w:cstheme="minorHAnsi" w:hint="eastAsia"/>
          <w:color w:val="000000"/>
          <w:sz w:val="22"/>
          <w:szCs w:val="22"/>
        </w:rPr>
        <w:t>’</w:t>
      </w:r>
      <w:r w:rsidRPr="005B6D16">
        <w:rPr>
          <w:rFonts w:asciiTheme="minorHAnsi" w:hAnsiTheme="minorHAnsi" w:cstheme="minorHAnsi"/>
          <w:color w:val="000000"/>
          <w:sz w:val="22"/>
          <w:szCs w:val="22"/>
        </w:rPr>
        <w:t>s sustainable infrastructure and green finance agenda, beyond its association with specific PIDG-supported transactions.</w:t>
      </w:r>
    </w:p>
    <w:p w14:paraId="32B39DE5" w14:textId="132E4B95" w:rsidR="00051575" w:rsidRDefault="00051575" w:rsidP="00051575">
      <w:pPr>
        <w:pStyle w:val="Caption"/>
        <w:keepNext/>
        <w:jc w:val="left"/>
        <w:rPr>
          <w:i w:val="0"/>
          <w:iCs/>
          <w:sz w:val="18"/>
        </w:rPr>
      </w:pPr>
      <w:bookmarkStart w:id="49" w:name="_Toc230168210"/>
      <w:bookmarkStart w:id="50" w:name="_Toc233026565"/>
      <w:r w:rsidRPr="00051575">
        <w:rPr>
          <w:i w:val="0"/>
          <w:iCs/>
          <w:sz w:val="18"/>
        </w:rPr>
        <w:t xml:space="preserve">Table </w:t>
      </w:r>
      <w:r w:rsidRPr="00051575">
        <w:rPr>
          <w:i w:val="0"/>
          <w:iCs/>
          <w:sz w:val="18"/>
        </w:rPr>
        <w:fldChar w:fldCharType="begin"/>
      </w:r>
      <w:r w:rsidRPr="00051575">
        <w:rPr>
          <w:i w:val="0"/>
          <w:iCs/>
          <w:sz w:val="18"/>
        </w:rPr>
        <w:instrText xml:space="preserve"> SEQ Table \* ARABIC </w:instrText>
      </w:r>
      <w:r w:rsidRPr="00051575">
        <w:rPr>
          <w:i w:val="0"/>
          <w:iCs/>
          <w:sz w:val="18"/>
        </w:rPr>
        <w:fldChar w:fldCharType="separate"/>
      </w:r>
      <w:r w:rsidR="006C7E0E">
        <w:rPr>
          <w:i w:val="0"/>
          <w:iCs/>
          <w:noProof/>
          <w:sz w:val="18"/>
        </w:rPr>
        <w:t>6</w:t>
      </w:r>
      <w:r w:rsidRPr="00051575">
        <w:rPr>
          <w:i w:val="0"/>
          <w:iCs/>
          <w:sz w:val="18"/>
        </w:rPr>
        <w:fldChar w:fldCharType="end"/>
      </w:r>
      <w:r w:rsidRPr="00051575">
        <w:rPr>
          <w:i w:val="0"/>
          <w:iCs/>
          <w:sz w:val="18"/>
        </w:rPr>
        <w:t xml:space="preserve">: </w:t>
      </w:r>
      <w:r w:rsidR="0033086C">
        <w:rPr>
          <w:i w:val="0"/>
          <w:iCs/>
          <w:sz w:val="18"/>
        </w:rPr>
        <w:t xml:space="preserve">Portfolio reach and results </w:t>
      </w:r>
      <w:proofErr w:type="gramStart"/>
      <w:r w:rsidR="0033086C">
        <w:rPr>
          <w:i w:val="0"/>
          <w:iCs/>
          <w:sz w:val="18"/>
        </w:rPr>
        <w:t>at a glance</w:t>
      </w:r>
      <w:bookmarkEnd w:id="49"/>
      <w:bookmarkEnd w:id="50"/>
      <w:proofErr w:type="gramEnd"/>
      <w:r w:rsidR="0033086C">
        <w:rPr>
          <w:i w:val="0"/>
          <w:iCs/>
          <w:sz w:val="18"/>
        </w:rPr>
        <w:t xml:space="preserve"> </w:t>
      </w:r>
    </w:p>
    <w:tbl>
      <w:tblPr>
        <w:tblStyle w:val="CBSTable1"/>
        <w:tblW w:w="0" w:type="auto"/>
        <w:tblLook w:val="04A0" w:firstRow="1" w:lastRow="0" w:firstColumn="1" w:lastColumn="0" w:noHBand="0" w:noVBand="1"/>
      </w:tblPr>
      <w:tblGrid>
        <w:gridCol w:w="1696"/>
        <w:gridCol w:w="1985"/>
        <w:gridCol w:w="1276"/>
        <w:gridCol w:w="5232"/>
      </w:tblGrid>
      <w:tr w:rsidR="00B21DD6" w:rsidRPr="00B21DD6" w14:paraId="395300A3" w14:textId="77777777" w:rsidTr="0075316B">
        <w:trPr>
          <w:tblHeader/>
        </w:trPr>
        <w:tc>
          <w:tcPr>
            <w:tcW w:w="1696" w:type="dxa"/>
            <w:shd w:val="clear" w:color="auto" w:fill="0065BC" w:themeFill="background2"/>
            <w:hideMark/>
          </w:tcPr>
          <w:p w14:paraId="2770E33E" w14:textId="77777777" w:rsidR="00B21DD6" w:rsidRPr="00146589" w:rsidRDefault="00B21DD6">
            <w:pPr>
              <w:jc w:val="cente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Results area</w:t>
            </w:r>
          </w:p>
        </w:tc>
        <w:tc>
          <w:tcPr>
            <w:tcW w:w="1985" w:type="dxa"/>
            <w:shd w:val="clear" w:color="auto" w:fill="0065BC" w:themeFill="background2"/>
            <w:hideMark/>
          </w:tcPr>
          <w:p w14:paraId="30CA9119" w14:textId="77777777" w:rsidR="00B21DD6" w:rsidRPr="00146589" w:rsidRDefault="00B21DD6">
            <w:pPr>
              <w:jc w:val="right"/>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Result</w:t>
            </w:r>
          </w:p>
        </w:tc>
        <w:tc>
          <w:tcPr>
            <w:tcW w:w="1276" w:type="dxa"/>
            <w:shd w:val="clear" w:color="auto" w:fill="0065BC" w:themeFill="background2"/>
            <w:hideMark/>
          </w:tcPr>
          <w:p w14:paraId="662D422C" w14:textId="77777777" w:rsidR="00B21DD6" w:rsidRPr="00146589" w:rsidRDefault="00B21DD6">
            <w:pPr>
              <w:jc w:val="right"/>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Value</w:t>
            </w:r>
          </w:p>
        </w:tc>
        <w:tc>
          <w:tcPr>
            <w:tcW w:w="5232" w:type="dxa"/>
            <w:shd w:val="clear" w:color="auto" w:fill="0065BC" w:themeFill="background2"/>
            <w:hideMark/>
          </w:tcPr>
          <w:p w14:paraId="715086DF" w14:textId="77777777" w:rsidR="00B21DD6" w:rsidRPr="00146589" w:rsidRDefault="00B21DD6">
            <w:pPr>
              <w:jc w:val="cente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What this means</w:t>
            </w:r>
          </w:p>
        </w:tc>
      </w:tr>
      <w:tr w:rsidR="00B21DD6" w:rsidRPr="00B21DD6" w14:paraId="53CBCEFA" w14:textId="77777777" w:rsidTr="0075316B">
        <w:tc>
          <w:tcPr>
            <w:tcW w:w="1696" w:type="dxa"/>
            <w:hideMark/>
          </w:tcPr>
          <w:p w14:paraId="404C4F25" w14:textId="77777777" w:rsidR="00B21DD6" w:rsidRPr="009A291C" w:rsidRDefault="00B21DD6">
            <w:pPr>
              <w:rPr>
                <w:rFonts w:asciiTheme="minorHAnsi" w:hAnsiTheme="minorHAnsi" w:cstheme="minorHAnsi"/>
                <w:color w:val="000000"/>
                <w:sz w:val="20"/>
                <w:szCs w:val="20"/>
              </w:rPr>
            </w:pPr>
            <w:r w:rsidRPr="009A291C">
              <w:rPr>
                <w:rFonts w:asciiTheme="minorHAnsi" w:hAnsiTheme="minorHAnsi" w:cstheme="minorHAnsi"/>
                <w:color w:val="000000"/>
                <w:sz w:val="20"/>
                <w:szCs w:val="20"/>
              </w:rPr>
              <w:t>Climate impact</w:t>
            </w:r>
          </w:p>
        </w:tc>
        <w:tc>
          <w:tcPr>
            <w:tcW w:w="1985" w:type="dxa"/>
            <w:hideMark/>
          </w:tcPr>
          <w:p w14:paraId="4A8527CA" w14:textId="77777777" w:rsidR="00B21DD6" w:rsidRPr="009A291C" w:rsidRDefault="00B21DD6" w:rsidP="0075316B">
            <w:pPr>
              <w:rPr>
                <w:rFonts w:asciiTheme="minorHAnsi" w:hAnsiTheme="minorHAnsi" w:cstheme="minorHAnsi"/>
                <w:color w:val="000000"/>
                <w:sz w:val="20"/>
                <w:szCs w:val="20"/>
              </w:rPr>
            </w:pPr>
            <w:r w:rsidRPr="009A291C">
              <w:rPr>
                <w:rFonts w:asciiTheme="minorHAnsi" w:hAnsiTheme="minorHAnsi" w:cstheme="minorHAnsi"/>
                <w:color w:val="000000"/>
                <w:sz w:val="20"/>
                <w:szCs w:val="20"/>
              </w:rPr>
              <w:t>Estimated or projected emissions avoided</w:t>
            </w:r>
          </w:p>
        </w:tc>
        <w:tc>
          <w:tcPr>
            <w:tcW w:w="1276" w:type="dxa"/>
            <w:hideMark/>
          </w:tcPr>
          <w:p w14:paraId="7154590E" w14:textId="77777777" w:rsidR="00B21DD6" w:rsidRPr="009A291C" w:rsidRDefault="00B21DD6">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 xml:space="preserve">260,777 </w:t>
            </w:r>
            <w:proofErr w:type="spellStart"/>
            <w:r w:rsidRPr="009A291C">
              <w:rPr>
                <w:rFonts w:asciiTheme="minorHAnsi" w:hAnsiTheme="minorHAnsi" w:cstheme="minorHAnsi"/>
                <w:color w:val="000000"/>
                <w:sz w:val="20"/>
                <w:szCs w:val="20"/>
              </w:rPr>
              <w:t>tCO</w:t>
            </w:r>
            <w:r w:rsidRPr="009A291C">
              <w:rPr>
                <w:rFonts w:ascii="Cambria Math" w:hAnsi="Cambria Math" w:cs="Cambria Math"/>
                <w:color w:val="000000"/>
                <w:sz w:val="20"/>
                <w:szCs w:val="20"/>
              </w:rPr>
              <w:t>₂</w:t>
            </w:r>
            <w:r w:rsidRPr="009A291C">
              <w:rPr>
                <w:rFonts w:asciiTheme="minorHAnsi" w:hAnsiTheme="minorHAnsi" w:cstheme="minorHAnsi"/>
                <w:color w:val="000000"/>
                <w:sz w:val="20"/>
                <w:szCs w:val="20"/>
              </w:rPr>
              <w:t>e</w:t>
            </w:r>
            <w:proofErr w:type="spellEnd"/>
            <w:r w:rsidRPr="009A291C">
              <w:rPr>
                <w:rFonts w:asciiTheme="minorHAnsi" w:hAnsiTheme="minorHAnsi" w:cstheme="minorHAnsi"/>
                <w:color w:val="000000"/>
                <w:sz w:val="20"/>
                <w:szCs w:val="20"/>
              </w:rPr>
              <w:t>/year</w:t>
            </w:r>
          </w:p>
        </w:tc>
        <w:tc>
          <w:tcPr>
            <w:tcW w:w="5232" w:type="dxa"/>
            <w:hideMark/>
          </w:tcPr>
          <w:p w14:paraId="4BE964C6" w14:textId="77777777" w:rsidR="00B21DD6" w:rsidRPr="009A291C" w:rsidRDefault="00B21DD6">
            <w:pPr>
              <w:rPr>
                <w:rFonts w:asciiTheme="minorHAnsi" w:hAnsiTheme="minorHAnsi" w:cstheme="minorHAnsi"/>
                <w:color w:val="000000"/>
                <w:sz w:val="20"/>
                <w:szCs w:val="20"/>
              </w:rPr>
            </w:pPr>
            <w:r w:rsidRPr="009A291C">
              <w:rPr>
                <w:rFonts w:asciiTheme="minorHAnsi" w:hAnsiTheme="minorHAnsi" w:cstheme="minorHAnsi"/>
                <w:color w:val="000000"/>
                <w:sz w:val="20"/>
                <w:szCs w:val="20"/>
              </w:rPr>
              <w:t>Combined estimated and projected emissions avoided across clean mobility, rooftop solar, water-related solar, recycling, and distributed energy pipeline results.</w:t>
            </w:r>
          </w:p>
        </w:tc>
      </w:tr>
      <w:tr w:rsidR="00B21DD6" w:rsidRPr="00B21DD6" w14:paraId="746199DA" w14:textId="77777777" w:rsidTr="0075316B">
        <w:tc>
          <w:tcPr>
            <w:tcW w:w="1696" w:type="dxa"/>
            <w:hideMark/>
          </w:tcPr>
          <w:p w14:paraId="4CD03EDC" w14:textId="77777777" w:rsidR="00B21DD6" w:rsidRPr="009A291C" w:rsidRDefault="00B21DD6">
            <w:pPr>
              <w:rPr>
                <w:rFonts w:asciiTheme="minorHAnsi" w:hAnsiTheme="minorHAnsi" w:cstheme="minorHAnsi"/>
                <w:color w:val="000000"/>
                <w:sz w:val="20"/>
                <w:szCs w:val="20"/>
              </w:rPr>
            </w:pPr>
            <w:r w:rsidRPr="009A291C">
              <w:rPr>
                <w:rFonts w:asciiTheme="minorHAnsi" w:hAnsiTheme="minorHAnsi" w:cstheme="minorHAnsi"/>
                <w:color w:val="000000"/>
                <w:sz w:val="20"/>
                <w:szCs w:val="20"/>
              </w:rPr>
              <w:t>Renewable capacity</w:t>
            </w:r>
          </w:p>
        </w:tc>
        <w:tc>
          <w:tcPr>
            <w:tcW w:w="1985" w:type="dxa"/>
            <w:hideMark/>
          </w:tcPr>
          <w:p w14:paraId="6C08694B" w14:textId="77777777" w:rsidR="00B21DD6" w:rsidRPr="009A291C" w:rsidRDefault="00B21DD6" w:rsidP="0075316B">
            <w:pPr>
              <w:rPr>
                <w:rFonts w:asciiTheme="minorHAnsi" w:hAnsiTheme="minorHAnsi" w:cstheme="minorHAnsi"/>
                <w:color w:val="000000"/>
                <w:sz w:val="20"/>
                <w:szCs w:val="20"/>
              </w:rPr>
            </w:pPr>
            <w:r w:rsidRPr="009A291C">
              <w:rPr>
                <w:rFonts w:asciiTheme="minorHAnsi" w:hAnsiTheme="minorHAnsi" w:cstheme="minorHAnsi"/>
                <w:color w:val="000000"/>
                <w:sz w:val="20"/>
                <w:szCs w:val="20"/>
              </w:rPr>
              <w:t>Installed or planned renewable capacity</w:t>
            </w:r>
          </w:p>
        </w:tc>
        <w:tc>
          <w:tcPr>
            <w:tcW w:w="1276" w:type="dxa"/>
            <w:hideMark/>
          </w:tcPr>
          <w:p w14:paraId="19BC4741" w14:textId="77777777" w:rsidR="00B21DD6" w:rsidRPr="009A291C" w:rsidRDefault="00B21DD6">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313.68 MW</w:t>
            </w:r>
          </w:p>
        </w:tc>
        <w:tc>
          <w:tcPr>
            <w:tcW w:w="5232" w:type="dxa"/>
            <w:hideMark/>
          </w:tcPr>
          <w:p w14:paraId="67063664" w14:textId="77777777" w:rsidR="00B21DD6" w:rsidRPr="009A291C" w:rsidRDefault="00B21DD6">
            <w:pPr>
              <w:rPr>
                <w:rFonts w:asciiTheme="minorHAnsi" w:hAnsiTheme="minorHAnsi" w:cstheme="minorHAnsi"/>
                <w:color w:val="000000"/>
                <w:sz w:val="20"/>
                <w:szCs w:val="20"/>
              </w:rPr>
            </w:pPr>
            <w:r w:rsidRPr="009A291C">
              <w:rPr>
                <w:rFonts w:asciiTheme="minorHAnsi" w:hAnsiTheme="minorHAnsi" w:cstheme="minorHAnsi"/>
                <w:color w:val="000000"/>
                <w:sz w:val="20"/>
                <w:szCs w:val="20"/>
              </w:rPr>
              <w:t>Combined realised and planned renewable capacity supported across relevant AVETP transactions.</w:t>
            </w:r>
          </w:p>
        </w:tc>
      </w:tr>
      <w:tr w:rsidR="00B21DD6" w:rsidRPr="00B21DD6" w14:paraId="5157DB08" w14:textId="77777777" w:rsidTr="0075316B">
        <w:tc>
          <w:tcPr>
            <w:tcW w:w="1696" w:type="dxa"/>
            <w:hideMark/>
          </w:tcPr>
          <w:p w14:paraId="5F58463E" w14:textId="77777777" w:rsidR="00B21DD6" w:rsidRPr="009A291C" w:rsidRDefault="00B21DD6">
            <w:pPr>
              <w:rPr>
                <w:rFonts w:asciiTheme="minorHAnsi" w:hAnsiTheme="minorHAnsi" w:cstheme="minorHAnsi"/>
                <w:color w:val="000000"/>
                <w:sz w:val="20"/>
                <w:szCs w:val="20"/>
              </w:rPr>
            </w:pPr>
            <w:r w:rsidRPr="009A291C">
              <w:rPr>
                <w:rFonts w:asciiTheme="minorHAnsi" w:hAnsiTheme="minorHAnsi" w:cstheme="minorHAnsi"/>
                <w:color w:val="000000"/>
                <w:sz w:val="20"/>
                <w:szCs w:val="20"/>
              </w:rPr>
              <w:t>Clean generation</w:t>
            </w:r>
          </w:p>
        </w:tc>
        <w:tc>
          <w:tcPr>
            <w:tcW w:w="1985" w:type="dxa"/>
            <w:hideMark/>
          </w:tcPr>
          <w:p w14:paraId="588B90B6" w14:textId="77777777" w:rsidR="00B21DD6" w:rsidRPr="009A291C" w:rsidRDefault="00B21DD6" w:rsidP="0075316B">
            <w:pPr>
              <w:rPr>
                <w:rFonts w:asciiTheme="minorHAnsi" w:hAnsiTheme="minorHAnsi" w:cstheme="minorHAnsi"/>
                <w:color w:val="000000"/>
                <w:sz w:val="20"/>
                <w:szCs w:val="20"/>
              </w:rPr>
            </w:pPr>
            <w:r w:rsidRPr="009A291C">
              <w:rPr>
                <w:rFonts w:asciiTheme="minorHAnsi" w:hAnsiTheme="minorHAnsi" w:cstheme="minorHAnsi"/>
                <w:color w:val="000000"/>
                <w:sz w:val="20"/>
                <w:szCs w:val="20"/>
              </w:rPr>
              <w:t>Current or projected renewable electricity generation</w:t>
            </w:r>
          </w:p>
        </w:tc>
        <w:tc>
          <w:tcPr>
            <w:tcW w:w="1276" w:type="dxa"/>
            <w:hideMark/>
          </w:tcPr>
          <w:p w14:paraId="7D3B8E4C" w14:textId="77777777" w:rsidR="00B21DD6" w:rsidRPr="009A291C" w:rsidRDefault="00B21DD6">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382,060 MWh/year</w:t>
            </w:r>
          </w:p>
        </w:tc>
        <w:tc>
          <w:tcPr>
            <w:tcW w:w="5232" w:type="dxa"/>
            <w:hideMark/>
          </w:tcPr>
          <w:p w14:paraId="70CF074C" w14:textId="77777777" w:rsidR="00B21DD6" w:rsidRPr="009A291C" w:rsidRDefault="00B21DD6">
            <w:pPr>
              <w:rPr>
                <w:rFonts w:asciiTheme="minorHAnsi" w:hAnsiTheme="minorHAnsi" w:cstheme="minorHAnsi"/>
                <w:color w:val="000000"/>
                <w:sz w:val="20"/>
                <w:szCs w:val="20"/>
              </w:rPr>
            </w:pPr>
            <w:r w:rsidRPr="009A291C">
              <w:rPr>
                <w:rFonts w:asciiTheme="minorHAnsi" w:hAnsiTheme="minorHAnsi" w:cstheme="minorHAnsi"/>
                <w:color w:val="000000"/>
                <w:sz w:val="20"/>
                <w:szCs w:val="20"/>
              </w:rPr>
              <w:t>Combined current and projected annual renewable electricity generation from supported renewable energy transactions.</w:t>
            </w:r>
          </w:p>
        </w:tc>
      </w:tr>
      <w:tr w:rsidR="00B21DD6" w:rsidRPr="00B21DD6" w14:paraId="3DB0A3A3" w14:textId="77777777" w:rsidTr="0075316B">
        <w:tc>
          <w:tcPr>
            <w:tcW w:w="1696" w:type="dxa"/>
            <w:hideMark/>
          </w:tcPr>
          <w:p w14:paraId="327A9574" w14:textId="77777777" w:rsidR="00B21DD6" w:rsidRPr="009A291C" w:rsidRDefault="00B21DD6">
            <w:pPr>
              <w:rPr>
                <w:rFonts w:asciiTheme="minorHAnsi" w:hAnsiTheme="minorHAnsi" w:cstheme="minorHAnsi"/>
                <w:color w:val="000000"/>
                <w:sz w:val="20"/>
                <w:szCs w:val="20"/>
              </w:rPr>
            </w:pPr>
            <w:r w:rsidRPr="009A291C">
              <w:rPr>
                <w:rFonts w:asciiTheme="minorHAnsi" w:hAnsiTheme="minorHAnsi" w:cstheme="minorHAnsi"/>
                <w:color w:val="000000"/>
                <w:sz w:val="20"/>
                <w:szCs w:val="20"/>
              </w:rPr>
              <w:t>Green bond finance</w:t>
            </w:r>
          </w:p>
        </w:tc>
        <w:tc>
          <w:tcPr>
            <w:tcW w:w="1985" w:type="dxa"/>
            <w:hideMark/>
          </w:tcPr>
          <w:p w14:paraId="23C44AED" w14:textId="77777777" w:rsidR="00B21DD6" w:rsidRPr="009A291C" w:rsidRDefault="00B21DD6" w:rsidP="0075316B">
            <w:pPr>
              <w:rPr>
                <w:rFonts w:asciiTheme="minorHAnsi" w:hAnsiTheme="minorHAnsi" w:cstheme="minorHAnsi"/>
                <w:color w:val="000000"/>
                <w:sz w:val="20"/>
                <w:szCs w:val="20"/>
              </w:rPr>
            </w:pPr>
            <w:r w:rsidRPr="009A291C">
              <w:rPr>
                <w:rFonts w:asciiTheme="minorHAnsi" w:hAnsiTheme="minorHAnsi" w:cstheme="minorHAnsi"/>
                <w:color w:val="000000"/>
                <w:sz w:val="20"/>
                <w:szCs w:val="20"/>
              </w:rPr>
              <w:t>Green bond-related finance</w:t>
            </w:r>
          </w:p>
        </w:tc>
        <w:tc>
          <w:tcPr>
            <w:tcW w:w="1276" w:type="dxa"/>
            <w:hideMark/>
          </w:tcPr>
          <w:p w14:paraId="3C7B1A06" w14:textId="594D2854" w:rsidR="00B21DD6" w:rsidRPr="009A291C" w:rsidRDefault="00B21DD6">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At least VND 4</w:t>
            </w:r>
            <w:r w:rsidR="0075316B">
              <w:rPr>
                <w:rFonts w:asciiTheme="minorHAnsi" w:hAnsiTheme="minorHAnsi" w:cstheme="minorHAnsi"/>
                <w:color w:val="000000"/>
                <w:sz w:val="20"/>
                <w:szCs w:val="20"/>
              </w:rPr>
              <w:t>78</w:t>
            </w:r>
            <w:r w:rsidRPr="009A291C">
              <w:rPr>
                <w:rFonts w:asciiTheme="minorHAnsi" w:hAnsiTheme="minorHAnsi" w:cstheme="minorHAnsi"/>
                <w:color w:val="000000"/>
                <w:sz w:val="20"/>
                <w:szCs w:val="20"/>
              </w:rPr>
              <w:t xml:space="preserve"> billion</w:t>
            </w:r>
          </w:p>
        </w:tc>
        <w:tc>
          <w:tcPr>
            <w:tcW w:w="5232" w:type="dxa"/>
            <w:hideMark/>
          </w:tcPr>
          <w:p w14:paraId="59A22D4C" w14:textId="77777777" w:rsidR="00B21DD6" w:rsidRPr="009A291C" w:rsidRDefault="00B21DD6">
            <w:pPr>
              <w:rPr>
                <w:rFonts w:asciiTheme="minorHAnsi" w:hAnsiTheme="minorHAnsi" w:cstheme="minorHAnsi"/>
                <w:color w:val="000000"/>
                <w:sz w:val="20"/>
                <w:szCs w:val="20"/>
              </w:rPr>
            </w:pPr>
            <w:r w:rsidRPr="009A291C">
              <w:rPr>
                <w:rFonts w:asciiTheme="minorHAnsi" w:hAnsiTheme="minorHAnsi" w:cstheme="minorHAnsi"/>
                <w:color w:val="000000"/>
                <w:sz w:val="20"/>
                <w:szCs w:val="20"/>
              </w:rPr>
              <w:t>Green bond-related finance supported through AVETP-relevant transactions, including guarantee-backed structures.</w:t>
            </w:r>
          </w:p>
        </w:tc>
      </w:tr>
      <w:tr w:rsidR="0075316B" w:rsidRPr="00B21DD6" w14:paraId="6D65A6EB" w14:textId="77777777" w:rsidTr="0075316B">
        <w:tc>
          <w:tcPr>
            <w:tcW w:w="1696" w:type="dxa"/>
          </w:tcPr>
          <w:p w14:paraId="3998EC7D" w14:textId="5A6EABAC" w:rsidR="0075316B" w:rsidRPr="0075316B" w:rsidRDefault="0075316B">
            <w:pPr>
              <w:rPr>
                <w:rFonts w:asciiTheme="minorHAnsi" w:hAnsiTheme="minorHAnsi" w:cstheme="minorHAnsi"/>
                <w:color w:val="000000"/>
                <w:sz w:val="20"/>
                <w:szCs w:val="20"/>
              </w:rPr>
            </w:pPr>
            <w:r w:rsidRPr="0075316B">
              <w:rPr>
                <w:rFonts w:asciiTheme="minorHAnsi" w:hAnsiTheme="minorHAnsi" w:cstheme="minorHAnsi"/>
                <w:color w:val="000000"/>
                <w:sz w:val="20"/>
                <w:szCs w:val="20"/>
              </w:rPr>
              <w:t>VND-denominated finance and investment</w:t>
            </w:r>
          </w:p>
        </w:tc>
        <w:tc>
          <w:tcPr>
            <w:tcW w:w="1985" w:type="dxa"/>
          </w:tcPr>
          <w:p w14:paraId="3AB5531F" w14:textId="25891085" w:rsidR="0075316B" w:rsidRPr="009A291C" w:rsidRDefault="0075316B" w:rsidP="0075316B">
            <w:pPr>
              <w:rPr>
                <w:rFonts w:asciiTheme="minorHAnsi" w:hAnsiTheme="minorHAnsi" w:cstheme="minorHAnsi"/>
                <w:color w:val="000000"/>
                <w:sz w:val="20"/>
                <w:szCs w:val="20"/>
              </w:rPr>
            </w:pPr>
            <w:r>
              <w:rPr>
                <w:rFonts w:asciiTheme="minorHAnsi" w:hAnsiTheme="minorHAnsi" w:cstheme="minorHAnsi"/>
                <w:color w:val="000000"/>
                <w:sz w:val="20"/>
                <w:szCs w:val="20"/>
              </w:rPr>
              <w:t xml:space="preserve">All finance and investment </w:t>
            </w:r>
          </w:p>
        </w:tc>
        <w:tc>
          <w:tcPr>
            <w:tcW w:w="1276" w:type="dxa"/>
          </w:tcPr>
          <w:p w14:paraId="5942B2B0" w14:textId="2940E9AC" w:rsidR="0075316B" w:rsidRPr="009A291C" w:rsidRDefault="0075316B">
            <w:pPr>
              <w:jc w:val="right"/>
              <w:rPr>
                <w:rFonts w:asciiTheme="minorHAnsi" w:hAnsiTheme="minorHAnsi" w:cstheme="minorHAnsi"/>
                <w:color w:val="000000"/>
                <w:sz w:val="20"/>
                <w:szCs w:val="20"/>
              </w:rPr>
            </w:pPr>
            <w:r w:rsidRPr="0075316B">
              <w:rPr>
                <w:rStyle w:val="Strong"/>
                <w:rFonts w:asciiTheme="minorHAnsi" w:hAnsiTheme="minorHAnsi" w:cstheme="minorHAnsi"/>
                <w:b w:val="0"/>
                <w:bCs w:val="0"/>
                <w:color w:val="000000"/>
                <w:sz w:val="20"/>
                <w:szCs w:val="20"/>
              </w:rPr>
              <w:t>VND 869 billion</w:t>
            </w:r>
            <w:r w:rsidRPr="0075316B">
              <w:rPr>
                <w:rStyle w:val="apple-converted-space"/>
                <w:rFonts w:asciiTheme="minorHAnsi" w:hAnsiTheme="minorHAnsi" w:cstheme="minorHAnsi"/>
                <w:color w:val="000000"/>
                <w:sz w:val="20"/>
                <w:szCs w:val="20"/>
              </w:rPr>
              <w:t> </w:t>
            </w:r>
            <w:r w:rsidRPr="0075316B">
              <w:rPr>
                <w:rFonts w:asciiTheme="minorHAnsi" w:hAnsiTheme="minorHAnsi" w:cstheme="minorHAnsi"/>
                <w:color w:val="000000"/>
                <w:sz w:val="20"/>
                <w:szCs w:val="20"/>
              </w:rPr>
              <w:t>in VND</w:t>
            </w:r>
          </w:p>
        </w:tc>
        <w:tc>
          <w:tcPr>
            <w:tcW w:w="5232" w:type="dxa"/>
          </w:tcPr>
          <w:p w14:paraId="6ECDEF63" w14:textId="450014B3" w:rsidR="0075316B" w:rsidRPr="009A291C" w:rsidRDefault="0075316B">
            <w:pPr>
              <w:rPr>
                <w:rFonts w:asciiTheme="minorHAnsi" w:hAnsiTheme="minorHAnsi" w:cstheme="minorHAnsi"/>
                <w:color w:val="000000"/>
                <w:sz w:val="20"/>
                <w:szCs w:val="20"/>
              </w:rPr>
            </w:pPr>
            <w:r w:rsidRPr="0075316B">
              <w:rPr>
                <w:rFonts w:asciiTheme="minorHAnsi" w:hAnsiTheme="minorHAnsi" w:cstheme="minorHAnsi"/>
                <w:color w:val="000000"/>
                <w:sz w:val="20"/>
                <w:szCs w:val="20"/>
              </w:rPr>
              <w:t>AVETP-supported transactions account for</w:t>
            </w:r>
            <w:r w:rsidRPr="0075316B">
              <w:rPr>
                <w:rStyle w:val="apple-converted-space"/>
                <w:rFonts w:asciiTheme="minorHAnsi" w:hAnsiTheme="minorHAnsi" w:cstheme="minorHAnsi"/>
                <w:color w:val="000000"/>
                <w:sz w:val="20"/>
                <w:szCs w:val="20"/>
              </w:rPr>
              <w:t> </w:t>
            </w:r>
            <w:r w:rsidRPr="0075316B">
              <w:rPr>
                <w:rStyle w:val="Strong"/>
                <w:rFonts w:asciiTheme="minorHAnsi" w:hAnsiTheme="minorHAnsi" w:cstheme="minorHAnsi"/>
                <w:b w:val="0"/>
                <w:bCs w:val="0"/>
                <w:color w:val="000000"/>
                <w:sz w:val="20"/>
                <w:szCs w:val="20"/>
              </w:rPr>
              <w:t>VND 869 billion</w:t>
            </w:r>
            <w:r w:rsidRPr="0075316B">
              <w:rPr>
                <w:rStyle w:val="apple-converted-space"/>
                <w:rFonts w:asciiTheme="minorHAnsi" w:hAnsiTheme="minorHAnsi" w:cstheme="minorHAnsi"/>
                <w:b/>
                <w:bCs/>
                <w:color w:val="000000"/>
                <w:sz w:val="20"/>
                <w:szCs w:val="20"/>
              </w:rPr>
              <w:t> </w:t>
            </w:r>
            <w:r w:rsidRPr="0075316B">
              <w:rPr>
                <w:rFonts w:asciiTheme="minorHAnsi" w:hAnsiTheme="minorHAnsi" w:cstheme="minorHAnsi"/>
                <w:color w:val="000000"/>
                <w:sz w:val="20"/>
                <w:szCs w:val="20"/>
              </w:rPr>
              <w:t xml:space="preserve">in VND-denominated finance and investment, comprising VND 391 billion in local debt mobilised, VND 260 billion in green bond finance, and VND 218 billion in </w:t>
            </w:r>
            <w:proofErr w:type="spellStart"/>
            <w:r w:rsidRPr="0075316B">
              <w:rPr>
                <w:rFonts w:asciiTheme="minorHAnsi" w:hAnsiTheme="minorHAnsi" w:cstheme="minorHAnsi"/>
                <w:color w:val="000000"/>
                <w:sz w:val="20"/>
                <w:szCs w:val="20"/>
              </w:rPr>
              <w:t>InfraCo</w:t>
            </w:r>
            <w:proofErr w:type="spellEnd"/>
            <w:r w:rsidRPr="0075316B">
              <w:rPr>
                <w:rFonts w:asciiTheme="minorHAnsi" w:hAnsiTheme="minorHAnsi" w:cstheme="minorHAnsi"/>
                <w:color w:val="000000"/>
                <w:sz w:val="20"/>
                <w:szCs w:val="20"/>
              </w:rPr>
              <w:t xml:space="preserve"> equity investment.</w:t>
            </w:r>
          </w:p>
        </w:tc>
      </w:tr>
      <w:tr w:rsidR="00B21DD6" w:rsidRPr="00B21DD6" w14:paraId="63CBB100" w14:textId="77777777" w:rsidTr="0075316B">
        <w:tc>
          <w:tcPr>
            <w:tcW w:w="1696" w:type="dxa"/>
            <w:hideMark/>
          </w:tcPr>
          <w:p w14:paraId="3C8274B0" w14:textId="77777777" w:rsidR="00B21DD6" w:rsidRPr="009A291C" w:rsidRDefault="00B21DD6">
            <w:pPr>
              <w:rPr>
                <w:rFonts w:asciiTheme="minorHAnsi" w:hAnsiTheme="minorHAnsi" w:cstheme="minorHAnsi"/>
                <w:color w:val="000000"/>
                <w:sz w:val="20"/>
                <w:szCs w:val="20"/>
              </w:rPr>
            </w:pPr>
            <w:r w:rsidRPr="009A291C">
              <w:rPr>
                <w:rFonts w:asciiTheme="minorHAnsi" w:hAnsiTheme="minorHAnsi" w:cstheme="minorHAnsi"/>
                <w:color w:val="000000"/>
                <w:sz w:val="20"/>
                <w:szCs w:val="20"/>
              </w:rPr>
              <w:t>Private capital</w:t>
            </w:r>
          </w:p>
        </w:tc>
        <w:tc>
          <w:tcPr>
            <w:tcW w:w="1985" w:type="dxa"/>
            <w:hideMark/>
          </w:tcPr>
          <w:p w14:paraId="73C360EC" w14:textId="77777777" w:rsidR="00B21DD6" w:rsidRPr="009A291C" w:rsidRDefault="00B21DD6" w:rsidP="0075316B">
            <w:pPr>
              <w:rPr>
                <w:rFonts w:asciiTheme="minorHAnsi" w:hAnsiTheme="minorHAnsi" w:cstheme="minorHAnsi"/>
                <w:color w:val="000000"/>
                <w:sz w:val="20"/>
                <w:szCs w:val="20"/>
              </w:rPr>
            </w:pPr>
            <w:r w:rsidRPr="009A291C">
              <w:rPr>
                <w:rFonts w:asciiTheme="minorHAnsi" w:hAnsiTheme="minorHAnsi" w:cstheme="minorHAnsi"/>
                <w:color w:val="000000"/>
                <w:sz w:val="20"/>
                <w:szCs w:val="20"/>
              </w:rPr>
              <w:t>Additional or projected private capital mobilisation</w:t>
            </w:r>
          </w:p>
        </w:tc>
        <w:tc>
          <w:tcPr>
            <w:tcW w:w="1276" w:type="dxa"/>
            <w:hideMark/>
          </w:tcPr>
          <w:p w14:paraId="296A2789" w14:textId="77777777" w:rsidR="00B21DD6" w:rsidRPr="009A291C" w:rsidRDefault="00B21DD6">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USD 129.8 million</w:t>
            </w:r>
          </w:p>
        </w:tc>
        <w:tc>
          <w:tcPr>
            <w:tcW w:w="5232" w:type="dxa"/>
            <w:hideMark/>
          </w:tcPr>
          <w:p w14:paraId="687B7887" w14:textId="77777777" w:rsidR="00B21DD6" w:rsidRPr="009A291C" w:rsidRDefault="00B21DD6">
            <w:pPr>
              <w:rPr>
                <w:rFonts w:asciiTheme="minorHAnsi" w:hAnsiTheme="minorHAnsi" w:cstheme="minorHAnsi"/>
                <w:color w:val="000000"/>
                <w:sz w:val="20"/>
                <w:szCs w:val="20"/>
              </w:rPr>
            </w:pPr>
            <w:r w:rsidRPr="009A291C">
              <w:rPr>
                <w:rFonts w:asciiTheme="minorHAnsi" w:hAnsiTheme="minorHAnsi" w:cstheme="minorHAnsi"/>
                <w:color w:val="000000"/>
                <w:sz w:val="20"/>
                <w:szCs w:val="20"/>
              </w:rPr>
              <w:t>Additional or projected private capital mobilised through supported transactions and platforms.</w:t>
            </w:r>
          </w:p>
        </w:tc>
      </w:tr>
    </w:tbl>
    <w:p w14:paraId="674FDAEE" w14:textId="65826BBE" w:rsidR="00AE1DF0" w:rsidRDefault="00AE1DF0" w:rsidP="009A291C">
      <w:pPr>
        <w:pStyle w:val="Caption"/>
        <w:keepNext/>
        <w:jc w:val="left"/>
      </w:pPr>
      <w:bookmarkStart w:id="51" w:name="_Toc233026566"/>
      <w:r>
        <w:lastRenderedPageBreak/>
        <w:t xml:space="preserve">Table </w:t>
      </w:r>
      <w:r>
        <w:fldChar w:fldCharType="begin"/>
      </w:r>
      <w:r>
        <w:instrText xml:space="preserve"> SEQ Table \* ARABIC </w:instrText>
      </w:r>
      <w:r>
        <w:fldChar w:fldCharType="separate"/>
      </w:r>
      <w:r w:rsidR="006C7E0E">
        <w:rPr>
          <w:noProof/>
        </w:rPr>
        <w:t>7</w:t>
      </w:r>
      <w:r>
        <w:fldChar w:fldCharType="end"/>
      </w:r>
      <w:r>
        <w:t>: Aggregated evidence by results area</w:t>
      </w:r>
      <w:bookmarkEnd w:id="51"/>
    </w:p>
    <w:tbl>
      <w:tblPr>
        <w:tblStyle w:val="CBSTable1"/>
        <w:tblW w:w="0" w:type="auto"/>
        <w:tblLook w:val="04A0" w:firstRow="1" w:lastRow="0" w:firstColumn="1" w:lastColumn="0" w:noHBand="0" w:noVBand="1"/>
      </w:tblPr>
      <w:tblGrid>
        <w:gridCol w:w="1573"/>
        <w:gridCol w:w="8616"/>
      </w:tblGrid>
      <w:tr w:rsidR="00AE1DF0" w:rsidRPr="00AE1DF0" w14:paraId="515CDFE1" w14:textId="77777777" w:rsidTr="0047596E">
        <w:trPr>
          <w:tblHeader/>
        </w:trPr>
        <w:tc>
          <w:tcPr>
            <w:tcW w:w="0" w:type="auto"/>
            <w:shd w:val="clear" w:color="auto" w:fill="0065BC" w:themeFill="background2"/>
            <w:hideMark/>
          </w:tcPr>
          <w:p w14:paraId="72C7269A" w14:textId="77777777" w:rsidR="00AE1DF0" w:rsidRPr="00146589" w:rsidRDefault="00AE1DF0">
            <w:pPr>
              <w:jc w:val="center"/>
              <w:rPr>
                <w:rFonts w:ascii="Arial" w:hAnsi="Arial" w:cs="Arial"/>
                <w:b/>
                <w:bCs/>
                <w:color w:val="FFFFFF" w:themeColor="background1"/>
                <w:sz w:val="20"/>
                <w:szCs w:val="20"/>
              </w:rPr>
            </w:pPr>
            <w:r w:rsidRPr="00146589">
              <w:rPr>
                <w:rFonts w:ascii="Arial" w:hAnsi="Arial" w:cs="Arial"/>
                <w:b/>
                <w:bCs/>
                <w:color w:val="FFFFFF" w:themeColor="background1"/>
                <w:sz w:val="20"/>
                <w:szCs w:val="20"/>
              </w:rPr>
              <w:t>Results area</w:t>
            </w:r>
          </w:p>
        </w:tc>
        <w:tc>
          <w:tcPr>
            <w:tcW w:w="0" w:type="auto"/>
            <w:shd w:val="clear" w:color="auto" w:fill="0065BC" w:themeFill="background2"/>
            <w:hideMark/>
          </w:tcPr>
          <w:p w14:paraId="5D20E0CC" w14:textId="77777777" w:rsidR="00AE1DF0" w:rsidRPr="00146589" w:rsidRDefault="00AE1DF0">
            <w:pPr>
              <w:jc w:val="center"/>
              <w:rPr>
                <w:rFonts w:ascii="Arial" w:hAnsi="Arial" w:cs="Arial"/>
                <w:b/>
                <w:bCs/>
                <w:color w:val="FFFFFF" w:themeColor="background1"/>
                <w:sz w:val="20"/>
                <w:szCs w:val="20"/>
              </w:rPr>
            </w:pPr>
            <w:r w:rsidRPr="00146589">
              <w:rPr>
                <w:rFonts w:ascii="Arial" w:hAnsi="Arial" w:cs="Arial"/>
                <w:b/>
                <w:bCs/>
                <w:color w:val="FFFFFF" w:themeColor="background1"/>
                <w:sz w:val="20"/>
                <w:szCs w:val="20"/>
              </w:rPr>
              <w:t>Evidence summary</w:t>
            </w:r>
          </w:p>
        </w:tc>
      </w:tr>
      <w:tr w:rsidR="00AE1DF0" w:rsidRPr="00AE1DF0" w14:paraId="56E7655B" w14:textId="77777777" w:rsidTr="009A291C">
        <w:tc>
          <w:tcPr>
            <w:tcW w:w="0" w:type="auto"/>
            <w:hideMark/>
          </w:tcPr>
          <w:p w14:paraId="7305988C" w14:textId="77777777" w:rsidR="00AE1DF0" w:rsidRPr="009A291C" w:rsidRDefault="00AE1DF0">
            <w:pPr>
              <w:rPr>
                <w:rFonts w:ascii="Arial" w:hAnsi="Arial" w:cs="Arial"/>
                <w:color w:val="000000"/>
                <w:sz w:val="20"/>
                <w:szCs w:val="20"/>
              </w:rPr>
            </w:pPr>
            <w:r w:rsidRPr="009A291C">
              <w:rPr>
                <w:rFonts w:ascii="Arial" w:hAnsi="Arial" w:cs="Arial"/>
                <w:color w:val="000000"/>
                <w:sz w:val="20"/>
                <w:szCs w:val="20"/>
              </w:rPr>
              <w:t>Climate and energy results</w:t>
            </w:r>
          </w:p>
        </w:tc>
        <w:tc>
          <w:tcPr>
            <w:tcW w:w="0" w:type="auto"/>
            <w:hideMark/>
          </w:tcPr>
          <w:p w14:paraId="38BA1C95" w14:textId="77777777" w:rsidR="00AE1DF0" w:rsidRPr="009A291C" w:rsidRDefault="00AE1DF0">
            <w:pPr>
              <w:rPr>
                <w:rFonts w:ascii="Arial" w:hAnsi="Arial" w:cs="Arial"/>
                <w:color w:val="000000"/>
                <w:sz w:val="20"/>
                <w:szCs w:val="20"/>
              </w:rPr>
            </w:pPr>
            <w:r w:rsidRPr="009A291C">
              <w:rPr>
                <w:rFonts w:ascii="Arial" w:hAnsi="Arial" w:cs="Arial"/>
                <w:color w:val="000000"/>
                <w:sz w:val="20"/>
                <w:szCs w:val="20"/>
              </w:rPr>
              <w:t xml:space="preserve">AVETP-supported transactions are associated with 260,777 </w:t>
            </w:r>
            <w:proofErr w:type="spellStart"/>
            <w:r w:rsidRPr="009A291C">
              <w:rPr>
                <w:rFonts w:ascii="Arial" w:hAnsi="Arial" w:cs="Arial"/>
                <w:color w:val="000000"/>
                <w:sz w:val="20"/>
                <w:szCs w:val="20"/>
              </w:rPr>
              <w:t>tCO</w:t>
            </w:r>
            <w:r w:rsidRPr="009A291C">
              <w:rPr>
                <w:rFonts w:ascii="Cambria Math" w:hAnsi="Cambria Math" w:cs="Cambria Math"/>
                <w:color w:val="000000"/>
                <w:sz w:val="20"/>
                <w:szCs w:val="20"/>
              </w:rPr>
              <w:t>₂</w:t>
            </w:r>
            <w:r w:rsidRPr="009A291C">
              <w:rPr>
                <w:rFonts w:ascii="Arial" w:hAnsi="Arial" w:cs="Arial"/>
                <w:color w:val="000000"/>
                <w:sz w:val="20"/>
                <w:szCs w:val="20"/>
              </w:rPr>
              <w:t>e</w:t>
            </w:r>
            <w:proofErr w:type="spellEnd"/>
            <w:r w:rsidRPr="009A291C">
              <w:rPr>
                <w:rFonts w:ascii="Arial" w:hAnsi="Arial" w:cs="Arial"/>
                <w:color w:val="000000"/>
                <w:sz w:val="20"/>
                <w:szCs w:val="20"/>
              </w:rPr>
              <w:t>/year in combined estimated or projected emissions avoided, 313.68 MW in realised or planned renewable capacity, and 382,060 MWh/year in current or projected renewable electricity generation.</w:t>
            </w:r>
          </w:p>
        </w:tc>
      </w:tr>
      <w:tr w:rsidR="00AE1DF0" w:rsidRPr="00AE1DF0" w14:paraId="03B35C45" w14:textId="77777777" w:rsidTr="009A291C">
        <w:tc>
          <w:tcPr>
            <w:tcW w:w="0" w:type="auto"/>
            <w:hideMark/>
          </w:tcPr>
          <w:p w14:paraId="06283D1D" w14:textId="77777777" w:rsidR="00AE1DF0" w:rsidRPr="009A291C" w:rsidRDefault="00AE1DF0">
            <w:pPr>
              <w:rPr>
                <w:rFonts w:ascii="Arial" w:hAnsi="Arial" w:cs="Arial"/>
                <w:color w:val="000000"/>
                <w:sz w:val="20"/>
                <w:szCs w:val="20"/>
              </w:rPr>
            </w:pPr>
            <w:r w:rsidRPr="009A291C">
              <w:rPr>
                <w:rFonts w:ascii="Arial" w:hAnsi="Arial" w:cs="Arial"/>
                <w:color w:val="000000"/>
                <w:sz w:val="20"/>
                <w:szCs w:val="20"/>
              </w:rPr>
              <w:t>Finance mobilised and de-risked</w:t>
            </w:r>
          </w:p>
        </w:tc>
        <w:tc>
          <w:tcPr>
            <w:tcW w:w="0" w:type="auto"/>
            <w:hideMark/>
          </w:tcPr>
          <w:p w14:paraId="50BD27F9" w14:textId="77777777" w:rsidR="00AE1DF0" w:rsidRPr="009A291C" w:rsidRDefault="00AE1DF0">
            <w:pPr>
              <w:rPr>
                <w:rFonts w:ascii="Arial" w:hAnsi="Arial" w:cs="Arial"/>
                <w:color w:val="000000"/>
                <w:sz w:val="20"/>
                <w:szCs w:val="20"/>
              </w:rPr>
            </w:pPr>
            <w:r w:rsidRPr="009A291C">
              <w:rPr>
                <w:rFonts w:ascii="Arial" w:hAnsi="Arial" w:cs="Arial"/>
                <w:color w:val="000000"/>
                <w:sz w:val="20"/>
                <w:szCs w:val="20"/>
              </w:rPr>
              <w:t>The portfolio includes USD 4 million plus USD 30 million in debt financing and platform capital supporting clean transport and distributed energy; USD 40.9 million and VND 391 billion in foreign and local debt mobilised through renewable energy investment; and a USD 20 million guarantee plus 40% CAPEX cover through credit enhancement and guarantee support for green industry and infrastructure.</w:t>
            </w:r>
          </w:p>
        </w:tc>
      </w:tr>
      <w:tr w:rsidR="00AE1DF0" w:rsidRPr="00AE1DF0" w14:paraId="13AE68F2" w14:textId="77777777" w:rsidTr="009A291C">
        <w:tc>
          <w:tcPr>
            <w:tcW w:w="0" w:type="auto"/>
            <w:hideMark/>
          </w:tcPr>
          <w:p w14:paraId="12E76A42" w14:textId="77777777" w:rsidR="00AE1DF0" w:rsidRPr="009A291C" w:rsidRDefault="00AE1DF0">
            <w:pPr>
              <w:rPr>
                <w:rFonts w:ascii="Arial" w:hAnsi="Arial" w:cs="Arial"/>
                <w:color w:val="000000"/>
                <w:sz w:val="20"/>
                <w:szCs w:val="20"/>
              </w:rPr>
            </w:pPr>
            <w:r w:rsidRPr="009A291C">
              <w:rPr>
                <w:rFonts w:ascii="Arial" w:hAnsi="Arial" w:cs="Arial"/>
                <w:color w:val="000000"/>
                <w:sz w:val="20"/>
                <w:szCs w:val="20"/>
              </w:rPr>
              <w:t>Market reach and service benefits</w:t>
            </w:r>
          </w:p>
        </w:tc>
        <w:tc>
          <w:tcPr>
            <w:tcW w:w="0" w:type="auto"/>
            <w:hideMark/>
          </w:tcPr>
          <w:p w14:paraId="52E41960" w14:textId="77777777" w:rsidR="00AE1DF0" w:rsidRPr="009A291C" w:rsidRDefault="00AE1DF0">
            <w:pPr>
              <w:rPr>
                <w:rFonts w:ascii="Arial" w:hAnsi="Arial" w:cs="Arial"/>
                <w:color w:val="000000"/>
                <w:sz w:val="20"/>
                <w:szCs w:val="20"/>
              </w:rPr>
            </w:pPr>
            <w:r w:rsidRPr="009A291C">
              <w:rPr>
                <w:rFonts w:ascii="Arial" w:hAnsi="Arial" w:cs="Arial"/>
                <w:color w:val="000000"/>
                <w:sz w:val="20"/>
                <w:szCs w:val="20"/>
              </w:rPr>
              <w:t>The portfolio includes 150,000 m³/day in clean water treatment capacity, potential access to improved water infrastructure for 1.5 million people, and expansion of Dat Bike’s market footprint from 6 to more than 40 outlets, representing at least a 6.7-fold increase.</w:t>
            </w:r>
          </w:p>
        </w:tc>
      </w:tr>
    </w:tbl>
    <w:p w14:paraId="717EBE17" w14:textId="06D615EA" w:rsidR="00AB27C5" w:rsidRDefault="00AB27C5" w:rsidP="00261991">
      <w:pPr>
        <w:pStyle w:val="NormalWeb"/>
        <w:rPr>
          <w:rFonts w:asciiTheme="minorHAnsi" w:hAnsiTheme="minorHAnsi" w:cstheme="minorHAnsi"/>
          <w:b/>
          <w:bCs/>
          <w:color w:val="000000"/>
        </w:rPr>
      </w:pPr>
      <w:r w:rsidRPr="00AB27C5">
        <w:rPr>
          <w:rFonts w:asciiTheme="minorHAnsi" w:hAnsiTheme="minorHAnsi" w:cstheme="minorHAnsi"/>
          <w:b/>
          <w:bCs/>
          <w:color w:val="000000"/>
        </w:rPr>
        <w:t>EOPO-2: Increased investments in Vietnam’s net zero transition will be inclusive and equitable, including by supporting and augmenting Vietnam’s own policies in these areas.</w:t>
      </w:r>
    </w:p>
    <w:p w14:paraId="2EC54AF3" w14:textId="3891E63E" w:rsidR="00167DA3" w:rsidRPr="005B6D16" w:rsidRDefault="00167DA3" w:rsidP="00167DA3">
      <w:pPr>
        <w:spacing w:before="100" w:beforeAutospacing="1" w:after="100" w:afterAutospacing="1"/>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The evidence suggests that AVETP is making a meaningful but mixed contribution to ensuring that increased investment is inclusive and equitable. The strongest evidence is concentrated in </w:t>
      </w:r>
      <w:r w:rsidR="00704D15" w:rsidRPr="005B6D16">
        <w:rPr>
          <w:rFonts w:asciiTheme="minorHAnsi" w:hAnsiTheme="minorHAnsi" w:cstheme="minorHAnsi"/>
          <w:color w:val="000000"/>
          <w:sz w:val="22"/>
          <w:szCs w:val="22"/>
        </w:rPr>
        <w:t xml:space="preserve">access, </w:t>
      </w:r>
      <w:r w:rsidRPr="005B6D16">
        <w:rPr>
          <w:rFonts w:asciiTheme="minorHAnsi" w:hAnsiTheme="minorHAnsi" w:cstheme="minorHAnsi"/>
          <w:color w:val="000000"/>
          <w:sz w:val="22"/>
          <w:szCs w:val="22"/>
        </w:rPr>
        <w:t xml:space="preserve">participation, local employment, affordability, and stronger safeguards. </w:t>
      </w:r>
      <w:r w:rsidR="001E7F0F" w:rsidRPr="005B6D16">
        <w:rPr>
          <w:rStyle w:val="Strong"/>
          <w:rFonts w:asciiTheme="minorHAnsi" w:hAnsiTheme="minorHAnsi" w:cstheme="minorHAnsi"/>
          <w:b w:val="0"/>
          <w:bCs w:val="0"/>
          <w:color w:val="000000"/>
          <w:sz w:val="22"/>
          <w:szCs w:val="22"/>
        </w:rPr>
        <w:t>As summarised in the Table-</w:t>
      </w:r>
      <w:r w:rsidR="004F59B4">
        <w:rPr>
          <w:rStyle w:val="Strong"/>
          <w:rFonts w:asciiTheme="minorHAnsi" w:hAnsiTheme="minorHAnsi" w:cstheme="minorHAnsi"/>
          <w:b w:val="0"/>
          <w:bCs w:val="0"/>
          <w:color w:val="000000"/>
          <w:sz w:val="22"/>
          <w:szCs w:val="22"/>
        </w:rPr>
        <w:t>8</w:t>
      </w:r>
      <w:r w:rsidR="001E7F0F" w:rsidRPr="005B6D16">
        <w:rPr>
          <w:rStyle w:val="Strong"/>
          <w:rFonts w:asciiTheme="minorHAnsi" w:hAnsiTheme="minorHAnsi" w:cstheme="minorHAnsi"/>
          <w:b w:val="0"/>
          <w:bCs w:val="0"/>
          <w:color w:val="000000"/>
          <w:sz w:val="22"/>
          <w:szCs w:val="22"/>
        </w:rPr>
        <w:t xml:space="preserve">, the clearest inclusion-related results include potential access </w:t>
      </w:r>
      <w:r w:rsidR="00836A80" w:rsidRPr="005B6D16">
        <w:rPr>
          <w:rStyle w:val="Strong"/>
          <w:rFonts w:asciiTheme="minorHAnsi" w:hAnsiTheme="minorHAnsi" w:cstheme="minorHAnsi"/>
          <w:b w:val="0"/>
          <w:bCs w:val="0"/>
          <w:color w:val="000000"/>
          <w:sz w:val="22"/>
          <w:szCs w:val="22"/>
        </w:rPr>
        <w:t xml:space="preserve">to clean water </w:t>
      </w:r>
      <w:r w:rsidR="001E7F0F" w:rsidRPr="005B6D16">
        <w:rPr>
          <w:rStyle w:val="Strong"/>
          <w:rFonts w:asciiTheme="minorHAnsi" w:hAnsiTheme="minorHAnsi" w:cstheme="minorHAnsi"/>
          <w:b w:val="0"/>
          <w:bCs w:val="0"/>
          <w:color w:val="000000"/>
          <w:sz w:val="22"/>
          <w:szCs w:val="22"/>
        </w:rPr>
        <w:t xml:space="preserve">for 1.5 million people, </w:t>
      </w:r>
      <w:r w:rsidR="00672E29" w:rsidRPr="005B6D16">
        <w:rPr>
          <w:rFonts w:asciiTheme="minorHAnsi" w:hAnsiTheme="minorHAnsi" w:cstheme="minorHAnsi"/>
          <w:color w:val="000000"/>
          <w:sz w:val="22"/>
          <w:szCs w:val="22"/>
        </w:rPr>
        <w:t>broade</w:t>
      </w:r>
      <w:r w:rsidR="00836A80" w:rsidRPr="005B6D16">
        <w:rPr>
          <w:rFonts w:asciiTheme="minorHAnsi" w:hAnsiTheme="minorHAnsi" w:cstheme="minorHAnsi"/>
          <w:color w:val="000000"/>
          <w:sz w:val="22"/>
          <w:szCs w:val="22"/>
        </w:rPr>
        <w:t>r</w:t>
      </w:r>
      <w:r w:rsidR="00672E29" w:rsidRPr="005B6D16">
        <w:rPr>
          <w:rFonts w:asciiTheme="minorHAnsi" w:hAnsiTheme="minorHAnsi" w:cstheme="minorHAnsi"/>
          <w:color w:val="000000"/>
          <w:sz w:val="22"/>
          <w:szCs w:val="22"/>
        </w:rPr>
        <w:t xml:space="preserve"> access to e-mobility beyond higher-income </w:t>
      </w:r>
      <w:r w:rsidR="00857D37" w:rsidRPr="005B6D16">
        <w:rPr>
          <w:rFonts w:asciiTheme="minorHAnsi" w:hAnsiTheme="minorHAnsi" w:cstheme="minorHAnsi"/>
          <w:color w:val="000000"/>
          <w:sz w:val="22"/>
          <w:szCs w:val="22"/>
        </w:rPr>
        <w:t>customers</w:t>
      </w:r>
      <w:r w:rsidR="00857D37" w:rsidRPr="005B6D16">
        <w:rPr>
          <w:rStyle w:val="Strong"/>
          <w:rFonts w:asciiTheme="minorHAnsi" w:hAnsiTheme="minorHAnsi" w:cstheme="minorHAnsi"/>
          <w:b w:val="0"/>
          <w:bCs w:val="0"/>
          <w:color w:val="000000"/>
          <w:sz w:val="22"/>
          <w:szCs w:val="22"/>
        </w:rPr>
        <w:t xml:space="preserve"> and</w:t>
      </w:r>
      <w:r w:rsidR="00836A80" w:rsidRPr="005B6D16">
        <w:rPr>
          <w:rStyle w:val="Strong"/>
          <w:rFonts w:asciiTheme="minorHAnsi" w:hAnsiTheme="minorHAnsi" w:cstheme="minorHAnsi"/>
          <w:b w:val="0"/>
          <w:bCs w:val="0"/>
          <w:color w:val="000000"/>
          <w:sz w:val="22"/>
          <w:szCs w:val="22"/>
        </w:rPr>
        <w:t xml:space="preserve"> </w:t>
      </w:r>
      <w:r w:rsidR="00836A80" w:rsidRPr="005B6D16">
        <w:rPr>
          <w:rFonts w:ascii="Arial" w:hAnsi="Arial" w:cs="Arial"/>
          <w:color w:val="000000"/>
          <w:sz w:val="22"/>
          <w:szCs w:val="22"/>
        </w:rPr>
        <w:t xml:space="preserve">expected future local employment in </w:t>
      </w:r>
      <w:r w:rsidR="00704D15" w:rsidRPr="005B6D16">
        <w:rPr>
          <w:rFonts w:ascii="Arial" w:hAnsi="Arial" w:cs="Arial"/>
          <w:color w:val="000000"/>
          <w:sz w:val="22"/>
          <w:szCs w:val="22"/>
        </w:rPr>
        <w:t xml:space="preserve">the </w:t>
      </w:r>
      <w:r w:rsidR="00836A80" w:rsidRPr="005B6D16">
        <w:rPr>
          <w:rFonts w:ascii="Arial" w:hAnsi="Arial" w:cs="Arial"/>
          <w:color w:val="000000"/>
          <w:sz w:val="22"/>
          <w:szCs w:val="22"/>
        </w:rPr>
        <w:t xml:space="preserve">water treatment project, with 70% of jobs expected </w:t>
      </w:r>
      <w:r w:rsidR="00BC3D95" w:rsidRPr="005B6D16">
        <w:rPr>
          <w:rFonts w:ascii="Arial" w:hAnsi="Arial" w:cs="Arial"/>
          <w:color w:val="000000"/>
          <w:sz w:val="22"/>
          <w:szCs w:val="22"/>
        </w:rPr>
        <w:t xml:space="preserve">to be </w:t>
      </w:r>
      <w:r w:rsidR="00836A80" w:rsidRPr="005B6D16">
        <w:rPr>
          <w:rFonts w:ascii="Arial" w:hAnsi="Arial" w:cs="Arial"/>
          <w:color w:val="000000"/>
          <w:sz w:val="22"/>
          <w:szCs w:val="22"/>
        </w:rPr>
        <w:t>recruited from surrounding communities</w:t>
      </w:r>
      <w:r w:rsidR="00BC3D95" w:rsidRPr="005B6D16">
        <w:rPr>
          <w:rFonts w:ascii="Arial" w:hAnsi="Arial" w:cs="Arial"/>
          <w:color w:val="000000"/>
          <w:sz w:val="22"/>
          <w:szCs w:val="22"/>
        </w:rPr>
        <w:t xml:space="preserve">. The evidence also shows </w:t>
      </w:r>
      <w:r w:rsidR="00836A80" w:rsidRPr="005B6D16">
        <w:rPr>
          <w:rFonts w:ascii="Arial" w:hAnsi="Arial" w:cs="Arial"/>
          <w:color w:val="000000"/>
          <w:sz w:val="22"/>
          <w:szCs w:val="22"/>
        </w:rPr>
        <w:t>50%</w:t>
      </w:r>
      <w:r w:rsidR="00836A80" w:rsidRPr="005B6D16">
        <w:rPr>
          <w:rFonts w:ascii="Arial" w:hAnsi="Arial" w:cs="Arial" w:hint="eastAsia"/>
          <w:color w:val="000000"/>
          <w:sz w:val="22"/>
          <w:szCs w:val="22"/>
        </w:rPr>
        <w:t>–</w:t>
      </w:r>
      <w:r w:rsidR="00836A80" w:rsidRPr="005B6D16">
        <w:rPr>
          <w:rFonts w:ascii="Arial" w:hAnsi="Arial" w:cs="Arial"/>
          <w:color w:val="000000"/>
          <w:sz w:val="22"/>
          <w:szCs w:val="22"/>
        </w:rPr>
        <w:t>60% women</w:t>
      </w:r>
      <w:r w:rsidR="00836A80" w:rsidRPr="005B6D16">
        <w:rPr>
          <w:rFonts w:ascii="Arial" w:hAnsi="Arial" w:cs="Arial" w:hint="eastAsia"/>
          <w:color w:val="000000"/>
          <w:sz w:val="22"/>
          <w:szCs w:val="22"/>
        </w:rPr>
        <w:t>’</w:t>
      </w:r>
      <w:r w:rsidR="00836A80" w:rsidRPr="005B6D16">
        <w:rPr>
          <w:rFonts w:ascii="Arial" w:hAnsi="Arial" w:cs="Arial"/>
          <w:color w:val="000000"/>
          <w:sz w:val="22"/>
          <w:szCs w:val="22"/>
        </w:rPr>
        <w:t>s representation among office staff in the recycling and circular economy project</w:t>
      </w:r>
      <w:r w:rsidR="00BC3D95" w:rsidRPr="005B6D16">
        <w:rPr>
          <w:rFonts w:ascii="Arial" w:hAnsi="Arial" w:cs="Arial"/>
          <w:color w:val="000000"/>
          <w:sz w:val="22"/>
          <w:szCs w:val="22"/>
        </w:rPr>
        <w:t xml:space="preserve">, alongside </w:t>
      </w:r>
      <w:r w:rsidR="001E7F0F" w:rsidRPr="005B6D16">
        <w:rPr>
          <w:rStyle w:val="Strong"/>
          <w:rFonts w:asciiTheme="minorHAnsi" w:hAnsiTheme="minorHAnsi" w:cstheme="minorHAnsi"/>
          <w:b w:val="0"/>
          <w:bCs w:val="0"/>
          <w:color w:val="000000"/>
          <w:sz w:val="22"/>
          <w:szCs w:val="22"/>
        </w:rPr>
        <w:t xml:space="preserve">strengthened standards across HSES, ESG, ESMS, training, contractor standards, and governance systems. </w:t>
      </w:r>
      <w:r w:rsidRPr="005B6D16">
        <w:rPr>
          <w:rFonts w:asciiTheme="minorHAnsi" w:hAnsiTheme="minorHAnsi" w:cstheme="minorHAnsi"/>
          <w:color w:val="000000"/>
          <w:sz w:val="22"/>
          <w:szCs w:val="22"/>
        </w:rPr>
        <w:t>At project level, Dat Bike appears to have broadened access beyond premium adopters by expanding into lower-priced models and reaching more price-sensitive users. Aqua</w:t>
      </w:r>
      <w:r w:rsidR="00280EA8" w:rsidRPr="005B6D16">
        <w:rPr>
          <w:rFonts w:asciiTheme="minorHAnsi" w:hAnsiTheme="minorHAnsi" w:cstheme="minorHAnsi"/>
          <w:color w:val="000000"/>
          <w:sz w:val="22"/>
          <w:szCs w:val="22"/>
        </w:rPr>
        <w:t>-</w:t>
      </w:r>
      <w:r w:rsidRPr="005B6D16">
        <w:rPr>
          <w:rFonts w:asciiTheme="minorHAnsi" w:hAnsiTheme="minorHAnsi" w:cstheme="minorHAnsi"/>
          <w:color w:val="000000"/>
          <w:sz w:val="22"/>
          <w:szCs w:val="22"/>
        </w:rPr>
        <w:t xml:space="preserve">One links climate-aligned infrastructure to local employment, women’s participation, ethnic minority inclusion, and improved access to an essential service. BPG and CME also show </w:t>
      </w:r>
      <w:r w:rsidR="00A75F41" w:rsidRPr="005B6D16">
        <w:rPr>
          <w:rFonts w:asciiTheme="minorHAnsi" w:hAnsiTheme="minorHAnsi" w:cstheme="minorHAnsi"/>
          <w:color w:val="000000"/>
          <w:sz w:val="22"/>
          <w:szCs w:val="22"/>
        </w:rPr>
        <w:t xml:space="preserve">evidence of </w:t>
      </w:r>
      <w:r w:rsidRPr="005B6D16">
        <w:rPr>
          <w:rFonts w:asciiTheme="minorHAnsi" w:hAnsiTheme="minorHAnsi" w:cstheme="minorHAnsi"/>
          <w:color w:val="000000"/>
          <w:sz w:val="22"/>
          <w:szCs w:val="22"/>
        </w:rPr>
        <w:t>female workforce participation</w:t>
      </w:r>
      <w:r w:rsidR="00A75F41" w:rsidRPr="005B6D16">
        <w:rPr>
          <w:rFonts w:asciiTheme="minorHAnsi" w:hAnsiTheme="minorHAnsi" w:cstheme="minorHAnsi"/>
          <w:color w:val="000000"/>
          <w:sz w:val="22"/>
          <w:szCs w:val="22"/>
        </w:rPr>
        <w:t xml:space="preserve"> in sectors that are often male dominated,</w:t>
      </w:r>
      <w:r w:rsidRPr="005B6D16">
        <w:rPr>
          <w:rFonts w:asciiTheme="minorHAnsi" w:hAnsiTheme="minorHAnsi" w:cstheme="minorHAnsi"/>
          <w:color w:val="000000"/>
          <w:sz w:val="22"/>
          <w:szCs w:val="22"/>
        </w:rPr>
        <w:t xml:space="preserve"> alongside improved labour and safeguard standards. </w:t>
      </w:r>
    </w:p>
    <w:p w14:paraId="309EC8BB" w14:textId="5A388261" w:rsidR="0060308D" w:rsidRPr="005B6D16" w:rsidRDefault="00167DA3" w:rsidP="00167DA3">
      <w:pPr>
        <w:spacing w:before="100" w:beforeAutospacing="1" w:after="100" w:afterAutospacing="1"/>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At the same time, the evidence </w:t>
      </w:r>
      <w:r w:rsidR="00A75F41" w:rsidRPr="005B6D16">
        <w:rPr>
          <w:rFonts w:ascii="Arial" w:hAnsi="Arial" w:cs="Arial"/>
          <w:color w:val="000000"/>
          <w:sz w:val="22"/>
          <w:szCs w:val="22"/>
        </w:rPr>
        <w:t>suggests that AVETP has made more progress in increasing women</w:t>
      </w:r>
      <w:r w:rsidR="00A75F41" w:rsidRPr="005B6D16">
        <w:rPr>
          <w:rFonts w:ascii="Arial" w:hAnsi="Arial" w:cs="Arial" w:hint="eastAsia"/>
          <w:color w:val="000000"/>
          <w:sz w:val="22"/>
          <w:szCs w:val="22"/>
        </w:rPr>
        <w:t>’</w:t>
      </w:r>
      <w:r w:rsidR="00A75F41" w:rsidRPr="005B6D16">
        <w:rPr>
          <w:rFonts w:ascii="Arial" w:hAnsi="Arial" w:cs="Arial"/>
          <w:color w:val="000000"/>
          <w:sz w:val="22"/>
          <w:szCs w:val="22"/>
        </w:rPr>
        <w:t>s participation than in achieving deeper changes in gender equality</w:t>
      </w:r>
      <w:r w:rsidR="00704D15" w:rsidRPr="005B6D16">
        <w:rPr>
          <w:rFonts w:ascii="Arial" w:hAnsi="Arial" w:cs="Arial"/>
          <w:color w:val="000000"/>
          <w:sz w:val="22"/>
          <w:szCs w:val="22"/>
        </w:rPr>
        <w:t xml:space="preserve"> and</w:t>
      </w:r>
      <w:r w:rsidR="00A75F41" w:rsidRPr="005B6D16">
        <w:rPr>
          <w:rFonts w:ascii="Arial" w:hAnsi="Arial" w:cs="Arial"/>
          <w:color w:val="000000"/>
          <w:sz w:val="22"/>
          <w:szCs w:val="22"/>
        </w:rPr>
        <w:t xml:space="preserve"> disability. </w:t>
      </w:r>
      <w:r w:rsidRPr="005B6D16">
        <w:rPr>
          <w:rFonts w:asciiTheme="minorHAnsi" w:hAnsiTheme="minorHAnsi" w:cstheme="minorHAnsi"/>
          <w:color w:val="000000"/>
          <w:sz w:val="22"/>
          <w:szCs w:val="22"/>
        </w:rPr>
        <w:t>Women are present in the workforce and, in some cases, in leadership</w:t>
      </w:r>
      <w:r w:rsidR="0060308D" w:rsidRPr="005B6D16">
        <w:rPr>
          <w:rFonts w:asciiTheme="minorHAnsi" w:hAnsiTheme="minorHAnsi" w:cstheme="minorHAnsi"/>
          <w:color w:val="000000"/>
          <w:sz w:val="22"/>
          <w:szCs w:val="22"/>
        </w:rPr>
        <w:t>,</w:t>
      </w:r>
      <w:r w:rsidR="005E5F40" w:rsidRPr="005B6D16">
        <w:rPr>
          <w:rFonts w:ascii="-webkit-standard" w:hAnsi="-webkit-standard"/>
          <w:color w:val="000000"/>
          <w:sz w:val="22"/>
          <w:szCs w:val="22"/>
        </w:rPr>
        <w:t xml:space="preserve"> </w:t>
      </w:r>
      <w:r w:rsidR="005E5F40" w:rsidRPr="005B6D16">
        <w:rPr>
          <w:rFonts w:ascii="Arial" w:hAnsi="Arial" w:cs="Arial"/>
          <w:color w:val="000000"/>
          <w:sz w:val="22"/>
          <w:szCs w:val="22"/>
        </w:rPr>
        <w:t xml:space="preserve">technical, office, design, and </w:t>
      </w:r>
      <w:r w:rsidR="00EF51DC" w:rsidRPr="005B6D16">
        <w:rPr>
          <w:rFonts w:ascii="Arial" w:hAnsi="Arial" w:cs="Arial"/>
          <w:color w:val="000000"/>
          <w:sz w:val="22"/>
          <w:szCs w:val="22"/>
        </w:rPr>
        <w:t>monitoring</w:t>
      </w:r>
      <w:r w:rsidR="00EF51DC" w:rsidRPr="005B6D16">
        <w:rPr>
          <w:rFonts w:asciiTheme="minorHAnsi" w:hAnsiTheme="minorHAnsi" w:cstheme="minorHAnsi"/>
          <w:color w:val="000000"/>
          <w:sz w:val="22"/>
          <w:szCs w:val="22"/>
        </w:rPr>
        <w:t xml:space="preserve"> roles</w:t>
      </w:r>
      <w:r w:rsidR="005E5F40" w:rsidRPr="005B6D16">
        <w:rPr>
          <w:rFonts w:asciiTheme="minorHAnsi" w:hAnsiTheme="minorHAnsi" w:cstheme="minorHAnsi"/>
          <w:color w:val="000000"/>
          <w:sz w:val="22"/>
          <w:szCs w:val="22"/>
        </w:rPr>
        <w:t>.</w:t>
      </w:r>
      <w:r w:rsidR="005E5F40" w:rsidRPr="005B6D16">
        <w:rPr>
          <w:rFonts w:ascii="-webkit-standard" w:hAnsi="-webkit-standard"/>
          <w:color w:val="000000"/>
          <w:sz w:val="22"/>
          <w:szCs w:val="22"/>
        </w:rPr>
        <w:t xml:space="preserve"> </w:t>
      </w:r>
      <w:r w:rsidR="005E5F40" w:rsidRPr="005B6D16">
        <w:rPr>
          <w:rFonts w:asciiTheme="minorHAnsi" w:hAnsiTheme="minorHAnsi" w:cstheme="minorHAnsi"/>
          <w:color w:val="000000"/>
          <w:sz w:val="22"/>
          <w:szCs w:val="22"/>
        </w:rPr>
        <w:t xml:space="preserve">This represents positive progress in sectors where female participation is often lower, especially in site-based and operational positions. </w:t>
      </w:r>
      <w:r w:rsidR="0060308D" w:rsidRPr="005B6D16">
        <w:rPr>
          <w:rFonts w:ascii="Arial" w:hAnsi="Arial" w:cs="Arial"/>
          <w:color w:val="000000"/>
          <w:sz w:val="22"/>
          <w:szCs w:val="22"/>
        </w:rPr>
        <w:t xml:space="preserve">However, there is more limited evidence of deeper shifts in workplace culture, disability inclusion, organisational policy, leadership pathways, or decision-making structures. </w:t>
      </w:r>
      <w:r w:rsidRPr="005B6D16">
        <w:rPr>
          <w:rFonts w:asciiTheme="minorHAnsi" w:hAnsiTheme="minorHAnsi" w:cstheme="minorHAnsi"/>
          <w:color w:val="000000"/>
          <w:sz w:val="22"/>
          <w:szCs w:val="22"/>
        </w:rPr>
        <w:t xml:space="preserve">Disability inclusion is the weakest GEDSI dimension across the portfolio, with little evidence that it is systematically integrated into investee policies, workforce practices, or monitoring systems. Most investees reported having no employees with disabilities and no specific disability inclusion policy. </w:t>
      </w:r>
    </w:p>
    <w:p w14:paraId="6064B7EB" w14:textId="523E049A" w:rsidR="00167DA3" w:rsidRPr="005B6D16" w:rsidRDefault="00B25959" w:rsidP="00167DA3">
      <w:pPr>
        <w:spacing w:before="100" w:beforeAutospacing="1" w:after="100" w:afterAutospacing="1"/>
        <w:rPr>
          <w:rFonts w:asciiTheme="minorHAnsi" w:hAnsiTheme="minorHAnsi" w:cstheme="minorHAnsi"/>
          <w:color w:val="000000"/>
          <w:sz w:val="22"/>
          <w:szCs w:val="22"/>
        </w:rPr>
      </w:pPr>
      <w:r w:rsidRPr="005B6D16">
        <w:rPr>
          <w:rFonts w:asciiTheme="minorHAnsi" w:hAnsiTheme="minorHAnsi" w:cstheme="minorHAnsi"/>
          <w:color w:val="000000"/>
          <w:sz w:val="22"/>
          <w:szCs w:val="22"/>
        </w:rPr>
        <w:t>The policy dimension of EOPO-2 remains the least evidenced area.</w:t>
      </w:r>
      <w:r w:rsidR="00167DA3" w:rsidRPr="005B6D16">
        <w:rPr>
          <w:rFonts w:asciiTheme="minorHAnsi" w:hAnsiTheme="minorHAnsi" w:cstheme="minorHAnsi"/>
          <w:color w:val="000000"/>
          <w:sz w:val="22"/>
          <w:szCs w:val="22"/>
        </w:rPr>
        <w:t xml:space="preserve"> There are positive signs that AVETP is contributing to a policy-relevant market direction: CME’s growth reflects demand from firms pursuing RE100 and net-zero commitments; Aqua</w:t>
      </w:r>
      <w:r w:rsidR="00280EA8" w:rsidRPr="005B6D16">
        <w:rPr>
          <w:rFonts w:asciiTheme="minorHAnsi" w:hAnsiTheme="minorHAnsi" w:cstheme="minorHAnsi"/>
          <w:color w:val="000000"/>
          <w:sz w:val="22"/>
          <w:szCs w:val="22"/>
        </w:rPr>
        <w:t>-</w:t>
      </w:r>
      <w:r w:rsidR="00167DA3" w:rsidRPr="005B6D16">
        <w:rPr>
          <w:rFonts w:asciiTheme="minorHAnsi" w:hAnsiTheme="minorHAnsi" w:cstheme="minorHAnsi"/>
          <w:color w:val="000000"/>
          <w:sz w:val="22"/>
          <w:szCs w:val="22"/>
        </w:rPr>
        <w:t xml:space="preserve">One and BPG have helped deepen Vietnam’s sustainable finance market through green bonds; and PIDG’s guarantee and credit-enhancement work is widely regarded as relevant to Vietnam’s financing gaps. However, the more explicit contribution to supporting and augmenting Vietnam’s own policies remains limited. The clearest </w:t>
      </w:r>
      <w:r w:rsidR="005E7DF1" w:rsidRPr="005B6D16">
        <w:rPr>
          <w:rFonts w:asciiTheme="minorHAnsi" w:hAnsiTheme="minorHAnsi" w:cstheme="minorHAnsi"/>
          <w:color w:val="000000"/>
          <w:sz w:val="22"/>
          <w:szCs w:val="22"/>
        </w:rPr>
        <w:t>example of</w:t>
      </w:r>
      <w:r w:rsidR="00AE76EE" w:rsidRPr="005B6D16">
        <w:rPr>
          <w:rFonts w:asciiTheme="minorHAnsi" w:hAnsiTheme="minorHAnsi" w:cstheme="minorHAnsi"/>
          <w:color w:val="000000"/>
          <w:sz w:val="22"/>
          <w:szCs w:val="22"/>
        </w:rPr>
        <w:t xml:space="preserve"> AVETP’s contribution to </w:t>
      </w:r>
      <w:r w:rsidR="00167DA3" w:rsidRPr="005B6D16">
        <w:rPr>
          <w:rFonts w:asciiTheme="minorHAnsi" w:hAnsiTheme="minorHAnsi" w:cstheme="minorHAnsi"/>
          <w:color w:val="000000"/>
          <w:sz w:val="22"/>
          <w:szCs w:val="22"/>
        </w:rPr>
        <w:t>policy and market</w:t>
      </w:r>
      <w:r w:rsidR="00AE76EE" w:rsidRPr="005B6D16">
        <w:rPr>
          <w:rFonts w:asciiTheme="minorHAnsi" w:hAnsiTheme="minorHAnsi" w:cstheme="minorHAnsi"/>
          <w:color w:val="000000"/>
          <w:sz w:val="22"/>
          <w:szCs w:val="22"/>
        </w:rPr>
        <w:t>-shaping engagement</w:t>
      </w:r>
      <w:r w:rsidR="00167DA3" w:rsidRPr="005B6D16">
        <w:rPr>
          <w:rFonts w:asciiTheme="minorHAnsi" w:hAnsiTheme="minorHAnsi" w:cstheme="minorHAnsi"/>
          <w:color w:val="000000"/>
          <w:sz w:val="22"/>
          <w:szCs w:val="22"/>
        </w:rPr>
        <w:t xml:space="preserve"> </w:t>
      </w:r>
      <w:r w:rsidR="00AE76EE" w:rsidRPr="005B6D16">
        <w:rPr>
          <w:rFonts w:asciiTheme="minorHAnsi" w:hAnsiTheme="minorHAnsi" w:cstheme="minorHAnsi"/>
          <w:color w:val="000000"/>
          <w:sz w:val="22"/>
          <w:szCs w:val="22"/>
        </w:rPr>
        <w:t>is the CEF, which is widely viewed as highly relevant to Vietnam’s capital-market development and sustainable finance agenda. However, progress</w:t>
      </w:r>
      <w:r w:rsidR="00167DA3" w:rsidRPr="005B6D16">
        <w:rPr>
          <w:rFonts w:asciiTheme="minorHAnsi" w:hAnsiTheme="minorHAnsi" w:cstheme="minorHAnsi"/>
          <w:color w:val="000000"/>
          <w:sz w:val="22"/>
          <w:szCs w:val="22"/>
        </w:rPr>
        <w:t xml:space="preserve"> has </w:t>
      </w:r>
      <w:r w:rsidR="00AE76EE" w:rsidRPr="005B6D16">
        <w:rPr>
          <w:rFonts w:asciiTheme="minorHAnsi" w:hAnsiTheme="minorHAnsi" w:cstheme="minorHAnsi"/>
          <w:color w:val="000000"/>
          <w:sz w:val="22"/>
          <w:szCs w:val="22"/>
        </w:rPr>
        <w:t xml:space="preserve">been </w:t>
      </w:r>
      <w:r w:rsidR="00167DA3" w:rsidRPr="005B6D16">
        <w:rPr>
          <w:rFonts w:asciiTheme="minorHAnsi" w:hAnsiTheme="minorHAnsi" w:cstheme="minorHAnsi"/>
          <w:color w:val="000000"/>
          <w:sz w:val="22"/>
          <w:szCs w:val="22"/>
        </w:rPr>
        <w:t>delay</w:t>
      </w:r>
      <w:r w:rsidRPr="005B6D16">
        <w:rPr>
          <w:rFonts w:asciiTheme="minorHAnsi" w:hAnsiTheme="minorHAnsi" w:cstheme="minorHAnsi"/>
          <w:color w:val="000000"/>
          <w:sz w:val="22"/>
          <w:szCs w:val="22"/>
        </w:rPr>
        <w:t>ed</w:t>
      </w:r>
      <w:r w:rsidR="00167DA3" w:rsidRPr="005B6D16">
        <w:rPr>
          <w:rFonts w:asciiTheme="minorHAnsi" w:hAnsiTheme="minorHAnsi" w:cstheme="minorHAnsi"/>
          <w:color w:val="000000"/>
          <w:sz w:val="22"/>
          <w:szCs w:val="22"/>
        </w:rPr>
        <w:t xml:space="preserve"> due to regulatory constraints and limited local follow-through. </w:t>
      </w:r>
      <w:r w:rsidR="005E7DF1" w:rsidRPr="005B6D16">
        <w:rPr>
          <w:rFonts w:asciiTheme="minorHAnsi" w:hAnsiTheme="minorHAnsi" w:cstheme="minorHAnsi"/>
          <w:color w:val="000000"/>
          <w:sz w:val="22"/>
          <w:szCs w:val="22"/>
        </w:rPr>
        <w:t>While progress through the CEF and individual transactions is acknowledged, there is limited evidence in relation to the EOPO</w:t>
      </w:r>
      <w:r w:rsidR="005E7DF1" w:rsidRPr="005B6D16">
        <w:rPr>
          <w:rFonts w:asciiTheme="minorHAnsi" w:hAnsiTheme="minorHAnsi" w:cstheme="minorHAnsi" w:hint="eastAsia"/>
          <w:color w:val="000000"/>
          <w:sz w:val="22"/>
          <w:szCs w:val="22"/>
        </w:rPr>
        <w:t>’</w:t>
      </w:r>
      <w:r w:rsidR="005E7DF1" w:rsidRPr="005B6D16">
        <w:rPr>
          <w:rFonts w:asciiTheme="minorHAnsi" w:hAnsiTheme="minorHAnsi" w:cstheme="minorHAnsi"/>
          <w:color w:val="000000"/>
          <w:sz w:val="22"/>
          <w:szCs w:val="22"/>
        </w:rPr>
        <w:t>s focus on supporting and augmenting Vietnam</w:t>
      </w:r>
      <w:r w:rsidR="005E7DF1" w:rsidRPr="005B6D16">
        <w:rPr>
          <w:rFonts w:asciiTheme="minorHAnsi" w:hAnsiTheme="minorHAnsi" w:cstheme="minorHAnsi" w:hint="eastAsia"/>
          <w:color w:val="000000"/>
          <w:sz w:val="22"/>
          <w:szCs w:val="22"/>
        </w:rPr>
        <w:t>’</w:t>
      </w:r>
      <w:r w:rsidR="005E7DF1" w:rsidRPr="005B6D16">
        <w:rPr>
          <w:rFonts w:asciiTheme="minorHAnsi" w:hAnsiTheme="minorHAnsi" w:cstheme="minorHAnsi"/>
          <w:color w:val="000000"/>
          <w:sz w:val="22"/>
          <w:szCs w:val="22"/>
        </w:rPr>
        <w:t>s own equitable and inclusive policies.</w:t>
      </w:r>
    </w:p>
    <w:p w14:paraId="7DCFE7CC" w14:textId="2308CE6E" w:rsidR="00AE1DF0" w:rsidRPr="009A291C" w:rsidRDefault="009C0EE3" w:rsidP="009A291C">
      <w:pPr>
        <w:pStyle w:val="Caption"/>
        <w:keepNext/>
        <w:jc w:val="left"/>
        <w:rPr>
          <w:iCs/>
          <w:sz w:val="18"/>
        </w:rPr>
      </w:pPr>
      <w:bookmarkStart w:id="52" w:name="_Toc230168211"/>
      <w:bookmarkStart w:id="53" w:name="_Toc233026567"/>
      <w:r w:rsidRPr="009C0EE3">
        <w:rPr>
          <w:i w:val="0"/>
          <w:iCs/>
          <w:sz w:val="18"/>
        </w:rPr>
        <w:lastRenderedPageBreak/>
        <w:t xml:space="preserve">Table </w:t>
      </w:r>
      <w:r w:rsidRPr="009C0EE3">
        <w:rPr>
          <w:i w:val="0"/>
          <w:iCs/>
          <w:sz w:val="18"/>
        </w:rPr>
        <w:fldChar w:fldCharType="begin"/>
      </w:r>
      <w:r w:rsidRPr="009C0EE3">
        <w:rPr>
          <w:i w:val="0"/>
          <w:iCs/>
          <w:sz w:val="18"/>
        </w:rPr>
        <w:instrText xml:space="preserve"> SEQ Table \* ARABIC </w:instrText>
      </w:r>
      <w:r w:rsidRPr="009C0EE3">
        <w:rPr>
          <w:i w:val="0"/>
          <w:iCs/>
          <w:sz w:val="18"/>
        </w:rPr>
        <w:fldChar w:fldCharType="separate"/>
      </w:r>
      <w:r w:rsidR="006C7E0E">
        <w:rPr>
          <w:i w:val="0"/>
          <w:iCs/>
          <w:noProof/>
          <w:sz w:val="18"/>
        </w:rPr>
        <w:t>8</w:t>
      </w:r>
      <w:r w:rsidRPr="009C0EE3">
        <w:rPr>
          <w:i w:val="0"/>
          <w:iCs/>
          <w:sz w:val="18"/>
        </w:rPr>
        <w:fldChar w:fldCharType="end"/>
      </w:r>
      <w:r w:rsidRPr="009C0EE3">
        <w:rPr>
          <w:i w:val="0"/>
          <w:iCs/>
          <w:sz w:val="18"/>
        </w:rPr>
        <w:t>:</w:t>
      </w:r>
      <w:r w:rsidRPr="009C0EE3">
        <w:rPr>
          <w:i w:val="0"/>
          <w:iCs/>
          <w:color w:val="000000"/>
          <w:sz w:val="18"/>
        </w:rPr>
        <w:t xml:space="preserve"> </w:t>
      </w:r>
      <w:r w:rsidR="0033086C">
        <w:rPr>
          <w:i w:val="0"/>
          <w:iCs/>
          <w:sz w:val="18"/>
        </w:rPr>
        <w:t>Inclusion, Access, and Safeguards Results</w:t>
      </w:r>
      <w:bookmarkEnd w:id="52"/>
      <w:bookmarkEnd w:id="53"/>
      <w:r w:rsidR="0033086C">
        <w:rPr>
          <w:i w:val="0"/>
          <w:iCs/>
          <w:sz w:val="18"/>
        </w:rPr>
        <w:t xml:space="preserve"> </w:t>
      </w:r>
    </w:p>
    <w:tbl>
      <w:tblPr>
        <w:tblStyle w:val="CBSTable1"/>
        <w:tblW w:w="0" w:type="auto"/>
        <w:tblLook w:val="04A0" w:firstRow="1" w:lastRow="0" w:firstColumn="1" w:lastColumn="0" w:noHBand="0" w:noVBand="1"/>
      </w:tblPr>
      <w:tblGrid>
        <w:gridCol w:w="1512"/>
        <w:gridCol w:w="3270"/>
        <w:gridCol w:w="1285"/>
        <w:gridCol w:w="4122"/>
      </w:tblGrid>
      <w:tr w:rsidR="00AE1DF0" w:rsidRPr="00AE1DF0" w14:paraId="68CE055A" w14:textId="77777777" w:rsidTr="0047596E">
        <w:trPr>
          <w:tblHeader/>
        </w:trPr>
        <w:tc>
          <w:tcPr>
            <w:tcW w:w="0" w:type="auto"/>
            <w:shd w:val="clear" w:color="auto" w:fill="0065BC" w:themeFill="background2"/>
            <w:hideMark/>
          </w:tcPr>
          <w:p w14:paraId="2BFC85DB" w14:textId="77777777" w:rsidR="00AE1DF0" w:rsidRPr="00146589" w:rsidRDefault="00AE1DF0" w:rsidP="00AE1DF0">
            <w:pPr>
              <w:jc w:val="cente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Results area</w:t>
            </w:r>
          </w:p>
        </w:tc>
        <w:tc>
          <w:tcPr>
            <w:tcW w:w="0" w:type="auto"/>
            <w:shd w:val="clear" w:color="auto" w:fill="0065BC" w:themeFill="background2"/>
            <w:hideMark/>
          </w:tcPr>
          <w:p w14:paraId="11A7E912" w14:textId="77777777" w:rsidR="00AE1DF0" w:rsidRPr="00146589" w:rsidRDefault="00AE1DF0" w:rsidP="00AE1DF0">
            <w:pPr>
              <w:jc w:val="cente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Indicator</w:t>
            </w:r>
          </w:p>
        </w:tc>
        <w:tc>
          <w:tcPr>
            <w:tcW w:w="0" w:type="auto"/>
            <w:shd w:val="clear" w:color="auto" w:fill="0065BC" w:themeFill="background2"/>
            <w:hideMark/>
          </w:tcPr>
          <w:p w14:paraId="71A50817" w14:textId="77777777" w:rsidR="00AE1DF0" w:rsidRPr="00146589" w:rsidRDefault="00AE1DF0" w:rsidP="00AE1DF0">
            <w:pPr>
              <w:jc w:val="right"/>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Reported result</w:t>
            </w:r>
          </w:p>
        </w:tc>
        <w:tc>
          <w:tcPr>
            <w:tcW w:w="0" w:type="auto"/>
            <w:shd w:val="clear" w:color="auto" w:fill="0065BC" w:themeFill="background2"/>
            <w:hideMark/>
          </w:tcPr>
          <w:p w14:paraId="63344F2B" w14:textId="77777777" w:rsidR="00AE1DF0" w:rsidRPr="00146589" w:rsidRDefault="00AE1DF0" w:rsidP="00AE1DF0">
            <w:pPr>
              <w:jc w:val="cente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What this means</w:t>
            </w:r>
          </w:p>
        </w:tc>
      </w:tr>
      <w:tr w:rsidR="00AE1DF0" w:rsidRPr="00AE1DF0" w14:paraId="19E33BA4" w14:textId="77777777" w:rsidTr="009A291C">
        <w:tc>
          <w:tcPr>
            <w:tcW w:w="0" w:type="auto"/>
            <w:hideMark/>
          </w:tcPr>
          <w:p w14:paraId="42B03AA4"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Service access</w:t>
            </w:r>
          </w:p>
        </w:tc>
        <w:tc>
          <w:tcPr>
            <w:tcW w:w="0" w:type="auto"/>
            <w:hideMark/>
          </w:tcPr>
          <w:p w14:paraId="7DC68376"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People potentially served through clean water infrastructure</w:t>
            </w:r>
          </w:p>
        </w:tc>
        <w:tc>
          <w:tcPr>
            <w:tcW w:w="0" w:type="auto"/>
            <w:hideMark/>
          </w:tcPr>
          <w:p w14:paraId="43AE368F" w14:textId="77777777" w:rsidR="00AE1DF0" w:rsidRPr="009A291C" w:rsidRDefault="00AE1DF0" w:rsidP="0075316B">
            <w:pPr>
              <w:rPr>
                <w:rFonts w:asciiTheme="minorHAnsi" w:hAnsiTheme="minorHAnsi" w:cstheme="minorHAnsi"/>
                <w:color w:val="000000"/>
                <w:sz w:val="20"/>
                <w:szCs w:val="20"/>
              </w:rPr>
            </w:pPr>
            <w:r w:rsidRPr="009A291C">
              <w:rPr>
                <w:rFonts w:asciiTheme="minorHAnsi" w:hAnsiTheme="minorHAnsi" w:cstheme="minorHAnsi"/>
                <w:color w:val="000000"/>
                <w:sz w:val="20"/>
                <w:szCs w:val="20"/>
              </w:rPr>
              <w:t>1.5 million people</w:t>
            </w:r>
          </w:p>
        </w:tc>
        <w:tc>
          <w:tcPr>
            <w:tcW w:w="0" w:type="auto"/>
            <w:hideMark/>
          </w:tcPr>
          <w:p w14:paraId="0D6FECFC"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The water infrastructure investment is expected to improve access to clean water for a large population.</w:t>
            </w:r>
          </w:p>
        </w:tc>
      </w:tr>
      <w:tr w:rsidR="00AE1DF0" w:rsidRPr="00AE1DF0" w14:paraId="682EA7CC" w14:textId="77777777" w:rsidTr="009A291C">
        <w:tc>
          <w:tcPr>
            <w:tcW w:w="0" w:type="auto"/>
            <w:hideMark/>
          </w:tcPr>
          <w:p w14:paraId="3D73CFFB"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Affordability</w:t>
            </w:r>
          </w:p>
        </w:tc>
        <w:tc>
          <w:tcPr>
            <w:tcW w:w="0" w:type="auto"/>
            <w:hideMark/>
          </w:tcPr>
          <w:p w14:paraId="1EFE9C03"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Lower-priced e-mobility model customers who appear lower-income or price-sensitive</w:t>
            </w:r>
          </w:p>
        </w:tc>
        <w:tc>
          <w:tcPr>
            <w:tcW w:w="0" w:type="auto"/>
            <w:hideMark/>
          </w:tcPr>
          <w:p w14:paraId="28B3F20A" w14:textId="77777777" w:rsidR="00AE1DF0" w:rsidRPr="009A291C" w:rsidRDefault="00AE1DF0" w:rsidP="0075316B">
            <w:pPr>
              <w:rPr>
                <w:rFonts w:asciiTheme="minorHAnsi" w:hAnsiTheme="minorHAnsi" w:cstheme="minorHAnsi"/>
                <w:color w:val="000000"/>
                <w:sz w:val="20"/>
                <w:szCs w:val="20"/>
              </w:rPr>
            </w:pPr>
            <w:r w:rsidRPr="009A291C">
              <w:rPr>
                <w:rFonts w:asciiTheme="minorHAnsi" w:hAnsiTheme="minorHAnsi" w:cstheme="minorHAnsi"/>
                <w:color w:val="000000"/>
                <w:sz w:val="20"/>
                <w:szCs w:val="20"/>
              </w:rPr>
              <w:t>More than 40%</w:t>
            </w:r>
          </w:p>
        </w:tc>
        <w:tc>
          <w:tcPr>
            <w:tcW w:w="0" w:type="auto"/>
            <w:hideMark/>
          </w:tcPr>
          <w:p w14:paraId="1A592009"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Lower-priced electric motorbike models appear to be broadening access beyond higher-income customers.</w:t>
            </w:r>
          </w:p>
        </w:tc>
      </w:tr>
      <w:tr w:rsidR="00AE1DF0" w:rsidRPr="00AE1DF0" w14:paraId="55E2E601" w14:textId="77777777" w:rsidTr="009A291C">
        <w:tc>
          <w:tcPr>
            <w:tcW w:w="0" w:type="auto"/>
            <w:hideMark/>
          </w:tcPr>
          <w:p w14:paraId="60E83598"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Local employment</w:t>
            </w:r>
          </w:p>
        </w:tc>
        <w:tc>
          <w:tcPr>
            <w:tcW w:w="0" w:type="auto"/>
            <w:hideMark/>
          </w:tcPr>
          <w:p w14:paraId="475CE50E"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Future workforce expected from local communities</w:t>
            </w:r>
          </w:p>
        </w:tc>
        <w:tc>
          <w:tcPr>
            <w:tcW w:w="0" w:type="auto"/>
            <w:hideMark/>
          </w:tcPr>
          <w:p w14:paraId="51CC25F2" w14:textId="77777777" w:rsidR="00AE1DF0" w:rsidRPr="009A291C" w:rsidRDefault="00AE1DF0" w:rsidP="0075316B">
            <w:pPr>
              <w:rPr>
                <w:rFonts w:asciiTheme="minorHAnsi" w:hAnsiTheme="minorHAnsi" w:cstheme="minorHAnsi"/>
                <w:color w:val="000000"/>
                <w:sz w:val="20"/>
                <w:szCs w:val="20"/>
              </w:rPr>
            </w:pPr>
            <w:r w:rsidRPr="009A291C">
              <w:rPr>
                <w:rFonts w:asciiTheme="minorHAnsi" w:hAnsiTheme="minorHAnsi" w:cstheme="minorHAnsi"/>
                <w:color w:val="000000"/>
                <w:sz w:val="20"/>
                <w:szCs w:val="20"/>
              </w:rPr>
              <w:t>70%</w:t>
            </w:r>
          </w:p>
        </w:tc>
        <w:tc>
          <w:tcPr>
            <w:tcW w:w="0" w:type="auto"/>
            <w:hideMark/>
          </w:tcPr>
          <w:p w14:paraId="1FD8A948"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The water treatment project expects a substantial share of future jobs to be recruited from surrounding communities.</w:t>
            </w:r>
          </w:p>
        </w:tc>
      </w:tr>
      <w:tr w:rsidR="00AE1DF0" w:rsidRPr="00AE1DF0" w14:paraId="64EC7FC5" w14:textId="77777777" w:rsidTr="009A291C">
        <w:tc>
          <w:tcPr>
            <w:tcW w:w="0" w:type="auto"/>
            <w:hideMark/>
          </w:tcPr>
          <w:p w14:paraId="7C9E8CB3"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Women in workforce</w:t>
            </w:r>
          </w:p>
        </w:tc>
        <w:tc>
          <w:tcPr>
            <w:tcW w:w="0" w:type="auto"/>
            <w:hideMark/>
          </w:tcPr>
          <w:p w14:paraId="6988B526"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Women represented among office staff in one recycling and circular economy transaction</w:t>
            </w:r>
          </w:p>
        </w:tc>
        <w:tc>
          <w:tcPr>
            <w:tcW w:w="0" w:type="auto"/>
            <w:hideMark/>
          </w:tcPr>
          <w:p w14:paraId="3C9A51E4" w14:textId="77777777" w:rsidR="00AE1DF0" w:rsidRPr="009A291C" w:rsidRDefault="00AE1DF0" w:rsidP="0075316B">
            <w:pPr>
              <w:rPr>
                <w:rFonts w:asciiTheme="minorHAnsi" w:hAnsiTheme="minorHAnsi" w:cstheme="minorHAnsi"/>
                <w:color w:val="000000"/>
                <w:sz w:val="20"/>
                <w:szCs w:val="20"/>
              </w:rPr>
            </w:pPr>
            <w:r w:rsidRPr="009A291C">
              <w:rPr>
                <w:rFonts w:asciiTheme="minorHAnsi" w:hAnsiTheme="minorHAnsi" w:cstheme="minorHAnsi"/>
                <w:color w:val="000000"/>
                <w:sz w:val="20"/>
                <w:szCs w:val="20"/>
              </w:rPr>
              <w:t>50%–60%</w:t>
            </w:r>
          </w:p>
        </w:tc>
        <w:tc>
          <w:tcPr>
            <w:tcW w:w="0" w:type="auto"/>
            <w:hideMark/>
          </w:tcPr>
          <w:p w14:paraId="07445E90"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 xml:space="preserve">One transaction </w:t>
            </w:r>
            <w:proofErr w:type="gramStart"/>
            <w:r w:rsidRPr="009A291C">
              <w:rPr>
                <w:rFonts w:asciiTheme="minorHAnsi" w:hAnsiTheme="minorHAnsi" w:cstheme="minorHAnsi"/>
                <w:color w:val="000000"/>
                <w:sz w:val="20"/>
                <w:szCs w:val="20"/>
              </w:rPr>
              <w:t>shows</w:t>
            </w:r>
            <w:proofErr w:type="gramEnd"/>
            <w:r w:rsidRPr="009A291C">
              <w:rPr>
                <w:rFonts w:asciiTheme="minorHAnsi" w:hAnsiTheme="minorHAnsi" w:cstheme="minorHAnsi"/>
                <w:color w:val="000000"/>
                <w:sz w:val="20"/>
                <w:szCs w:val="20"/>
              </w:rPr>
              <w:t xml:space="preserve"> relatively strong women’s representation among office-based staff.</w:t>
            </w:r>
          </w:p>
        </w:tc>
      </w:tr>
      <w:tr w:rsidR="00AE1DF0" w:rsidRPr="00AE1DF0" w14:paraId="3608AA8F" w14:textId="77777777" w:rsidTr="009A291C">
        <w:tc>
          <w:tcPr>
            <w:tcW w:w="0" w:type="auto"/>
            <w:hideMark/>
          </w:tcPr>
          <w:p w14:paraId="5FEE9104"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Standards upgrade</w:t>
            </w:r>
          </w:p>
        </w:tc>
        <w:tc>
          <w:tcPr>
            <w:tcW w:w="0" w:type="auto"/>
            <w:hideMark/>
          </w:tcPr>
          <w:p w14:paraId="5E3E283C"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Areas where standards were strengthened</w:t>
            </w:r>
          </w:p>
        </w:tc>
        <w:tc>
          <w:tcPr>
            <w:tcW w:w="0" w:type="auto"/>
            <w:hideMark/>
          </w:tcPr>
          <w:p w14:paraId="119A6136" w14:textId="77777777" w:rsidR="00AE1DF0" w:rsidRPr="009A291C" w:rsidRDefault="00AE1DF0" w:rsidP="0075316B">
            <w:pPr>
              <w:rPr>
                <w:rFonts w:asciiTheme="minorHAnsi" w:hAnsiTheme="minorHAnsi" w:cstheme="minorHAnsi"/>
                <w:color w:val="000000"/>
                <w:sz w:val="20"/>
                <w:szCs w:val="20"/>
              </w:rPr>
            </w:pPr>
            <w:r w:rsidRPr="009A291C">
              <w:rPr>
                <w:rFonts w:asciiTheme="minorHAnsi" w:hAnsiTheme="minorHAnsi" w:cstheme="minorHAnsi"/>
                <w:color w:val="000000"/>
                <w:sz w:val="20"/>
                <w:szCs w:val="20"/>
              </w:rPr>
              <w:t>5 areas</w:t>
            </w:r>
          </w:p>
        </w:tc>
        <w:tc>
          <w:tcPr>
            <w:tcW w:w="0" w:type="auto"/>
            <w:hideMark/>
          </w:tcPr>
          <w:p w14:paraId="6A901F2B" w14:textId="77777777" w:rsidR="00AE1DF0" w:rsidRPr="009A291C" w:rsidRDefault="00AE1DF0" w:rsidP="00AE1DF0">
            <w:pPr>
              <w:rPr>
                <w:rFonts w:asciiTheme="minorHAnsi" w:hAnsiTheme="minorHAnsi" w:cstheme="minorHAnsi"/>
                <w:color w:val="000000"/>
                <w:sz w:val="20"/>
                <w:szCs w:val="20"/>
              </w:rPr>
            </w:pPr>
            <w:r w:rsidRPr="009A291C">
              <w:rPr>
                <w:rFonts w:asciiTheme="minorHAnsi" w:hAnsiTheme="minorHAnsi" w:cstheme="minorHAnsi"/>
                <w:color w:val="000000"/>
                <w:sz w:val="20"/>
                <w:szCs w:val="20"/>
              </w:rPr>
              <w:t>HSES, ESG, ESMS, training, contractor management, and governance systems were strengthened across transactions.</w:t>
            </w:r>
          </w:p>
        </w:tc>
      </w:tr>
    </w:tbl>
    <w:p w14:paraId="00A31A10" w14:textId="30D73169" w:rsidR="00544DFA" w:rsidRPr="009335AE" w:rsidRDefault="00544DFA" w:rsidP="003D231F">
      <w:pPr>
        <w:pStyle w:val="Heading2"/>
      </w:pPr>
      <w:bookmarkStart w:id="54" w:name="_Toc226976850"/>
      <w:bookmarkStart w:id="55" w:name="_Toc233026599"/>
      <w:r w:rsidRPr="009335AE">
        <w:t>Credit Enhancement Facility</w:t>
      </w:r>
      <w:bookmarkEnd w:id="54"/>
      <w:bookmarkEnd w:id="55"/>
    </w:p>
    <w:p w14:paraId="0C2B8646" w14:textId="738FEC76" w:rsidR="00544DFA" w:rsidRPr="005B6D16" w:rsidRDefault="00544DFA" w:rsidP="00544DFA">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The Credit Enhancement Facility (CEF) remains one of the most ambitious and potentially transformative elements of AVETP, but it is also one of the slowest moving. </w:t>
      </w:r>
      <w:r w:rsidR="00E144CB" w:rsidRPr="005B6D16">
        <w:rPr>
          <w:rFonts w:asciiTheme="minorHAnsi" w:hAnsiTheme="minorHAnsi" w:cstheme="minorHAnsi"/>
          <w:color w:val="000000"/>
          <w:sz w:val="22"/>
          <w:szCs w:val="22"/>
        </w:rPr>
        <w:t>S</w:t>
      </w:r>
      <w:r w:rsidRPr="005B6D16">
        <w:rPr>
          <w:rFonts w:asciiTheme="minorHAnsi" w:hAnsiTheme="minorHAnsi" w:cstheme="minorHAnsi"/>
          <w:color w:val="000000"/>
          <w:sz w:val="22"/>
          <w:szCs w:val="22"/>
        </w:rPr>
        <w:t>takeholders</w:t>
      </w:r>
      <w:r w:rsidR="00E144CB" w:rsidRPr="005B6D16">
        <w:rPr>
          <w:rFonts w:asciiTheme="minorHAnsi" w:hAnsiTheme="minorHAnsi" w:cstheme="minorHAnsi"/>
          <w:color w:val="000000"/>
          <w:sz w:val="22"/>
          <w:szCs w:val="22"/>
        </w:rPr>
        <w:t xml:space="preserve"> across DFAT, PIDG, SSC, MoF and the market</w:t>
      </w:r>
      <w:r w:rsidRPr="005B6D16">
        <w:rPr>
          <w:rFonts w:asciiTheme="minorHAnsi" w:hAnsiTheme="minorHAnsi" w:cstheme="minorHAnsi"/>
          <w:color w:val="000000"/>
          <w:sz w:val="22"/>
          <w:szCs w:val="22"/>
        </w:rPr>
        <w:t xml:space="preserve"> consistently described the CEF as highly relevant to Vietnam’s capital market development and net zero financing needs. PIDG sees it as a </w:t>
      </w:r>
      <w:r w:rsidR="00224FDE" w:rsidRPr="005B6D16">
        <w:rPr>
          <w:rFonts w:asciiTheme="minorHAnsi" w:hAnsiTheme="minorHAnsi" w:cstheme="minorHAnsi"/>
          <w:color w:val="000000"/>
          <w:sz w:val="22"/>
          <w:szCs w:val="22"/>
        </w:rPr>
        <w:t>long-term</w:t>
      </w:r>
      <w:r w:rsidRPr="005B6D16">
        <w:rPr>
          <w:rFonts w:asciiTheme="minorHAnsi" w:hAnsiTheme="minorHAnsi" w:cstheme="minorHAnsi"/>
          <w:color w:val="000000"/>
          <w:sz w:val="22"/>
          <w:szCs w:val="22"/>
        </w:rPr>
        <w:t xml:space="preserve"> contribution to transforming infrastructure finance in Vietnam by establishing a locally based, onshore guarantor able to provide local currency guarantees and mobilise domestic institutional investors. </w:t>
      </w:r>
    </w:p>
    <w:p w14:paraId="7CCAD038" w14:textId="7E688C42" w:rsidR="00544DFA" w:rsidRPr="005B6D16" w:rsidRDefault="00544DFA" w:rsidP="5F242609">
      <w:pPr>
        <w:pStyle w:val="NormalWeb"/>
        <w:rPr>
          <w:rFonts w:asciiTheme="minorHAnsi" w:hAnsiTheme="minorHAnsi" w:cstheme="minorBidi"/>
          <w:color w:val="000000"/>
          <w:sz w:val="22"/>
          <w:szCs w:val="22"/>
        </w:rPr>
      </w:pPr>
      <w:r w:rsidRPr="5F242609">
        <w:rPr>
          <w:rFonts w:asciiTheme="minorHAnsi" w:hAnsiTheme="minorHAnsi" w:cstheme="minorBidi"/>
          <w:color w:val="000000" w:themeColor="text2"/>
          <w:sz w:val="22"/>
          <w:szCs w:val="22"/>
        </w:rPr>
        <w:t xml:space="preserve">Progress to date has been real, but slower than originally expected. The evidence suggests that the first major step was a feasibility study completed in 2023, which concluded that the CEF was commercially viable as a </w:t>
      </w:r>
      <w:r w:rsidR="00224FDE" w:rsidRPr="5F242609">
        <w:rPr>
          <w:rFonts w:asciiTheme="minorHAnsi" w:hAnsiTheme="minorHAnsi" w:cstheme="minorBidi"/>
          <w:color w:val="000000" w:themeColor="text2"/>
          <w:sz w:val="22"/>
          <w:szCs w:val="22"/>
        </w:rPr>
        <w:t>non-subsidised</w:t>
      </w:r>
      <w:r w:rsidRPr="5F242609">
        <w:rPr>
          <w:rFonts w:asciiTheme="minorHAnsi" w:hAnsiTheme="minorHAnsi" w:cstheme="minorBidi"/>
          <w:color w:val="000000" w:themeColor="text2"/>
          <w:sz w:val="22"/>
          <w:szCs w:val="22"/>
        </w:rPr>
        <w:t xml:space="preserve"> commercial structure rather than a </w:t>
      </w:r>
      <w:r w:rsidR="00224FDE" w:rsidRPr="5F242609">
        <w:rPr>
          <w:rFonts w:asciiTheme="minorHAnsi" w:hAnsiTheme="minorHAnsi" w:cstheme="minorBidi"/>
          <w:color w:val="000000" w:themeColor="text2"/>
          <w:sz w:val="22"/>
          <w:szCs w:val="22"/>
        </w:rPr>
        <w:t>grant-based</w:t>
      </w:r>
      <w:r w:rsidRPr="5F242609">
        <w:rPr>
          <w:rFonts w:asciiTheme="minorHAnsi" w:hAnsiTheme="minorHAnsi" w:cstheme="minorBidi"/>
          <w:color w:val="000000" w:themeColor="text2"/>
          <w:sz w:val="22"/>
          <w:szCs w:val="22"/>
        </w:rPr>
        <w:t xml:space="preserve"> vehicle. Since then, the </w:t>
      </w:r>
      <w:r w:rsidR="00224FDE" w:rsidRPr="5F242609">
        <w:rPr>
          <w:rFonts w:asciiTheme="minorHAnsi" w:hAnsiTheme="minorHAnsi" w:cstheme="minorBidi"/>
          <w:color w:val="000000" w:themeColor="text2"/>
          <w:sz w:val="22"/>
          <w:szCs w:val="22"/>
        </w:rPr>
        <w:t>focus</w:t>
      </w:r>
      <w:r w:rsidRPr="5F242609">
        <w:rPr>
          <w:rFonts w:asciiTheme="minorHAnsi" w:hAnsiTheme="minorHAnsi" w:cstheme="minorBidi"/>
          <w:color w:val="000000" w:themeColor="text2"/>
          <w:sz w:val="22"/>
          <w:szCs w:val="22"/>
        </w:rPr>
        <w:t xml:space="preserve"> has shifted to the enabling environment. Multiple sources confirm that the central bottleneck has been the absence of a legal and regulatory framework for such an institution in Vietnam. </w:t>
      </w:r>
      <w:r w:rsidR="3D9F9B2C" w:rsidRPr="5F242609">
        <w:rPr>
          <w:rFonts w:asciiTheme="minorHAnsi" w:hAnsiTheme="minorHAnsi" w:cstheme="minorBidi"/>
          <w:color w:val="000000" w:themeColor="text2"/>
          <w:sz w:val="22"/>
          <w:szCs w:val="22"/>
        </w:rPr>
        <w:t xml:space="preserve">The SSC </w:t>
      </w:r>
      <w:r w:rsidR="5D92107E" w:rsidRPr="5F242609">
        <w:rPr>
          <w:rFonts w:asciiTheme="minorHAnsi" w:hAnsiTheme="minorHAnsi" w:cstheme="minorBidi"/>
          <w:color w:val="000000" w:themeColor="text2"/>
          <w:sz w:val="22"/>
          <w:szCs w:val="22"/>
        </w:rPr>
        <w:t xml:space="preserve">has </w:t>
      </w:r>
      <w:r w:rsidR="00DD5E46" w:rsidRPr="5F242609">
        <w:rPr>
          <w:rFonts w:asciiTheme="minorHAnsi" w:hAnsiTheme="minorHAnsi" w:cstheme="minorBidi"/>
          <w:color w:val="000000" w:themeColor="text2"/>
          <w:sz w:val="22"/>
          <w:szCs w:val="22"/>
        </w:rPr>
        <w:t>started drafting</w:t>
      </w:r>
      <w:r w:rsidRPr="5F242609">
        <w:rPr>
          <w:rFonts w:asciiTheme="minorHAnsi" w:hAnsiTheme="minorHAnsi" w:cstheme="minorBidi"/>
          <w:color w:val="000000" w:themeColor="text2"/>
          <w:sz w:val="22"/>
          <w:szCs w:val="22"/>
        </w:rPr>
        <w:t xml:space="preserve"> the regulations and guidelines needed to establish the facility, with the Ministry of Finance playing a central role and the World Bank providing regulatory support. </w:t>
      </w:r>
    </w:p>
    <w:p w14:paraId="78336D31" w14:textId="3CC71638" w:rsidR="00376F19" w:rsidRPr="005B6D16" w:rsidRDefault="00544DFA" w:rsidP="005C5713">
      <w:pPr>
        <w:pStyle w:val="NormalWeb"/>
        <w:rPr>
          <w:sz w:val="22"/>
          <w:szCs w:val="22"/>
        </w:rPr>
      </w:pPr>
      <w:r w:rsidRPr="5F242609">
        <w:rPr>
          <w:rFonts w:asciiTheme="minorHAnsi" w:hAnsiTheme="minorHAnsi" w:cstheme="minorBidi"/>
          <w:color w:val="000000" w:themeColor="text2"/>
          <w:sz w:val="22"/>
          <w:szCs w:val="22"/>
        </w:rPr>
        <w:t>Stakeholders repeatedly emphasised that this is the first attempt to create such a facility in Vietnam and that it is effectively being built from a blank sheet of paper.</w:t>
      </w:r>
      <w:r w:rsidR="00D235A1">
        <w:rPr>
          <w:rFonts w:asciiTheme="minorHAnsi" w:hAnsiTheme="minorHAnsi" w:cstheme="minorBidi"/>
          <w:color w:val="000000" w:themeColor="text2"/>
          <w:sz w:val="22"/>
          <w:szCs w:val="22"/>
        </w:rPr>
        <w:t xml:space="preserve"> </w:t>
      </w:r>
      <w:r w:rsidRPr="5F242609">
        <w:rPr>
          <w:rFonts w:asciiTheme="minorHAnsi" w:hAnsiTheme="minorHAnsi" w:cstheme="minorBidi"/>
          <w:color w:val="000000" w:themeColor="text2"/>
          <w:sz w:val="22"/>
          <w:szCs w:val="22"/>
        </w:rPr>
        <w:t xml:space="preserve">The CEF should </w:t>
      </w:r>
      <w:r w:rsidR="004571AD" w:rsidRPr="5F242609">
        <w:rPr>
          <w:rFonts w:asciiTheme="minorHAnsi" w:hAnsiTheme="minorHAnsi" w:cstheme="minorBidi"/>
          <w:color w:val="000000" w:themeColor="text2"/>
          <w:sz w:val="22"/>
          <w:szCs w:val="22"/>
        </w:rPr>
        <w:t xml:space="preserve">therefore </w:t>
      </w:r>
      <w:r w:rsidRPr="5F242609">
        <w:rPr>
          <w:rFonts w:asciiTheme="minorHAnsi" w:hAnsiTheme="minorHAnsi" w:cstheme="minorBidi"/>
          <w:color w:val="000000" w:themeColor="text2"/>
          <w:sz w:val="22"/>
          <w:szCs w:val="22"/>
        </w:rPr>
        <w:t xml:space="preserve">be understood differently from ordinary transactions. Unlike a guarantee for a specific bond or loan, </w:t>
      </w:r>
      <w:r w:rsidR="004571AD" w:rsidRPr="5F242609">
        <w:rPr>
          <w:rFonts w:asciiTheme="minorHAnsi" w:hAnsiTheme="minorHAnsi" w:cstheme="minorBidi"/>
          <w:color w:val="000000" w:themeColor="text2"/>
          <w:sz w:val="22"/>
          <w:szCs w:val="22"/>
        </w:rPr>
        <w:t>it is an</w:t>
      </w:r>
      <w:r w:rsidRPr="5F242609">
        <w:rPr>
          <w:rFonts w:asciiTheme="minorHAnsi" w:hAnsiTheme="minorHAnsi" w:cstheme="minorBidi"/>
          <w:color w:val="000000" w:themeColor="text2"/>
          <w:sz w:val="22"/>
          <w:szCs w:val="22"/>
        </w:rPr>
        <w:t xml:space="preserve"> institution</w:t>
      </w:r>
      <w:r w:rsidR="004571AD" w:rsidRPr="5F242609">
        <w:rPr>
          <w:rFonts w:asciiTheme="minorHAnsi" w:hAnsiTheme="minorHAnsi" w:cstheme="minorBidi"/>
          <w:color w:val="000000" w:themeColor="text2"/>
          <w:sz w:val="22"/>
          <w:szCs w:val="22"/>
        </w:rPr>
        <w:t>-</w:t>
      </w:r>
      <w:r w:rsidRPr="5F242609">
        <w:rPr>
          <w:rFonts w:asciiTheme="minorHAnsi" w:hAnsiTheme="minorHAnsi" w:cstheme="minorBidi"/>
          <w:color w:val="000000" w:themeColor="text2"/>
          <w:sz w:val="22"/>
          <w:szCs w:val="22"/>
        </w:rPr>
        <w:t>building and market</w:t>
      </w:r>
      <w:r w:rsidR="004571AD" w:rsidRPr="5F242609">
        <w:rPr>
          <w:rFonts w:asciiTheme="minorHAnsi" w:hAnsiTheme="minorHAnsi" w:cstheme="minorBidi"/>
          <w:color w:val="000000" w:themeColor="text2"/>
          <w:sz w:val="22"/>
          <w:szCs w:val="22"/>
        </w:rPr>
        <w:t>-</w:t>
      </w:r>
      <w:r w:rsidRPr="5F242609">
        <w:rPr>
          <w:rFonts w:asciiTheme="minorHAnsi" w:hAnsiTheme="minorHAnsi" w:cstheme="minorBidi"/>
          <w:color w:val="000000" w:themeColor="text2"/>
          <w:sz w:val="22"/>
          <w:szCs w:val="22"/>
        </w:rPr>
        <w:t xml:space="preserve">shaping initiative with a much longer horizon. </w:t>
      </w:r>
      <w:r w:rsidR="004571AD" w:rsidRPr="5F242609">
        <w:rPr>
          <w:rFonts w:asciiTheme="minorHAnsi" w:hAnsiTheme="minorHAnsi" w:cstheme="minorBidi"/>
          <w:color w:val="000000" w:themeColor="text2"/>
          <w:sz w:val="22"/>
          <w:szCs w:val="22"/>
        </w:rPr>
        <w:t xml:space="preserve"> </w:t>
      </w:r>
      <w:r w:rsidR="7043F888" w:rsidRPr="5F242609">
        <w:rPr>
          <w:rFonts w:asciiTheme="minorHAnsi" w:hAnsiTheme="minorHAnsi" w:cstheme="minorBidi"/>
          <w:color w:val="000000" w:themeColor="text2"/>
          <w:sz w:val="22"/>
          <w:szCs w:val="22"/>
        </w:rPr>
        <w:t>O</w:t>
      </w:r>
      <w:r w:rsidR="004571AD" w:rsidRPr="5F242609">
        <w:rPr>
          <w:rFonts w:asciiTheme="minorHAnsi" w:hAnsiTheme="minorHAnsi" w:cstheme="minorBidi"/>
          <w:color w:val="000000" w:themeColor="text2"/>
          <w:sz w:val="22"/>
          <w:szCs w:val="22"/>
        </w:rPr>
        <w:t xml:space="preserve">perationalisation remains pending, and the facility has not yet begun delivering guarantees, mobilising domestic institutional investors, or generating transaction-level outcomes. Its effectiveness should therefore be judged against its stage of development: meaningful policy traction and market-building value have emerged, but realised results remain at an early stage. </w:t>
      </w:r>
    </w:p>
    <w:p w14:paraId="48D6BF75" w14:textId="0C5F2D1F" w:rsidR="00984F53" w:rsidRPr="00984F53" w:rsidRDefault="00984F53" w:rsidP="003D231F">
      <w:pPr>
        <w:pStyle w:val="Heading2"/>
      </w:pPr>
      <w:bookmarkStart w:id="56" w:name="_Toc233026600"/>
      <w:r>
        <w:t>AVETP MEL Arrangements</w:t>
      </w:r>
      <w:bookmarkEnd w:id="56"/>
    </w:p>
    <w:p w14:paraId="02FD64D5" w14:textId="3F44AE12" w:rsidR="003E0DE3" w:rsidRPr="005B6D16" w:rsidRDefault="006379B3" w:rsidP="003E0DE3">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The evidence suggests that AVETP’s current MEL arrangements are partly functional but not yet fit for purpose as a DFAT </w:t>
      </w:r>
      <w:r w:rsidR="002A43EB" w:rsidRPr="005B6D16">
        <w:rPr>
          <w:rFonts w:asciiTheme="minorHAnsi" w:hAnsiTheme="minorHAnsi" w:cstheme="minorHAnsi"/>
          <w:sz w:val="22"/>
          <w:szCs w:val="22"/>
          <w:lang w:eastAsia="en-US"/>
        </w:rPr>
        <w:t>bilateral</w:t>
      </w:r>
      <w:r w:rsidR="002A43EB" w:rsidRPr="005B6D16">
        <w:rPr>
          <w:rFonts w:ascii="Helvetica" w:hAnsi="Helvetica" w:cs="Helvetica"/>
          <w:sz w:val="22"/>
          <w:szCs w:val="22"/>
          <w:lang w:eastAsia="en-US"/>
        </w:rPr>
        <w:t xml:space="preserve"> </w:t>
      </w:r>
      <w:r w:rsidRPr="005B6D16">
        <w:rPr>
          <w:rFonts w:asciiTheme="minorHAnsi" w:hAnsiTheme="minorHAnsi" w:cstheme="minorHAnsi"/>
          <w:color w:val="000000"/>
          <w:sz w:val="22"/>
          <w:szCs w:val="22"/>
        </w:rPr>
        <w:t xml:space="preserve">programme. PIDG has credible global corporate systems for impact management, safeguards, and transaction monitoring, and these appear to perform </w:t>
      </w:r>
      <w:r w:rsidR="00591BAC" w:rsidRPr="005B6D16">
        <w:rPr>
          <w:rFonts w:asciiTheme="minorHAnsi" w:hAnsiTheme="minorHAnsi" w:cstheme="minorHAnsi"/>
          <w:color w:val="000000"/>
          <w:sz w:val="22"/>
          <w:szCs w:val="22"/>
        </w:rPr>
        <w:t>strongly</w:t>
      </w:r>
      <w:r w:rsidRPr="005B6D16">
        <w:rPr>
          <w:rFonts w:asciiTheme="minorHAnsi" w:hAnsiTheme="minorHAnsi" w:cstheme="minorHAnsi"/>
          <w:color w:val="000000"/>
          <w:sz w:val="22"/>
          <w:szCs w:val="22"/>
        </w:rPr>
        <w:t xml:space="preserve"> at the corporate level.</w:t>
      </w:r>
      <w:r w:rsidRPr="005B6D16">
        <w:rPr>
          <w:rFonts w:ascii="-webkit-standard" w:hAnsi="-webkit-standard"/>
          <w:color w:val="000000"/>
          <w:sz w:val="22"/>
          <w:szCs w:val="22"/>
        </w:rPr>
        <w:t xml:space="preserve"> </w:t>
      </w:r>
      <w:r w:rsidR="00DE11F8" w:rsidRPr="005B6D16">
        <w:rPr>
          <w:rFonts w:ascii="Arial" w:hAnsi="Arial" w:cs="Arial"/>
          <w:color w:val="000000"/>
          <w:sz w:val="22"/>
          <w:szCs w:val="22"/>
        </w:rPr>
        <w:t>T</w:t>
      </w:r>
      <w:r w:rsidRPr="005B6D16">
        <w:rPr>
          <w:rFonts w:ascii="Arial" w:hAnsi="Arial" w:cs="Arial"/>
          <w:color w:val="000000"/>
          <w:sz w:val="22"/>
          <w:szCs w:val="22"/>
        </w:rPr>
        <w:t>ransactions</w:t>
      </w:r>
      <w:r w:rsidR="003E0DE3" w:rsidRPr="005B6D16">
        <w:rPr>
          <w:rFonts w:asciiTheme="minorHAnsi" w:hAnsiTheme="minorHAnsi" w:cstheme="minorHAnsi"/>
          <w:color w:val="000000"/>
          <w:sz w:val="22"/>
          <w:szCs w:val="22"/>
        </w:rPr>
        <w:t xml:space="preserve"> are screened for impact and safeguard risks, reporting requirements are built into transaction processes, and investees are often able to provide data on operational, HSES, climate, and in some cases gender related results. However, these corporate systems have not been translated into a sufficiently clear and practical Vietnam specific MEL architecture that supports reporting against AVETP’s agreed end of program outcomes, intermediate results, and cross cutting priorities. As a result, there remains a gap between what PIDG can monitor internally and what DFAT needs to report, manage, and learn at the country level.</w:t>
      </w:r>
      <w:r w:rsidR="003E0DE3" w:rsidRPr="005B6D16">
        <w:rPr>
          <w:rStyle w:val="apple-converted-space"/>
          <w:rFonts w:asciiTheme="minorHAnsi" w:hAnsiTheme="minorHAnsi" w:cstheme="minorHAnsi"/>
          <w:color w:val="000000"/>
          <w:sz w:val="22"/>
          <w:szCs w:val="22"/>
        </w:rPr>
        <w:t> </w:t>
      </w:r>
      <w:r w:rsidR="008B606A" w:rsidRPr="005B6D16">
        <w:rPr>
          <w:rStyle w:val="Strong"/>
          <w:rFonts w:asciiTheme="minorHAnsi" w:hAnsiTheme="minorHAnsi" w:cstheme="minorHAnsi"/>
          <w:b w:val="0"/>
          <w:bCs w:val="0"/>
          <w:color w:val="000000"/>
          <w:sz w:val="22"/>
          <w:szCs w:val="22"/>
        </w:rPr>
        <w:t xml:space="preserve">Gender, disability, and inclusion are present in PIDG systems, </w:t>
      </w:r>
      <w:r w:rsidR="008B606A" w:rsidRPr="005B6D16">
        <w:rPr>
          <w:rStyle w:val="Strong"/>
          <w:rFonts w:asciiTheme="minorHAnsi" w:hAnsiTheme="minorHAnsi" w:cstheme="minorHAnsi"/>
          <w:b w:val="0"/>
          <w:bCs w:val="0"/>
          <w:color w:val="000000"/>
          <w:sz w:val="22"/>
          <w:szCs w:val="22"/>
        </w:rPr>
        <w:lastRenderedPageBreak/>
        <w:t>but are weakly and inconsistently reflected in AVETP-level reporting, with disability data especially limited.</w:t>
      </w:r>
    </w:p>
    <w:p w14:paraId="4E11F660" w14:textId="061D923A" w:rsidR="003E0DE3" w:rsidRPr="005B6D16" w:rsidRDefault="003E0DE3" w:rsidP="003E0DE3">
      <w:pPr>
        <w:pStyle w:val="NormalWeb"/>
        <w:rPr>
          <w:rFonts w:ascii="Arial" w:hAnsi="Arial" w:cs="Arial"/>
          <w:color w:val="000000"/>
          <w:sz w:val="22"/>
          <w:szCs w:val="22"/>
        </w:rPr>
      </w:pPr>
      <w:r w:rsidRPr="005B6D16">
        <w:rPr>
          <w:rFonts w:asciiTheme="minorHAnsi" w:hAnsiTheme="minorHAnsi" w:cstheme="minorHAnsi"/>
          <w:color w:val="000000"/>
          <w:sz w:val="22"/>
          <w:szCs w:val="22"/>
        </w:rPr>
        <w:t xml:space="preserve">This gap is </w:t>
      </w:r>
      <w:r w:rsidR="003E2768" w:rsidRPr="005B6D16">
        <w:rPr>
          <w:rFonts w:asciiTheme="minorHAnsi" w:hAnsiTheme="minorHAnsi" w:cstheme="minorHAnsi"/>
          <w:color w:val="000000"/>
          <w:sz w:val="22"/>
          <w:szCs w:val="22"/>
        </w:rPr>
        <w:t xml:space="preserve">further </w:t>
      </w:r>
      <w:r w:rsidRPr="005B6D16">
        <w:rPr>
          <w:rFonts w:asciiTheme="minorHAnsi" w:hAnsiTheme="minorHAnsi" w:cstheme="minorHAnsi"/>
          <w:color w:val="000000"/>
          <w:sz w:val="22"/>
          <w:szCs w:val="22"/>
        </w:rPr>
        <w:t xml:space="preserve">compounded by the nature of the portfolio and the way the platform has evolved. Several transactions are still early stage, under construction, or recently closed, meaning that many intended development outcomes are not yet fully observable. At the same time, the </w:t>
      </w:r>
      <w:r w:rsidR="00591BAC" w:rsidRPr="005B6D16">
        <w:rPr>
          <w:rFonts w:asciiTheme="minorHAnsi" w:hAnsiTheme="minorHAnsi" w:cstheme="minorHAnsi"/>
          <w:color w:val="000000"/>
          <w:sz w:val="22"/>
          <w:szCs w:val="22"/>
        </w:rPr>
        <w:t>scope of the programme is appropriate and relevant,</w:t>
      </w:r>
      <w:r w:rsidRPr="005B6D16">
        <w:rPr>
          <w:rFonts w:asciiTheme="minorHAnsi" w:hAnsiTheme="minorHAnsi" w:cstheme="minorHAnsi"/>
          <w:color w:val="000000"/>
          <w:sz w:val="22"/>
          <w:szCs w:val="22"/>
        </w:rPr>
        <w:t xml:space="preserve"> </w:t>
      </w:r>
      <w:r w:rsidR="00591BAC" w:rsidRPr="005B6D16">
        <w:rPr>
          <w:rFonts w:asciiTheme="minorHAnsi" w:hAnsiTheme="minorHAnsi" w:cstheme="minorHAnsi"/>
          <w:color w:val="000000"/>
          <w:sz w:val="22"/>
          <w:szCs w:val="22"/>
        </w:rPr>
        <w:t xml:space="preserve">including </w:t>
      </w:r>
      <w:r w:rsidRPr="005B6D16">
        <w:rPr>
          <w:rFonts w:asciiTheme="minorHAnsi" w:hAnsiTheme="minorHAnsi" w:cstheme="minorHAnsi"/>
          <w:color w:val="000000"/>
          <w:sz w:val="22"/>
          <w:szCs w:val="22"/>
        </w:rPr>
        <w:t>renewable energy generation</w:t>
      </w:r>
      <w:r w:rsidR="001F120A" w:rsidRPr="005B6D16">
        <w:rPr>
          <w:rFonts w:asciiTheme="minorHAnsi" w:hAnsiTheme="minorHAnsi" w:cstheme="minorHAnsi"/>
          <w:color w:val="000000"/>
          <w:sz w:val="22"/>
          <w:szCs w:val="22"/>
        </w:rPr>
        <w:t>,</w:t>
      </w:r>
      <w:r w:rsidRPr="005B6D16">
        <w:rPr>
          <w:rFonts w:asciiTheme="minorHAnsi" w:hAnsiTheme="minorHAnsi" w:cstheme="minorHAnsi"/>
          <w:color w:val="000000"/>
          <w:sz w:val="22"/>
          <w:szCs w:val="22"/>
        </w:rPr>
        <w:t xml:space="preserve"> e</w:t>
      </w:r>
      <w:r w:rsidR="006379B3" w:rsidRPr="005B6D16">
        <w:rPr>
          <w:rFonts w:asciiTheme="minorHAnsi" w:hAnsiTheme="minorHAnsi" w:cstheme="minorHAnsi"/>
          <w:color w:val="000000"/>
          <w:sz w:val="22"/>
          <w:szCs w:val="22"/>
        </w:rPr>
        <w:t>-</w:t>
      </w:r>
      <w:r w:rsidRPr="005B6D16">
        <w:rPr>
          <w:rFonts w:asciiTheme="minorHAnsi" w:hAnsiTheme="minorHAnsi" w:cstheme="minorHAnsi"/>
          <w:color w:val="000000"/>
          <w:sz w:val="22"/>
          <w:szCs w:val="22"/>
        </w:rPr>
        <w:t>mobility, water, green bonds, recycling, guarantees, and credit enhancement.</w:t>
      </w:r>
      <w:r w:rsidR="00591BAC" w:rsidRPr="005B6D16">
        <w:rPr>
          <w:rFonts w:ascii="-webkit-standard" w:hAnsi="-webkit-standard"/>
          <w:color w:val="000000"/>
          <w:sz w:val="22"/>
          <w:szCs w:val="22"/>
        </w:rPr>
        <w:t xml:space="preserve"> </w:t>
      </w:r>
      <w:r w:rsidR="00591BAC" w:rsidRPr="005B6D16">
        <w:rPr>
          <w:rFonts w:asciiTheme="minorHAnsi" w:hAnsiTheme="minorHAnsi" w:cstheme="minorHAnsi" w:hint="eastAsia"/>
          <w:color w:val="000000"/>
          <w:sz w:val="22"/>
          <w:szCs w:val="22"/>
        </w:rPr>
        <w:t>However, this breadth needs to be more clearly reflected in the programme logic and MEL framework so that AVETP</w:t>
      </w:r>
      <w:r w:rsidR="00591BAC" w:rsidRPr="005B6D16">
        <w:rPr>
          <w:rFonts w:asciiTheme="minorHAnsi" w:hAnsiTheme="minorHAnsi" w:cstheme="minorHAnsi" w:hint="eastAsia"/>
          <w:color w:val="000000"/>
          <w:sz w:val="22"/>
          <w:szCs w:val="22"/>
        </w:rPr>
        <w:t>’</w:t>
      </w:r>
      <w:r w:rsidR="00591BAC" w:rsidRPr="005B6D16">
        <w:rPr>
          <w:rFonts w:asciiTheme="minorHAnsi" w:hAnsiTheme="minorHAnsi" w:cstheme="minorHAnsi" w:hint="eastAsia"/>
          <w:color w:val="000000"/>
          <w:sz w:val="22"/>
          <w:szCs w:val="22"/>
        </w:rPr>
        <w:t>s full contribution can be captured and reported coherently.</w:t>
      </w:r>
      <w:r w:rsidRPr="005B6D16">
        <w:rPr>
          <w:rFonts w:asciiTheme="minorHAnsi" w:hAnsiTheme="minorHAnsi" w:cstheme="minorHAnsi"/>
          <w:color w:val="000000"/>
          <w:sz w:val="22"/>
          <w:szCs w:val="22"/>
        </w:rPr>
        <w:t xml:space="preserve"> </w:t>
      </w:r>
      <w:r w:rsidR="00DE11F8" w:rsidRPr="005B6D16">
        <w:rPr>
          <w:rFonts w:asciiTheme="minorHAnsi" w:hAnsiTheme="minorHAnsi" w:cstheme="minorHAnsi"/>
          <w:color w:val="000000"/>
          <w:sz w:val="22"/>
          <w:szCs w:val="22"/>
        </w:rPr>
        <w:t>U</w:t>
      </w:r>
      <w:r w:rsidRPr="005B6D16">
        <w:rPr>
          <w:rFonts w:asciiTheme="minorHAnsi" w:hAnsiTheme="minorHAnsi" w:cstheme="minorHAnsi"/>
          <w:color w:val="000000"/>
          <w:sz w:val="22"/>
          <w:szCs w:val="22"/>
        </w:rPr>
        <w:t>seful transaction level data exists</w:t>
      </w:r>
      <w:r w:rsidR="00DE11F8" w:rsidRPr="005B6D16">
        <w:rPr>
          <w:rFonts w:asciiTheme="minorHAnsi" w:hAnsiTheme="minorHAnsi" w:cstheme="minorHAnsi"/>
          <w:color w:val="000000"/>
          <w:sz w:val="22"/>
          <w:szCs w:val="22"/>
        </w:rPr>
        <w:t>, but</w:t>
      </w:r>
      <w:r w:rsidR="00341E69" w:rsidRPr="005B6D16">
        <w:rPr>
          <w:rFonts w:asciiTheme="minorHAnsi" w:hAnsiTheme="minorHAnsi" w:cstheme="minorHAnsi"/>
          <w:color w:val="000000"/>
          <w:sz w:val="22"/>
          <w:szCs w:val="22"/>
        </w:rPr>
        <w:t xml:space="preserve"> </w:t>
      </w:r>
      <w:r w:rsidRPr="005B6D16">
        <w:rPr>
          <w:rFonts w:asciiTheme="minorHAnsi" w:hAnsiTheme="minorHAnsi" w:cstheme="minorHAnsi"/>
          <w:color w:val="000000"/>
          <w:sz w:val="22"/>
          <w:szCs w:val="22"/>
        </w:rPr>
        <w:t>it is uneven, fragmented, and not assembled into a consistent AVETP reporting structure. Current arrangements therefore meet PIDG’s transaction management and corporate reporting needs better than DFAT’s requirements for country level performance tracking, narrative reporting against EOPOs, and systematic analysis of gender, disability, inclusion, and climate results. The burden of bridging this gap has also fallen too heavily on DFAT Post, reflecting not only a technical MEL weakness but also a broader challenge of local coordination, program interface, and reporting support</w:t>
      </w:r>
      <w:r w:rsidRPr="005B6D16">
        <w:rPr>
          <w:rFonts w:ascii="Arial" w:hAnsi="Arial" w:cs="Arial"/>
          <w:color w:val="000000"/>
          <w:sz w:val="22"/>
          <w:szCs w:val="22"/>
        </w:rPr>
        <w:t>.</w:t>
      </w:r>
      <w:r w:rsidRPr="005B6D16">
        <w:rPr>
          <w:rStyle w:val="apple-converted-space"/>
          <w:rFonts w:ascii="Arial" w:hAnsi="Arial" w:cs="Arial"/>
          <w:color w:val="000000"/>
          <w:sz w:val="22"/>
          <w:szCs w:val="22"/>
        </w:rPr>
        <w:t> </w:t>
      </w:r>
    </w:p>
    <w:p w14:paraId="2225A728" w14:textId="637B5B77" w:rsidR="003E0DE3" w:rsidRPr="003D231F" w:rsidRDefault="003E0DE3" w:rsidP="003D231F">
      <w:pPr>
        <w:rPr>
          <w:rFonts w:ascii="Arial" w:hAnsi="Arial" w:cs="Arial"/>
          <w:b/>
          <w:bCs/>
        </w:rPr>
      </w:pPr>
      <w:bookmarkStart w:id="57" w:name="_Toc226976853"/>
      <w:r w:rsidRPr="003D231F">
        <w:rPr>
          <w:rFonts w:ascii="Arial" w:hAnsi="Arial" w:cs="Arial"/>
          <w:b/>
          <w:bCs/>
        </w:rPr>
        <w:t>Key Findings</w:t>
      </w:r>
      <w:bookmarkEnd w:id="57"/>
    </w:p>
    <w:p w14:paraId="198A71B1" w14:textId="0A9DE642" w:rsidR="003E0DE3" w:rsidRPr="005B6D16" w:rsidRDefault="003E0DE3" w:rsidP="00840937">
      <w:pPr>
        <w:pStyle w:val="ListParagraph"/>
        <w:numPr>
          <w:ilvl w:val="2"/>
          <w:numId w:val="4"/>
        </w:numPr>
        <w:rPr>
          <w:rFonts w:ascii="Arial" w:hAnsi="Arial"/>
          <w:b/>
          <w:bCs/>
          <w:color w:val="000000"/>
          <w:sz w:val="22"/>
          <w:szCs w:val="22"/>
        </w:rPr>
      </w:pPr>
      <w:r w:rsidRPr="005B6D16">
        <w:rPr>
          <w:rFonts w:ascii="Arial" w:hAnsi="Arial"/>
          <w:b/>
          <w:bCs/>
          <w:color w:val="000000"/>
          <w:sz w:val="22"/>
          <w:szCs w:val="22"/>
        </w:rPr>
        <w:t>PIDG has credible internal impact and reporting systems at the corporate level</w:t>
      </w:r>
    </w:p>
    <w:p w14:paraId="321C754A" w14:textId="2C217094" w:rsidR="00840937" w:rsidRPr="005B6D16" w:rsidRDefault="00840937" w:rsidP="00AE7105">
      <w:pPr>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PIDG has a rigorous global internal impact management and reporting system. At the corporate level, this appears to perform strongly, particularly in relation to cross country portfolio management, safeguards, impact screening, and ongoing monitoring and evaluation. The system tracks </w:t>
      </w:r>
      <w:r w:rsidR="00DD5E46" w:rsidRPr="005B6D16">
        <w:rPr>
          <w:rFonts w:asciiTheme="minorHAnsi" w:hAnsiTheme="minorHAnsi" w:cstheme="minorHAnsi"/>
          <w:color w:val="000000"/>
          <w:sz w:val="22"/>
          <w:szCs w:val="22"/>
        </w:rPr>
        <w:t>impact</w:t>
      </w:r>
      <w:r w:rsidRPr="005B6D16">
        <w:rPr>
          <w:rFonts w:asciiTheme="minorHAnsi" w:hAnsiTheme="minorHAnsi" w:cstheme="minorHAnsi"/>
          <w:color w:val="000000"/>
          <w:sz w:val="22"/>
          <w:szCs w:val="22"/>
        </w:rPr>
        <w:t xml:space="preserve"> across transactions in different countries and is supported by an internal impact team and annual monitoring updates throughout the investment cycle. However, these globally oriented corporate arrangements have not yet been sufficiently translated into a clear, bespoke AVETP level MEL and reporting framework.</w:t>
      </w:r>
    </w:p>
    <w:p w14:paraId="5C8A3744" w14:textId="3FF05274" w:rsidR="003E0DE3" w:rsidRPr="005B6D16" w:rsidRDefault="003E0DE3" w:rsidP="00840937">
      <w:pPr>
        <w:pStyle w:val="ListParagraph"/>
        <w:numPr>
          <w:ilvl w:val="2"/>
          <w:numId w:val="4"/>
        </w:numPr>
        <w:rPr>
          <w:rFonts w:ascii="Arial" w:hAnsi="Arial"/>
          <w:b/>
          <w:bCs/>
          <w:color w:val="000000"/>
          <w:sz w:val="22"/>
          <w:szCs w:val="22"/>
        </w:rPr>
      </w:pPr>
      <w:r w:rsidRPr="005B6D16">
        <w:rPr>
          <w:rFonts w:ascii="Arial" w:hAnsi="Arial"/>
          <w:b/>
          <w:bCs/>
          <w:color w:val="000000"/>
          <w:sz w:val="22"/>
          <w:szCs w:val="22"/>
        </w:rPr>
        <w:t xml:space="preserve">The main weakness is the absence of a dedicated AVETP level MEL framework and </w:t>
      </w:r>
      <w:r w:rsidR="00840937" w:rsidRPr="005B6D16">
        <w:rPr>
          <w:rFonts w:ascii="Arial" w:hAnsi="Arial"/>
          <w:b/>
          <w:bCs/>
          <w:color w:val="000000"/>
          <w:sz w:val="22"/>
          <w:szCs w:val="22"/>
        </w:rPr>
        <w:t>programme</w:t>
      </w:r>
      <w:r w:rsidRPr="005B6D16">
        <w:rPr>
          <w:rFonts w:ascii="Arial" w:hAnsi="Arial"/>
          <w:b/>
          <w:bCs/>
          <w:color w:val="000000"/>
          <w:sz w:val="22"/>
          <w:szCs w:val="22"/>
        </w:rPr>
        <w:t xml:space="preserve"> logic</w:t>
      </w:r>
    </w:p>
    <w:p w14:paraId="5B8C0797" w14:textId="561BCF72" w:rsidR="00840937" w:rsidRPr="005B6D16" w:rsidRDefault="00840937" w:rsidP="00AE7105">
      <w:pPr>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Multiple sources point to a mismatch between PIDG’s corporate systems and DFAT’s AVETP reporting needs. The desk review found little or no clear data reported against the two EOPOs and the Intermediate Outcomes. There is also no agreed programme logic or dedicated MEL plan for the AVETP platform. In practice, evidence is not being systematically reported against the agreed Vietnam level outcomes. This gap appears to arise because PIDG understandably relies on its existing global corporate systems, which are designed to track and aggregate results across countries, while DFAT requires reporting against the specific outcomes agreed for the platform. </w:t>
      </w:r>
    </w:p>
    <w:p w14:paraId="1C611D0C" w14:textId="10A302F4" w:rsidR="003E0DE3" w:rsidRPr="005B6D16" w:rsidRDefault="003E0DE3" w:rsidP="003E2768">
      <w:pPr>
        <w:pStyle w:val="ListParagraph"/>
        <w:numPr>
          <w:ilvl w:val="2"/>
          <w:numId w:val="4"/>
        </w:numPr>
        <w:rPr>
          <w:rFonts w:ascii="Arial" w:hAnsi="Arial"/>
          <w:b/>
          <w:bCs/>
          <w:color w:val="000000"/>
          <w:sz w:val="22"/>
          <w:szCs w:val="22"/>
        </w:rPr>
      </w:pPr>
      <w:r w:rsidRPr="005B6D16">
        <w:rPr>
          <w:rFonts w:ascii="Arial" w:hAnsi="Arial"/>
          <w:b/>
          <w:bCs/>
          <w:color w:val="000000"/>
          <w:sz w:val="22"/>
          <w:szCs w:val="22"/>
        </w:rPr>
        <w:t>Current reporting is not fully meeting DFAT’s country level needs</w:t>
      </w:r>
    </w:p>
    <w:p w14:paraId="4907CF00" w14:textId="03F219A4" w:rsidR="003E2768" w:rsidRPr="005B6D16" w:rsidRDefault="003E2768" w:rsidP="00AE7105">
      <w:pPr>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PIDG has made some efforts to provide AVETP specific progress updates. While these efforts are appreciated, they do not provide DFAT with a sufficiently clear view of progress against the EOPOs, Intermediate Outcomes, and cross cutting commitments. Stakeholders described the reporting function as weak, with limited usable information on outcomes for accountability to both the Australian and Vietnamese governments. Quarterly reporting has also not provided sufficiently systematic information on gender, inclusion, or disability. </w:t>
      </w:r>
    </w:p>
    <w:p w14:paraId="5CC8F5CA" w14:textId="50732FFD" w:rsidR="003E0DE3" w:rsidRPr="005B6D16" w:rsidRDefault="00150D21" w:rsidP="00F2480C">
      <w:pPr>
        <w:spacing w:before="240"/>
        <w:rPr>
          <w:rFonts w:ascii="Arial" w:hAnsi="Arial"/>
          <w:b/>
          <w:bCs/>
          <w:color w:val="000000"/>
          <w:sz w:val="22"/>
          <w:szCs w:val="22"/>
        </w:rPr>
      </w:pPr>
      <w:r w:rsidRPr="005B6D16">
        <w:rPr>
          <w:rFonts w:ascii="Arial" w:hAnsi="Arial"/>
          <w:b/>
          <w:bCs/>
          <w:color w:val="000000"/>
          <w:sz w:val="22"/>
          <w:szCs w:val="22"/>
        </w:rPr>
        <w:t>4</w:t>
      </w:r>
      <w:r w:rsidR="003E0DE3" w:rsidRPr="005B6D16">
        <w:rPr>
          <w:rFonts w:ascii="Arial" w:hAnsi="Arial"/>
          <w:b/>
          <w:bCs/>
          <w:color w:val="000000"/>
          <w:sz w:val="22"/>
          <w:szCs w:val="22"/>
        </w:rPr>
        <w:t>. Transaction level data exists, but it is fragmented and not yet standardised at platform level</w:t>
      </w:r>
    </w:p>
    <w:p w14:paraId="248A2206" w14:textId="47625C99" w:rsidR="003E0DE3" w:rsidRPr="005B6D16" w:rsidRDefault="003E0DE3" w:rsidP="003E0DE3">
      <w:pPr>
        <w:pStyle w:val="NormalWeb"/>
        <w:rPr>
          <w:rFonts w:ascii="Arial" w:hAnsi="Arial" w:cs="Arial"/>
          <w:color w:val="000000"/>
          <w:sz w:val="22"/>
          <w:szCs w:val="22"/>
        </w:rPr>
      </w:pPr>
      <w:r w:rsidRPr="005B6D16">
        <w:rPr>
          <w:rFonts w:ascii="Arial" w:hAnsi="Arial" w:cs="Arial"/>
          <w:color w:val="000000"/>
          <w:sz w:val="22"/>
          <w:szCs w:val="22"/>
        </w:rPr>
        <w:t>Field evidence confirms that transaction level data is available across several investments, including Dat Bike, CME, BPG, Aqua</w:t>
      </w:r>
      <w:r w:rsidR="00160755" w:rsidRPr="005B6D16">
        <w:rPr>
          <w:rFonts w:ascii="Arial" w:hAnsi="Arial" w:cs="Arial"/>
          <w:color w:val="000000"/>
          <w:sz w:val="22"/>
          <w:szCs w:val="22"/>
        </w:rPr>
        <w:t>-</w:t>
      </w:r>
      <w:r w:rsidRPr="005B6D16">
        <w:rPr>
          <w:rFonts w:ascii="Arial" w:hAnsi="Arial" w:cs="Arial"/>
          <w:color w:val="000000"/>
          <w:sz w:val="22"/>
          <w:szCs w:val="22"/>
        </w:rPr>
        <w:t xml:space="preserve">One, and August Energy. These data include information on investment volumes, installed capacity, emissions, staffing, gender participation, and operational changes. However, the data </w:t>
      </w:r>
      <w:r w:rsidR="00591BAC" w:rsidRPr="005B6D16">
        <w:rPr>
          <w:rFonts w:ascii="Arial" w:hAnsi="Arial" w:cs="Arial"/>
          <w:color w:val="000000"/>
          <w:sz w:val="22"/>
          <w:szCs w:val="22"/>
        </w:rPr>
        <w:t>is limited</w:t>
      </w:r>
      <w:r w:rsidRPr="005B6D16">
        <w:rPr>
          <w:rFonts w:ascii="Arial" w:hAnsi="Arial" w:cs="Arial"/>
          <w:color w:val="000000"/>
          <w:sz w:val="22"/>
          <w:szCs w:val="22"/>
        </w:rPr>
        <w:t xml:space="preserve"> in quality and scope and </w:t>
      </w:r>
      <w:r w:rsidR="003267CB" w:rsidRPr="005B6D16">
        <w:rPr>
          <w:rFonts w:ascii="Arial" w:hAnsi="Arial" w:cs="Arial"/>
          <w:color w:val="000000"/>
          <w:sz w:val="22"/>
          <w:szCs w:val="22"/>
        </w:rPr>
        <w:t xml:space="preserve">is </w:t>
      </w:r>
      <w:r w:rsidRPr="005B6D16">
        <w:rPr>
          <w:rFonts w:ascii="Arial" w:hAnsi="Arial" w:cs="Arial"/>
          <w:color w:val="000000"/>
          <w:sz w:val="22"/>
          <w:szCs w:val="22"/>
        </w:rPr>
        <w:t xml:space="preserve">not </w:t>
      </w:r>
      <w:r w:rsidR="003267CB" w:rsidRPr="005B6D16">
        <w:rPr>
          <w:rFonts w:ascii="Arial" w:hAnsi="Arial" w:cs="Arial"/>
          <w:color w:val="000000"/>
          <w:sz w:val="22"/>
          <w:szCs w:val="22"/>
        </w:rPr>
        <w:t>yet brought together</w:t>
      </w:r>
      <w:r w:rsidRPr="005B6D16">
        <w:rPr>
          <w:rFonts w:ascii="Arial" w:hAnsi="Arial" w:cs="Arial"/>
          <w:color w:val="000000"/>
          <w:sz w:val="22"/>
          <w:szCs w:val="22"/>
        </w:rPr>
        <w:t xml:space="preserve"> </w:t>
      </w:r>
      <w:r w:rsidR="003267CB" w:rsidRPr="005B6D16">
        <w:rPr>
          <w:rFonts w:ascii="Arial" w:hAnsi="Arial" w:cs="Arial"/>
          <w:color w:val="000000"/>
          <w:sz w:val="22"/>
          <w:szCs w:val="22"/>
        </w:rPr>
        <w:t xml:space="preserve">in </w:t>
      </w:r>
      <w:r w:rsidRPr="005B6D16">
        <w:rPr>
          <w:rFonts w:ascii="Arial" w:hAnsi="Arial" w:cs="Arial"/>
          <w:color w:val="000000"/>
          <w:sz w:val="22"/>
          <w:szCs w:val="22"/>
        </w:rPr>
        <w:t>a single AVETP reporting format that allows systematic portfolio level assessment. The issue is therefore less one of total data absence than fragmentation, lack of standardisation, and unclear minimum reporting expectations.</w:t>
      </w:r>
      <w:r w:rsidRPr="005B6D16">
        <w:rPr>
          <w:rStyle w:val="apple-converted-space"/>
          <w:rFonts w:ascii="Arial" w:hAnsi="Arial" w:cs="Arial"/>
          <w:color w:val="000000"/>
          <w:sz w:val="22"/>
          <w:szCs w:val="22"/>
        </w:rPr>
        <w:t> </w:t>
      </w:r>
    </w:p>
    <w:p w14:paraId="6247F946" w14:textId="491A07A8" w:rsidR="003E0DE3" w:rsidRPr="005B6D16" w:rsidRDefault="00150D21" w:rsidP="00AE7105">
      <w:pPr>
        <w:rPr>
          <w:rFonts w:ascii="Arial" w:hAnsi="Arial"/>
          <w:b/>
          <w:bCs/>
          <w:color w:val="000000"/>
          <w:sz w:val="22"/>
          <w:szCs w:val="22"/>
        </w:rPr>
      </w:pPr>
      <w:r w:rsidRPr="005B6D16">
        <w:rPr>
          <w:rFonts w:ascii="Arial" w:hAnsi="Arial"/>
          <w:b/>
          <w:bCs/>
          <w:color w:val="000000"/>
          <w:sz w:val="22"/>
          <w:szCs w:val="22"/>
        </w:rPr>
        <w:t>5</w:t>
      </w:r>
      <w:r w:rsidR="003E0DE3" w:rsidRPr="005B6D16">
        <w:rPr>
          <w:rFonts w:ascii="Arial" w:hAnsi="Arial"/>
          <w:b/>
          <w:bCs/>
          <w:color w:val="000000"/>
          <w:sz w:val="22"/>
          <w:szCs w:val="22"/>
        </w:rPr>
        <w:t>. Gender, disability, and inclusion are present in PIDG systems, but weakly reflected in AVETP reporting</w:t>
      </w:r>
    </w:p>
    <w:p w14:paraId="7E32DC00" w14:textId="66978887" w:rsidR="003E0DE3" w:rsidRPr="005B6D16" w:rsidRDefault="003E0DE3" w:rsidP="003E0DE3">
      <w:pPr>
        <w:pStyle w:val="NormalWeb"/>
        <w:rPr>
          <w:rFonts w:ascii="Arial" w:hAnsi="Arial" w:cs="Arial"/>
          <w:color w:val="000000"/>
          <w:sz w:val="22"/>
          <w:szCs w:val="22"/>
        </w:rPr>
      </w:pPr>
      <w:r w:rsidRPr="005B6D16">
        <w:rPr>
          <w:rFonts w:ascii="Arial" w:hAnsi="Arial" w:cs="Arial"/>
          <w:color w:val="000000"/>
          <w:sz w:val="22"/>
          <w:szCs w:val="22"/>
        </w:rPr>
        <w:lastRenderedPageBreak/>
        <w:t>PIDG reports that gender and inclusion, including disability inclusion, are embedded in screening and investment processes. Transaction level evidence shows that some GEDSI related data exists, including women’s workforce participation, leadership roles, and in some cases ethnic minority participation.</w:t>
      </w:r>
      <w:r w:rsidR="00043339" w:rsidRPr="005B6D16">
        <w:rPr>
          <w:rFonts w:ascii="-webkit-standard" w:hAnsi="-webkit-standard"/>
          <w:color w:val="000000"/>
          <w:sz w:val="22"/>
          <w:szCs w:val="22"/>
        </w:rPr>
        <w:t xml:space="preserve"> </w:t>
      </w:r>
      <w:r w:rsidR="00043339" w:rsidRPr="005B6D16">
        <w:rPr>
          <w:rFonts w:asciiTheme="minorHAnsi" w:hAnsiTheme="minorHAnsi" w:cstheme="minorHAnsi" w:hint="eastAsia"/>
          <w:color w:val="000000"/>
          <w:sz w:val="22"/>
          <w:szCs w:val="22"/>
        </w:rPr>
        <w:t>However, this information is not consistently aggregated or surfaced in AVETP reporting. Disability remains especially weak, inconsistent, or absent.</w:t>
      </w:r>
      <w:r w:rsidRPr="005B6D16">
        <w:rPr>
          <w:rFonts w:asciiTheme="minorHAnsi" w:hAnsiTheme="minorHAnsi" w:cstheme="minorHAnsi"/>
          <w:color w:val="000000"/>
          <w:sz w:val="22"/>
          <w:szCs w:val="22"/>
        </w:rPr>
        <w:t xml:space="preserve"> </w:t>
      </w:r>
    </w:p>
    <w:p w14:paraId="002EE996" w14:textId="734620A1" w:rsidR="003E0DE3" w:rsidRPr="005B6D16" w:rsidRDefault="00150D21" w:rsidP="00AE7105">
      <w:pPr>
        <w:rPr>
          <w:rFonts w:ascii="Arial" w:hAnsi="Arial"/>
          <w:b/>
          <w:bCs/>
          <w:color w:val="000000"/>
          <w:sz w:val="22"/>
          <w:szCs w:val="22"/>
        </w:rPr>
      </w:pPr>
      <w:r w:rsidRPr="005B6D16">
        <w:rPr>
          <w:rFonts w:ascii="Arial" w:hAnsi="Arial"/>
          <w:b/>
          <w:bCs/>
          <w:color w:val="000000"/>
          <w:sz w:val="22"/>
          <w:szCs w:val="22"/>
        </w:rPr>
        <w:t>6</w:t>
      </w:r>
      <w:r w:rsidR="003E0DE3" w:rsidRPr="005B6D16">
        <w:rPr>
          <w:rFonts w:ascii="Arial" w:hAnsi="Arial"/>
          <w:b/>
          <w:bCs/>
          <w:color w:val="000000"/>
          <w:sz w:val="22"/>
          <w:szCs w:val="22"/>
        </w:rPr>
        <w:t>. The MEL challenge is not only technical, but also managerial and relational</w:t>
      </w:r>
    </w:p>
    <w:p w14:paraId="22C3BD17" w14:textId="494C798F" w:rsidR="003E0DE3" w:rsidRPr="005B6D16" w:rsidRDefault="00043339" w:rsidP="003E0DE3">
      <w:pPr>
        <w:pStyle w:val="NormalWeb"/>
        <w:rPr>
          <w:rFonts w:ascii="Arial" w:hAnsi="Arial" w:cs="Arial"/>
          <w:color w:val="000000"/>
          <w:sz w:val="22"/>
          <w:szCs w:val="22"/>
        </w:rPr>
      </w:pPr>
      <w:r w:rsidRPr="005B6D16">
        <w:rPr>
          <w:rFonts w:ascii="Arial" w:hAnsi="Arial" w:cs="Arial"/>
          <w:color w:val="000000"/>
          <w:sz w:val="22"/>
          <w:szCs w:val="22"/>
        </w:rPr>
        <w:t>C</w:t>
      </w:r>
      <w:r w:rsidR="003E0DE3" w:rsidRPr="005B6D16">
        <w:rPr>
          <w:rFonts w:ascii="Arial" w:hAnsi="Arial" w:cs="Arial"/>
          <w:color w:val="000000"/>
          <w:sz w:val="22"/>
          <w:szCs w:val="22"/>
        </w:rPr>
        <w:t>urrent MEL weaknesses are not only about indicators or reporting templates. They are also about local presence, coordination, follow up, and the practical use of information. PIDG’s limited local interface in Vietnam has meant that aspects of reporting, coordination, visibility, and transaction follow up have been pushed back onto DFAT Post. In a platform of this kind, MEL is not only a compliance function. It is also the mechanism through which DFAT and PIDG maintain a shared understanding of what the platform is doing, where it is progressing, and where course correction is needed.</w:t>
      </w:r>
      <w:r w:rsidR="003E0DE3" w:rsidRPr="005B6D16">
        <w:rPr>
          <w:rStyle w:val="apple-converted-space"/>
          <w:rFonts w:ascii="Arial" w:hAnsi="Arial" w:cs="Arial"/>
          <w:color w:val="000000"/>
          <w:sz w:val="22"/>
          <w:szCs w:val="22"/>
        </w:rPr>
        <w:t> </w:t>
      </w:r>
    </w:p>
    <w:p w14:paraId="557FF047" w14:textId="77777777" w:rsidR="00A27F28" w:rsidRPr="003D231F" w:rsidRDefault="00A27F28" w:rsidP="003D231F">
      <w:pPr>
        <w:rPr>
          <w:rFonts w:ascii="Arial" w:hAnsi="Arial" w:cs="Arial"/>
          <w:b/>
          <w:bCs/>
        </w:rPr>
      </w:pPr>
      <w:bookmarkStart w:id="58" w:name="_Toc226976854"/>
      <w:r w:rsidRPr="003D231F">
        <w:rPr>
          <w:rFonts w:ascii="Arial" w:hAnsi="Arial" w:cs="Arial"/>
          <w:b/>
          <w:bCs/>
        </w:rPr>
        <w:t>What MEL approaches are most practical and effective for the remainder of the programme?</w:t>
      </w:r>
      <w:bookmarkEnd w:id="58"/>
    </w:p>
    <w:p w14:paraId="2831B2F4" w14:textId="77777777" w:rsidR="00A27F28" w:rsidRPr="005B6D16" w:rsidRDefault="00A27F28" w:rsidP="00A27F28">
      <w:pPr>
        <w:pStyle w:val="NormalWeb"/>
        <w:rPr>
          <w:rFonts w:ascii="Arial" w:hAnsi="Arial" w:cs="Arial"/>
          <w:color w:val="000000"/>
          <w:sz w:val="22"/>
          <w:szCs w:val="22"/>
        </w:rPr>
      </w:pPr>
      <w:r w:rsidRPr="005B6D16">
        <w:rPr>
          <w:rFonts w:ascii="Arial" w:hAnsi="Arial" w:cs="Arial"/>
          <w:color w:val="000000"/>
          <w:sz w:val="22"/>
          <w:szCs w:val="22"/>
        </w:rPr>
        <w:t>For the remainder of AVETP, the most practical approach is</w:t>
      </w:r>
      <w:r w:rsidRPr="005B6D16">
        <w:rPr>
          <w:rStyle w:val="apple-converted-space"/>
          <w:rFonts w:ascii="Arial" w:hAnsi="Arial" w:cs="Arial"/>
          <w:color w:val="000000"/>
          <w:sz w:val="22"/>
          <w:szCs w:val="22"/>
        </w:rPr>
        <w:t> </w:t>
      </w:r>
      <w:r w:rsidRPr="005B6D16">
        <w:rPr>
          <w:rStyle w:val="Strong"/>
          <w:rFonts w:ascii="Arial" w:hAnsi="Arial" w:cs="Arial"/>
          <w:color w:val="000000"/>
          <w:sz w:val="22"/>
          <w:szCs w:val="22"/>
        </w:rPr>
        <w:t>not</w:t>
      </w:r>
      <w:r w:rsidRPr="005B6D16">
        <w:rPr>
          <w:rStyle w:val="apple-converted-space"/>
          <w:rFonts w:ascii="Arial" w:hAnsi="Arial" w:cs="Arial"/>
          <w:color w:val="000000"/>
          <w:sz w:val="22"/>
          <w:szCs w:val="22"/>
        </w:rPr>
        <w:t> </w:t>
      </w:r>
      <w:r w:rsidRPr="005B6D16">
        <w:rPr>
          <w:rFonts w:ascii="Arial" w:hAnsi="Arial" w:cs="Arial"/>
          <w:color w:val="000000"/>
          <w:sz w:val="22"/>
          <w:szCs w:val="22"/>
        </w:rPr>
        <w:t>to build a heavy new MEL system from scratch. That would be unrealistic, duplicative, and poorly matched to the remaining timeframe. Instead, the most effective approach is to establish a</w:t>
      </w:r>
      <w:r w:rsidRPr="005B6D16">
        <w:rPr>
          <w:rStyle w:val="apple-converted-space"/>
          <w:rFonts w:ascii="Arial" w:hAnsi="Arial" w:cs="Arial"/>
          <w:color w:val="000000"/>
          <w:sz w:val="22"/>
          <w:szCs w:val="22"/>
        </w:rPr>
        <w:t> </w:t>
      </w:r>
      <w:r w:rsidRPr="005B6D16">
        <w:rPr>
          <w:rStyle w:val="Strong"/>
          <w:rFonts w:ascii="Arial" w:hAnsi="Arial" w:cs="Arial"/>
          <w:color w:val="000000"/>
          <w:sz w:val="22"/>
          <w:szCs w:val="22"/>
        </w:rPr>
        <w:t>light, transaction-centred MEL architecture</w:t>
      </w:r>
      <w:r w:rsidRPr="005B6D16">
        <w:rPr>
          <w:rStyle w:val="apple-converted-space"/>
          <w:rFonts w:ascii="Arial" w:hAnsi="Arial" w:cs="Arial"/>
          <w:color w:val="000000"/>
          <w:sz w:val="22"/>
          <w:szCs w:val="22"/>
        </w:rPr>
        <w:t> </w:t>
      </w:r>
      <w:r w:rsidRPr="005B6D16">
        <w:rPr>
          <w:rFonts w:ascii="Arial" w:hAnsi="Arial" w:cs="Arial"/>
          <w:color w:val="000000"/>
          <w:sz w:val="22"/>
          <w:szCs w:val="22"/>
        </w:rPr>
        <w:t>that sits on top of PIDG’s existing systems and translates them into a manageable Vietnam-facing reporting framework.</w:t>
      </w:r>
    </w:p>
    <w:p w14:paraId="15AB0858" w14:textId="72138C39" w:rsidR="00A27F28" w:rsidRPr="005B6D16" w:rsidRDefault="00A27F28" w:rsidP="00A27F28">
      <w:pPr>
        <w:pStyle w:val="NormalWeb"/>
        <w:rPr>
          <w:rFonts w:ascii="Arial" w:hAnsi="Arial" w:cs="Arial"/>
          <w:b/>
          <w:bCs/>
          <w:color w:val="000000"/>
          <w:sz w:val="22"/>
          <w:szCs w:val="22"/>
        </w:rPr>
      </w:pPr>
      <w:r w:rsidRPr="005B6D16">
        <w:rPr>
          <w:rFonts w:ascii="Arial" w:hAnsi="Arial" w:cs="Arial"/>
          <w:b/>
          <w:bCs/>
          <w:color w:val="000000"/>
          <w:sz w:val="22"/>
          <w:szCs w:val="22"/>
        </w:rPr>
        <w:t>This</w:t>
      </w:r>
      <w:r w:rsidR="00160755" w:rsidRPr="005B6D16">
        <w:rPr>
          <w:rFonts w:ascii="Arial" w:hAnsi="Arial" w:cs="Arial"/>
          <w:b/>
          <w:bCs/>
          <w:color w:val="000000"/>
          <w:sz w:val="22"/>
          <w:szCs w:val="22"/>
        </w:rPr>
        <w:t xml:space="preserve"> system</w:t>
      </w:r>
      <w:r w:rsidRPr="005B6D16">
        <w:rPr>
          <w:rFonts w:ascii="Arial" w:hAnsi="Arial" w:cs="Arial"/>
          <w:b/>
          <w:bCs/>
          <w:color w:val="000000"/>
          <w:sz w:val="22"/>
          <w:szCs w:val="22"/>
        </w:rPr>
        <w:t xml:space="preserve"> should </w:t>
      </w:r>
      <w:r w:rsidR="00160755" w:rsidRPr="005B6D16">
        <w:rPr>
          <w:rFonts w:ascii="Arial" w:hAnsi="Arial" w:cs="Arial"/>
          <w:b/>
          <w:bCs/>
          <w:color w:val="000000"/>
          <w:sz w:val="22"/>
          <w:szCs w:val="22"/>
        </w:rPr>
        <w:t>address</w:t>
      </w:r>
      <w:r w:rsidRPr="005B6D16">
        <w:rPr>
          <w:rFonts w:ascii="Arial" w:hAnsi="Arial" w:cs="Arial"/>
          <w:b/>
          <w:bCs/>
          <w:color w:val="000000"/>
          <w:sz w:val="22"/>
          <w:szCs w:val="22"/>
        </w:rPr>
        <w:t xml:space="preserve"> five elements.</w:t>
      </w:r>
    </w:p>
    <w:p w14:paraId="2AD10C46" w14:textId="77777777" w:rsidR="009245E0" w:rsidRPr="005B6D16" w:rsidRDefault="009245E0" w:rsidP="00A27F28">
      <w:pPr>
        <w:pStyle w:val="NormalWeb"/>
        <w:rPr>
          <w:rFonts w:ascii="Arial" w:hAnsi="Arial" w:cs="Arial"/>
          <w:color w:val="000000"/>
          <w:sz w:val="22"/>
          <w:szCs w:val="22"/>
        </w:rPr>
      </w:pPr>
      <w:r w:rsidRPr="005B6D16">
        <w:rPr>
          <w:rFonts w:ascii="Arial" w:hAnsi="Arial" w:cs="Arial"/>
          <w:color w:val="000000"/>
          <w:sz w:val="22"/>
          <w:szCs w:val="22"/>
        </w:rPr>
        <w:t>First, AVETP should adopt a small set of core indicators and intermediate results within transaction reporting through a single, standardised template. This would enable transaction teams to report consistently on capital mobilised; PIDG and AVETP financing committed; transaction status; renewable capacity installed or under construction where relevant; annual renewable generation where relevant; estimated GHG emissions avoided using transparent assumptions; the number and type of projects reaching financial close; and one or two indicators of market shaping effects, such as first of kind transactions, longer tenor, use of guarantees, or subsequent financing crowded in. This is feasible because much of this data is already available or can be estimated across the existing case studies.</w:t>
      </w:r>
    </w:p>
    <w:p w14:paraId="0D7C6E2A" w14:textId="50BC4FDF" w:rsidR="00A27F28" w:rsidRPr="005B6D16" w:rsidRDefault="00A27F28" w:rsidP="00A27F28">
      <w:pPr>
        <w:pStyle w:val="NormalWeb"/>
        <w:rPr>
          <w:rFonts w:ascii="Arial" w:hAnsi="Arial" w:cs="Arial"/>
          <w:color w:val="000000"/>
          <w:sz w:val="22"/>
          <w:szCs w:val="22"/>
        </w:rPr>
      </w:pPr>
      <w:r w:rsidRPr="005B6D16">
        <w:rPr>
          <w:rFonts w:ascii="Arial" w:hAnsi="Arial" w:cs="Arial"/>
          <w:color w:val="000000"/>
          <w:sz w:val="22"/>
          <w:szCs w:val="22"/>
        </w:rPr>
        <w:t>Second, AVETP should use a</w:t>
      </w:r>
      <w:r w:rsidRPr="005B6D16">
        <w:rPr>
          <w:rStyle w:val="apple-converted-space"/>
          <w:rFonts w:ascii="Arial" w:hAnsi="Arial" w:cs="Arial"/>
          <w:color w:val="000000"/>
          <w:sz w:val="22"/>
          <w:szCs w:val="22"/>
        </w:rPr>
        <w:t> </w:t>
      </w:r>
      <w:r w:rsidRPr="005B6D16">
        <w:rPr>
          <w:rStyle w:val="Strong"/>
          <w:rFonts w:ascii="Arial" w:hAnsi="Arial" w:cs="Arial"/>
          <w:color w:val="000000"/>
          <w:sz w:val="22"/>
          <w:szCs w:val="22"/>
        </w:rPr>
        <w:t>tiered reporting model</w:t>
      </w:r>
      <w:r w:rsidRPr="005B6D16">
        <w:rPr>
          <w:rStyle w:val="apple-converted-space"/>
          <w:rFonts w:ascii="Arial" w:hAnsi="Arial" w:cs="Arial"/>
          <w:color w:val="000000"/>
          <w:sz w:val="22"/>
          <w:szCs w:val="22"/>
        </w:rPr>
        <w:t> </w:t>
      </w:r>
      <w:r w:rsidRPr="005B6D16">
        <w:rPr>
          <w:rFonts w:ascii="Arial" w:hAnsi="Arial" w:cs="Arial"/>
          <w:color w:val="000000"/>
          <w:sz w:val="22"/>
          <w:szCs w:val="22"/>
        </w:rPr>
        <w:t>that distinguishes between early-stage, under-construction, and operational transactions. This is important because different transactions can credibly report different things. For early-stage projects such as August Energy, the focus should be on pipeline, approvals, capital mobilised, and projected climate outcomes. For under-construction projects such as Aqua</w:t>
      </w:r>
      <w:r w:rsidR="009245E0" w:rsidRPr="005B6D16">
        <w:rPr>
          <w:rFonts w:ascii="Arial" w:hAnsi="Arial" w:cs="Arial"/>
          <w:color w:val="000000"/>
          <w:sz w:val="22"/>
          <w:szCs w:val="22"/>
        </w:rPr>
        <w:t>-</w:t>
      </w:r>
      <w:r w:rsidRPr="005B6D16">
        <w:rPr>
          <w:rFonts w:ascii="Arial" w:hAnsi="Arial" w:cs="Arial"/>
          <w:color w:val="000000"/>
          <w:sz w:val="22"/>
          <w:szCs w:val="22"/>
        </w:rPr>
        <w:t xml:space="preserve">One, reporting should focus on financing closed, construction progress, safeguards, workforce composition, and projected service/climate outcomes. For operational projects such as CME and Dat Bike, reporting should include actual installed capacity, production/generation, realised staffing, and updated </w:t>
      </w:r>
      <w:r w:rsidR="009245E0" w:rsidRPr="005B6D16">
        <w:rPr>
          <w:rFonts w:ascii="Arial" w:hAnsi="Arial" w:cs="Arial"/>
          <w:color w:val="000000"/>
          <w:sz w:val="22"/>
          <w:szCs w:val="22"/>
        </w:rPr>
        <w:t xml:space="preserve">on </w:t>
      </w:r>
      <w:r w:rsidRPr="005B6D16">
        <w:rPr>
          <w:rFonts w:ascii="Arial" w:hAnsi="Arial" w:cs="Arial"/>
          <w:color w:val="000000"/>
          <w:sz w:val="22"/>
          <w:szCs w:val="22"/>
        </w:rPr>
        <w:t>climate estimates</w:t>
      </w:r>
      <w:r w:rsidR="009245E0" w:rsidRPr="005B6D16">
        <w:rPr>
          <w:rFonts w:ascii="Arial" w:hAnsi="Arial" w:cs="Arial"/>
          <w:color w:val="000000"/>
          <w:sz w:val="22"/>
          <w:szCs w:val="22"/>
        </w:rPr>
        <w:t xml:space="preserve"> and development outcomes</w:t>
      </w:r>
      <w:r w:rsidRPr="005B6D16">
        <w:rPr>
          <w:rFonts w:ascii="Arial" w:hAnsi="Arial" w:cs="Arial"/>
          <w:color w:val="000000"/>
          <w:sz w:val="22"/>
          <w:szCs w:val="22"/>
        </w:rPr>
        <w:t xml:space="preserve">. </w:t>
      </w:r>
    </w:p>
    <w:p w14:paraId="799AF927" w14:textId="337F02A6" w:rsidR="00A27F28" w:rsidRPr="005B6D16" w:rsidRDefault="00A27F28" w:rsidP="00A27F28">
      <w:pPr>
        <w:pStyle w:val="NormalWeb"/>
        <w:rPr>
          <w:rFonts w:ascii="Arial" w:hAnsi="Arial" w:cs="Arial"/>
          <w:color w:val="000000"/>
          <w:sz w:val="22"/>
          <w:szCs w:val="22"/>
        </w:rPr>
      </w:pPr>
      <w:r w:rsidRPr="005B6D16">
        <w:rPr>
          <w:rFonts w:ascii="Arial" w:hAnsi="Arial" w:cs="Arial"/>
          <w:color w:val="000000"/>
          <w:sz w:val="22"/>
          <w:szCs w:val="22"/>
        </w:rPr>
        <w:t>Third, AVETP should introduce a</w:t>
      </w:r>
      <w:r w:rsidRPr="005B6D16">
        <w:rPr>
          <w:rStyle w:val="apple-converted-space"/>
          <w:rFonts w:ascii="Arial" w:hAnsi="Arial" w:cs="Arial"/>
          <w:color w:val="000000"/>
          <w:sz w:val="22"/>
          <w:szCs w:val="22"/>
        </w:rPr>
        <w:t> </w:t>
      </w:r>
      <w:r w:rsidRPr="005B6D16">
        <w:rPr>
          <w:rStyle w:val="Strong"/>
          <w:rFonts w:ascii="Arial" w:hAnsi="Arial" w:cs="Arial"/>
          <w:color w:val="000000"/>
          <w:sz w:val="22"/>
          <w:szCs w:val="22"/>
        </w:rPr>
        <w:t>minimum cross-cutting data set</w:t>
      </w:r>
      <w:r w:rsidRPr="005B6D16">
        <w:rPr>
          <w:rStyle w:val="apple-converted-space"/>
          <w:rFonts w:ascii="Arial" w:hAnsi="Arial" w:cs="Arial"/>
          <w:color w:val="000000"/>
          <w:sz w:val="22"/>
          <w:szCs w:val="22"/>
        </w:rPr>
        <w:t> </w:t>
      </w:r>
      <w:r w:rsidRPr="005B6D16">
        <w:rPr>
          <w:rFonts w:ascii="Arial" w:hAnsi="Arial" w:cs="Arial"/>
          <w:color w:val="000000"/>
          <w:sz w:val="22"/>
          <w:szCs w:val="22"/>
        </w:rPr>
        <w:t xml:space="preserve">on gender equality, disability inclusion, and safeguards for all investees. A practical minimum set would include: proportion of women in total workforce, management, and board/senior leadership; evidence of any gender-related workforce or market initiatives; whether the investee has a disability inclusion policy or practice; whether any persons with disability are employed or intentionally reached; and any major HSES incidents, complaints, or safeguard issues during the reporting period. </w:t>
      </w:r>
    </w:p>
    <w:p w14:paraId="49553A57" w14:textId="5AFAC6C5" w:rsidR="00A27F28" w:rsidRPr="005B6D16" w:rsidRDefault="00A27F28" w:rsidP="00A27F28">
      <w:pPr>
        <w:pStyle w:val="NormalWeb"/>
        <w:rPr>
          <w:rFonts w:ascii="Arial" w:hAnsi="Arial" w:cs="Arial"/>
          <w:color w:val="000000"/>
          <w:sz w:val="22"/>
          <w:szCs w:val="22"/>
        </w:rPr>
      </w:pPr>
      <w:r w:rsidRPr="005B6D16">
        <w:rPr>
          <w:rFonts w:ascii="Arial" w:hAnsi="Arial" w:cs="Arial"/>
          <w:color w:val="000000"/>
          <w:sz w:val="22"/>
          <w:szCs w:val="22"/>
        </w:rPr>
        <w:t>Fourth, AVETP should supplement transaction metrics with a</w:t>
      </w:r>
      <w:r w:rsidRPr="005B6D16">
        <w:rPr>
          <w:rStyle w:val="apple-converted-space"/>
          <w:rFonts w:ascii="Arial" w:hAnsi="Arial" w:cs="Arial"/>
          <w:color w:val="000000"/>
          <w:sz w:val="22"/>
          <w:szCs w:val="22"/>
        </w:rPr>
        <w:t> </w:t>
      </w:r>
      <w:r w:rsidRPr="005B6D16">
        <w:rPr>
          <w:rStyle w:val="Strong"/>
          <w:rFonts w:ascii="Arial" w:hAnsi="Arial" w:cs="Arial"/>
          <w:color w:val="000000"/>
          <w:sz w:val="22"/>
          <w:szCs w:val="22"/>
        </w:rPr>
        <w:t>short annual qualitative portfolio review</w:t>
      </w:r>
      <w:r w:rsidRPr="005B6D16">
        <w:rPr>
          <w:rStyle w:val="apple-converted-space"/>
          <w:rFonts w:ascii="Arial" w:hAnsi="Arial" w:cs="Arial"/>
          <w:color w:val="000000"/>
          <w:sz w:val="22"/>
          <w:szCs w:val="22"/>
        </w:rPr>
        <w:t> </w:t>
      </w:r>
      <w:r w:rsidRPr="005B6D16">
        <w:rPr>
          <w:rFonts w:ascii="Arial" w:hAnsi="Arial" w:cs="Arial"/>
          <w:color w:val="000000"/>
          <w:sz w:val="22"/>
          <w:szCs w:val="22"/>
        </w:rPr>
        <w:t>focused on additionality, demonstration effect, and policy relevance. This matters because some of AVETP’s most important results</w:t>
      </w:r>
      <w:r w:rsidR="00043339" w:rsidRPr="005B6D16">
        <w:rPr>
          <w:rFonts w:ascii="Arial" w:hAnsi="Arial" w:cs="Arial"/>
          <w:color w:val="000000"/>
          <w:sz w:val="22"/>
          <w:szCs w:val="22"/>
        </w:rPr>
        <w:t xml:space="preserve">, such as longer-tenor bonds, improved ESG or HSES system, strengthened investor credibility, catalytic follow-on finance and progress towards the CEF, are not well captured by </w:t>
      </w:r>
      <w:r w:rsidR="00DE1676" w:rsidRPr="005B6D16">
        <w:rPr>
          <w:rFonts w:ascii="Arial" w:hAnsi="Arial" w:cs="Arial"/>
          <w:color w:val="000000"/>
          <w:sz w:val="22"/>
          <w:szCs w:val="22"/>
        </w:rPr>
        <w:t>quantitative</w:t>
      </w:r>
      <w:r w:rsidR="00043339" w:rsidRPr="005B6D16">
        <w:rPr>
          <w:rFonts w:ascii="Arial" w:hAnsi="Arial" w:cs="Arial"/>
          <w:color w:val="000000"/>
          <w:sz w:val="22"/>
          <w:szCs w:val="22"/>
        </w:rPr>
        <w:t xml:space="preserve"> indicators alone</w:t>
      </w:r>
      <w:r w:rsidR="00DE1676" w:rsidRPr="005B6D16">
        <w:rPr>
          <w:rFonts w:ascii="Arial" w:hAnsi="Arial" w:cs="Arial"/>
          <w:color w:val="000000"/>
          <w:sz w:val="22"/>
          <w:szCs w:val="22"/>
        </w:rPr>
        <w:t>.</w:t>
      </w:r>
      <w:r w:rsidRPr="005B6D16">
        <w:rPr>
          <w:rFonts w:ascii="Arial" w:hAnsi="Arial" w:cs="Arial"/>
          <w:color w:val="000000"/>
          <w:sz w:val="22"/>
          <w:szCs w:val="22"/>
        </w:rPr>
        <w:t xml:space="preserve"> </w:t>
      </w:r>
    </w:p>
    <w:p w14:paraId="00738CB0" w14:textId="57F3E7BA" w:rsidR="00E112D0" w:rsidRPr="005B6D16" w:rsidRDefault="00A27F28" w:rsidP="00A27F28">
      <w:pPr>
        <w:pStyle w:val="NormalWeb"/>
        <w:rPr>
          <w:rFonts w:ascii="Arial" w:hAnsi="Arial" w:cs="Arial"/>
          <w:color w:val="000000"/>
          <w:sz w:val="22"/>
          <w:szCs w:val="22"/>
        </w:rPr>
      </w:pPr>
      <w:r w:rsidRPr="005B6D16">
        <w:rPr>
          <w:rFonts w:ascii="Arial" w:hAnsi="Arial" w:cs="Arial"/>
          <w:color w:val="000000"/>
          <w:sz w:val="22"/>
          <w:szCs w:val="22"/>
        </w:rPr>
        <w:lastRenderedPageBreak/>
        <w:t>Fifth, there needs to be a</w:t>
      </w:r>
      <w:r w:rsidRPr="005B6D16">
        <w:rPr>
          <w:rStyle w:val="apple-converted-space"/>
          <w:rFonts w:ascii="Arial" w:hAnsi="Arial" w:cs="Arial"/>
          <w:color w:val="000000"/>
          <w:sz w:val="22"/>
          <w:szCs w:val="22"/>
        </w:rPr>
        <w:t> </w:t>
      </w:r>
      <w:r w:rsidRPr="005B6D16">
        <w:rPr>
          <w:rStyle w:val="Strong"/>
          <w:rFonts w:ascii="Arial" w:hAnsi="Arial" w:cs="Arial"/>
          <w:color w:val="000000"/>
          <w:sz w:val="22"/>
          <w:szCs w:val="22"/>
        </w:rPr>
        <w:t>clearer country-level reporting interface</w:t>
      </w:r>
      <w:r w:rsidRPr="005B6D16">
        <w:rPr>
          <w:rFonts w:ascii="Arial" w:hAnsi="Arial" w:cs="Arial"/>
          <w:color w:val="000000"/>
          <w:sz w:val="22"/>
          <w:szCs w:val="22"/>
        </w:rPr>
        <w:t xml:space="preserve">. </w:t>
      </w:r>
      <w:r w:rsidR="00DE1676" w:rsidRPr="005B6D16">
        <w:rPr>
          <w:rFonts w:ascii="Arial" w:hAnsi="Arial" w:cs="Arial"/>
          <w:color w:val="000000"/>
          <w:sz w:val="22"/>
          <w:szCs w:val="22"/>
        </w:rPr>
        <w:t>T</w:t>
      </w:r>
      <w:r w:rsidRPr="005B6D16">
        <w:rPr>
          <w:rFonts w:ascii="Arial" w:hAnsi="Arial" w:cs="Arial"/>
          <w:color w:val="000000"/>
          <w:sz w:val="22"/>
          <w:szCs w:val="22"/>
        </w:rPr>
        <w:t>he most practical solution would be to nominate one accountable</w:t>
      </w:r>
      <w:r w:rsidR="003267CB" w:rsidRPr="005B6D16">
        <w:rPr>
          <w:rFonts w:ascii="Arial" w:hAnsi="Arial" w:cs="Arial"/>
          <w:color w:val="000000"/>
          <w:sz w:val="22"/>
          <w:szCs w:val="22"/>
        </w:rPr>
        <w:t xml:space="preserve"> </w:t>
      </w:r>
      <w:r w:rsidR="003267CB" w:rsidRPr="005B6D16">
        <w:rPr>
          <w:rFonts w:asciiTheme="minorHAnsi" w:hAnsiTheme="minorHAnsi" w:cstheme="minorHAnsi"/>
          <w:color w:val="000000"/>
          <w:sz w:val="22"/>
          <w:szCs w:val="22"/>
        </w:rPr>
        <w:t xml:space="preserve">country manager </w:t>
      </w:r>
      <w:r w:rsidR="00B55228" w:rsidRPr="005B6D16">
        <w:rPr>
          <w:rFonts w:asciiTheme="minorHAnsi" w:hAnsiTheme="minorHAnsi" w:cstheme="minorHAnsi"/>
          <w:color w:val="000000"/>
          <w:sz w:val="22"/>
          <w:szCs w:val="22"/>
        </w:rPr>
        <w:t>to</w:t>
      </w:r>
      <w:r w:rsidR="003267CB" w:rsidRPr="005B6D16">
        <w:rPr>
          <w:rFonts w:asciiTheme="minorHAnsi" w:hAnsiTheme="minorHAnsi" w:cstheme="minorHAnsi" w:hint="eastAsia"/>
          <w:color w:val="000000"/>
          <w:sz w:val="22"/>
          <w:szCs w:val="22"/>
        </w:rPr>
        <w:t xml:space="preserve"> coordinate inputs across relevant PIDG teams and consolidate them into a single AVETP country-level update. This should be supported by a simple reporting calendar agreed with DFAT, including semi-annual progress updates and an annual portfolio review.</w:t>
      </w:r>
      <w:r w:rsidRPr="005B6D16">
        <w:rPr>
          <w:rFonts w:ascii="Arial" w:hAnsi="Arial" w:cs="Arial"/>
          <w:color w:val="000000"/>
          <w:sz w:val="22"/>
          <w:szCs w:val="22"/>
        </w:rPr>
        <w:t xml:space="preserve"> </w:t>
      </w:r>
    </w:p>
    <w:p w14:paraId="44283717" w14:textId="65D075FE" w:rsidR="00984F53" w:rsidRDefault="00984F53" w:rsidP="003D231F">
      <w:pPr>
        <w:pStyle w:val="Heading2"/>
      </w:pPr>
      <w:bookmarkStart w:id="59" w:name="_Toc233026601"/>
      <w:r>
        <w:t>AVETP Programme Logic</w:t>
      </w:r>
      <w:bookmarkEnd w:id="59"/>
      <w:r>
        <w:t xml:space="preserve"> </w:t>
      </w:r>
    </w:p>
    <w:p w14:paraId="09C33752" w14:textId="3A52A586" w:rsidR="00762BA7" w:rsidRPr="005B6D16" w:rsidRDefault="00E112D0" w:rsidP="00E112D0">
      <w:pPr>
        <w:spacing w:before="100" w:beforeAutospacing="1" w:after="100" w:afterAutospacing="1"/>
        <w:rPr>
          <w:rFonts w:asciiTheme="minorHAnsi" w:hAnsiTheme="minorHAnsi" w:cstheme="minorHAnsi"/>
          <w:color w:val="000000"/>
          <w:sz w:val="22"/>
          <w:szCs w:val="22"/>
        </w:rPr>
      </w:pPr>
      <w:r w:rsidRPr="005B6D16">
        <w:rPr>
          <w:rFonts w:asciiTheme="minorHAnsi" w:hAnsiTheme="minorHAnsi" w:cstheme="minorHAnsi"/>
          <w:color w:val="000000"/>
          <w:sz w:val="22"/>
          <w:szCs w:val="22"/>
        </w:rPr>
        <w:t>The current EOPOs, intermediate outcomes, and programme logic are only partly fit for purpose. They still capture some important elements of AVETP, particularly around renewable energy, sustainable bonds, and capital market development, safeguards, and private finance mobilisation.</w:t>
      </w:r>
      <w:r w:rsidR="00762BA7" w:rsidRPr="005B6D16">
        <w:rPr>
          <w:rStyle w:val="Heading1Char"/>
          <w:rFonts w:asciiTheme="minorHAnsi" w:hAnsiTheme="minorHAnsi" w:cstheme="minorHAnsi"/>
          <w:b w:val="0"/>
          <w:color w:val="000000"/>
          <w:sz w:val="22"/>
          <w:szCs w:val="22"/>
        </w:rPr>
        <w:t xml:space="preserve"> </w:t>
      </w:r>
      <w:r w:rsidR="00762BA7" w:rsidRPr="005B6D16">
        <w:rPr>
          <w:rStyle w:val="Strong"/>
          <w:rFonts w:asciiTheme="minorHAnsi" w:hAnsiTheme="minorHAnsi" w:cstheme="minorHAnsi"/>
          <w:b w:val="0"/>
          <w:bCs w:val="0"/>
          <w:color w:val="000000"/>
          <w:sz w:val="22"/>
          <w:szCs w:val="22"/>
        </w:rPr>
        <w:t>This remains important because PIDG is expected to continue supporting solar and commercial and industrial renewable energy projects, including through emerging pipelines such as August Energy, which are strongly aligned with the original objectives of the programme.</w:t>
      </w:r>
      <w:r w:rsidRPr="005B6D16">
        <w:rPr>
          <w:rFonts w:asciiTheme="minorHAnsi" w:hAnsiTheme="minorHAnsi" w:cstheme="minorHAnsi"/>
          <w:color w:val="000000"/>
          <w:sz w:val="22"/>
          <w:szCs w:val="22"/>
        </w:rPr>
        <w:t xml:space="preserve"> However, </w:t>
      </w:r>
      <w:r w:rsidR="00762BA7" w:rsidRPr="005B6D16">
        <w:rPr>
          <w:rFonts w:asciiTheme="minorHAnsi" w:hAnsiTheme="minorHAnsi" w:cstheme="minorHAnsi"/>
          <w:color w:val="000000"/>
          <w:sz w:val="22"/>
          <w:szCs w:val="22"/>
        </w:rPr>
        <w:t xml:space="preserve">the results structure does </w:t>
      </w:r>
      <w:r w:rsidRPr="005B6D16">
        <w:rPr>
          <w:rFonts w:asciiTheme="minorHAnsi" w:hAnsiTheme="minorHAnsi" w:cstheme="minorHAnsi"/>
          <w:color w:val="000000"/>
          <w:sz w:val="22"/>
          <w:szCs w:val="22"/>
        </w:rPr>
        <w:t>no</w:t>
      </w:r>
      <w:r w:rsidR="00762BA7" w:rsidRPr="005B6D16">
        <w:rPr>
          <w:rFonts w:asciiTheme="minorHAnsi" w:hAnsiTheme="minorHAnsi" w:cstheme="minorHAnsi"/>
          <w:color w:val="000000"/>
          <w:sz w:val="22"/>
          <w:szCs w:val="22"/>
        </w:rPr>
        <w:t>t</w:t>
      </w:r>
      <w:r w:rsidRPr="005B6D16">
        <w:rPr>
          <w:rFonts w:asciiTheme="minorHAnsi" w:hAnsiTheme="minorHAnsi" w:cstheme="minorHAnsi"/>
          <w:color w:val="000000"/>
          <w:sz w:val="22"/>
          <w:szCs w:val="22"/>
        </w:rPr>
        <w:t xml:space="preserve"> fully reflect the actual shape of the portfolio, the diversity of PIDG’s transactions and instruments, or the main ways in which the programme is contributing to the EOPOs.</w:t>
      </w:r>
      <w:r w:rsidR="00762BA7" w:rsidRPr="005B6D16">
        <w:rPr>
          <w:rStyle w:val="Heading1Char"/>
          <w:color w:val="000000"/>
          <w:sz w:val="22"/>
          <w:szCs w:val="22"/>
        </w:rPr>
        <w:t xml:space="preserve"> </w:t>
      </w:r>
      <w:r w:rsidR="00762BA7" w:rsidRPr="005B6D16">
        <w:rPr>
          <w:rStyle w:val="Strong"/>
          <w:rFonts w:asciiTheme="minorHAnsi" w:hAnsiTheme="minorHAnsi" w:cstheme="minorHAnsi"/>
          <w:b w:val="0"/>
          <w:bCs w:val="0"/>
          <w:color w:val="000000"/>
          <w:sz w:val="22"/>
          <w:szCs w:val="22"/>
        </w:rPr>
        <w:t>PIDG’s activities in Vietnam are opportunity-led and depend on the availability of bankable, mandate-aligned transactions, rather than being driven only by the AVETP programme logic.</w:t>
      </w:r>
      <w:r w:rsidRPr="005B6D16">
        <w:rPr>
          <w:rFonts w:asciiTheme="minorHAnsi" w:hAnsiTheme="minorHAnsi" w:cstheme="minorHAnsi"/>
          <w:color w:val="000000"/>
          <w:sz w:val="22"/>
          <w:szCs w:val="22"/>
        </w:rPr>
        <w:t xml:space="preserve"> </w:t>
      </w:r>
      <w:r w:rsidR="009700D3" w:rsidRPr="005B6D16">
        <w:rPr>
          <w:rFonts w:asciiTheme="minorHAnsi" w:hAnsiTheme="minorHAnsi" w:cstheme="minorHAnsi"/>
          <w:color w:val="000000"/>
          <w:sz w:val="22"/>
          <w:szCs w:val="22"/>
        </w:rPr>
        <w:t>Additionally, t</w:t>
      </w:r>
      <w:r w:rsidRPr="005B6D16">
        <w:rPr>
          <w:rFonts w:asciiTheme="minorHAnsi" w:hAnsiTheme="minorHAnsi" w:cstheme="minorHAnsi"/>
          <w:color w:val="000000"/>
          <w:sz w:val="22"/>
          <w:szCs w:val="22"/>
        </w:rPr>
        <w:t xml:space="preserve">he logic was originally framed too narrowly around renewable energy generation and highly dependent on direct output metrics such as MW installed, GWh generated, or numbers of bonds issued. </w:t>
      </w:r>
      <w:r w:rsidR="00762BA7" w:rsidRPr="005B6D16">
        <w:rPr>
          <w:rStyle w:val="Strong"/>
          <w:rFonts w:asciiTheme="minorHAnsi" w:hAnsiTheme="minorHAnsi" w:cstheme="minorHAnsi"/>
          <w:b w:val="0"/>
          <w:bCs w:val="0"/>
          <w:color w:val="000000"/>
          <w:sz w:val="22"/>
          <w:szCs w:val="22"/>
        </w:rPr>
        <w:t>This was appropriate at the time of design, when Vietnam was emerging from a major solar and wind investment boom. However, the subsequent slowdown in renewable energy approvals and the tightening of the feed-in tariff regime reduced the availability of bankable renewable generation projects during implementation.</w:t>
      </w:r>
    </w:p>
    <w:p w14:paraId="7BA7C63B" w14:textId="3F00234C" w:rsidR="00E112D0" w:rsidRPr="005B6D16" w:rsidRDefault="00762BA7" w:rsidP="009700D3">
      <w:pPr>
        <w:spacing w:before="100" w:beforeAutospacing="1" w:after="100" w:afterAutospacing="1"/>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As a </w:t>
      </w:r>
      <w:r w:rsidR="009700D3" w:rsidRPr="005B6D16">
        <w:rPr>
          <w:rFonts w:asciiTheme="minorHAnsi" w:hAnsiTheme="minorHAnsi" w:cstheme="minorHAnsi"/>
          <w:color w:val="000000"/>
          <w:sz w:val="22"/>
          <w:szCs w:val="22"/>
        </w:rPr>
        <w:t>result,</w:t>
      </w:r>
      <w:r w:rsidRPr="005B6D16">
        <w:rPr>
          <w:rFonts w:asciiTheme="minorHAnsi" w:hAnsiTheme="minorHAnsi" w:cstheme="minorHAnsi"/>
          <w:color w:val="000000"/>
          <w:sz w:val="22"/>
          <w:szCs w:val="22"/>
        </w:rPr>
        <w:t xml:space="preserve"> AVETP-supported transactions also included</w:t>
      </w:r>
      <w:r w:rsidR="00E112D0" w:rsidRPr="005B6D16">
        <w:rPr>
          <w:rFonts w:asciiTheme="minorHAnsi" w:hAnsiTheme="minorHAnsi" w:cstheme="minorHAnsi"/>
          <w:color w:val="000000"/>
          <w:sz w:val="22"/>
          <w:szCs w:val="22"/>
        </w:rPr>
        <w:t xml:space="preserve"> e-mobility, water infrastructure, recycling, green bonds, guarantees, blended finance, and the CEF.</w:t>
      </w:r>
      <w:r w:rsidR="009700D3" w:rsidRPr="005B6D16">
        <w:rPr>
          <w:rFonts w:asciiTheme="minorHAnsi" w:hAnsiTheme="minorHAnsi" w:cstheme="minorHAnsi"/>
          <w:color w:val="000000"/>
          <w:sz w:val="22"/>
          <w:szCs w:val="22"/>
        </w:rPr>
        <w:t xml:space="preserve"> </w:t>
      </w:r>
      <w:r w:rsidR="009700D3" w:rsidRPr="005B6D16">
        <w:rPr>
          <w:rStyle w:val="Strong"/>
          <w:rFonts w:asciiTheme="minorHAnsi" w:hAnsiTheme="minorHAnsi" w:cstheme="minorHAnsi"/>
          <w:b w:val="0"/>
          <w:bCs w:val="0"/>
          <w:color w:val="000000"/>
          <w:sz w:val="22"/>
          <w:szCs w:val="22"/>
        </w:rPr>
        <w:t xml:space="preserve">These should not be interpreted as a departure from scope, but as part of a broader climate finance and transition-related portfolio that reflects available opportunities and DFAT’s flexible support to PIDG in Vietnam. At the same time, the programme logic does not yet clearly explain how these diverse transactions contribute to the EOPOs, particularly where the climate contribution is indirect, enabling, or linked to market development rather than direct renewable energy generation. </w:t>
      </w:r>
      <w:r w:rsidR="009700D3" w:rsidRPr="005B6D16">
        <w:rPr>
          <w:rFonts w:asciiTheme="minorHAnsi" w:hAnsiTheme="minorHAnsi" w:cstheme="minorHAnsi"/>
          <w:color w:val="000000"/>
          <w:sz w:val="22"/>
          <w:szCs w:val="22"/>
        </w:rPr>
        <w:t>It is therefore essential that</w:t>
      </w:r>
      <w:r w:rsidR="00E112D0" w:rsidRPr="005B6D16">
        <w:rPr>
          <w:rFonts w:asciiTheme="minorHAnsi" w:hAnsiTheme="minorHAnsi" w:cstheme="minorHAnsi"/>
          <w:color w:val="000000"/>
          <w:sz w:val="22"/>
          <w:szCs w:val="22"/>
        </w:rPr>
        <w:t xml:space="preserve"> the current logic be refined rather than replaced entirely. Most parts remain useful, especially the capital market development strand, climate and safeguard related indicators, and the focus on mobilising private finance. However, these need to be repositioned within a broader but still disciplined climate transition model. A more practical structure would organise the programme around three to </w:t>
      </w:r>
      <w:r w:rsidR="009700D3" w:rsidRPr="005B6D16">
        <w:rPr>
          <w:rFonts w:asciiTheme="minorHAnsi" w:hAnsiTheme="minorHAnsi" w:cstheme="minorHAnsi"/>
          <w:color w:val="000000"/>
          <w:sz w:val="22"/>
          <w:szCs w:val="22"/>
        </w:rPr>
        <w:t xml:space="preserve">three </w:t>
      </w:r>
      <w:r w:rsidR="00E112D0" w:rsidRPr="005B6D16">
        <w:rPr>
          <w:rFonts w:asciiTheme="minorHAnsi" w:hAnsiTheme="minorHAnsi" w:cstheme="minorHAnsi"/>
          <w:color w:val="000000"/>
          <w:sz w:val="22"/>
          <w:szCs w:val="22"/>
        </w:rPr>
        <w:t xml:space="preserve">areas: mobilising more and better private investment into Vietnam’s net zero transition; improving the quality and </w:t>
      </w:r>
      <w:proofErr w:type="spellStart"/>
      <w:r w:rsidR="00E112D0" w:rsidRPr="005B6D16">
        <w:rPr>
          <w:rFonts w:asciiTheme="minorHAnsi" w:hAnsiTheme="minorHAnsi" w:cstheme="minorHAnsi"/>
          <w:color w:val="000000"/>
          <w:sz w:val="22"/>
          <w:szCs w:val="22"/>
        </w:rPr>
        <w:t>investability</w:t>
      </w:r>
      <w:proofErr w:type="spellEnd"/>
      <w:r w:rsidR="00E112D0" w:rsidRPr="005B6D16">
        <w:rPr>
          <w:rFonts w:asciiTheme="minorHAnsi" w:hAnsiTheme="minorHAnsi" w:cstheme="minorHAnsi"/>
          <w:color w:val="000000"/>
          <w:sz w:val="22"/>
          <w:szCs w:val="22"/>
        </w:rPr>
        <w:t xml:space="preserve"> of climate mitigation, adaptation, and resilience projects; and supporting more inclusive and equitable transition investments. </w:t>
      </w:r>
    </w:p>
    <w:p w14:paraId="6E6CAEA1" w14:textId="77777777" w:rsidR="00E112D0" w:rsidRPr="003D231F" w:rsidRDefault="00E112D0" w:rsidP="003D231F">
      <w:pPr>
        <w:rPr>
          <w:rFonts w:ascii="Arial" w:hAnsi="Arial" w:cs="Arial"/>
          <w:b/>
          <w:bCs/>
        </w:rPr>
      </w:pPr>
      <w:bookmarkStart w:id="60" w:name="_Toc226976860"/>
      <w:r w:rsidRPr="003D231F">
        <w:rPr>
          <w:rFonts w:ascii="Arial" w:hAnsi="Arial" w:cs="Arial"/>
          <w:b/>
          <w:bCs/>
        </w:rPr>
        <w:t>Key Findings</w:t>
      </w:r>
      <w:bookmarkEnd w:id="60"/>
    </w:p>
    <w:p w14:paraId="5A745797" w14:textId="7378065C" w:rsidR="00E112D0" w:rsidRPr="005B6D16" w:rsidRDefault="00E112D0" w:rsidP="00E112D0">
      <w:pPr>
        <w:pStyle w:val="ListParagraph"/>
        <w:numPr>
          <w:ilvl w:val="2"/>
          <w:numId w:val="4"/>
        </w:numPr>
        <w:rPr>
          <w:b/>
          <w:bCs/>
          <w:color w:val="000000"/>
          <w:sz w:val="22"/>
          <w:szCs w:val="22"/>
        </w:rPr>
      </w:pPr>
      <w:r w:rsidRPr="005B6D16">
        <w:rPr>
          <w:b/>
          <w:bCs/>
          <w:color w:val="000000"/>
          <w:sz w:val="22"/>
          <w:szCs w:val="22"/>
        </w:rPr>
        <w:t xml:space="preserve">The current programme scope </w:t>
      </w:r>
      <w:r w:rsidRPr="005B6D16">
        <w:rPr>
          <w:color w:val="000000"/>
          <w:sz w:val="22"/>
          <w:szCs w:val="22"/>
        </w:rPr>
        <w:t>was originally framed</w:t>
      </w:r>
      <w:r w:rsidRPr="005B6D16">
        <w:rPr>
          <w:b/>
          <w:bCs/>
          <w:color w:val="000000"/>
          <w:sz w:val="22"/>
          <w:szCs w:val="22"/>
        </w:rPr>
        <w:t xml:space="preserve"> too narrowly in renewable energy generation and does not adequately reflect the broader range of climate relevant investments. </w:t>
      </w:r>
    </w:p>
    <w:p w14:paraId="53EA6161" w14:textId="0F15231A" w:rsidR="00E112D0" w:rsidRPr="005B6D16" w:rsidRDefault="00E112D0" w:rsidP="00E112D0">
      <w:pPr>
        <w:rPr>
          <w:rFonts w:asciiTheme="minorHAnsi" w:hAnsiTheme="minorHAnsi" w:cstheme="minorHAnsi"/>
          <w:color w:val="000000"/>
          <w:sz w:val="22"/>
          <w:szCs w:val="22"/>
        </w:rPr>
      </w:pPr>
      <w:r w:rsidRPr="005B6D16">
        <w:rPr>
          <w:rFonts w:asciiTheme="minorHAnsi" w:hAnsiTheme="minorHAnsi" w:cstheme="minorHAnsi"/>
          <w:color w:val="000000"/>
          <w:sz w:val="22"/>
          <w:szCs w:val="22"/>
        </w:rPr>
        <w:t>Evidence suggests that AVETP </w:t>
      </w:r>
      <w:r w:rsidRPr="005B6D16">
        <w:rPr>
          <w:rFonts w:asciiTheme="minorHAnsi" w:hAnsiTheme="minorHAnsi" w:cstheme="minorHAnsi"/>
          <w:b/>
          <w:bCs/>
          <w:color w:val="000000"/>
          <w:sz w:val="22"/>
          <w:szCs w:val="22"/>
        </w:rPr>
        <w:t xml:space="preserve">should </w:t>
      </w:r>
      <w:r w:rsidR="004C5249" w:rsidRPr="005B6D16">
        <w:rPr>
          <w:rFonts w:asciiTheme="minorHAnsi" w:hAnsiTheme="minorHAnsi" w:cstheme="minorHAnsi"/>
          <w:b/>
          <w:bCs/>
          <w:color w:val="000000"/>
          <w:sz w:val="22"/>
          <w:szCs w:val="22"/>
        </w:rPr>
        <w:t>retain its strong</w:t>
      </w:r>
      <w:r w:rsidRPr="005B6D16">
        <w:rPr>
          <w:rFonts w:asciiTheme="minorHAnsi" w:hAnsiTheme="minorHAnsi" w:cstheme="minorHAnsi"/>
          <w:b/>
          <w:bCs/>
          <w:color w:val="000000"/>
          <w:sz w:val="22"/>
          <w:szCs w:val="22"/>
        </w:rPr>
        <w:t xml:space="preserve"> renewable energy</w:t>
      </w:r>
      <w:r w:rsidR="004C5249" w:rsidRPr="005B6D16">
        <w:rPr>
          <w:rFonts w:asciiTheme="minorHAnsi" w:hAnsiTheme="minorHAnsi" w:cstheme="minorHAnsi"/>
          <w:b/>
          <w:bCs/>
          <w:color w:val="000000"/>
          <w:sz w:val="22"/>
          <w:szCs w:val="22"/>
        </w:rPr>
        <w:t xml:space="preserve"> and energy transition focus</w:t>
      </w:r>
      <w:r w:rsidRPr="005B6D16">
        <w:rPr>
          <w:rFonts w:asciiTheme="minorHAnsi" w:hAnsiTheme="minorHAnsi" w:cstheme="minorHAnsi"/>
          <w:color w:val="000000"/>
          <w:sz w:val="22"/>
          <w:szCs w:val="22"/>
        </w:rPr>
        <w:t xml:space="preserve">, </w:t>
      </w:r>
      <w:r w:rsidR="004C5249" w:rsidRPr="005B6D16">
        <w:rPr>
          <w:rFonts w:asciiTheme="minorHAnsi" w:hAnsiTheme="minorHAnsi" w:cstheme="minorHAnsi"/>
          <w:color w:val="000000"/>
          <w:sz w:val="22"/>
          <w:szCs w:val="22"/>
        </w:rPr>
        <w:t>while applying a</w:t>
      </w:r>
      <w:r w:rsidRPr="005B6D16">
        <w:rPr>
          <w:rFonts w:asciiTheme="minorHAnsi" w:hAnsiTheme="minorHAnsi" w:cstheme="minorHAnsi"/>
          <w:color w:val="000000"/>
          <w:sz w:val="22"/>
          <w:szCs w:val="22"/>
        </w:rPr>
        <w:t xml:space="preserve"> broad</w:t>
      </w:r>
      <w:r w:rsidR="004C5249" w:rsidRPr="005B6D16">
        <w:rPr>
          <w:rFonts w:asciiTheme="minorHAnsi" w:hAnsiTheme="minorHAnsi" w:cstheme="minorHAnsi"/>
          <w:color w:val="000000"/>
          <w:sz w:val="22"/>
          <w:szCs w:val="22"/>
        </w:rPr>
        <w:t>er</w:t>
      </w:r>
      <w:r w:rsidRPr="005B6D16">
        <w:rPr>
          <w:rFonts w:asciiTheme="minorHAnsi" w:hAnsiTheme="minorHAnsi" w:cstheme="minorHAnsi"/>
          <w:color w:val="000000"/>
          <w:sz w:val="22"/>
          <w:szCs w:val="22"/>
        </w:rPr>
        <w:t xml:space="preserve"> </w:t>
      </w:r>
      <w:r w:rsidR="004C5249" w:rsidRPr="005B6D16">
        <w:rPr>
          <w:rFonts w:asciiTheme="minorHAnsi" w:hAnsiTheme="minorHAnsi" w:cstheme="minorHAnsi"/>
          <w:color w:val="000000"/>
          <w:sz w:val="22"/>
          <w:szCs w:val="22"/>
        </w:rPr>
        <w:t>but disciplined climate finance lens where opportunities are bankable, mandate-aligned, additional, and relevant to Vietnam’s transition needs</w:t>
      </w:r>
      <w:r w:rsidRPr="005B6D16">
        <w:rPr>
          <w:rFonts w:asciiTheme="minorHAnsi" w:hAnsiTheme="minorHAnsi" w:cstheme="minorHAnsi"/>
          <w:color w:val="000000"/>
          <w:sz w:val="22"/>
          <w:szCs w:val="22"/>
        </w:rPr>
        <w:t xml:space="preserve">. </w:t>
      </w:r>
      <w:r w:rsidR="004C5249" w:rsidRPr="005B6D16">
        <w:rPr>
          <w:rFonts w:asciiTheme="minorHAnsi" w:hAnsiTheme="minorHAnsi" w:cstheme="minorHAnsi"/>
          <w:color w:val="000000"/>
          <w:sz w:val="22"/>
          <w:szCs w:val="22"/>
        </w:rPr>
        <w:t>This is important because PIDG</w:t>
      </w:r>
      <w:r w:rsidR="004C5249" w:rsidRPr="005B6D16">
        <w:rPr>
          <w:rFonts w:asciiTheme="minorHAnsi" w:hAnsiTheme="minorHAnsi" w:cstheme="minorHAnsi" w:hint="eastAsia"/>
          <w:color w:val="000000"/>
          <w:sz w:val="22"/>
          <w:szCs w:val="22"/>
        </w:rPr>
        <w:t>’</w:t>
      </w:r>
      <w:r w:rsidR="004C5249" w:rsidRPr="005B6D16">
        <w:rPr>
          <w:rFonts w:asciiTheme="minorHAnsi" w:hAnsiTheme="minorHAnsi" w:cstheme="minorHAnsi"/>
          <w:color w:val="000000"/>
          <w:sz w:val="22"/>
          <w:szCs w:val="22"/>
        </w:rPr>
        <w:t>s activities in Vietnam are not driven by the programme logic alone, but by the availability of opportunities it can realistically support or finance. A</w:t>
      </w:r>
      <w:r w:rsidRPr="005B6D16">
        <w:rPr>
          <w:rFonts w:asciiTheme="minorHAnsi" w:hAnsiTheme="minorHAnsi" w:cstheme="minorHAnsi"/>
          <w:color w:val="000000"/>
          <w:sz w:val="22"/>
          <w:szCs w:val="22"/>
        </w:rPr>
        <w:t xml:space="preserve"> more appropriate direction is to retain a </w:t>
      </w:r>
      <w:r w:rsidRPr="005B6D16">
        <w:rPr>
          <w:rFonts w:asciiTheme="minorHAnsi" w:hAnsiTheme="minorHAnsi" w:cstheme="minorHAnsi"/>
          <w:b/>
          <w:bCs/>
          <w:color w:val="000000"/>
          <w:sz w:val="22"/>
          <w:szCs w:val="22"/>
        </w:rPr>
        <w:t>clear climate transition focus</w:t>
      </w:r>
      <w:r w:rsidRPr="005B6D16">
        <w:rPr>
          <w:rFonts w:asciiTheme="minorHAnsi" w:hAnsiTheme="minorHAnsi" w:cstheme="minorHAnsi"/>
          <w:color w:val="000000"/>
          <w:sz w:val="22"/>
          <w:szCs w:val="22"/>
        </w:rPr>
        <w:t>, while allowing greater flexibility to support </w:t>
      </w:r>
      <w:r w:rsidRPr="005B6D16">
        <w:rPr>
          <w:rFonts w:asciiTheme="minorHAnsi" w:hAnsiTheme="minorHAnsi" w:cstheme="minorHAnsi"/>
          <w:b/>
          <w:bCs/>
          <w:color w:val="000000"/>
          <w:sz w:val="22"/>
          <w:szCs w:val="22"/>
        </w:rPr>
        <w:t>climate mitigation, adaptation, and resilience-related investments</w:t>
      </w:r>
      <w:r w:rsidRPr="005B6D16">
        <w:rPr>
          <w:rFonts w:asciiTheme="minorHAnsi" w:hAnsiTheme="minorHAnsi" w:cstheme="minorHAnsi"/>
          <w:color w:val="000000"/>
          <w:sz w:val="22"/>
          <w:szCs w:val="22"/>
        </w:rPr>
        <w:t xml:space="preserve"> where these are relevant, additional and aligned with PIDG’s comparative advantage. This would be more consistent with the realised portfolio and with implementation lessons </w:t>
      </w:r>
      <w:r w:rsidR="00F827C1" w:rsidRPr="005B6D16">
        <w:rPr>
          <w:rFonts w:asciiTheme="minorHAnsi" w:hAnsiTheme="minorHAnsi" w:cstheme="minorHAnsi"/>
          <w:color w:val="000000"/>
          <w:sz w:val="22"/>
          <w:szCs w:val="22"/>
        </w:rPr>
        <w:t>showing that</w:t>
      </w:r>
      <w:r w:rsidRPr="005B6D16">
        <w:rPr>
          <w:rFonts w:asciiTheme="minorHAnsi" w:hAnsiTheme="minorHAnsi" w:cstheme="minorHAnsi"/>
          <w:color w:val="000000"/>
          <w:sz w:val="22"/>
          <w:szCs w:val="22"/>
        </w:rPr>
        <w:t xml:space="preserve"> a broader climate-relevant portfolio is a form of risk management rather than mission drift.</w:t>
      </w:r>
    </w:p>
    <w:p w14:paraId="53742D1D" w14:textId="77777777" w:rsidR="00E112D0" w:rsidRPr="005B6D16" w:rsidRDefault="00E112D0" w:rsidP="009517D8">
      <w:pPr>
        <w:spacing w:before="240"/>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2. The IOs overemphasises direct output metrics and underplays catalytic and quality effects</w:t>
      </w:r>
    </w:p>
    <w:p w14:paraId="2AF3944B" w14:textId="0D74D5E2" w:rsidR="00E112D0" w:rsidRPr="005B6D16" w:rsidRDefault="00E112D0" w:rsidP="00E112D0">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The current programme logic gives too much weight to immediate output style indicators, such as MW installed, GWh generated, people reached, or policy changes. It does not sufficiently capture the ways AVETP is </w:t>
      </w:r>
      <w:proofErr w:type="gramStart"/>
      <w:r w:rsidRPr="005B6D16">
        <w:rPr>
          <w:rFonts w:asciiTheme="minorHAnsi" w:hAnsiTheme="minorHAnsi" w:cstheme="minorHAnsi"/>
          <w:color w:val="000000"/>
          <w:sz w:val="22"/>
          <w:szCs w:val="22"/>
        </w:rPr>
        <w:t>actually generating</w:t>
      </w:r>
      <w:proofErr w:type="gramEnd"/>
      <w:r w:rsidRPr="005B6D16">
        <w:rPr>
          <w:rFonts w:asciiTheme="minorHAnsi" w:hAnsiTheme="minorHAnsi" w:cstheme="minorHAnsi"/>
          <w:color w:val="000000"/>
          <w:sz w:val="22"/>
          <w:szCs w:val="22"/>
        </w:rPr>
        <w:t xml:space="preserve"> value, including improving the quality of finance, supporting first-of-kind </w:t>
      </w:r>
      <w:r w:rsidRPr="005B6D16">
        <w:rPr>
          <w:rFonts w:asciiTheme="minorHAnsi" w:hAnsiTheme="minorHAnsi" w:cstheme="minorHAnsi"/>
          <w:color w:val="000000"/>
          <w:sz w:val="22"/>
          <w:szCs w:val="22"/>
        </w:rPr>
        <w:lastRenderedPageBreak/>
        <w:t xml:space="preserve">transactions, extending tenor, strengthening standards, enabling local currency structures, and helping firms attract follow-on capital. </w:t>
      </w:r>
    </w:p>
    <w:p w14:paraId="5D8CC428" w14:textId="77777777" w:rsidR="00E112D0" w:rsidRPr="005B6D16" w:rsidRDefault="00E112D0" w:rsidP="00E112D0">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3. Most elements of the current EOPOs and IOs remain useful and should be retained</w:t>
      </w:r>
    </w:p>
    <w:p w14:paraId="7C4E143C" w14:textId="77777777" w:rsidR="00E112D0" w:rsidRPr="005B6D16" w:rsidRDefault="00E112D0" w:rsidP="00E112D0">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The capital market development strand remains strongly relevant, especially given the evidence from guarantee backed green bonds, local currency solutions, first time issuers, and the proposed CEF. The logic is also right to include HSES, gender, and climate related considerations, because the case studies consistently show that PIDG improves standards and strengthens firm level systems. The issue is not that these areas are irrelevant, but that they are currently too thin, too disconnected, or too narrowly framed relative to the EOPOs.</w:t>
      </w:r>
      <w:r w:rsidRPr="005B6D16">
        <w:rPr>
          <w:rStyle w:val="apple-converted-space"/>
          <w:rFonts w:asciiTheme="minorHAnsi" w:hAnsiTheme="minorHAnsi" w:cstheme="minorHAnsi"/>
          <w:color w:val="000000"/>
          <w:sz w:val="22"/>
          <w:szCs w:val="22"/>
        </w:rPr>
        <w:t> </w:t>
      </w:r>
    </w:p>
    <w:p w14:paraId="5A6B3C9A" w14:textId="77777777" w:rsidR="00E112D0" w:rsidRPr="005B6D16" w:rsidRDefault="00E112D0" w:rsidP="00E112D0">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4. Australia’s visibility and influence are not adequately captured in the current logic</w:t>
      </w:r>
    </w:p>
    <w:p w14:paraId="5F00D50F" w14:textId="0D810270" w:rsidR="00E112D0" w:rsidRPr="005B6D16" w:rsidRDefault="00E112D0" w:rsidP="00E112D0">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EOPO 1 explicitly refers to Australia’s visible and influential role, yet the current IOs do not meaningfully track how transactions translate into Australian visibility, owner influence, bilateral strategic engagement, or public diplomacy value. This is a significant gap because multiple stakeholders observed that Australia’s substantive contribution is stronger than its public visibility. </w:t>
      </w:r>
    </w:p>
    <w:p w14:paraId="3DFA769E" w14:textId="77777777" w:rsidR="00E112D0" w:rsidRPr="005B6D16" w:rsidRDefault="00E112D0" w:rsidP="00E112D0">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5. Inclusion and equity pathways are underdeveloped</w:t>
      </w:r>
    </w:p>
    <w:p w14:paraId="4CA560E4" w14:textId="2D98EEB0" w:rsidR="00E112D0" w:rsidRPr="005B6D16" w:rsidRDefault="00E112D0" w:rsidP="00022095">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EOPO 2 focuses on investments being inclusive and equitable, including support to Vietnam’s own policies</w:t>
      </w:r>
      <w:r w:rsidR="00022095" w:rsidRPr="005B6D16">
        <w:rPr>
          <w:rFonts w:asciiTheme="minorHAnsi" w:hAnsiTheme="minorHAnsi" w:cstheme="minorHAnsi"/>
          <w:color w:val="000000"/>
          <w:sz w:val="22"/>
          <w:szCs w:val="22"/>
        </w:rPr>
        <w:t xml:space="preserve"> in these areas</w:t>
      </w:r>
      <w:r w:rsidRPr="005B6D16">
        <w:rPr>
          <w:rFonts w:asciiTheme="minorHAnsi" w:hAnsiTheme="minorHAnsi" w:cstheme="minorHAnsi"/>
          <w:color w:val="000000"/>
          <w:sz w:val="22"/>
          <w:szCs w:val="22"/>
        </w:rPr>
        <w:t xml:space="preserve">. The current logic includes a few gender and climate related indicators, but this is not enough to capture the inclusion evidence that is emerging from the portfolio. More coherent pathways are needed for women’s employment, local jobs, minority participation, affordability effects, workforce practices, safeguards and disability inclusion. </w:t>
      </w:r>
    </w:p>
    <w:p w14:paraId="7F82EE54" w14:textId="77777777" w:rsidR="00E112D0" w:rsidRPr="005B6D16" w:rsidRDefault="00E112D0" w:rsidP="00E112D0">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6. Policy and enabling environment pathways are treated too simplistically</w:t>
      </w:r>
    </w:p>
    <w:p w14:paraId="428A0104" w14:textId="1EE4FC0A" w:rsidR="00E112D0" w:rsidRPr="005B6D16" w:rsidRDefault="00E112D0" w:rsidP="00A27F28">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The current logic includes ambitions around regulatory change, market knowledge, and sustainable finance development, but it underestimates how long term, politically contingent, and non-linear this work is, particularly in relation to the CEF. The CEF experience shows that progress depends on political timing, institutional ownership, legal drafting, and sustained engagement rather than on short term linear delivery. </w:t>
      </w:r>
    </w:p>
    <w:p w14:paraId="2EF136D8" w14:textId="61D6B619" w:rsidR="00984F53" w:rsidRPr="00984F53" w:rsidRDefault="00984F53" w:rsidP="003D231F">
      <w:pPr>
        <w:pStyle w:val="Heading2"/>
      </w:pPr>
      <w:bookmarkStart w:id="61" w:name="_Toc233026602"/>
      <w:r>
        <w:t>Oversight and Engagement</w:t>
      </w:r>
      <w:bookmarkEnd w:id="61"/>
      <w:r>
        <w:t xml:space="preserve"> </w:t>
      </w:r>
    </w:p>
    <w:p w14:paraId="1A0B6AE1" w14:textId="094B75C2" w:rsidR="009C3F64" w:rsidRPr="005B6D16" w:rsidRDefault="009C3F64" w:rsidP="009C3F64">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Overall, DFAT’s oversight and engagement arrangements have been</w:t>
      </w:r>
      <w:r w:rsidR="0082310F" w:rsidRPr="005B6D16">
        <w:rPr>
          <w:rFonts w:ascii="Arial" w:hAnsi="Arial" w:cs="Arial"/>
          <w:color w:val="000000"/>
          <w:sz w:val="22"/>
          <w:szCs w:val="22"/>
        </w:rPr>
        <w:t xml:space="preserve"> active</w:t>
      </w:r>
      <w:r w:rsidRPr="005B6D16">
        <w:rPr>
          <w:rFonts w:ascii="Arial" w:hAnsi="Arial" w:cs="Arial"/>
          <w:color w:val="000000"/>
          <w:sz w:val="22"/>
          <w:szCs w:val="22"/>
        </w:rPr>
        <w:t> </w:t>
      </w:r>
      <w:r w:rsidR="0082310F" w:rsidRPr="005B6D16">
        <w:rPr>
          <w:rFonts w:ascii="Arial" w:hAnsi="Arial" w:cs="Arial"/>
          <w:b/>
          <w:bCs/>
          <w:color w:val="000000"/>
          <w:sz w:val="22"/>
          <w:szCs w:val="22"/>
        </w:rPr>
        <w:t xml:space="preserve">and strategically </w:t>
      </w:r>
      <w:r w:rsidRPr="005B6D16">
        <w:rPr>
          <w:rFonts w:ascii="Arial" w:hAnsi="Arial" w:cs="Arial"/>
          <w:b/>
          <w:bCs/>
          <w:color w:val="000000"/>
          <w:sz w:val="22"/>
          <w:szCs w:val="22"/>
        </w:rPr>
        <w:t>effective</w:t>
      </w:r>
      <w:r w:rsidRPr="005B6D16">
        <w:rPr>
          <w:rFonts w:ascii="Arial" w:hAnsi="Arial" w:cs="Arial"/>
          <w:color w:val="000000"/>
          <w:sz w:val="22"/>
          <w:szCs w:val="22"/>
        </w:rPr>
        <w:t xml:space="preserve">. </w:t>
      </w:r>
      <w:r w:rsidR="0082310F" w:rsidRPr="005B6D16">
        <w:rPr>
          <w:rFonts w:asciiTheme="minorHAnsi" w:hAnsiTheme="minorHAnsi" w:cstheme="minorHAnsi"/>
          <w:color w:val="000000"/>
          <w:sz w:val="22"/>
          <w:szCs w:val="22"/>
        </w:rPr>
        <w:t>DFAT has remained closely engaged with AVETP, including participating in PIDG events, supporting senior-level engagement, maintaining alignment with Australia</w:t>
      </w:r>
      <w:r w:rsidR="0082310F" w:rsidRPr="005B6D16">
        <w:rPr>
          <w:rFonts w:asciiTheme="minorHAnsi" w:hAnsiTheme="minorHAnsi" w:cstheme="minorHAnsi" w:hint="eastAsia"/>
          <w:color w:val="000000"/>
          <w:sz w:val="22"/>
          <w:szCs w:val="22"/>
        </w:rPr>
        <w:t>’</w:t>
      </w:r>
      <w:r w:rsidR="0082310F" w:rsidRPr="005B6D16">
        <w:rPr>
          <w:rFonts w:asciiTheme="minorHAnsi" w:hAnsiTheme="minorHAnsi" w:cstheme="minorHAnsi"/>
          <w:color w:val="000000"/>
          <w:sz w:val="22"/>
          <w:szCs w:val="22"/>
        </w:rPr>
        <w:t>s development and foreign policy priorities, and using opportunities to clarify expectations for managing a bilateral programme. DFAT</w:t>
      </w:r>
      <w:r w:rsidR="0082310F" w:rsidRPr="005B6D16">
        <w:rPr>
          <w:rFonts w:asciiTheme="minorHAnsi" w:hAnsiTheme="minorHAnsi" w:cstheme="minorHAnsi" w:hint="eastAsia"/>
          <w:color w:val="000000"/>
          <w:sz w:val="22"/>
          <w:szCs w:val="22"/>
        </w:rPr>
        <w:t>’</w:t>
      </w:r>
      <w:r w:rsidR="0082310F" w:rsidRPr="005B6D16">
        <w:rPr>
          <w:rFonts w:asciiTheme="minorHAnsi" w:hAnsiTheme="minorHAnsi" w:cstheme="minorHAnsi"/>
          <w:color w:val="000000"/>
          <w:sz w:val="22"/>
          <w:szCs w:val="22"/>
        </w:rPr>
        <w:t>s engagement has helped keep AVETP connected to Vietnam</w:t>
      </w:r>
      <w:r w:rsidR="0082310F" w:rsidRPr="005B6D16">
        <w:rPr>
          <w:rFonts w:asciiTheme="minorHAnsi" w:hAnsiTheme="minorHAnsi" w:cstheme="minorHAnsi" w:hint="eastAsia"/>
          <w:color w:val="000000"/>
          <w:sz w:val="22"/>
          <w:szCs w:val="22"/>
        </w:rPr>
        <w:t>’</w:t>
      </w:r>
      <w:r w:rsidR="0082310F" w:rsidRPr="005B6D16">
        <w:rPr>
          <w:rFonts w:asciiTheme="minorHAnsi" w:hAnsiTheme="minorHAnsi" w:cstheme="minorHAnsi"/>
          <w:color w:val="000000"/>
          <w:sz w:val="22"/>
          <w:szCs w:val="22"/>
        </w:rPr>
        <w:t xml:space="preserve">s transition agenda, particularly around blended finance, private capital mobilisation, climate investment, and capital market development. </w:t>
      </w:r>
      <w:r w:rsidRPr="005B6D16">
        <w:rPr>
          <w:rFonts w:ascii="Arial" w:hAnsi="Arial" w:cs="Arial"/>
          <w:color w:val="000000"/>
          <w:sz w:val="22"/>
          <w:szCs w:val="22"/>
        </w:rPr>
        <w:t xml:space="preserve"> </w:t>
      </w:r>
    </w:p>
    <w:p w14:paraId="430FF78E" w14:textId="273E9803" w:rsidR="009C3F64" w:rsidRPr="005B6D16" w:rsidRDefault="00184BAA" w:rsidP="009C3F64">
      <w:pPr>
        <w:spacing w:before="100" w:beforeAutospacing="1" w:after="100" w:afterAutospacing="1"/>
        <w:rPr>
          <w:rFonts w:ascii="Arial" w:hAnsi="Arial" w:cs="Arial"/>
          <w:color w:val="000000"/>
          <w:sz w:val="22"/>
          <w:szCs w:val="22"/>
        </w:rPr>
      </w:pPr>
      <w:r w:rsidRPr="005B6D16">
        <w:rPr>
          <w:rFonts w:ascii="Arial" w:hAnsi="Arial" w:cs="Arial"/>
          <w:color w:val="000000"/>
          <w:sz w:val="22"/>
          <w:szCs w:val="22"/>
        </w:rPr>
        <w:t xml:space="preserve">The main limitation has not been DFAT’s level of oversights or strategic engagement. Rather the challenge has been that DFAT’s oversights has been affected by the quality and consistency of reporting, while broader programme engagement and visibility have been constrained by limited local presence and country arrangements within the AVETP/PDIG delivery arrangements. These factors sit largely outside DFAT’s direct control but have increased the burden on post to support coordination, relationship management, communication and visibility. </w:t>
      </w:r>
    </w:p>
    <w:p w14:paraId="3CC8B813" w14:textId="77777777" w:rsidR="009C3F64" w:rsidRDefault="009C3F64" w:rsidP="003D231F">
      <w:pPr>
        <w:rPr>
          <w:rFonts w:ascii="Arial" w:hAnsi="Arial" w:cs="Arial"/>
          <w:b/>
          <w:bCs/>
        </w:rPr>
      </w:pPr>
      <w:bookmarkStart w:id="62" w:name="_Toc226976857"/>
      <w:r w:rsidRPr="003D231F">
        <w:rPr>
          <w:rFonts w:ascii="Arial" w:hAnsi="Arial" w:cs="Arial"/>
          <w:b/>
          <w:bCs/>
        </w:rPr>
        <w:t>Key Findings</w:t>
      </w:r>
      <w:bookmarkEnd w:id="62"/>
    </w:p>
    <w:p w14:paraId="0D2162BB" w14:textId="77777777" w:rsidR="003D231F" w:rsidRPr="003D231F" w:rsidRDefault="003D231F" w:rsidP="003D231F">
      <w:pPr>
        <w:rPr>
          <w:rFonts w:ascii="Arial" w:hAnsi="Arial" w:cs="Arial"/>
          <w:b/>
          <w:bCs/>
        </w:rPr>
      </w:pPr>
    </w:p>
    <w:p w14:paraId="7B4A7EF9" w14:textId="77777777" w:rsidR="009C3F64" w:rsidRPr="005B6D16" w:rsidRDefault="009C3F6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1. DFAT’s oversight has been strongest on strategic alignment and direction</w:t>
      </w:r>
    </w:p>
    <w:p w14:paraId="73F620FF" w14:textId="561D9678" w:rsidR="009C3F64" w:rsidRPr="005B6D16" w:rsidRDefault="009C3F64" w:rsidP="009C3F6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A major strength of DFAT’s engagement has been its role in keeping AVETP aligned with both Australia’s international development policy and Vietnam’s transition priorities. DFAT viewed the platform </w:t>
      </w:r>
      <w:r w:rsidRPr="005B6D16">
        <w:rPr>
          <w:rFonts w:asciiTheme="minorHAnsi" w:hAnsiTheme="minorHAnsi" w:cstheme="minorHAnsi"/>
          <w:color w:val="000000"/>
          <w:sz w:val="22"/>
          <w:szCs w:val="22"/>
        </w:rPr>
        <w:lastRenderedPageBreak/>
        <w:t>as a bespoke mechanism through which Australian priorities on climate, gender, blended finance, and locally led development could be applied in Vietnam. Vietnamese government stakeholders</w:t>
      </w:r>
      <w:r w:rsidR="00821A62" w:rsidRPr="005B6D16">
        <w:rPr>
          <w:rFonts w:asciiTheme="minorHAnsi" w:hAnsiTheme="minorHAnsi" w:cstheme="minorHAnsi"/>
          <w:color w:val="000000"/>
          <w:sz w:val="22"/>
          <w:szCs w:val="22"/>
        </w:rPr>
        <w:t xml:space="preserve"> also</w:t>
      </w:r>
      <w:r w:rsidRPr="005B6D16">
        <w:rPr>
          <w:rFonts w:asciiTheme="minorHAnsi" w:hAnsiTheme="minorHAnsi" w:cstheme="minorHAnsi"/>
          <w:color w:val="000000"/>
          <w:sz w:val="22"/>
          <w:szCs w:val="22"/>
        </w:rPr>
        <w:t xml:space="preserve"> stressed the relevance of concessional and blended finance to Vietnam’s needs as a middle-income country and welcomed international support for low carbon and private sector investment.</w:t>
      </w:r>
      <w:r w:rsidRPr="005B6D16">
        <w:rPr>
          <w:rStyle w:val="apple-converted-space"/>
          <w:rFonts w:asciiTheme="minorHAnsi" w:hAnsiTheme="minorHAnsi" w:cstheme="minorHAnsi"/>
          <w:color w:val="000000"/>
          <w:sz w:val="22"/>
          <w:szCs w:val="22"/>
        </w:rPr>
        <w:t> </w:t>
      </w:r>
    </w:p>
    <w:p w14:paraId="445CD14B" w14:textId="77777777" w:rsidR="009C3F64" w:rsidRPr="005B6D16" w:rsidRDefault="009C3F6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2. DFAT has been effective in identifying weaknesses and pushing PIDG to respond</w:t>
      </w:r>
    </w:p>
    <w:p w14:paraId="37D6116C" w14:textId="695A6A50" w:rsidR="009C3F64" w:rsidRPr="005B6D16" w:rsidRDefault="009C3F64" w:rsidP="009C3F6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The evidence indicates that DFAT has played an important corrective role. BFU, Post, and other DFAT stakeholders were explicit that AVETP had not initially been set up in a way that matched DFAT’s expectations for bilateral oversight, visibility, reporting, and local interface. DFAT used its oversight role to surface weaknesses in reporting, communication, local engagement, and early underutilisation of funding, and to press PIDG for stronger in country presence and better programme level management. </w:t>
      </w:r>
    </w:p>
    <w:p w14:paraId="2A673AA5" w14:textId="77777777" w:rsidR="009C3F64" w:rsidRPr="005B6D16" w:rsidRDefault="009C3F6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3. The weakest area has been visibility of Australia’s contribution</w:t>
      </w:r>
    </w:p>
    <w:p w14:paraId="5541A0AF" w14:textId="4C3EE73D" w:rsidR="009C3F64" w:rsidRPr="005B6D16" w:rsidRDefault="009C3F64" w:rsidP="009C3F6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One of the clearest findings is that Australia’s role has not been sufficiently visible. </w:t>
      </w:r>
      <w:r w:rsidR="00A9222C" w:rsidRPr="005B6D16">
        <w:rPr>
          <w:rFonts w:asciiTheme="minorHAnsi" w:hAnsiTheme="minorHAnsi" w:cstheme="minorHAnsi" w:hint="eastAsia"/>
          <w:color w:val="000000"/>
          <w:sz w:val="22"/>
          <w:szCs w:val="22"/>
        </w:rPr>
        <w:t>PIDG itself is becoming better known in Vietnam and is increasingly referenced in capital market conferences and commercial circles.</w:t>
      </w:r>
      <w:r w:rsidR="00A9222C" w:rsidRPr="005B6D16">
        <w:rPr>
          <w:rStyle w:val="apple-converted-space"/>
          <w:rFonts w:asciiTheme="minorHAnsi" w:hAnsiTheme="minorHAnsi" w:cstheme="minorHAnsi" w:hint="eastAsia"/>
          <w:color w:val="000000"/>
          <w:sz w:val="22"/>
          <w:szCs w:val="22"/>
        </w:rPr>
        <w:t> </w:t>
      </w:r>
      <w:r w:rsidR="00A9222C" w:rsidRPr="005B6D16">
        <w:rPr>
          <w:rFonts w:asciiTheme="minorHAnsi" w:hAnsiTheme="minorHAnsi" w:cstheme="minorHAnsi" w:hint="eastAsia"/>
          <w:color w:val="000000"/>
          <w:sz w:val="22"/>
          <w:szCs w:val="22"/>
        </w:rPr>
        <w:t xml:space="preserve">However, stakeholders have limited awareness that Australia is a part-owner and funder of PIDG-supported transactions. </w:t>
      </w:r>
      <w:r w:rsidRPr="005B6D16">
        <w:rPr>
          <w:rFonts w:asciiTheme="minorHAnsi" w:hAnsiTheme="minorHAnsi" w:cstheme="minorHAnsi"/>
          <w:color w:val="000000"/>
          <w:sz w:val="22"/>
          <w:szCs w:val="22"/>
        </w:rPr>
        <w:t xml:space="preserve">DFAT </w:t>
      </w:r>
      <w:r w:rsidR="00952829" w:rsidRPr="005B6D16">
        <w:rPr>
          <w:rFonts w:asciiTheme="minorHAnsi" w:hAnsiTheme="minorHAnsi" w:cstheme="minorHAnsi"/>
          <w:color w:val="000000"/>
          <w:sz w:val="22"/>
          <w:szCs w:val="22"/>
        </w:rPr>
        <w:t>and other stakeholders</w:t>
      </w:r>
      <w:r w:rsidRPr="005B6D16">
        <w:rPr>
          <w:rFonts w:asciiTheme="minorHAnsi" w:hAnsiTheme="minorHAnsi" w:cstheme="minorHAnsi"/>
          <w:color w:val="000000"/>
          <w:sz w:val="22"/>
          <w:szCs w:val="22"/>
        </w:rPr>
        <w:t xml:space="preserve"> reported that many </w:t>
      </w:r>
      <w:r w:rsidR="00952829" w:rsidRPr="005B6D16">
        <w:rPr>
          <w:rFonts w:asciiTheme="minorHAnsi" w:hAnsiTheme="minorHAnsi" w:cstheme="minorHAnsi"/>
          <w:color w:val="000000"/>
          <w:sz w:val="22"/>
          <w:szCs w:val="22"/>
        </w:rPr>
        <w:t xml:space="preserve">actors </w:t>
      </w:r>
      <w:r w:rsidRPr="005B6D16">
        <w:rPr>
          <w:rFonts w:asciiTheme="minorHAnsi" w:hAnsiTheme="minorHAnsi" w:cstheme="minorHAnsi"/>
          <w:color w:val="000000"/>
          <w:sz w:val="22"/>
          <w:szCs w:val="22"/>
        </w:rPr>
        <w:t xml:space="preserve">do not clearly understand that transactions are being supported through Australian funding, and that public diplomacy has too often depended on DFAT taking extra initiative rather than being built systematically into </w:t>
      </w:r>
      <w:r w:rsidR="00293484" w:rsidRPr="005B6D16">
        <w:rPr>
          <w:rFonts w:asciiTheme="minorHAnsi" w:hAnsiTheme="minorHAnsi" w:cstheme="minorHAnsi"/>
          <w:color w:val="000000"/>
          <w:sz w:val="22"/>
          <w:szCs w:val="22"/>
        </w:rPr>
        <w:t xml:space="preserve">AVETP’s </w:t>
      </w:r>
      <w:r w:rsidRPr="005B6D16">
        <w:rPr>
          <w:rFonts w:asciiTheme="minorHAnsi" w:hAnsiTheme="minorHAnsi" w:cstheme="minorHAnsi"/>
          <w:color w:val="000000"/>
          <w:sz w:val="22"/>
          <w:szCs w:val="22"/>
        </w:rPr>
        <w:t xml:space="preserve">operating </w:t>
      </w:r>
      <w:r w:rsidR="00293484" w:rsidRPr="005B6D16">
        <w:rPr>
          <w:rFonts w:asciiTheme="minorHAnsi" w:hAnsiTheme="minorHAnsi" w:cstheme="minorHAnsi"/>
          <w:color w:val="000000"/>
          <w:sz w:val="22"/>
          <w:szCs w:val="22"/>
        </w:rPr>
        <w:t>arrangements</w:t>
      </w:r>
      <w:r w:rsidRPr="005B6D16">
        <w:rPr>
          <w:rFonts w:asciiTheme="minorHAnsi" w:hAnsiTheme="minorHAnsi" w:cstheme="minorHAnsi"/>
          <w:color w:val="000000"/>
          <w:sz w:val="22"/>
          <w:szCs w:val="22"/>
        </w:rPr>
        <w:t xml:space="preserve">. </w:t>
      </w:r>
      <w:r w:rsidR="00293484" w:rsidRPr="005B6D16">
        <w:rPr>
          <w:rFonts w:asciiTheme="minorHAnsi" w:hAnsiTheme="minorHAnsi" w:cstheme="minorHAnsi" w:hint="eastAsia"/>
          <w:color w:val="000000"/>
          <w:sz w:val="22"/>
          <w:szCs w:val="22"/>
        </w:rPr>
        <w:t>This challenge should be understood in the context of PIDG</w:t>
      </w:r>
      <w:r w:rsidR="00293484" w:rsidRPr="005B6D16">
        <w:rPr>
          <w:rFonts w:asciiTheme="minorHAnsi" w:hAnsiTheme="minorHAnsi" w:cstheme="minorHAnsi" w:hint="eastAsia"/>
          <w:color w:val="000000"/>
          <w:sz w:val="22"/>
          <w:szCs w:val="22"/>
        </w:rPr>
        <w:t>’</w:t>
      </w:r>
      <w:r w:rsidR="00293484" w:rsidRPr="005B6D16">
        <w:rPr>
          <w:rFonts w:asciiTheme="minorHAnsi" w:hAnsiTheme="minorHAnsi" w:cstheme="minorHAnsi" w:hint="eastAsia"/>
          <w:color w:val="000000"/>
          <w:sz w:val="22"/>
          <w:szCs w:val="22"/>
        </w:rPr>
        <w:t xml:space="preserve">s multi-owner structure. Australia is one of six PIDG owners, different owners promote different PIDG-supported transactions, and PIDG cannot preference AVETP over other owner programmes or funding arrangements. The issue is therefore not </w:t>
      </w:r>
      <w:r w:rsidR="00293484" w:rsidRPr="005B6D16">
        <w:rPr>
          <w:rFonts w:asciiTheme="minorHAnsi" w:hAnsiTheme="minorHAnsi" w:cstheme="minorHAnsi"/>
          <w:color w:val="000000"/>
          <w:sz w:val="22"/>
          <w:szCs w:val="22"/>
        </w:rPr>
        <w:t xml:space="preserve">only </w:t>
      </w:r>
      <w:r w:rsidR="00293484" w:rsidRPr="005B6D16">
        <w:rPr>
          <w:rFonts w:asciiTheme="minorHAnsi" w:hAnsiTheme="minorHAnsi" w:cstheme="minorHAnsi" w:hint="eastAsia"/>
          <w:color w:val="000000"/>
          <w:sz w:val="22"/>
          <w:szCs w:val="22"/>
        </w:rPr>
        <w:t>a lack of visibility effort, but the absence of clearer and agreed visibility protocols that allow Australia</w:t>
      </w:r>
      <w:r w:rsidR="00293484" w:rsidRPr="005B6D16">
        <w:rPr>
          <w:rFonts w:asciiTheme="minorHAnsi" w:hAnsiTheme="minorHAnsi" w:cstheme="minorHAnsi" w:hint="eastAsia"/>
          <w:color w:val="000000"/>
          <w:sz w:val="22"/>
          <w:szCs w:val="22"/>
        </w:rPr>
        <w:t>’</w:t>
      </w:r>
      <w:r w:rsidR="00293484" w:rsidRPr="005B6D16">
        <w:rPr>
          <w:rFonts w:asciiTheme="minorHAnsi" w:hAnsiTheme="minorHAnsi" w:cstheme="minorHAnsi" w:hint="eastAsia"/>
          <w:color w:val="000000"/>
          <w:sz w:val="22"/>
          <w:szCs w:val="22"/>
        </w:rPr>
        <w:t>s contribution to be recognised where appropriate, while remaining consistent with PIDG</w:t>
      </w:r>
      <w:r w:rsidR="00293484" w:rsidRPr="005B6D16">
        <w:rPr>
          <w:rFonts w:asciiTheme="minorHAnsi" w:hAnsiTheme="minorHAnsi" w:cstheme="minorHAnsi" w:hint="eastAsia"/>
          <w:color w:val="000000"/>
          <w:sz w:val="22"/>
          <w:szCs w:val="22"/>
        </w:rPr>
        <w:t>’</w:t>
      </w:r>
      <w:r w:rsidR="00293484" w:rsidRPr="005B6D16">
        <w:rPr>
          <w:rFonts w:asciiTheme="minorHAnsi" w:hAnsiTheme="minorHAnsi" w:cstheme="minorHAnsi" w:hint="eastAsia"/>
          <w:color w:val="000000"/>
          <w:sz w:val="22"/>
          <w:szCs w:val="22"/>
        </w:rPr>
        <w:t>s broader platform model.</w:t>
      </w:r>
    </w:p>
    <w:p w14:paraId="51BE441F" w14:textId="77777777" w:rsidR="009C3F64" w:rsidRPr="005B6D16" w:rsidRDefault="009C3F6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4. Weak country level interface has reduced the effectiveness of oversight arrangements</w:t>
      </w:r>
    </w:p>
    <w:p w14:paraId="0B483E58" w14:textId="7B6DB139" w:rsidR="009C3F64" w:rsidRPr="005B6D16" w:rsidRDefault="009C3F64" w:rsidP="009C3F6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A major reason for these weaknesses is the absence of a sufficiently strong PIDG presence in Vietnam. Stakeholders from DFAT, other owners, private sector intermediaries, and Vietnamese counterparts repeatedly emphasised the need for stronger local resourcing. The lack of a </w:t>
      </w:r>
      <w:r w:rsidR="005179D9" w:rsidRPr="005B6D16">
        <w:rPr>
          <w:rFonts w:asciiTheme="minorHAnsi" w:hAnsiTheme="minorHAnsi" w:cstheme="minorHAnsi"/>
          <w:color w:val="000000"/>
          <w:sz w:val="22"/>
          <w:szCs w:val="22"/>
        </w:rPr>
        <w:t>well-developed</w:t>
      </w:r>
      <w:r w:rsidRPr="005B6D16">
        <w:rPr>
          <w:rFonts w:asciiTheme="minorHAnsi" w:hAnsiTheme="minorHAnsi" w:cstheme="minorHAnsi"/>
          <w:color w:val="000000"/>
          <w:sz w:val="22"/>
          <w:szCs w:val="22"/>
        </w:rPr>
        <w:t xml:space="preserve"> in country interface has constrained relationship management, upstream </w:t>
      </w:r>
      <w:r w:rsidR="00C21890" w:rsidRPr="005B6D16">
        <w:rPr>
          <w:rFonts w:asciiTheme="minorHAnsi" w:hAnsiTheme="minorHAnsi" w:cstheme="minorHAnsi"/>
          <w:color w:val="000000"/>
          <w:sz w:val="22"/>
          <w:szCs w:val="22"/>
        </w:rPr>
        <w:t xml:space="preserve">transaction </w:t>
      </w:r>
      <w:r w:rsidRPr="005B6D16">
        <w:rPr>
          <w:rFonts w:asciiTheme="minorHAnsi" w:hAnsiTheme="minorHAnsi" w:cstheme="minorHAnsi"/>
          <w:color w:val="000000"/>
          <w:sz w:val="22"/>
          <w:szCs w:val="22"/>
        </w:rPr>
        <w:t xml:space="preserve">origination, follow up with government and market actors, and practical support for event preparation, communications, and responsiveness. </w:t>
      </w:r>
    </w:p>
    <w:p w14:paraId="6D8C6AB7" w14:textId="77777777" w:rsidR="009C3F64" w:rsidRPr="005B6D16" w:rsidRDefault="009C3F6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5. Oversight has helped maintain policy relevance, but has been less effective in leveraging policy engagement</w:t>
      </w:r>
    </w:p>
    <w:p w14:paraId="3EE6E9E3" w14:textId="66CE4480" w:rsidR="009C3F64" w:rsidRPr="005B6D16" w:rsidRDefault="009C3F64" w:rsidP="5F242609">
      <w:pPr>
        <w:pStyle w:val="NormalWeb"/>
        <w:rPr>
          <w:rFonts w:asciiTheme="minorHAnsi" w:hAnsiTheme="minorHAnsi" w:cstheme="minorBidi"/>
          <w:color w:val="000000"/>
          <w:sz w:val="22"/>
          <w:szCs w:val="22"/>
        </w:rPr>
      </w:pPr>
      <w:r w:rsidRPr="5F242609">
        <w:rPr>
          <w:rFonts w:asciiTheme="minorHAnsi" w:hAnsiTheme="minorHAnsi" w:cstheme="minorBidi"/>
          <w:color w:val="000000" w:themeColor="text2"/>
          <w:sz w:val="22"/>
          <w:szCs w:val="22"/>
        </w:rPr>
        <w:t>Stakeholders across DFAT, owners, FiinRatings, and Vietnamese institutions regarded the CEF as highly relevant to Vietnam’s capital market and net zero financing agenda. DFAT has helped keep the issue on the agenda</w:t>
      </w:r>
      <w:r w:rsidR="009549D2" w:rsidRPr="5F242609">
        <w:rPr>
          <w:rFonts w:asciiTheme="minorHAnsi" w:hAnsiTheme="minorHAnsi" w:cstheme="minorBidi"/>
          <w:color w:val="000000" w:themeColor="text2"/>
          <w:sz w:val="22"/>
          <w:szCs w:val="22"/>
        </w:rPr>
        <w:t xml:space="preserve"> </w:t>
      </w:r>
      <w:r w:rsidR="00F827C1" w:rsidRPr="5F242609">
        <w:rPr>
          <w:rFonts w:asciiTheme="minorHAnsi" w:hAnsiTheme="minorHAnsi" w:cstheme="minorBidi"/>
          <w:color w:val="000000" w:themeColor="text2"/>
          <w:sz w:val="22"/>
          <w:szCs w:val="22"/>
        </w:rPr>
        <w:t>by</w:t>
      </w:r>
      <w:r w:rsidR="007C52CF" w:rsidRPr="5F242609">
        <w:rPr>
          <w:rFonts w:asciiTheme="minorHAnsi" w:hAnsiTheme="minorHAnsi" w:cstheme="minorBidi"/>
          <w:color w:val="000000" w:themeColor="text2"/>
          <w:sz w:val="22"/>
          <w:szCs w:val="22"/>
        </w:rPr>
        <w:t xml:space="preserve"> leveraging other DFAT programs with SSC</w:t>
      </w:r>
      <w:r w:rsidR="00F827C1" w:rsidRPr="5F242609">
        <w:rPr>
          <w:rFonts w:asciiTheme="minorHAnsi" w:hAnsiTheme="minorHAnsi" w:cstheme="minorBidi"/>
          <w:color w:val="000000" w:themeColor="text2"/>
          <w:sz w:val="22"/>
          <w:szCs w:val="22"/>
        </w:rPr>
        <w:t>, including</w:t>
      </w:r>
      <w:r w:rsidR="007C52CF" w:rsidRPr="5F242609">
        <w:rPr>
          <w:rFonts w:asciiTheme="minorHAnsi" w:hAnsiTheme="minorHAnsi" w:cstheme="minorBidi"/>
          <w:color w:val="000000" w:themeColor="text2"/>
          <w:sz w:val="22"/>
          <w:szCs w:val="22"/>
        </w:rPr>
        <w:t xml:space="preserve"> J</w:t>
      </w:r>
      <w:r w:rsidR="00242949" w:rsidRPr="5F242609">
        <w:rPr>
          <w:rFonts w:asciiTheme="minorHAnsi" w:hAnsiTheme="minorHAnsi" w:cstheme="minorBidi"/>
          <w:color w:val="000000" w:themeColor="text2"/>
          <w:sz w:val="22"/>
          <w:szCs w:val="22"/>
        </w:rPr>
        <w:t>oint Capital Market Program</w:t>
      </w:r>
      <w:r w:rsidR="00B77B49" w:rsidRPr="5F242609">
        <w:rPr>
          <w:rFonts w:asciiTheme="minorHAnsi" w:hAnsiTheme="minorHAnsi" w:cstheme="minorBidi"/>
          <w:color w:val="000000" w:themeColor="text2"/>
          <w:sz w:val="22"/>
          <w:szCs w:val="22"/>
        </w:rPr>
        <w:t xml:space="preserve"> (J-</w:t>
      </w:r>
      <w:r w:rsidR="007C52CF" w:rsidRPr="5F242609">
        <w:rPr>
          <w:rFonts w:asciiTheme="minorHAnsi" w:hAnsiTheme="minorHAnsi" w:cstheme="minorBidi"/>
          <w:color w:val="000000" w:themeColor="text2"/>
          <w:sz w:val="22"/>
          <w:szCs w:val="22"/>
        </w:rPr>
        <w:t>CAP</w:t>
      </w:r>
      <w:r w:rsidR="00B77B49" w:rsidRPr="5F242609">
        <w:rPr>
          <w:rFonts w:asciiTheme="minorHAnsi" w:hAnsiTheme="minorHAnsi" w:cstheme="minorBidi"/>
          <w:color w:val="000000" w:themeColor="text2"/>
          <w:sz w:val="22"/>
          <w:szCs w:val="22"/>
        </w:rPr>
        <w:t>)</w:t>
      </w:r>
      <w:r w:rsidR="007C52CF" w:rsidRPr="5F242609">
        <w:rPr>
          <w:rFonts w:asciiTheme="minorHAnsi" w:hAnsiTheme="minorHAnsi" w:cstheme="minorBidi"/>
          <w:color w:val="000000" w:themeColor="text2"/>
          <w:sz w:val="22"/>
          <w:szCs w:val="22"/>
        </w:rPr>
        <w:t xml:space="preserve"> </w:t>
      </w:r>
      <w:r w:rsidR="00F827C1" w:rsidRPr="5F242609">
        <w:rPr>
          <w:rFonts w:asciiTheme="minorHAnsi" w:hAnsiTheme="minorHAnsi" w:cstheme="minorBidi"/>
          <w:color w:val="000000" w:themeColor="text2"/>
          <w:sz w:val="22"/>
          <w:szCs w:val="22"/>
        </w:rPr>
        <w:t>and</w:t>
      </w:r>
      <w:r w:rsidR="007C52CF" w:rsidRPr="5F242609">
        <w:rPr>
          <w:rFonts w:asciiTheme="minorHAnsi" w:hAnsiTheme="minorHAnsi" w:cstheme="minorBidi"/>
          <w:color w:val="000000" w:themeColor="text2"/>
          <w:sz w:val="22"/>
          <w:szCs w:val="22"/>
        </w:rPr>
        <w:t xml:space="preserve"> G</w:t>
      </w:r>
      <w:r w:rsidR="00337C0C" w:rsidRPr="5F242609">
        <w:rPr>
          <w:rFonts w:asciiTheme="minorHAnsi" w:hAnsiTheme="minorHAnsi" w:cstheme="minorBidi"/>
          <w:color w:val="000000" w:themeColor="text2"/>
          <w:sz w:val="22"/>
          <w:szCs w:val="22"/>
        </w:rPr>
        <w:t>overnment</w:t>
      </w:r>
      <w:r w:rsidR="00D65F08" w:rsidRPr="5F242609">
        <w:rPr>
          <w:rFonts w:asciiTheme="minorHAnsi" w:hAnsiTheme="minorHAnsi" w:cstheme="minorBidi"/>
          <w:color w:val="000000" w:themeColor="text2"/>
          <w:sz w:val="22"/>
          <w:szCs w:val="22"/>
        </w:rPr>
        <w:t>-</w:t>
      </w:r>
      <w:r w:rsidR="00337C0C" w:rsidRPr="5F242609">
        <w:rPr>
          <w:rFonts w:asciiTheme="minorHAnsi" w:hAnsiTheme="minorHAnsi" w:cstheme="minorBidi"/>
          <w:color w:val="000000" w:themeColor="text2"/>
          <w:sz w:val="22"/>
          <w:szCs w:val="22"/>
        </w:rPr>
        <w:t>to</w:t>
      </w:r>
      <w:r w:rsidR="00D65F08" w:rsidRPr="5F242609">
        <w:rPr>
          <w:rFonts w:asciiTheme="minorHAnsi" w:hAnsiTheme="minorHAnsi" w:cstheme="minorBidi"/>
          <w:color w:val="000000" w:themeColor="text2"/>
          <w:sz w:val="22"/>
          <w:szCs w:val="22"/>
        </w:rPr>
        <w:t>-Government</w:t>
      </w:r>
      <w:r w:rsidR="00337C0C" w:rsidRPr="5F242609">
        <w:rPr>
          <w:rFonts w:asciiTheme="minorHAnsi" w:hAnsiTheme="minorHAnsi" w:cstheme="minorBidi"/>
          <w:color w:val="000000" w:themeColor="text2"/>
          <w:sz w:val="22"/>
          <w:szCs w:val="22"/>
        </w:rPr>
        <w:t xml:space="preserve"> </w:t>
      </w:r>
      <w:r w:rsidR="00D65F08" w:rsidRPr="5F242609">
        <w:rPr>
          <w:rFonts w:asciiTheme="minorHAnsi" w:hAnsiTheme="minorHAnsi" w:cstheme="minorBidi"/>
          <w:color w:val="000000" w:themeColor="text2"/>
          <w:sz w:val="22"/>
          <w:szCs w:val="22"/>
        </w:rPr>
        <w:t>(</w:t>
      </w:r>
      <w:r w:rsidR="00E81832" w:rsidRPr="5F242609">
        <w:rPr>
          <w:rFonts w:asciiTheme="minorHAnsi" w:hAnsiTheme="minorHAnsi" w:cstheme="minorBidi"/>
          <w:color w:val="000000" w:themeColor="text2"/>
          <w:sz w:val="22"/>
          <w:szCs w:val="22"/>
        </w:rPr>
        <w:t>G</w:t>
      </w:r>
      <w:r w:rsidR="007C52CF" w:rsidRPr="5F242609">
        <w:rPr>
          <w:rFonts w:asciiTheme="minorHAnsi" w:hAnsiTheme="minorHAnsi" w:cstheme="minorBidi"/>
          <w:color w:val="000000" w:themeColor="text2"/>
          <w:sz w:val="22"/>
          <w:szCs w:val="22"/>
        </w:rPr>
        <w:t>2G</w:t>
      </w:r>
      <w:r w:rsidR="00E81832" w:rsidRPr="5F242609">
        <w:rPr>
          <w:rFonts w:asciiTheme="minorHAnsi" w:hAnsiTheme="minorHAnsi" w:cstheme="minorBidi"/>
          <w:color w:val="000000" w:themeColor="text2"/>
          <w:sz w:val="22"/>
          <w:szCs w:val="22"/>
        </w:rPr>
        <w:t>)</w:t>
      </w:r>
      <w:r w:rsidR="007C52CF" w:rsidRPr="5F242609">
        <w:rPr>
          <w:rFonts w:asciiTheme="minorHAnsi" w:hAnsiTheme="minorHAnsi" w:cstheme="minorBidi"/>
          <w:color w:val="000000" w:themeColor="text2"/>
          <w:sz w:val="22"/>
          <w:szCs w:val="22"/>
        </w:rPr>
        <w:t xml:space="preserve"> </w:t>
      </w:r>
      <w:r w:rsidR="00F827C1" w:rsidRPr="5F242609">
        <w:rPr>
          <w:rFonts w:asciiTheme="minorHAnsi" w:hAnsiTheme="minorHAnsi" w:cstheme="minorBidi"/>
          <w:color w:val="000000" w:themeColor="text2"/>
          <w:sz w:val="22"/>
          <w:szCs w:val="22"/>
        </w:rPr>
        <w:t>eng</w:t>
      </w:r>
      <w:r w:rsidR="00226499" w:rsidRPr="5F242609">
        <w:rPr>
          <w:rFonts w:asciiTheme="minorHAnsi" w:hAnsiTheme="minorHAnsi" w:cstheme="minorBidi"/>
          <w:color w:val="000000" w:themeColor="text2"/>
          <w:sz w:val="22"/>
          <w:szCs w:val="22"/>
        </w:rPr>
        <w:t>ag</w:t>
      </w:r>
      <w:r w:rsidR="00F827C1" w:rsidRPr="5F242609">
        <w:rPr>
          <w:rFonts w:asciiTheme="minorHAnsi" w:hAnsiTheme="minorHAnsi" w:cstheme="minorBidi"/>
          <w:color w:val="000000" w:themeColor="text2"/>
          <w:sz w:val="22"/>
          <w:szCs w:val="22"/>
        </w:rPr>
        <w:t>ement</w:t>
      </w:r>
      <w:r w:rsidRPr="5F242609">
        <w:rPr>
          <w:rFonts w:asciiTheme="minorHAnsi" w:hAnsiTheme="minorHAnsi" w:cstheme="minorBidi"/>
          <w:color w:val="000000" w:themeColor="text2"/>
          <w:sz w:val="22"/>
          <w:szCs w:val="22"/>
        </w:rPr>
        <w:t xml:space="preserve">, </w:t>
      </w:r>
      <w:r w:rsidR="00510665" w:rsidRPr="5F242609">
        <w:rPr>
          <w:rFonts w:asciiTheme="minorHAnsi" w:hAnsiTheme="minorHAnsi" w:cstheme="minorBidi"/>
          <w:color w:val="000000" w:themeColor="text2"/>
          <w:sz w:val="22"/>
          <w:szCs w:val="22"/>
        </w:rPr>
        <w:t>and stakeholders noted that regulatory progress has advanced.</w:t>
      </w:r>
      <w:r w:rsidR="00510665" w:rsidRPr="5F242609">
        <w:rPr>
          <w:rStyle w:val="apple-converted-space"/>
          <w:rFonts w:ascii="-webkit-standard" w:hAnsi="-webkit-standard"/>
          <w:color w:val="000000" w:themeColor="text2"/>
          <w:sz w:val="22"/>
          <w:szCs w:val="22"/>
        </w:rPr>
        <w:t> </w:t>
      </w:r>
      <w:r w:rsidR="00510665" w:rsidRPr="5F242609">
        <w:rPr>
          <w:rFonts w:asciiTheme="minorHAnsi" w:hAnsiTheme="minorHAnsi" w:cstheme="minorBidi"/>
          <w:color w:val="000000" w:themeColor="text2"/>
          <w:sz w:val="22"/>
          <w:szCs w:val="22"/>
        </w:rPr>
        <w:t>Some</w:t>
      </w:r>
      <w:r w:rsidRPr="5F242609">
        <w:rPr>
          <w:rFonts w:asciiTheme="minorHAnsi" w:hAnsiTheme="minorHAnsi" w:cstheme="minorBidi"/>
          <w:color w:val="000000" w:themeColor="text2"/>
          <w:sz w:val="22"/>
          <w:szCs w:val="22"/>
        </w:rPr>
        <w:t xml:space="preserve"> stakeholders felt that </w:t>
      </w:r>
      <w:r w:rsidR="00510665" w:rsidRPr="5F242609">
        <w:rPr>
          <w:rFonts w:asciiTheme="minorHAnsi" w:hAnsiTheme="minorHAnsi" w:cstheme="minorBidi"/>
          <w:color w:val="000000" w:themeColor="text2"/>
          <w:sz w:val="22"/>
          <w:szCs w:val="22"/>
        </w:rPr>
        <w:t xml:space="preserve">if </w:t>
      </w:r>
      <w:r w:rsidRPr="5F242609">
        <w:rPr>
          <w:rFonts w:asciiTheme="minorHAnsi" w:hAnsiTheme="minorHAnsi" w:cstheme="minorBidi"/>
          <w:color w:val="000000" w:themeColor="text2"/>
          <w:sz w:val="22"/>
          <w:szCs w:val="22"/>
        </w:rPr>
        <w:t>PIDG had been active on the ground</w:t>
      </w:r>
      <w:r w:rsidR="00510665" w:rsidRPr="5F242609">
        <w:rPr>
          <w:rFonts w:asciiTheme="minorHAnsi" w:hAnsiTheme="minorHAnsi" w:cstheme="minorBidi"/>
          <w:color w:val="000000" w:themeColor="text2"/>
          <w:sz w:val="22"/>
          <w:szCs w:val="22"/>
        </w:rPr>
        <w:t>, the initial process might have progressed more quickly</w:t>
      </w:r>
      <w:r w:rsidRPr="5F242609">
        <w:rPr>
          <w:rFonts w:asciiTheme="minorHAnsi" w:hAnsiTheme="minorHAnsi" w:cstheme="minorBidi"/>
          <w:color w:val="000000" w:themeColor="text2"/>
          <w:sz w:val="22"/>
          <w:szCs w:val="22"/>
        </w:rPr>
        <w:t xml:space="preserve">. </w:t>
      </w:r>
    </w:p>
    <w:p w14:paraId="3BA78999" w14:textId="77777777" w:rsidR="009C3F64" w:rsidRPr="005B6D16" w:rsidRDefault="009C3F6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6. The design of the oversight model has contributed to the observed limitations</w:t>
      </w:r>
    </w:p>
    <w:p w14:paraId="25568E25" w14:textId="198D25DA" w:rsidR="009C3F64" w:rsidRPr="005B6D16" w:rsidRDefault="009C3F64" w:rsidP="009C3F6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The evidence suggests that the limitations are not only about execution. They are also partly structural. PIDG is a lean, </w:t>
      </w:r>
      <w:r w:rsidR="005179D9" w:rsidRPr="005B6D16">
        <w:rPr>
          <w:rFonts w:asciiTheme="minorHAnsi" w:hAnsiTheme="minorHAnsi" w:cstheme="minorHAnsi"/>
          <w:color w:val="000000"/>
          <w:sz w:val="22"/>
          <w:szCs w:val="22"/>
        </w:rPr>
        <w:t>transaction-oriented</w:t>
      </w:r>
      <w:r w:rsidRPr="005B6D16">
        <w:rPr>
          <w:rFonts w:asciiTheme="minorHAnsi" w:hAnsiTheme="minorHAnsi" w:cstheme="minorHAnsi"/>
          <w:color w:val="000000"/>
          <w:sz w:val="22"/>
          <w:szCs w:val="22"/>
        </w:rPr>
        <w:t xml:space="preserve"> platform operating on a lower cost base than a typical bilateral managing contractor. In practice, DFAT has expected PIDG not only to originate and manage deals, but also to perform country</w:t>
      </w:r>
      <w:r w:rsidR="00D91A5B" w:rsidRPr="005B6D16">
        <w:rPr>
          <w:rFonts w:asciiTheme="minorHAnsi" w:hAnsiTheme="minorHAnsi" w:cstheme="minorHAnsi"/>
          <w:color w:val="000000"/>
          <w:sz w:val="22"/>
          <w:szCs w:val="22"/>
        </w:rPr>
        <w:t>-</w:t>
      </w:r>
      <w:r w:rsidRPr="005B6D16">
        <w:rPr>
          <w:rFonts w:asciiTheme="minorHAnsi" w:hAnsiTheme="minorHAnsi" w:cstheme="minorHAnsi"/>
          <w:color w:val="000000"/>
          <w:sz w:val="22"/>
          <w:szCs w:val="22"/>
        </w:rPr>
        <w:t>facing coordination, communications, reporting, and public diplomacy functions that sit outside the comparative strengths of transaction teams. This helps explain why DFAT’s oversight has had to work harder than intended and why some burdens have shifted back onto Post.</w:t>
      </w:r>
      <w:r w:rsidRPr="005B6D16">
        <w:rPr>
          <w:rStyle w:val="apple-converted-space"/>
          <w:rFonts w:asciiTheme="minorHAnsi" w:hAnsiTheme="minorHAnsi" w:cstheme="minorHAnsi"/>
          <w:color w:val="000000"/>
          <w:sz w:val="22"/>
          <w:szCs w:val="22"/>
        </w:rPr>
        <w:t> </w:t>
      </w:r>
    </w:p>
    <w:p w14:paraId="0497F9F0" w14:textId="77777777" w:rsidR="009C3F64" w:rsidRPr="005B6D16" w:rsidRDefault="009C3F6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7. Reporting, coordination, and follow up burdens have fallen too heavily on DFAT Post</w:t>
      </w:r>
    </w:p>
    <w:p w14:paraId="40E695B8" w14:textId="56F1E83F" w:rsidR="00C627AC" w:rsidRPr="005B6D16" w:rsidRDefault="00C627AC" w:rsidP="00400371">
      <w:pPr>
        <w:rPr>
          <w:rFonts w:asciiTheme="minorHAnsi" w:hAnsiTheme="minorHAnsi" w:cstheme="minorHAnsi"/>
          <w:sz w:val="22"/>
          <w:szCs w:val="22"/>
        </w:rPr>
      </w:pPr>
      <w:proofErr w:type="gramStart"/>
      <w:r w:rsidRPr="005B6D16">
        <w:rPr>
          <w:rFonts w:asciiTheme="minorHAnsi" w:hAnsiTheme="minorHAnsi" w:cstheme="minorHAnsi"/>
          <w:color w:val="000000"/>
          <w:sz w:val="22"/>
          <w:szCs w:val="22"/>
        </w:rPr>
        <w:lastRenderedPageBreak/>
        <w:t>As a consequence of</w:t>
      </w:r>
      <w:proofErr w:type="gramEnd"/>
      <w:r w:rsidRPr="005B6D16">
        <w:rPr>
          <w:rFonts w:asciiTheme="minorHAnsi" w:hAnsiTheme="minorHAnsi" w:cstheme="minorHAnsi"/>
          <w:color w:val="000000"/>
          <w:sz w:val="22"/>
          <w:szCs w:val="22"/>
        </w:rPr>
        <w:t xml:space="preserve"> the weak local interface, aspects of reporting, coordination, and visibility have been pushed back onto DFAT Post. This has contributed to inefficiency</w:t>
      </w:r>
      <w:r w:rsidR="00821A62" w:rsidRPr="005B6D16">
        <w:rPr>
          <w:rFonts w:asciiTheme="minorHAnsi" w:hAnsiTheme="minorHAnsi" w:cstheme="minorHAnsi"/>
          <w:color w:val="000000"/>
          <w:sz w:val="22"/>
          <w:szCs w:val="22"/>
        </w:rPr>
        <w:t xml:space="preserve"> and frustrations.</w:t>
      </w:r>
      <w:r w:rsidRPr="005B6D16">
        <w:rPr>
          <w:rFonts w:asciiTheme="minorHAnsi" w:hAnsiTheme="minorHAnsi" w:cstheme="minorHAnsi"/>
          <w:color w:val="000000"/>
          <w:sz w:val="22"/>
          <w:szCs w:val="22"/>
        </w:rPr>
        <w:t xml:space="preserve"> </w:t>
      </w:r>
      <w:r w:rsidR="00821A62" w:rsidRPr="005B6D16">
        <w:rPr>
          <w:rFonts w:asciiTheme="minorHAnsi" w:hAnsiTheme="minorHAnsi" w:cstheme="minorHAnsi"/>
          <w:color w:val="000000"/>
          <w:sz w:val="22"/>
          <w:szCs w:val="22"/>
        </w:rPr>
        <w:t>The</w:t>
      </w:r>
      <w:r w:rsidRPr="005B6D16">
        <w:rPr>
          <w:rFonts w:asciiTheme="minorHAnsi" w:hAnsiTheme="minorHAnsi" w:cstheme="minorHAnsi"/>
          <w:color w:val="000000"/>
          <w:sz w:val="22"/>
          <w:szCs w:val="22"/>
        </w:rPr>
        <w:t xml:space="preserve"> evidence suggests that the programme was costed </w:t>
      </w:r>
      <w:proofErr w:type="gramStart"/>
      <w:r w:rsidRPr="005B6D16">
        <w:rPr>
          <w:rFonts w:asciiTheme="minorHAnsi" w:hAnsiTheme="minorHAnsi" w:cstheme="minorHAnsi"/>
          <w:color w:val="000000"/>
          <w:sz w:val="22"/>
          <w:szCs w:val="22"/>
        </w:rPr>
        <w:t>on the basis of</w:t>
      </w:r>
      <w:proofErr w:type="gramEnd"/>
      <w:r w:rsidRPr="005B6D16">
        <w:rPr>
          <w:rFonts w:asciiTheme="minorHAnsi" w:hAnsiTheme="minorHAnsi" w:cstheme="minorHAnsi"/>
          <w:color w:val="000000"/>
          <w:sz w:val="22"/>
          <w:szCs w:val="22"/>
        </w:rPr>
        <w:t xml:space="preserve"> two in</w:t>
      </w:r>
      <w:r w:rsidR="00821A62" w:rsidRPr="005B6D16">
        <w:rPr>
          <w:rFonts w:asciiTheme="minorHAnsi" w:hAnsiTheme="minorHAnsi" w:cstheme="minorHAnsi"/>
          <w:color w:val="000000"/>
          <w:sz w:val="22"/>
          <w:szCs w:val="22"/>
        </w:rPr>
        <w:t>-</w:t>
      </w:r>
      <w:r w:rsidRPr="005B6D16">
        <w:rPr>
          <w:rFonts w:asciiTheme="minorHAnsi" w:hAnsiTheme="minorHAnsi" w:cstheme="minorHAnsi"/>
          <w:color w:val="000000"/>
          <w:sz w:val="22"/>
          <w:szCs w:val="22"/>
        </w:rPr>
        <w:t>country positions,</w:t>
      </w:r>
      <w:r w:rsidR="00821A62" w:rsidRPr="005B6D16">
        <w:rPr>
          <w:rFonts w:asciiTheme="minorHAnsi" w:hAnsiTheme="minorHAnsi" w:cstheme="minorHAnsi"/>
          <w:color w:val="000000"/>
          <w:sz w:val="22"/>
          <w:szCs w:val="22"/>
        </w:rPr>
        <w:t xml:space="preserve"> but</w:t>
      </w:r>
      <w:r w:rsidRPr="005B6D16">
        <w:rPr>
          <w:rFonts w:asciiTheme="minorHAnsi" w:hAnsiTheme="minorHAnsi" w:cstheme="minorHAnsi"/>
          <w:color w:val="000000"/>
          <w:sz w:val="22"/>
          <w:szCs w:val="22"/>
        </w:rPr>
        <w:t xml:space="preserve"> for much of the implementation period, these roles were not based in country and therefore did not provide the level of country</w:t>
      </w:r>
      <w:r w:rsidR="00D91A5B" w:rsidRPr="005B6D16">
        <w:rPr>
          <w:rFonts w:asciiTheme="minorHAnsi" w:hAnsiTheme="minorHAnsi" w:cstheme="minorHAnsi"/>
          <w:color w:val="000000"/>
          <w:sz w:val="22"/>
          <w:szCs w:val="22"/>
        </w:rPr>
        <w:t>-</w:t>
      </w:r>
      <w:r w:rsidRPr="005B6D16">
        <w:rPr>
          <w:rFonts w:asciiTheme="minorHAnsi" w:hAnsiTheme="minorHAnsi" w:cstheme="minorHAnsi"/>
          <w:color w:val="000000"/>
          <w:sz w:val="22"/>
          <w:szCs w:val="22"/>
        </w:rPr>
        <w:t>facing support that DFAT would normally expect from a bilateral mechanism.</w:t>
      </w:r>
    </w:p>
    <w:p w14:paraId="21872497" w14:textId="02B71234" w:rsidR="00027CA4" w:rsidRDefault="00027CA4">
      <w:pPr>
        <w:spacing w:before="120" w:after="120"/>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305234CE" w14:textId="47D28066" w:rsidR="00984F53" w:rsidRPr="00984F53" w:rsidRDefault="00984F53" w:rsidP="003D231F">
      <w:pPr>
        <w:pStyle w:val="Heading2"/>
      </w:pPr>
      <w:bookmarkStart w:id="63" w:name="_Toc233026603"/>
      <w:r>
        <w:lastRenderedPageBreak/>
        <w:t>Lessons from AVETP implementation to date for delivery improvements and risk management</w:t>
      </w:r>
      <w:bookmarkEnd w:id="63"/>
      <w:r>
        <w:t xml:space="preserve"> </w:t>
      </w:r>
    </w:p>
    <w:p w14:paraId="6A2B2B4F" w14:textId="7CF078AB" w:rsidR="008F3234" w:rsidRPr="005B6D16" w:rsidRDefault="008F3234" w:rsidP="008F3234">
      <w:pPr>
        <w:spacing w:before="100" w:beforeAutospacing="1" w:after="100" w:afterAutospacing="1"/>
        <w:rPr>
          <w:rFonts w:asciiTheme="minorHAnsi" w:hAnsiTheme="minorHAnsi" w:cstheme="minorHAnsi"/>
          <w:color w:val="000000"/>
          <w:sz w:val="22"/>
          <w:szCs w:val="22"/>
        </w:rPr>
      </w:pPr>
      <w:r w:rsidRPr="005B6D16">
        <w:rPr>
          <w:rFonts w:asciiTheme="minorHAnsi" w:hAnsiTheme="minorHAnsi" w:cstheme="minorHAnsi"/>
          <w:color w:val="000000"/>
          <w:sz w:val="22"/>
          <w:szCs w:val="22"/>
        </w:rPr>
        <w:t>Several clear lessons emerge from AVETP implementation to date. Overall, the evidence suggests that the programme’s core model is working, but that its delivery model needs strengthening if a strong set of individual transactions is to translate into a stronger country programme over the remainder of the investment</w:t>
      </w:r>
      <w:r w:rsidR="00CE4FF9" w:rsidRPr="005B6D16">
        <w:rPr>
          <w:rFonts w:asciiTheme="minorHAnsi" w:hAnsiTheme="minorHAnsi" w:cstheme="minorHAnsi"/>
          <w:color w:val="000000"/>
          <w:sz w:val="22"/>
          <w:szCs w:val="22"/>
        </w:rPr>
        <w:t xml:space="preserve"> period</w:t>
      </w:r>
      <w:r w:rsidRPr="005B6D16">
        <w:rPr>
          <w:rFonts w:asciiTheme="minorHAnsi" w:hAnsiTheme="minorHAnsi" w:cstheme="minorHAnsi"/>
          <w:color w:val="000000"/>
          <w:sz w:val="22"/>
          <w:szCs w:val="22"/>
        </w:rPr>
        <w:t>. The clearest positive lesson is that AVETP performs best when it supports </w:t>
      </w:r>
      <w:r w:rsidRPr="005B6D16">
        <w:rPr>
          <w:rFonts w:asciiTheme="minorHAnsi" w:hAnsiTheme="minorHAnsi" w:cstheme="minorHAnsi"/>
          <w:b/>
          <w:bCs/>
          <w:color w:val="000000"/>
          <w:sz w:val="22"/>
          <w:szCs w:val="22"/>
        </w:rPr>
        <w:t>high quality, additional, market shaping transactions</w:t>
      </w:r>
      <w:r w:rsidRPr="005B6D16">
        <w:rPr>
          <w:rFonts w:asciiTheme="minorHAnsi" w:hAnsiTheme="minorHAnsi" w:cstheme="minorHAnsi"/>
          <w:color w:val="000000"/>
          <w:sz w:val="22"/>
          <w:szCs w:val="22"/>
        </w:rPr>
        <w:t xml:space="preserve"> that fill genuine financing gaps, improve the structure or tenor of finance, and demonstrate new sector or instrument pathways. PIDG’s value </w:t>
      </w:r>
      <w:r w:rsidR="007B3C8D" w:rsidRPr="005B6D16">
        <w:rPr>
          <w:rFonts w:asciiTheme="minorHAnsi" w:hAnsiTheme="minorHAnsi" w:cstheme="minorHAnsi"/>
          <w:color w:val="000000"/>
          <w:sz w:val="22"/>
          <w:szCs w:val="22"/>
        </w:rPr>
        <w:t xml:space="preserve">also goes </w:t>
      </w:r>
      <w:r w:rsidRPr="005B6D16">
        <w:rPr>
          <w:rFonts w:asciiTheme="minorHAnsi" w:hAnsiTheme="minorHAnsi" w:cstheme="minorHAnsi"/>
          <w:color w:val="000000"/>
          <w:sz w:val="22"/>
          <w:szCs w:val="22"/>
        </w:rPr>
        <w:t xml:space="preserve">beyond finance: due diligence, HSES requirements, ESG processes, and governance expectations have helped strengthen investee systems, improve readiness for future finance, and raise market standards. Technical assistance has been most useful where it has been targeted at specific transaction bottlenecks, such as </w:t>
      </w:r>
      <w:r w:rsidR="00EF7252" w:rsidRPr="005B6D16">
        <w:rPr>
          <w:rFonts w:asciiTheme="minorHAnsi" w:hAnsiTheme="minorHAnsi" w:cstheme="minorHAnsi"/>
          <w:color w:val="000000"/>
          <w:sz w:val="22"/>
          <w:szCs w:val="22"/>
        </w:rPr>
        <w:t>early-stage</w:t>
      </w:r>
      <w:r w:rsidRPr="005B6D16">
        <w:rPr>
          <w:rFonts w:asciiTheme="minorHAnsi" w:hAnsiTheme="minorHAnsi" w:cstheme="minorHAnsi"/>
          <w:color w:val="000000"/>
          <w:sz w:val="22"/>
          <w:szCs w:val="22"/>
        </w:rPr>
        <w:t xml:space="preserve"> feasibility, unusually high transaction costs, or helping firms meet international standards. </w:t>
      </w:r>
    </w:p>
    <w:p w14:paraId="1529602D" w14:textId="296D0E36" w:rsidR="008F3234" w:rsidRPr="005B6D16" w:rsidRDefault="008F3234" w:rsidP="008F3234">
      <w:pPr>
        <w:spacing w:before="100" w:beforeAutospacing="1" w:after="100" w:afterAutospacing="1"/>
        <w:rPr>
          <w:rFonts w:asciiTheme="minorHAnsi" w:hAnsiTheme="minorHAnsi" w:cstheme="minorHAnsi"/>
          <w:color w:val="000000"/>
          <w:sz w:val="22"/>
          <w:szCs w:val="22"/>
        </w:rPr>
      </w:pPr>
      <w:r w:rsidRPr="005B6D16">
        <w:rPr>
          <w:rFonts w:asciiTheme="minorHAnsi" w:hAnsiTheme="minorHAnsi" w:cstheme="minorHAnsi"/>
          <w:color w:val="000000"/>
          <w:sz w:val="22"/>
          <w:szCs w:val="22"/>
        </w:rPr>
        <w:t>At the same time, the main lessons for the remainder of AVETP concern </w:t>
      </w:r>
      <w:r w:rsidRPr="005B6D16">
        <w:rPr>
          <w:rFonts w:asciiTheme="minorHAnsi" w:hAnsiTheme="minorHAnsi" w:cstheme="minorHAnsi"/>
          <w:b/>
          <w:bCs/>
          <w:color w:val="000000"/>
          <w:sz w:val="22"/>
          <w:szCs w:val="22"/>
        </w:rPr>
        <w:t>delivery constraints and risk management</w:t>
      </w:r>
      <w:r w:rsidRPr="005B6D16">
        <w:rPr>
          <w:rFonts w:asciiTheme="minorHAnsi" w:hAnsiTheme="minorHAnsi" w:cstheme="minorHAnsi"/>
          <w:color w:val="000000"/>
          <w:sz w:val="22"/>
          <w:szCs w:val="22"/>
        </w:rPr>
        <w:t xml:space="preserve">. A stronger mechanism is needed to support earlier stage pipeline development, especially where opportunities are promising but not yet bankable. Local presence has emerged as a critical lesson, affecting not only transaction speed and responsiveness, but also visibility, policy engagement, reporting, and coordination with DFAT. </w:t>
      </w:r>
      <w:r w:rsidR="001C7D9D" w:rsidRPr="005B6D16">
        <w:rPr>
          <w:rFonts w:asciiTheme="minorHAnsi" w:hAnsiTheme="minorHAnsi" w:cstheme="minorHAnsi"/>
          <w:color w:val="000000"/>
          <w:sz w:val="22"/>
          <w:szCs w:val="22"/>
        </w:rPr>
        <w:t xml:space="preserve">The </w:t>
      </w:r>
      <w:r w:rsidRPr="005B6D16">
        <w:rPr>
          <w:rFonts w:asciiTheme="minorHAnsi" w:hAnsiTheme="minorHAnsi" w:cstheme="minorHAnsi"/>
          <w:color w:val="000000"/>
          <w:sz w:val="22"/>
          <w:szCs w:val="22"/>
        </w:rPr>
        <w:t xml:space="preserve">CEF shows that system level market building is feasible and relevant, but slower, more political, and more dependent on sustained local engagement than ordinary transactions. </w:t>
      </w:r>
    </w:p>
    <w:p w14:paraId="7580727F" w14:textId="77777777" w:rsidR="008F3234" w:rsidRDefault="008F3234" w:rsidP="003D231F">
      <w:pPr>
        <w:rPr>
          <w:rFonts w:ascii="Arial" w:hAnsi="Arial" w:cs="Arial"/>
          <w:b/>
          <w:bCs/>
        </w:rPr>
      </w:pPr>
      <w:bookmarkStart w:id="64" w:name="_Toc226976863"/>
      <w:r w:rsidRPr="003D231F">
        <w:rPr>
          <w:rFonts w:ascii="Arial" w:hAnsi="Arial" w:cs="Arial"/>
          <w:b/>
          <w:bCs/>
        </w:rPr>
        <w:t>Key Findings</w:t>
      </w:r>
      <w:bookmarkEnd w:id="64"/>
    </w:p>
    <w:p w14:paraId="0CF9E633" w14:textId="77777777" w:rsidR="003D231F" w:rsidRPr="003D231F" w:rsidRDefault="003D231F" w:rsidP="003D231F">
      <w:pPr>
        <w:rPr>
          <w:rFonts w:ascii="Arial" w:hAnsi="Arial" w:cs="Arial"/>
          <w:b/>
          <w:bCs/>
        </w:rPr>
      </w:pPr>
    </w:p>
    <w:p w14:paraId="5BB56DB1" w14:textId="7634DDFE" w:rsidR="008F3234" w:rsidRPr="005B6D16" w:rsidRDefault="008F323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 xml:space="preserve">1. AVETP’s strongest results have come from high quality, </w:t>
      </w:r>
      <w:r w:rsidR="00EF7252" w:rsidRPr="005B6D16">
        <w:rPr>
          <w:rFonts w:asciiTheme="minorHAnsi" w:hAnsiTheme="minorHAnsi" w:cstheme="minorHAnsi"/>
          <w:b/>
          <w:bCs/>
          <w:color w:val="000000"/>
          <w:sz w:val="22"/>
          <w:szCs w:val="22"/>
        </w:rPr>
        <w:t>flagship</w:t>
      </w:r>
      <w:r w:rsidRPr="005B6D16">
        <w:rPr>
          <w:rFonts w:asciiTheme="minorHAnsi" w:hAnsiTheme="minorHAnsi" w:cstheme="minorHAnsi"/>
          <w:b/>
          <w:bCs/>
          <w:color w:val="000000"/>
          <w:sz w:val="22"/>
          <w:szCs w:val="22"/>
        </w:rPr>
        <w:t>, and market shaping transactions</w:t>
      </w:r>
    </w:p>
    <w:p w14:paraId="5A3E0D5F" w14:textId="03A78FCE" w:rsidR="008F3234" w:rsidRPr="005B6D16" w:rsidRDefault="008F3234" w:rsidP="008F323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AVETP has been most effective where it has supported transactions that fill real market gaps, use an appropriate financing instrument, and demonstrate new financing models or sector pathways. This suggests that additionality and demonstration effect should remain more important than transaction numbers alone.</w:t>
      </w:r>
      <w:r w:rsidRPr="005B6D16">
        <w:rPr>
          <w:rStyle w:val="apple-converted-space"/>
          <w:rFonts w:asciiTheme="minorHAnsi" w:hAnsiTheme="minorHAnsi" w:cstheme="minorHAnsi"/>
          <w:color w:val="000000"/>
          <w:sz w:val="22"/>
          <w:szCs w:val="22"/>
        </w:rPr>
        <w:t> </w:t>
      </w:r>
    </w:p>
    <w:p w14:paraId="1993C8D6" w14:textId="77777777" w:rsidR="008F3234" w:rsidRPr="005B6D16" w:rsidRDefault="008F323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2. PIDG’s transaction support adds value when finance is combined with systems strengthening</w:t>
      </w:r>
    </w:p>
    <w:p w14:paraId="558C6C9E" w14:textId="0A4EE813" w:rsidR="008F3234" w:rsidRPr="005B6D16" w:rsidRDefault="008F3234" w:rsidP="008F323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A repeated lesson across the transactions is that PIDG’s value is not only financial. </w:t>
      </w:r>
      <w:r w:rsidR="001C7D9D" w:rsidRPr="005B6D16">
        <w:rPr>
          <w:rFonts w:asciiTheme="minorHAnsi" w:hAnsiTheme="minorHAnsi" w:cstheme="minorHAnsi"/>
          <w:color w:val="000000"/>
          <w:sz w:val="22"/>
          <w:szCs w:val="22"/>
        </w:rPr>
        <w:t>D</w:t>
      </w:r>
      <w:r w:rsidRPr="005B6D16">
        <w:rPr>
          <w:rFonts w:asciiTheme="minorHAnsi" w:hAnsiTheme="minorHAnsi" w:cstheme="minorHAnsi"/>
          <w:color w:val="000000"/>
          <w:sz w:val="22"/>
          <w:szCs w:val="22"/>
        </w:rPr>
        <w:t>ue diligence, HSES expectations, ESG processes, governance standards, and technical clarification helped strengthen</w:t>
      </w:r>
      <w:r w:rsidR="00E67B6A" w:rsidRPr="005B6D16">
        <w:rPr>
          <w:rFonts w:asciiTheme="minorHAnsi" w:hAnsiTheme="minorHAnsi" w:cstheme="minorHAnsi"/>
          <w:color w:val="000000"/>
          <w:sz w:val="22"/>
          <w:szCs w:val="22"/>
        </w:rPr>
        <w:t>ed</w:t>
      </w:r>
      <w:r w:rsidRPr="005B6D16">
        <w:rPr>
          <w:rFonts w:asciiTheme="minorHAnsi" w:hAnsiTheme="minorHAnsi" w:cstheme="minorHAnsi"/>
          <w:color w:val="000000"/>
          <w:sz w:val="22"/>
          <w:szCs w:val="22"/>
        </w:rPr>
        <w:t xml:space="preserve"> internal </w:t>
      </w:r>
      <w:r w:rsidR="00E67B6A" w:rsidRPr="005B6D16">
        <w:rPr>
          <w:rFonts w:asciiTheme="minorHAnsi" w:hAnsiTheme="minorHAnsi" w:cstheme="minorHAnsi"/>
          <w:color w:val="000000"/>
          <w:sz w:val="22"/>
          <w:szCs w:val="22"/>
        </w:rPr>
        <w:t xml:space="preserve">companies’ </w:t>
      </w:r>
      <w:r w:rsidRPr="005B6D16">
        <w:rPr>
          <w:rFonts w:asciiTheme="minorHAnsi" w:hAnsiTheme="minorHAnsi" w:cstheme="minorHAnsi"/>
          <w:color w:val="000000"/>
          <w:sz w:val="22"/>
          <w:szCs w:val="22"/>
        </w:rPr>
        <w:t>systems and prepare them for future transactions. PIDG’s standards can function as a productive form of capacity building</w:t>
      </w:r>
      <w:r w:rsidR="001C7D9D" w:rsidRPr="005B6D16">
        <w:rPr>
          <w:rStyle w:val="apple-converted-space"/>
          <w:rFonts w:asciiTheme="minorHAnsi" w:hAnsiTheme="minorHAnsi" w:cstheme="minorHAnsi"/>
          <w:color w:val="000000"/>
          <w:sz w:val="22"/>
          <w:szCs w:val="22"/>
        </w:rPr>
        <w:t xml:space="preserve"> </w:t>
      </w:r>
      <w:r w:rsidR="001C7D9D" w:rsidRPr="005B6D16">
        <w:rPr>
          <w:rFonts w:asciiTheme="minorHAnsi" w:hAnsiTheme="minorHAnsi" w:cstheme="minorHAnsi"/>
          <w:color w:val="000000"/>
          <w:sz w:val="22"/>
          <w:szCs w:val="22"/>
        </w:rPr>
        <w:t xml:space="preserve">when supported in practice. </w:t>
      </w:r>
    </w:p>
    <w:p w14:paraId="072FD00E" w14:textId="77777777" w:rsidR="008F3234" w:rsidRPr="005B6D16" w:rsidRDefault="008F323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3. Technical assistance is most effective when used as a transaction enabling tool</w:t>
      </w:r>
    </w:p>
    <w:p w14:paraId="504D56B7" w14:textId="70D28BBD" w:rsidR="008F3234" w:rsidRPr="005B6D16" w:rsidRDefault="008F3234" w:rsidP="008F323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TA works best when it addresses concrete constraints that would otherwise delay, weaken, or prevent live transactions. This includes support for unusually high transaction costs in first of kind deals, upstream feasibility and early-stage development work, and helping companies meet international standards where willingness exists but capacity or liquidity is limited. </w:t>
      </w:r>
    </w:p>
    <w:p w14:paraId="42049C12" w14:textId="77777777" w:rsidR="008F3234" w:rsidRPr="005B6D16" w:rsidRDefault="008F323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4. AVETP needs stronger support for earlier stage pipeline development</w:t>
      </w:r>
    </w:p>
    <w:p w14:paraId="45E44677" w14:textId="11E9A587" w:rsidR="008F3234" w:rsidRPr="005B6D16" w:rsidRDefault="008F3234" w:rsidP="008F3234">
      <w:pPr>
        <w:pStyle w:val="NormalWeb"/>
        <w:rPr>
          <w:rStyle w:val="apple-converted-space"/>
          <w:rFonts w:asciiTheme="minorHAnsi" w:hAnsiTheme="minorHAnsi" w:cstheme="minorHAnsi"/>
          <w:color w:val="000000"/>
          <w:sz w:val="22"/>
          <w:szCs w:val="22"/>
        </w:rPr>
      </w:pPr>
      <w:r w:rsidRPr="005B6D16">
        <w:rPr>
          <w:rFonts w:asciiTheme="minorHAnsi" w:hAnsiTheme="minorHAnsi" w:cstheme="minorHAnsi"/>
          <w:color w:val="000000"/>
          <w:sz w:val="22"/>
          <w:szCs w:val="22"/>
        </w:rPr>
        <w:t>Vietnam has strong demand and promising opportunities, but conversion</w:t>
      </w:r>
      <w:r w:rsidR="002A3D1B" w:rsidRPr="005B6D16">
        <w:rPr>
          <w:rFonts w:asciiTheme="minorHAnsi" w:hAnsiTheme="minorHAnsi" w:cstheme="minorHAnsi"/>
          <w:color w:val="000000"/>
          <w:sz w:val="22"/>
          <w:szCs w:val="22"/>
        </w:rPr>
        <w:t xml:space="preserve"> into closed transactions</w:t>
      </w:r>
      <w:r w:rsidRPr="005B6D16">
        <w:rPr>
          <w:rFonts w:asciiTheme="minorHAnsi" w:hAnsiTheme="minorHAnsi" w:cstheme="minorHAnsi"/>
          <w:color w:val="000000"/>
          <w:sz w:val="22"/>
          <w:szCs w:val="22"/>
        </w:rPr>
        <w:t xml:space="preserve"> is constrained by </w:t>
      </w:r>
      <w:r w:rsidR="00EF7252" w:rsidRPr="005B6D16">
        <w:rPr>
          <w:rFonts w:asciiTheme="minorHAnsi" w:hAnsiTheme="minorHAnsi" w:cstheme="minorHAnsi"/>
          <w:color w:val="000000"/>
          <w:sz w:val="22"/>
          <w:szCs w:val="22"/>
        </w:rPr>
        <w:t>early-stage</w:t>
      </w:r>
      <w:r w:rsidRPr="005B6D16">
        <w:rPr>
          <w:rFonts w:asciiTheme="minorHAnsi" w:hAnsiTheme="minorHAnsi" w:cstheme="minorHAnsi"/>
          <w:color w:val="000000"/>
          <w:sz w:val="22"/>
          <w:szCs w:val="22"/>
        </w:rPr>
        <w:t xml:space="preserve"> risks, high transaction</w:t>
      </w:r>
      <w:r w:rsidR="002A3D1B" w:rsidRPr="005B6D16">
        <w:rPr>
          <w:rFonts w:asciiTheme="minorHAnsi" w:hAnsiTheme="minorHAnsi" w:cstheme="minorHAnsi"/>
          <w:color w:val="000000"/>
          <w:sz w:val="22"/>
          <w:szCs w:val="22"/>
        </w:rPr>
        <w:t xml:space="preserve"> preparation</w:t>
      </w:r>
      <w:r w:rsidRPr="005B6D16">
        <w:rPr>
          <w:rFonts w:asciiTheme="minorHAnsi" w:hAnsiTheme="minorHAnsi" w:cstheme="minorHAnsi"/>
          <w:color w:val="000000"/>
          <w:sz w:val="22"/>
          <w:szCs w:val="22"/>
        </w:rPr>
        <w:t xml:space="preserve"> costs, </w:t>
      </w:r>
      <w:r w:rsidR="006F3F78" w:rsidRPr="005B6D16">
        <w:rPr>
          <w:rFonts w:asciiTheme="minorHAnsi" w:hAnsiTheme="minorHAnsi" w:cstheme="minorHAnsi"/>
          <w:color w:val="000000"/>
          <w:sz w:val="22"/>
          <w:szCs w:val="22"/>
        </w:rPr>
        <w:t xml:space="preserve">limited country presence, </w:t>
      </w:r>
      <w:r w:rsidRPr="005B6D16">
        <w:rPr>
          <w:rFonts w:asciiTheme="minorHAnsi" w:hAnsiTheme="minorHAnsi" w:cstheme="minorHAnsi"/>
          <w:color w:val="000000"/>
          <w:sz w:val="22"/>
          <w:szCs w:val="22"/>
        </w:rPr>
        <w:t xml:space="preserve">and policy uncertainty. </w:t>
      </w:r>
      <w:r w:rsidR="002A3D1B" w:rsidRPr="005B6D16">
        <w:rPr>
          <w:rFonts w:ascii="Arial" w:hAnsi="Arial" w:cs="Arial" w:hint="eastAsia"/>
          <w:color w:val="000000"/>
          <w:sz w:val="22"/>
          <w:szCs w:val="22"/>
        </w:rPr>
        <w:t xml:space="preserve">This does not mean that PIDG is only focused on near-bankable transactions. The evidence shows that PIDG is already supporting earlier-stage and higher-risk opportunities through </w:t>
      </w:r>
      <w:proofErr w:type="spellStart"/>
      <w:r w:rsidR="002A3D1B" w:rsidRPr="005B6D16">
        <w:rPr>
          <w:rFonts w:ascii="Arial" w:hAnsi="Arial" w:cs="Arial" w:hint="eastAsia"/>
          <w:color w:val="000000"/>
          <w:sz w:val="22"/>
          <w:szCs w:val="22"/>
        </w:rPr>
        <w:t>InfraCo</w:t>
      </w:r>
      <w:proofErr w:type="spellEnd"/>
      <w:r w:rsidR="002A3D1B" w:rsidRPr="005B6D16">
        <w:rPr>
          <w:rFonts w:ascii="Arial" w:hAnsi="Arial" w:cs="Arial" w:hint="eastAsia"/>
          <w:color w:val="000000"/>
          <w:sz w:val="22"/>
          <w:szCs w:val="22"/>
        </w:rPr>
        <w:t xml:space="preserve">, technical assistance and concessional capital. However, AVETP could make this support more deliberate and visible by targeting the specific bottlenecks that prevent promising opportunities from </w:t>
      </w:r>
      <w:r w:rsidR="002A3D1B" w:rsidRPr="005B6D16">
        <w:rPr>
          <w:rFonts w:ascii="Arial" w:hAnsi="Arial" w:cs="Arial" w:hint="eastAsia"/>
          <w:color w:val="000000"/>
          <w:sz w:val="22"/>
          <w:szCs w:val="22"/>
        </w:rPr>
        <w:lastRenderedPageBreak/>
        <w:t>becoming investable.</w:t>
      </w:r>
      <w:r w:rsidR="00023C25" w:rsidRPr="005B6D16">
        <w:rPr>
          <w:rFonts w:ascii="Arial" w:hAnsi="Arial" w:cs="Arial"/>
          <w:color w:val="000000"/>
          <w:sz w:val="22"/>
          <w:szCs w:val="22"/>
        </w:rPr>
        <w:t xml:space="preserve"> </w:t>
      </w:r>
      <w:r w:rsidR="00D64B89" w:rsidRPr="005B6D16">
        <w:rPr>
          <w:rFonts w:asciiTheme="minorHAnsi" w:hAnsiTheme="minorHAnsi" w:cstheme="minorHAnsi"/>
          <w:color w:val="000000"/>
          <w:sz w:val="22"/>
          <w:szCs w:val="22"/>
        </w:rPr>
        <w:t>T</w:t>
      </w:r>
      <w:r w:rsidRPr="005B6D16">
        <w:rPr>
          <w:rFonts w:asciiTheme="minorHAnsi" w:hAnsiTheme="minorHAnsi" w:cstheme="minorHAnsi"/>
          <w:color w:val="000000"/>
          <w:sz w:val="22"/>
          <w:szCs w:val="22"/>
        </w:rPr>
        <w:t>he programme should strengthen support at the front end of the pipeline where modest assistance could materially improve the chances of later close.</w:t>
      </w:r>
      <w:r w:rsidRPr="005B6D16">
        <w:rPr>
          <w:rStyle w:val="apple-converted-space"/>
          <w:rFonts w:asciiTheme="minorHAnsi" w:hAnsiTheme="minorHAnsi" w:cstheme="minorHAnsi"/>
          <w:color w:val="000000"/>
          <w:sz w:val="22"/>
          <w:szCs w:val="22"/>
        </w:rPr>
        <w:t> </w:t>
      </w:r>
    </w:p>
    <w:p w14:paraId="090DF8D7" w14:textId="2EC5A430" w:rsidR="002A3D1B" w:rsidRPr="005B6D16" w:rsidRDefault="002A3D1B" w:rsidP="008F3234">
      <w:pPr>
        <w:pStyle w:val="NormalWeb"/>
        <w:rPr>
          <w:rFonts w:asciiTheme="minorHAnsi" w:hAnsiTheme="minorHAnsi" w:cstheme="minorHAnsi"/>
          <w:color w:val="000000"/>
          <w:sz w:val="22"/>
          <w:szCs w:val="22"/>
        </w:rPr>
      </w:pPr>
      <w:r w:rsidRPr="005B6D16">
        <w:rPr>
          <w:rFonts w:asciiTheme="minorHAnsi" w:hAnsiTheme="minorHAnsi" w:cstheme="minorHAnsi" w:hint="eastAsia"/>
          <w:color w:val="000000"/>
          <w:sz w:val="22"/>
          <w:szCs w:val="22"/>
        </w:rPr>
        <w:t>Based on the primary data, the most useful support would include pre-feasibility and feasibility studies, transaction-specific due diligence, financial modelling, risk assessment, support to meet international lender standards, ESG and HSES system strengthening, and cost-sharing for unusually high transaction costs in first-of-kind or complex deals. For smaller or earlier-stage projects, such as distributed energy, cooling, water, circular economy or newer climate technologies, support may also need to include early equity or risk-sharing where local developers have limited liquidity or where commercial lenders are not yet willing to enter. Stronger local presence and market engagement would also help identify promising opportunities earlier, work with sponsors to improve readiness, and maintain momentum through Vietnam</w:t>
      </w:r>
      <w:r w:rsidRPr="005B6D16">
        <w:rPr>
          <w:rFonts w:asciiTheme="minorHAnsi" w:hAnsiTheme="minorHAnsi" w:cstheme="minorHAnsi" w:hint="eastAsia"/>
          <w:color w:val="000000"/>
          <w:sz w:val="22"/>
          <w:szCs w:val="22"/>
        </w:rPr>
        <w:t>’</w:t>
      </w:r>
      <w:r w:rsidRPr="005B6D16">
        <w:rPr>
          <w:rFonts w:asciiTheme="minorHAnsi" w:hAnsiTheme="minorHAnsi" w:cstheme="minorHAnsi" w:hint="eastAsia"/>
          <w:color w:val="000000"/>
          <w:sz w:val="22"/>
          <w:szCs w:val="22"/>
        </w:rPr>
        <w:t>s regulatory and approval processes.</w:t>
      </w:r>
    </w:p>
    <w:p w14:paraId="61701A98" w14:textId="77777777" w:rsidR="008F3234" w:rsidRPr="005B6D16" w:rsidRDefault="008F323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5. Local presence is critical for both effectiveness and risk management</w:t>
      </w:r>
    </w:p>
    <w:p w14:paraId="24B9317B" w14:textId="1967A0BD" w:rsidR="008F3234" w:rsidRPr="005B6D16" w:rsidRDefault="00D64B89" w:rsidP="008F323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The</w:t>
      </w:r>
      <w:r w:rsidR="008F3234" w:rsidRPr="005B6D16">
        <w:rPr>
          <w:rFonts w:asciiTheme="minorHAnsi" w:hAnsiTheme="minorHAnsi" w:cstheme="minorHAnsi"/>
          <w:color w:val="000000"/>
          <w:sz w:val="22"/>
          <w:szCs w:val="22"/>
        </w:rPr>
        <w:t xml:space="preserve"> absence of a strong local PIDG interface has reduced delivery efficiency and increased programme risks. Stakeholders linked weak local presence to slower transaction development, weaker government engagement, lower visibility, slower communications, and a higher coordination burden on DFAT Post. The practical lesson is that local presence is not an optional add on. A clearer and more reliable country</w:t>
      </w:r>
      <w:r w:rsidR="00D91A5B" w:rsidRPr="005B6D16">
        <w:rPr>
          <w:rFonts w:asciiTheme="minorHAnsi" w:hAnsiTheme="minorHAnsi" w:cstheme="minorHAnsi"/>
          <w:color w:val="000000"/>
          <w:sz w:val="22"/>
          <w:szCs w:val="22"/>
        </w:rPr>
        <w:t>-</w:t>
      </w:r>
      <w:r w:rsidR="008F3234" w:rsidRPr="005B6D16">
        <w:rPr>
          <w:rFonts w:asciiTheme="minorHAnsi" w:hAnsiTheme="minorHAnsi" w:cstheme="minorHAnsi"/>
          <w:color w:val="000000"/>
          <w:sz w:val="22"/>
          <w:szCs w:val="22"/>
        </w:rPr>
        <w:t>facing function is needed</w:t>
      </w:r>
      <w:r w:rsidRPr="005B6D16">
        <w:rPr>
          <w:rFonts w:asciiTheme="minorHAnsi" w:hAnsiTheme="minorHAnsi" w:cstheme="minorHAnsi"/>
          <w:color w:val="000000"/>
          <w:sz w:val="22"/>
          <w:szCs w:val="22"/>
        </w:rPr>
        <w:t xml:space="preserve"> for the remainder of AVETP.</w:t>
      </w:r>
      <w:r w:rsidR="008F3234" w:rsidRPr="005B6D16">
        <w:rPr>
          <w:rStyle w:val="apple-converted-space"/>
          <w:rFonts w:asciiTheme="minorHAnsi" w:hAnsiTheme="minorHAnsi" w:cstheme="minorHAnsi"/>
          <w:color w:val="000000"/>
          <w:sz w:val="22"/>
          <w:szCs w:val="22"/>
        </w:rPr>
        <w:t> </w:t>
      </w:r>
    </w:p>
    <w:p w14:paraId="6FAC039D" w14:textId="77777777" w:rsidR="008F3234" w:rsidRPr="005B6D16" w:rsidRDefault="008F323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6. A broader climate relevant portfolio is a practical form of risk management</w:t>
      </w:r>
    </w:p>
    <w:p w14:paraId="35138643" w14:textId="6129ED48" w:rsidR="008F3234" w:rsidRPr="005B6D16" w:rsidRDefault="008F3234" w:rsidP="008F323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Implementation experience suggests that a narrowly renewable energy framing does not match market reality in Vietnam. Renewable transactions have faced regulatory, grid, and approval bottlenecks, while other climate relevant sectors such as water, EV infrastructure, recycling, cooling, and distributed energy have offered more practical opportunities. The lesson is </w:t>
      </w:r>
      <w:r w:rsidR="00236573" w:rsidRPr="005B6D16">
        <w:rPr>
          <w:rFonts w:asciiTheme="minorHAnsi" w:hAnsiTheme="minorHAnsi" w:cstheme="minorHAnsi"/>
          <w:color w:val="000000"/>
          <w:sz w:val="22"/>
          <w:szCs w:val="22"/>
        </w:rPr>
        <w:t xml:space="preserve">that </w:t>
      </w:r>
      <w:r w:rsidRPr="005B6D16">
        <w:rPr>
          <w:rFonts w:asciiTheme="minorHAnsi" w:hAnsiTheme="minorHAnsi" w:cstheme="minorHAnsi"/>
          <w:color w:val="000000"/>
          <w:sz w:val="22"/>
          <w:szCs w:val="22"/>
        </w:rPr>
        <w:t xml:space="preserve">AVETP should remain anchored in energy transition, mitigation, adaptation, and resilience while avoiding an </w:t>
      </w:r>
      <w:r w:rsidR="00D14E45" w:rsidRPr="005B6D16">
        <w:rPr>
          <w:rFonts w:asciiTheme="minorHAnsi" w:hAnsiTheme="minorHAnsi" w:cstheme="minorHAnsi"/>
          <w:color w:val="000000"/>
          <w:sz w:val="22"/>
          <w:szCs w:val="22"/>
        </w:rPr>
        <w:t xml:space="preserve">overly </w:t>
      </w:r>
      <w:r w:rsidR="00236573" w:rsidRPr="005B6D16">
        <w:rPr>
          <w:rFonts w:asciiTheme="minorHAnsi" w:hAnsiTheme="minorHAnsi" w:cstheme="minorHAnsi"/>
          <w:color w:val="000000"/>
          <w:sz w:val="22"/>
          <w:szCs w:val="22"/>
        </w:rPr>
        <w:t xml:space="preserve">narrow </w:t>
      </w:r>
      <w:r w:rsidR="00D14E45" w:rsidRPr="005B6D16">
        <w:rPr>
          <w:rFonts w:asciiTheme="minorHAnsi" w:hAnsiTheme="minorHAnsi" w:cstheme="minorHAnsi"/>
          <w:color w:val="000000"/>
          <w:sz w:val="22"/>
          <w:szCs w:val="22"/>
        </w:rPr>
        <w:t xml:space="preserve">focus on </w:t>
      </w:r>
      <w:r w:rsidR="00236573" w:rsidRPr="005B6D16">
        <w:rPr>
          <w:rFonts w:asciiTheme="minorHAnsi" w:hAnsiTheme="minorHAnsi" w:cstheme="minorHAnsi"/>
          <w:color w:val="000000"/>
          <w:sz w:val="22"/>
          <w:szCs w:val="22"/>
        </w:rPr>
        <w:t xml:space="preserve">energy </w:t>
      </w:r>
      <w:r w:rsidR="00D14E45" w:rsidRPr="005B6D16">
        <w:rPr>
          <w:rFonts w:asciiTheme="minorHAnsi" w:hAnsiTheme="minorHAnsi" w:cstheme="minorHAnsi"/>
          <w:color w:val="000000"/>
          <w:sz w:val="22"/>
          <w:szCs w:val="22"/>
        </w:rPr>
        <w:t>alone</w:t>
      </w:r>
      <w:r w:rsidRPr="005B6D16">
        <w:rPr>
          <w:rFonts w:asciiTheme="minorHAnsi" w:hAnsiTheme="minorHAnsi" w:cstheme="minorHAnsi"/>
          <w:color w:val="000000"/>
          <w:sz w:val="22"/>
          <w:szCs w:val="22"/>
        </w:rPr>
        <w:t>.</w:t>
      </w:r>
      <w:r w:rsidRPr="005B6D16">
        <w:rPr>
          <w:rStyle w:val="apple-converted-space"/>
          <w:rFonts w:asciiTheme="minorHAnsi" w:hAnsiTheme="minorHAnsi" w:cstheme="minorHAnsi"/>
          <w:color w:val="000000"/>
          <w:sz w:val="22"/>
          <w:szCs w:val="22"/>
        </w:rPr>
        <w:t> </w:t>
      </w:r>
    </w:p>
    <w:p w14:paraId="4912854A" w14:textId="77777777" w:rsidR="008F3234" w:rsidRPr="005B6D16" w:rsidRDefault="008F323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7. CEF type initiatives require a different delivery model from ordinary transactions</w:t>
      </w:r>
    </w:p>
    <w:p w14:paraId="669056A0" w14:textId="6959AE76" w:rsidR="008F3234" w:rsidRPr="005B6D16" w:rsidRDefault="008F3234" w:rsidP="008F3234">
      <w:pPr>
        <w:pStyle w:val="NormalWeb"/>
        <w:rPr>
          <w:rFonts w:asciiTheme="minorHAnsi" w:hAnsiTheme="minorHAnsi" w:cstheme="minorHAnsi"/>
          <w:color w:val="000000"/>
          <w:sz w:val="22"/>
          <w:szCs w:val="22"/>
        </w:rPr>
      </w:pPr>
      <w:r w:rsidRPr="005B6D16">
        <w:rPr>
          <w:rFonts w:asciiTheme="minorHAnsi" w:hAnsiTheme="minorHAnsi" w:cstheme="minorHAnsi"/>
          <w:color w:val="000000"/>
          <w:sz w:val="22"/>
          <w:szCs w:val="22"/>
        </w:rPr>
        <w:t xml:space="preserve">The early work on the CEF highlights that system level market building is slower, more political, and more institutionally complex than standard transactions. Progress depends on regulatory drafting, government processes, technical capacity building, and political timing, not only on financing structure. CEF type work requires patience, sustained advocacy, local engagement, and realistic expectations about timelines. </w:t>
      </w:r>
    </w:p>
    <w:p w14:paraId="4A5823CC" w14:textId="59585C90" w:rsidR="008F3234" w:rsidRPr="005B6D16" w:rsidRDefault="008F323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 xml:space="preserve">8. The main risk for the remainder of the programme is </w:t>
      </w:r>
      <w:r w:rsidR="00F827C1" w:rsidRPr="005B6D16">
        <w:rPr>
          <w:rFonts w:asciiTheme="minorHAnsi" w:hAnsiTheme="minorHAnsi" w:cstheme="minorHAnsi"/>
          <w:b/>
          <w:bCs/>
          <w:color w:val="000000"/>
          <w:sz w:val="22"/>
          <w:szCs w:val="22"/>
        </w:rPr>
        <w:t>the conversion</w:t>
      </w:r>
      <w:r w:rsidRPr="005B6D16">
        <w:rPr>
          <w:rFonts w:asciiTheme="minorHAnsi" w:hAnsiTheme="minorHAnsi" w:cstheme="minorHAnsi"/>
          <w:b/>
          <w:bCs/>
          <w:color w:val="000000"/>
          <w:sz w:val="22"/>
          <w:szCs w:val="22"/>
        </w:rPr>
        <w:t xml:space="preserve"> of opportunity into visible country level results</w:t>
      </w:r>
    </w:p>
    <w:p w14:paraId="326223A0" w14:textId="1226D54B" w:rsidR="008F3234" w:rsidRPr="005B6D16" w:rsidRDefault="00D64B89" w:rsidP="5F242609">
      <w:pPr>
        <w:pStyle w:val="NormalWeb"/>
        <w:rPr>
          <w:rFonts w:asciiTheme="minorHAnsi" w:hAnsiTheme="minorHAnsi" w:cstheme="minorBidi"/>
          <w:color w:val="000000"/>
          <w:sz w:val="22"/>
          <w:szCs w:val="22"/>
        </w:rPr>
      </w:pPr>
      <w:r w:rsidRPr="5F242609">
        <w:rPr>
          <w:rFonts w:asciiTheme="minorHAnsi" w:hAnsiTheme="minorHAnsi" w:cstheme="minorBidi"/>
          <w:color w:val="000000" w:themeColor="text2"/>
          <w:sz w:val="22"/>
          <w:szCs w:val="22"/>
        </w:rPr>
        <w:t>M</w:t>
      </w:r>
      <w:r w:rsidR="008F3234" w:rsidRPr="5F242609">
        <w:rPr>
          <w:rFonts w:asciiTheme="minorHAnsi" w:hAnsiTheme="minorHAnsi" w:cstheme="minorBidi"/>
          <w:color w:val="000000" w:themeColor="text2"/>
          <w:sz w:val="22"/>
          <w:szCs w:val="22"/>
        </w:rPr>
        <w:t>any stakeholders acknowledged that the opportunity set is large, the pipeline is healthy or improving, and the transactions completed so far are high quality. The more persistent risk is that AVETP</w:t>
      </w:r>
      <w:r w:rsidR="00E0300E" w:rsidRPr="5F242609">
        <w:rPr>
          <w:rFonts w:asciiTheme="minorHAnsi" w:hAnsiTheme="minorHAnsi" w:cstheme="minorBidi"/>
          <w:color w:val="000000" w:themeColor="text2"/>
          <w:sz w:val="22"/>
          <w:szCs w:val="22"/>
        </w:rPr>
        <w:t xml:space="preserve">’s </w:t>
      </w:r>
      <w:r w:rsidR="00857D37" w:rsidRPr="5F242609">
        <w:rPr>
          <w:rFonts w:asciiTheme="minorHAnsi" w:hAnsiTheme="minorHAnsi" w:cstheme="minorBidi"/>
          <w:color w:val="000000" w:themeColor="text2"/>
          <w:sz w:val="22"/>
          <w:szCs w:val="22"/>
        </w:rPr>
        <w:t>transaction strengths</w:t>
      </w:r>
      <w:r w:rsidR="00E0300E" w:rsidRPr="5F242609">
        <w:rPr>
          <w:rFonts w:asciiTheme="minorHAnsi" w:hAnsiTheme="minorHAnsi" w:cstheme="minorBidi"/>
          <w:color w:val="000000" w:themeColor="text2"/>
          <w:sz w:val="22"/>
          <w:szCs w:val="22"/>
        </w:rPr>
        <w:t xml:space="preserve"> may not be fully translated</w:t>
      </w:r>
      <w:r w:rsidR="008F3234" w:rsidRPr="5F242609">
        <w:rPr>
          <w:rFonts w:asciiTheme="minorHAnsi" w:hAnsiTheme="minorHAnsi" w:cstheme="minorBidi"/>
          <w:color w:val="000000" w:themeColor="text2"/>
          <w:sz w:val="22"/>
          <w:szCs w:val="22"/>
        </w:rPr>
        <w:t xml:space="preserve"> into visible, coordinated, and reportable programme results </w:t>
      </w:r>
      <w:r w:rsidR="00E0300E" w:rsidRPr="5F242609">
        <w:rPr>
          <w:rFonts w:asciiTheme="minorHAnsi" w:hAnsiTheme="minorHAnsi" w:cstheme="minorBidi"/>
          <w:color w:val="000000" w:themeColor="text2"/>
          <w:sz w:val="22"/>
          <w:szCs w:val="22"/>
        </w:rPr>
        <w:t xml:space="preserve">unless </w:t>
      </w:r>
      <w:r w:rsidR="008F3234" w:rsidRPr="5F242609">
        <w:rPr>
          <w:rFonts w:asciiTheme="minorHAnsi" w:hAnsiTheme="minorHAnsi" w:cstheme="minorBidi"/>
          <w:color w:val="000000" w:themeColor="text2"/>
          <w:sz w:val="22"/>
          <w:szCs w:val="22"/>
        </w:rPr>
        <w:t xml:space="preserve">local interface, reporting, and owner engagement are not strengthened. </w:t>
      </w:r>
    </w:p>
    <w:p w14:paraId="79FD74C8" w14:textId="77777777" w:rsidR="008F3234" w:rsidRPr="005B6D16" w:rsidRDefault="008F3234" w:rsidP="009C3F1F">
      <w:pPr>
        <w:rPr>
          <w:rFonts w:asciiTheme="minorHAnsi" w:hAnsiTheme="minorHAnsi" w:cstheme="minorHAnsi"/>
          <w:b/>
          <w:bCs/>
          <w:color w:val="000000"/>
          <w:sz w:val="22"/>
          <w:szCs w:val="22"/>
        </w:rPr>
      </w:pPr>
      <w:r w:rsidRPr="005B6D16">
        <w:rPr>
          <w:rFonts w:asciiTheme="minorHAnsi" w:hAnsiTheme="minorHAnsi" w:cstheme="minorHAnsi"/>
          <w:b/>
          <w:bCs/>
          <w:color w:val="000000"/>
          <w:sz w:val="22"/>
          <w:szCs w:val="22"/>
        </w:rPr>
        <w:t>9. Transaction success and programme success need to be distinguished more clearly</w:t>
      </w:r>
    </w:p>
    <w:p w14:paraId="0B761DB0" w14:textId="0CC147C6" w:rsidR="008F3234" w:rsidRPr="005B6D16" w:rsidRDefault="00D64B89" w:rsidP="008F3234">
      <w:pPr>
        <w:pStyle w:val="NormalWeb"/>
        <w:rPr>
          <w:rStyle w:val="apple-converted-space"/>
          <w:rFonts w:asciiTheme="minorHAnsi" w:hAnsiTheme="minorHAnsi" w:cstheme="minorHAnsi"/>
          <w:color w:val="000000"/>
          <w:sz w:val="22"/>
          <w:szCs w:val="22"/>
        </w:rPr>
      </w:pPr>
      <w:r w:rsidRPr="005B6D16">
        <w:rPr>
          <w:rFonts w:asciiTheme="minorHAnsi" w:hAnsiTheme="minorHAnsi" w:cstheme="minorHAnsi"/>
          <w:color w:val="000000"/>
          <w:sz w:val="22"/>
          <w:szCs w:val="22"/>
        </w:rPr>
        <w:t>S</w:t>
      </w:r>
      <w:r w:rsidR="008F3234" w:rsidRPr="005B6D16">
        <w:rPr>
          <w:rFonts w:asciiTheme="minorHAnsi" w:hAnsiTheme="minorHAnsi" w:cstheme="minorHAnsi"/>
          <w:color w:val="000000"/>
          <w:sz w:val="22"/>
          <w:szCs w:val="22"/>
        </w:rPr>
        <w:t xml:space="preserve">trong transactions do not automatically translate into a strong bilateral programme. AVETP </w:t>
      </w:r>
      <w:r w:rsidRPr="005B6D16">
        <w:rPr>
          <w:rFonts w:asciiTheme="minorHAnsi" w:hAnsiTheme="minorHAnsi" w:cstheme="minorHAnsi"/>
          <w:color w:val="000000"/>
          <w:sz w:val="22"/>
          <w:szCs w:val="22"/>
        </w:rPr>
        <w:t xml:space="preserve">should </w:t>
      </w:r>
      <w:r w:rsidR="008F3234" w:rsidRPr="005B6D16">
        <w:rPr>
          <w:rFonts w:asciiTheme="minorHAnsi" w:hAnsiTheme="minorHAnsi" w:cstheme="minorHAnsi"/>
          <w:color w:val="000000"/>
          <w:sz w:val="22"/>
          <w:szCs w:val="22"/>
        </w:rPr>
        <w:t xml:space="preserve">be managed through two connected lenses: one focused on transaction quality and delivery, and another </w:t>
      </w:r>
      <w:r w:rsidR="00BD60DC" w:rsidRPr="005B6D16">
        <w:rPr>
          <w:rFonts w:asciiTheme="minorHAnsi" w:hAnsiTheme="minorHAnsi" w:cstheme="minorHAnsi"/>
          <w:color w:val="000000"/>
          <w:sz w:val="22"/>
          <w:szCs w:val="22"/>
        </w:rPr>
        <w:t>focused-on</w:t>
      </w:r>
      <w:r w:rsidR="008F3234" w:rsidRPr="005B6D16">
        <w:rPr>
          <w:rFonts w:asciiTheme="minorHAnsi" w:hAnsiTheme="minorHAnsi" w:cstheme="minorHAnsi"/>
          <w:color w:val="000000"/>
          <w:sz w:val="22"/>
          <w:szCs w:val="22"/>
        </w:rPr>
        <w:t xml:space="preserve"> programme level coordination,</w:t>
      </w:r>
      <w:r w:rsidRPr="005B6D16">
        <w:rPr>
          <w:rFonts w:asciiTheme="minorHAnsi" w:hAnsiTheme="minorHAnsi" w:cstheme="minorHAnsi"/>
          <w:color w:val="000000"/>
          <w:sz w:val="22"/>
          <w:szCs w:val="22"/>
        </w:rPr>
        <w:t xml:space="preserve"> visibility,</w:t>
      </w:r>
      <w:r w:rsidR="008F3234" w:rsidRPr="005B6D16">
        <w:rPr>
          <w:rFonts w:asciiTheme="minorHAnsi" w:hAnsiTheme="minorHAnsi" w:cstheme="minorHAnsi"/>
          <w:color w:val="000000"/>
          <w:sz w:val="22"/>
          <w:szCs w:val="22"/>
        </w:rPr>
        <w:t xml:space="preserve"> reporting, and bilateral value.</w:t>
      </w:r>
      <w:r w:rsidR="008F3234" w:rsidRPr="005B6D16">
        <w:rPr>
          <w:rStyle w:val="apple-converted-space"/>
          <w:rFonts w:asciiTheme="minorHAnsi" w:hAnsiTheme="minorHAnsi" w:cstheme="minorHAnsi"/>
          <w:color w:val="000000"/>
          <w:sz w:val="22"/>
          <w:szCs w:val="22"/>
        </w:rPr>
        <w:t> </w:t>
      </w:r>
    </w:p>
    <w:p w14:paraId="62A9F7A1" w14:textId="0581219E" w:rsidR="00027CA4" w:rsidRDefault="00027CA4">
      <w:pPr>
        <w:spacing w:before="120" w:after="120"/>
        <w:rPr>
          <w:lang w:eastAsia="en-US"/>
        </w:rPr>
      </w:pPr>
      <w:r>
        <w:rPr>
          <w:lang w:eastAsia="en-US"/>
        </w:rPr>
        <w:br w:type="page"/>
      </w:r>
    </w:p>
    <w:p w14:paraId="32737EC8" w14:textId="4595CB91" w:rsidR="007F6E50" w:rsidRPr="009C3F1F" w:rsidRDefault="003B38F5" w:rsidP="003D231F">
      <w:pPr>
        <w:pStyle w:val="Heading1"/>
      </w:pPr>
      <w:bookmarkStart w:id="65" w:name="_Toc226976866"/>
      <w:bookmarkStart w:id="66" w:name="_Toc233026604"/>
      <w:r>
        <w:lastRenderedPageBreak/>
        <w:t>Annex</w:t>
      </w:r>
      <w:r w:rsidR="003D231F">
        <w:t>es</w:t>
      </w:r>
      <w:r w:rsidR="007F6E50" w:rsidRPr="009C3F1F">
        <w:t>: Illustrative Case Studies of AVETP-Supported Transactions</w:t>
      </w:r>
      <w:bookmarkEnd w:id="65"/>
      <w:bookmarkEnd w:id="66"/>
    </w:p>
    <w:p w14:paraId="13D3937A" w14:textId="77777777" w:rsidR="007F6E50" w:rsidRPr="005B6D16" w:rsidRDefault="007F6E50" w:rsidP="007F6E50">
      <w:pPr>
        <w:rPr>
          <w:rFonts w:asciiTheme="minorHAnsi" w:hAnsiTheme="minorHAnsi" w:cstheme="minorHAnsi"/>
          <w:sz w:val="22"/>
          <w:szCs w:val="22"/>
        </w:rPr>
      </w:pPr>
      <w:r w:rsidRPr="005B6D16">
        <w:rPr>
          <w:rFonts w:asciiTheme="minorHAnsi" w:hAnsiTheme="minorHAnsi" w:cstheme="minorHAnsi"/>
          <w:sz w:val="22"/>
          <w:szCs w:val="22"/>
        </w:rPr>
        <w:t>This section presents illustrative case studies of AVETP-supported transactions to complement the assessment of the two end-of-programme outcomes. Together, the case studies show how AVETP has contributed through different financing instruments and sectors, including e-mobility, rooftop solar, water infrastructure, circular manufacturing, and early-stage renewable energy platforms, while also highlighting differences in maturity, evidence strength, and expected pathways to impact. </w:t>
      </w:r>
    </w:p>
    <w:p w14:paraId="04D15DFF" w14:textId="7DE4B67E" w:rsidR="00611677" w:rsidRDefault="00611677" w:rsidP="0040259E">
      <w:pPr>
        <w:pStyle w:val="Caption"/>
        <w:keepNext/>
        <w:jc w:val="left"/>
      </w:pPr>
      <w:bookmarkStart w:id="67" w:name="_Toc230168212"/>
      <w:bookmarkStart w:id="68" w:name="_Toc233026568"/>
      <w:r>
        <w:t xml:space="preserve">Table </w:t>
      </w:r>
      <w:r>
        <w:fldChar w:fldCharType="begin"/>
      </w:r>
      <w:r>
        <w:instrText xml:space="preserve"> SEQ Table \* ARABIC </w:instrText>
      </w:r>
      <w:r>
        <w:fldChar w:fldCharType="separate"/>
      </w:r>
      <w:r w:rsidR="006C7E0E">
        <w:rPr>
          <w:noProof/>
        </w:rPr>
        <w:t>9</w:t>
      </w:r>
      <w:r>
        <w:fldChar w:fldCharType="end"/>
      </w:r>
      <w:r>
        <w:t>: Core Case Studies</w:t>
      </w:r>
      <w:bookmarkEnd w:id="67"/>
      <w:bookmarkEnd w:id="68"/>
      <w:r w:rsidR="001B2657">
        <w:t xml:space="preserve"> </w:t>
      </w:r>
    </w:p>
    <w:tbl>
      <w:tblPr>
        <w:tblStyle w:val="CBSTable1"/>
        <w:tblW w:w="0" w:type="auto"/>
        <w:tblLook w:val="04A0" w:firstRow="1" w:lastRow="0" w:firstColumn="1" w:lastColumn="0" w:noHBand="0" w:noVBand="1"/>
      </w:tblPr>
      <w:tblGrid>
        <w:gridCol w:w="1028"/>
        <w:gridCol w:w="3672"/>
        <w:gridCol w:w="5489"/>
      </w:tblGrid>
      <w:tr w:rsidR="007F6E50" w:rsidRPr="00B34CFE" w14:paraId="0ECBE3DA" w14:textId="77777777" w:rsidTr="0047596E">
        <w:trPr>
          <w:tblHeader/>
        </w:trPr>
        <w:tc>
          <w:tcPr>
            <w:tcW w:w="0" w:type="auto"/>
            <w:shd w:val="clear" w:color="auto" w:fill="0065BC" w:themeFill="background2"/>
            <w:hideMark/>
          </w:tcPr>
          <w:p w14:paraId="03E054EB" w14:textId="77777777" w:rsidR="007F6E50" w:rsidRPr="00B34CFE" w:rsidRDefault="007F6E50">
            <w:pPr>
              <w:jc w:val="center"/>
              <w:rPr>
                <w:rFonts w:asciiTheme="minorHAnsi" w:hAnsiTheme="minorHAnsi" w:cstheme="minorHAnsi"/>
                <w:b/>
                <w:bCs/>
                <w:color w:val="FFFFFF" w:themeColor="background1"/>
                <w:sz w:val="20"/>
                <w:szCs w:val="20"/>
              </w:rPr>
            </w:pPr>
            <w:r w:rsidRPr="00B34CFE">
              <w:rPr>
                <w:rFonts w:asciiTheme="minorHAnsi" w:hAnsiTheme="minorHAnsi" w:cstheme="minorHAnsi"/>
                <w:b/>
                <w:bCs/>
                <w:color w:val="FFFFFF" w:themeColor="background1"/>
                <w:sz w:val="20"/>
                <w:szCs w:val="20"/>
              </w:rPr>
              <w:t>Case study</w:t>
            </w:r>
          </w:p>
        </w:tc>
        <w:tc>
          <w:tcPr>
            <w:tcW w:w="0" w:type="auto"/>
            <w:shd w:val="clear" w:color="auto" w:fill="0065BC" w:themeFill="background2"/>
            <w:hideMark/>
          </w:tcPr>
          <w:p w14:paraId="5026707F" w14:textId="77777777" w:rsidR="007F6E50" w:rsidRPr="00B34CFE" w:rsidRDefault="007F6E50">
            <w:pPr>
              <w:jc w:val="center"/>
              <w:rPr>
                <w:rFonts w:asciiTheme="minorHAnsi" w:hAnsiTheme="minorHAnsi" w:cstheme="minorHAnsi"/>
                <w:b/>
                <w:bCs/>
                <w:color w:val="FFFFFF" w:themeColor="background1"/>
                <w:sz w:val="20"/>
                <w:szCs w:val="20"/>
              </w:rPr>
            </w:pPr>
            <w:r w:rsidRPr="00B34CFE">
              <w:rPr>
                <w:rFonts w:asciiTheme="minorHAnsi" w:hAnsiTheme="minorHAnsi" w:cstheme="minorHAnsi"/>
                <w:b/>
                <w:bCs/>
                <w:color w:val="FFFFFF" w:themeColor="background1"/>
                <w:sz w:val="20"/>
                <w:szCs w:val="20"/>
              </w:rPr>
              <w:t>Short summary</w:t>
            </w:r>
          </w:p>
        </w:tc>
        <w:tc>
          <w:tcPr>
            <w:tcW w:w="0" w:type="auto"/>
            <w:shd w:val="clear" w:color="auto" w:fill="0065BC" w:themeFill="background2"/>
            <w:hideMark/>
          </w:tcPr>
          <w:p w14:paraId="6DB689A8" w14:textId="77777777" w:rsidR="007F6E50" w:rsidRPr="00B34CFE" w:rsidRDefault="007F6E50">
            <w:pPr>
              <w:jc w:val="center"/>
              <w:rPr>
                <w:rFonts w:asciiTheme="minorHAnsi" w:hAnsiTheme="minorHAnsi" w:cstheme="minorHAnsi"/>
                <w:b/>
                <w:bCs/>
                <w:color w:val="FFFFFF" w:themeColor="background1"/>
                <w:sz w:val="20"/>
                <w:szCs w:val="20"/>
              </w:rPr>
            </w:pPr>
            <w:r w:rsidRPr="00B34CFE">
              <w:rPr>
                <w:rFonts w:asciiTheme="minorHAnsi" w:hAnsiTheme="minorHAnsi" w:cstheme="minorHAnsi"/>
                <w:b/>
                <w:bCs/>
                <w:color w:val="FFFFFF" w:themeColor="background1"/>
                <w:sz w:val="20"/>
                <w:szCs w:val="20"/>
              </w:rPr>
              <w:t>Key outcomes</w:t>
            </w:r>
          </w:p>
        </w:tc>
      </w:tr>
      <w:tr w:rsidR="007F6E50" w:rsidRPr="00B34CFE" w14:paraId="5375FF09" w14:textId="77777777">
        <w:tc>
          <w:tcPr>
            <w:tcW w:w="0" w:type="auto"/>
            <w:hideMark/>
          </w:tcPr>
          <w:p w14:paraId="3EF0D260" w14:textId="77777777" w:rsidR="007F6E50" w:rsidRPr="00303565" w:rsidRDefault="007F6E50">
            <w:pPr>
              <w:rPr>
                <w:rFonts w:asciiTheme="minorHAnsi" w:hAnsiTheme="minorHAnsi" w:cstheme="minorHAnsi"/>
                <w:color w:val="000000"/>
                <w:sz w:val="20"/>
                <w:szCs w:val="20"/>
              </w:rPr>
            </w:pPr>
            <w:r w:rsidRPr="00303565">
              <w:rPr>
                <w:rStyle w:val="Strong"/>
                <w:rFonts w:asciiTheme="minorHAnsi" w:hAnsiTheme="minorHAnsi" w:cstheme="minorHAnsi"/>
                <w:color w:val="000000"/>
                <w:sz w:val="20"/>
                <w:szCs w:val="20"/>
              </w:rPr>
              <w:t>Dat Bike</w:t>
            </w:r>
          </w:p>
        </w:tc>
        <w:tc>
          <w:tcPr>
            <w:tcW w:w="0" w:type="auto"/>
            <w:hideMark/>
          </w:tcPr>
          <w:p w14:paraId="37C37ED9" w14:textId="77777777" w:rsidR="007F6E50" w:rsidRPr="00303565" w:rsidRDefault="007F6E50">
            <w:pPr>
              <w:rPr>
                <w:rFonts w:asciiTheme="minorHAnsi" w:hAnsiTheme="minorHAnsi" w:cstheme="minorHAnsi"/>
                <w:color w:val="000000"/>
                <w:sz w:val="20"/>
                <w:szCs w:val="20"/>
              </w:rPr>
            </w:pPr>
            <w:r w:rsidRPr="00303565">
              <w:rPr>
                <w:rFonts w:asciiTheme="minorHAnsi" w:hAnsiTheme="minorHAnsi" w:cstheme="minorHAnsi"/>
                <w:color w:val="000000"/>
                <w:sz w:val="20"/>
                <w:szCs w:val="20"/>
              </w:rPr>
              <w:t xml:space="preserve">Support to a domestic electric mobility company through </w:t>
            </w:r>
            <w:proofErr w:type="spellStart"/>
            <w:r w:rsidRPr="00303565">
              <w:rPr>
                <w:rFonts w:asciiTheme="minorHAnsi" w:hAnsiTheme="minorHAnsi" w:cstheme="minorHAnsi"/>
                <w:color w:val="000000"/>
                <w:sz w:val="20"/>
                <w:szCs w:val="20"/>
              </w:rPr>
              <w:t>InfraCo</w:t>
            </w:r>
            <w:proofErr w:type="spellEnd"/>
            <w:r w:rsidRPr="00303565">
              <w:rPr>
                <w:rFonts w:asciiTheme="minorHAnsi" w:hAnsiTheme="minorHAnsi" w:cstheme="minorHAnsi"/>
                <w:color w:val="000000"/>
                <w:sz w:val="20"/>
                <w:szCs w:val="20"/>
              </w:rPr>
              <w:t xml:space="preserve"> debt financing helped address working capital constraints and strengthen internal systems.</w:t>
            </w:r>
          </w:p>
        </w:tc>
        <w:tc>
          <w:tcPr>
            <w:tcW w:w="0" w:type="auto"/>
            <w:hideMark/>
          </w:tcPr>
          <w:p w14:paraId="61E619BB" w14:textId="77777777" w:rsidR="007F6E50" w:rsidRPr="00303565" w:rsidRDefault="007F6E50">
            <w:pPr>
              <w:rPr>
                <w:rFonts w:asciiTheme="minorHAnsi" w:hAnsiTheme="minorHAnsi" w:cstheme="minorHAnsi"/>
                <w:color w:val="000000"/>
                <w:sz w:val="20"/>
                <w:szCs w:val="20"/>
              </w:rPr>
            </w:pPr>
            <w:r w:rsidRPr="00303565">
              <w:rPr>
                <w:rFonts w:asciiTheme="minorHAnsi" w:hAnsiTheme="minorHAnsi" w:cstheme="minorHAnsi"/>
                <w:color w:val="000000"/>
                <w:sz w:val="20"/>
                <w:szCs w:val="20"/>
              </w:rPr>
              <w:t>Major production and sales growth, expanded retail footprint, broader access to lower-priced models, improved investment readiness, and estimated annual avoided emissions of</w:t>
            </w:r>
            <w:r w:rsidRPr="00303565">
              <w:rPr>
                <w:rStyle w:val="apple-converted-space"/>
                <w:rFonts w:asciiTheme="minorHAnsi" w:hAnsiTheme="minorHAnsi" w:cstheme="minorHAnsi"/>
                <w:color w:val="000000"/>
                <w:sz w:val="20"/>
                <w:szCs w:val="20"/>
              </w:rPr>
              <w:t> </w:t>
            </w:r>
            <w:r w:rsidRPr="00303565">
              <w:rPr>
                <w:rStyle w:val="Strong"/>
                <w:rFonts w:asciiTheme="minorHAnsi" w:hAnsiTheme="minorHAnsi" w:cstheme="minorHAnsi"/>
                <w:color w:val="000000"/>
                <w:sz w:val="20"/>
                <w:szCs w:val="20"/>
              </w:rPr>
              <w:t>13,140 tCO2</w:t>
            </w:r>
            <w:r w:rsidRPr="00303565">
              <w:rPr>
                <w:rFonts w:asciiTheme="minorHAnsi" w:hAnsiTheme="minorHAnsi" w:cstheme="minorHAnsi"/>
                <w:color w:val="000000"/>
                <w:sz w:val="20"/>
                <w:szCs w:val="20"/>
              </w:rPr>
              <w:t>.</w:t>
            </w:r>
          </w:p>
        </w:tc>
      </w:tr>
      <w:tr w:rsidR="007F6E50" w:rsidRPr="00B34CFE" w14:paraId="14EE969F" w14:textId="77777777">
        <w:tc>
          <w:tcPr>
            <w:tcW w:w="0" w:type="auto"/>
            <w:hideMark/>
          </w:tcPr>
          <w:p w14:paraId="24A1A65D" w14:textId="77777777" w:rsidR="007F6E50" w:rsidRPr="00303565" w:rsidRDefault="007F6E50">
            <w:pPr>
              <w:rPr>
                <w:rFonts w:asciiTheme="minorHAnsi" w:hAnsiTheme="minorHAnsi" w:cstheme="minorHAnsi"/>
                <w:color w:val="000000"/>
                <w:sz w:val="20"/>
                <w:szCs w:val="20"/>
              </w:rPr>
            </w:pPr>
            <w:r w:rsidRPr="00303565">
              <w:rPr>
                <w:rStyle w:val="Strong"/>
                <w:rFonts w:asciiTheme="minorHAnsi" w:hAnsiTheme="minorHAnsi" w:cstheme="minorHAnsi"/>
                <w:color w:val="000000"/>
                <w:sz w:val="20"/>
                <w:szCs w:val="20"/>
              </w:rPr>
              <w:t>Aqua-One</w:t>
            </w:r>
          </w:p>
        </w:tc>
        <w:tc>
          <w:tcPr>
            <w:tcW w:w="0" w:type="auto"/>
            <w:hideMark/>
          </w:tcPr>
          <w:p w14:paraId="68780EA1" w14:textId="77777777" w:rsidR="007F6E50" w:rsidRPr="00303565" w:rsidRDefault="007F6E50">
            <w:pPr>
              <w:rPr>
                <w:rFonts w:asciiTheme="minorHAnsi" w:hAnsiTheme="minorHAnsi" w:cstheme="minorHAnsi"/>
                <w:color w:val="000000"/>
                <w:sz w:val="20"/>
                <w:szCs w:val="20"/>
              </w:rPr>
            </w:pPr>
            <w:r w:rsidRPr="00303565">
              <w:rPr>
                <w:rFonts w:asciiTheme="minorHAnsi" w:hAnsiTheme="minorHAnsi" w:cstheme="minorHAnsi"/>
                <w:color w:val="000000"/>
                <w:sz w:val="20"/>
                <w:szCs w:val="20"/>
              </w:rPr>
              <w:t xml:space="preserve">Blended finance through a green bond guarantee, </w:t>
            </w:r>
            <w:proofErr w:type="spellStart"/>
            <w:r w:rsidRPr="00303565">
              <w:rPr>
                <w:rFonts w:asciiTheme="minorHAnsi" w:hAnsiTheme="minorHAnsi" w:cstheme="minorHAnsi"/>
                <w:color w:val="000000"/>
                <w:sz w:val="20"/>
                <w:szCs w:val="20"/>
              </w:rPr>
              <w:t>InfraCo</w:t>
            </w:r>
            <w:proofErr w:type="spellEnd"/>
            <w:r w:rsidRPr="00303565">
              <w:rPr>
                <w:rFonts w:asciiTheme="minorHAnsi" w:hAnsiTheme="minorHAnsi" w:cstheme="minorHAnsi"/>
                <w:color w:val="000000"/>
                <w:sz w:val="20"/>
                <w:szCs w:val="20"/>
              </w:rPr>
              <w:t xml:space="preserve"> equity, and technical strengthening supported a large water infrastructure project with climate co-benefits.</w:t>
            </w:r>
          </w:p>
        </w:tc>
        <w:tc>
          <w:tcPr>
            <w:tcW w:w="0" w:type="auto"/>
            <w:hideMark/>
          </w:tcPr>
          <w:p w14:paraId="60D63650" w14:textId="77777777" w:rsidR="007F6E50" w:rsidRPr="00303565" w:rsidRDefault="007F6E50">
            <w:pPr>
              <w:rPr>
                <w:rFonts w:asciiTheme="minorHAnsi" w:hAnsiTheme="minorHAnsi" w:cstheme="minorHAnsi"/>
                <w:color w:val="000000"/>
                <w:sz w:val="20"/>
                <w:szCs w:val="20"/>
              </w:rPr>
            </w:pPr>
            <w:r w:rsidRPr="00303565">
              <w:rPr>
                <w:rFonts w:asciiTheme="minorHAnsi" w:hAnsiTheme="minorHAnsi" w:cstheme="minorHAnsi"/>
                <w:color w:val="000000"/>
                <w:sz w:val="20"/>
                <w:szCs w:val="20"/>
              </w:rPr>
              <w:t>More favourable financing terms, faster project progression,</w:t>
            </w:r>
            <w:r w:rsidRPr="00303565">
              <w:rPr>
                <w:rStyle w:val="apple-converted-space"/>
                <w:rFonts w:asciiTheme="minorHAnsi" w:hAnsiTheme="minorHAnsi" w:cstheme="minorHAnsi"/>
                <w:color w:val="000000"/>
                <w:sz w:val="20"/>
                <w:szCs w:val="20"/>
              </w:rPr>
              <w:t> </w:t>
            </w:r>
            <w:r w:rsidRPr="00303565">
              <w:rPr>
                <w:rStyle w:val="Strong"/>
                <w:rFonts w:asciiTheme="minorHAnsi" w:hAnsiTheme="minorHAnsi" w:cstheme="minorHAnsi"/>
                <w:color w:val="000000"/>
                <w:sz w:val="20"/>
                <w:szCs w:val="20"/>
              </w:rPr>
              <w:t>150,000 m³/day</w:t>
            </w:r>
            <w:r w:rsidRPr="00303565">
              <w:rPr>
                <w:rStyle w:val="apple-converted-space"/>
                <w:rFonts w:asciiTheme="minorHAnsi" w:hAnsiTheme="minorHAnsi" w:cstheme="minorHAnsi"/>
                <w:color w:val="000000"/>
                <w:sz w:val="20"/>
                <w:szCs w:val="20"/>
              </w:rPr>
              <w:t> </w:t>
            </w:r>
            <w:r w:rsidRPr="00303565">
              <w:rPr>
                <w:rFonts w:asciiTheme="minorHAnsi" w:hAnsiTheme="minorHAnsi" w:cstheme="minorHAnsi"/>
                <w:color w:val="000000"/>
                <w:sz w:val="20"/>
                <w:szCs w:val="20"/>
              </w:rPr>
              <w:t>water treatment capacity, potential service access for</w:t>
            </w:r>
            <w:r w:rsidRPr="00303565">
              <w:rPr>
                <w:rStyle w:val="apple-converted-space"/>
                <w:rFonts w:asciiTheme="minorHAnsi" w:hAnsiTheme="minorHAnsi" w:cstheme="minorHAnsi"/>
                <w:color w:val="000000"/>
                <w:sz w:val="20"/>
                <w:szCs w:val="20"/>
              </w:rPr>
              <w:t> </w:t>
            </w:r>
            <w:r w:rsidRPr="00303565">
              <w:rPr>
                <w:rStyle w:val="Strong"/>
                <w:rFonts w:asciiTheme="minorHAnsi" w:hAnsiTheme="minorHAnsi" w:cstheme="minorHAnsi"/>
                <w:color w:val="000000"/>
                <w:sz w:val="20"/>
                <w:szCs w:val="20"/>
              </w:rPr>
              <w:t>1.5 million people</w:t>
            </w:r>
            <w:r w:rsidRPr="00303565">
              <w:rPr>
                <w:rFonts w:asciiTheme="minorHAnsi" w:hAnsiTheme="minorHAnsi" w:cstheme="minorHAnsi"/>
                <w:color w:val="000000"/>
                <w:sz w:val="20"/>
                <w:szCs w:val="20"/>
              </w:rPr>
              <w:t>, stronger HSES systems, and estimated rooftop solar emissions savings of</w:t>
            </w:r>
            <w:r w:rsidRPr="00303565">
              <w:rPr>
                <w:rStyle w:val="apple-converted-space"/>
                <w:rFonts w:asciiTheme="minorHAnsi" w:hAnsiTheme="minorHAnsi" w:cstheme="minorHAnsi"/>
                <w:color w:val="000000"/>
                <w:sz w:val="20"/>
                <w:szCs w:val="20"/>
              </w:rPr>
              <w:t> </w:t>
            </w:r>
            <w:r w:rsidRPr="00303565">
              <w:rPr>
                <w:rStyle w:val="Strong"/>
                <w:rFonts w:asciiTheme="minorHAnsi" w:hAnsiTheme="minorHAnsi" w:cstheme="minorHAnsi"/>
                <w:color w:val="000000"/>
                <w:sz w:val="20"/>
                <w:szCs w:val="20"/>
              </w:rPr>
              <w:t>800–1,000 tCO2/year</w:t>
            </w:r>
            <w:r w:rsidRPr="00303565">
              <w:rPr>
                <w:rFonts w:asciiTheme="minorHAnsi" w:hAnsiTheme="minorHAnsi" w:cstheme="minorHAnsi"/>
                <w:color w:val="000000"/>
                <w:sz w:val="20"/>
                <w:szCs w:val="20"/>
              </w:rPr>
              <w:t>.</w:t>
            </w:r>
          </w:p>
        </w:tc>
      </w:tr>
      <w:tr w:rsidR="007F6E50" w:rsidRPr="00B34CFE" w14:paraId="07254457" w14:textId="77777777">
        <w:tc>
          <w:tcPr>
            <w:tcW w:w="0" w:type="auto"/>
            <w:hideMark/>
          </w:tcPr>
          <w:p w14:paraId="20151965" w14:textId="77777777" w:rsidR="007F6E50" w:rsidRPr="00303565" w:rsidRDefault="007F6E50">
            <w:pPr>
              <w:rPr>
                <w:rFonts w:asciiTheme="minorHAnsi" w:hAnsiTheme="minorHAnsi" w:cstheme="minorHAnsi"/>
                <w:color w:val="000000"/>
                <w:sz w:val="20"/>
                <w:szCs w:val="20"/>
              </w:rPr>
            </w:pPr>
            <w:r w:rsidRPr="00303565">
              <w:rPr>
                <w:rStyle w:val="Strong"/>
                <w:rFonts w:asciiTheme="minorHAnsi" w:hAnsiTheme="minorHAnsi" w:cstheme="minorHAnsi"/>
                <w:color w:val="000000"/>
                <w:sz w:val="20"/>
                <w:szCs w:val="20"/>
              </w:rPr>
              <w:t>BPG Plastic</w:t>
            </w:r>
          </w:p>
        </w:tc>
        <w:tc>
          <w:tcPr>
            <w:tcW w:w="0" w:type="auto"/>
            <w:hideMark/>
          </w:tcPr>
          <w:p w14:paraId="647C040B" w14:textId="77777777" w:rsidR="007F6E50" w:rsidRPr="00303565" w:rsidRDefault="007F6E50">
            <w:pPr>
              <w:rPr>
                <w:rFonts w:asciiTheme="minorHAnsi" w:hAnsiTheme="minorHAnsi" w:cstheme="minorHAnsi"/>
                <w:color w:val="000000"/>
                <w:sz w:val="20"/>
                <w:szCs w:val="20"/>
              </w:rPr>
            </w:pPr>
            <w:proofErr w:type="spellStart"/>
            <w:r w:rsidRPr="00303565">
              <w:rPr>
                <w:rFonts w:asciiTheme="minorHAnsi" w:hAnsiTheme="minorHAnsi" w:cstheme="minorHAnsi"/>
                <w:color w:val="000000"/>
                <w:sz w:val="20"/>
                <w:szCs w:val="20"/>
              </w:rPr>
              <w:t>GuarantCo</w:t>
            </w:r>
            <w:proofErr w:type="spellEnd"/>
            <w:r w:rsidRPr="00303565">
              <w:rPr>
                <w:rFonts w:asciiTheme="minorHAnsi" w:hAnsiTheme="minorHAnsi" w:cstheme="minorHAnsi"/>
                <w:color w:val="000000"/>
                <w:sz w:val="20"/>
                <w:szCs w:val="20"/>
              </w:rPr>
              <w:t>-supported green bond finance helped expand recycling operations and new factory development while strengthening internal systems.</w:t>
            </w:r>
          </w:p>
        </w:tc>
        <w:tc>
          <w:tcPr>
            <w:tcW w:w="0" w:type="auto"/>
            <w:hideMark/>
          </w:tcPr>
          <w:p w14:paraId="04B3F75C" w14:textId="77777777" w:rsidR="007F6E50" w:rsidRPr="00303565" w:rsidRDefault="007F6E50">
            <w:pPr>
              <w:rPr>
                <w:rFonts w:asciiTheme="minorHAnsi" w:hAnsiTheme="minorHAnsi" w:cstheme="minorHAnsi"/>
                <w:color w:val="000000"/>
                <w:sz w:val="20"/>
                <w:szCs w:val="20"/>
              </w:rPr>
            </w:pPr>
            <w:r w:rsidRPr="00303565">
              <w:rPr>
                <w:rFonts w:asciiTheme="minorHAnsi" w:hAnsiTheme="minorHAnsi" w:cstheme="minorHAnsi"/>
                <w:color w:val="000000"/>
                <w:sz w:val="20"/>
                <w:szCs w:val="20"/>
              </w:rPr>
              <w:t>First green bond in Vietnam’s plastics sector, stronger recycling capacity, increased use of recycled inputs, reduced virgin plastic demand, stronger HSES processes, and wider market signalling for circular manufacturing finance.</w:t>
            </w:r>
          </w:p>
        </w:tc>
      </w:tr>
      <w:tr w:rsidR="007F6E50" w:rsidRPr="00B34CFE" w14:paraId="3B4022BA" w14:textId="77777777">
        <w:tc>
          <w:tcPr>
            <w:tcW w:w="0" w:type="auto"/>
            <w:hideMark/>
          </w:tcPr>
          <w:p w14:paraId="3BBB6EC2" w14:textId="77777777" w:rsidR="007F6E50" w:rsidRPr="00303565" w:rsidRDefault="007F6E50">
            <w:pPr>
              <w:rPr>
                <w:rFonts w:asciiTheme="minorHAnsi" w:hAnsiTheme="minorHAnsi" w:cstheme="minorHAnsi"/>
                <w:color w:val="000000"/>
                <w:sz w:val="20"/>
                <w:szCs w:val="20"/>
              </w:rPr>
            </w:pPr>
            <w:r w:rsidRPr="00303565">
              <w:rPr>
                <w:rStyle w:val="Strong"/>
                <w:rFonts w:asciiTheme="minorHAnsi" w:hAnsiTheme="minorHAnsi" w:cstheme="minorHAnsi"/>
                <w:color w:val="000000"/>
                <w:sz w:val="20"/>
                <w:szCs w:val="20"/>
              </w:rPr>
              <w:t>August Energy</w:t>
            </w:r>
          </w:p>
        </w:tc>
        <w:tc>
          <w:tcPr>
            <w:tcW w:w="0" w:type="auto"/>
            <w:hideMark/>
          </w:tcPr>
          <w:p w14:paraId="2094E850" w14:textId="77777777" w:rsidR="007F6E50" w:rsidRPr="00303565" w:rsidRDefault="007F6E50">
            <w:pPr>
              <w:rPr>
                <w:rFonts w:asciiTheme="minorHAnsi" w:hAnsiTheme="minorHAnsi" w:cstheme="minorHAnsi"/>
                <w:color w:val="000000"/>
                <w:sz w:val="20"/>
                <w:szCs w:val="20"/>
              </w:rPr>
            </w:pPr>
            <w:proofErr w:type="spellStart"/>
            <w:r w:rsidRPr="00303565">
              <w:rPr>
                <w:rFonts w:asciiTheme="minorHAnsi" w:hAnsiTheme="minorHAnsi" w:cstheme="minorHAnsi"/>
                <w:color w:val="000000"/>
                <w:sz w:val="20"/>
                <w:szCs w:val="20"/>
              </w:rPr>
              <w:t>InfraCo</w:t>
            </w:r>
            <w:proofErr w:type="spellEnd"/>
            <w:r w:rsidRPr="00303565">
              <w:rPr>
                <w:rFonts w:asciiTheme="minorHAnsi" w:hAnsiTheme="minorHAnsi" w:cstheme="minorHAnsi"/>
                <w:color w:val="000000"/>
                <w:sz w:val="20"/>
                <w:szCs w:val="20"/>
              </w:rPr>
              <w:t>-backed platform finance supported earlier entry into Vietnam, a local delivery partnership, and pipeline development for solar and cooling projects.</w:t>
            </w:r>
          </w:p>
        </w:tc>
        <w:tc>
          <w:tcPr>
            <w:tcW w:w="0" w:type="auto"/>
            <w:hideMark/>
          </w:tcPr>
          <w:p w14:paraId="0BA104C1" w14:textId="77777777" w:rsidR="007F6E50" w:rsidRPr="00303565" w:rsidRDefault="007F6E50">
            <w:pPr>
              <w:rPr>
                <w:rFonts w:asciiTheme="minorHAnsi" w:hAnsiTheme="minorHAnsi" w:cstheme="minorHAnsi"/>
                <w:color w:val="000000"/>
                <w:sz w:val="20"/>
                <w:szCs w:val="20"/>
              </w:rPr>
            </w:pPr>
            <w:r w:rsidRPr="00303565">
              <w:rPr>
                <w:rFonts w:asciiTheme="minorHAnsi" w:hAnsiTheme="minorHAnsi" w:cstheme="minorHAnsi"/>
                <w:color w:val="000000"/>
                <w:sz w:val="20"/>
                <w:szCs w:val="20"/>
              </w:rPr>
              <w:t>Established local origination platform, first cooling project approved, projected pathway to</w:t>
            </w:r>
            <w:r w:rsidRPr="00303565">
              <w:rPr>
                <w:rStyle w:val="apple-converted-space"/>
                <w:rFonts w:asciiTheme="minorHAnsi" w:hAnsiTheme="minorHAnsi" w:cstheme="minorHAnsi"/>
                <w:color w:val="000000"/>
                <w:sz w:val="20"/>
                <w:szCs w:val="20"/>
              </w:rPr>
              <w:t> </w:t>
            </w:r>
            <w:r w:rsidRPr="00303565">
              <w:rPr>
                <w:rStyle w:val="Strong"/>
                <w:rFonts w:asciiTheme="minorHAnsi" w:hAnsiTheme="minorHAnsi" w:cstheme="minorHAnsi"/>
                <w:color w:val="000000"/>
                <w:sz w:val="20"/>
                <w:szCs w:val="20"/>
              </w:rPr>
              <w:t>200 MW</w:t>
            </w:r>
            <w:r w:rsidRPr="00303565">
              <w:rPr>
                <w:rStyle w:val="apple-converted-space"/>
                <w:rFonts w:asciiTheme="minorHAnsi" w:hAnsiTheme="minorHAnsi" w:cstheme="minorHAnsi"/>
                <w:color w:val="000000"/>
                <w:sz w:val="20"/>
                <w:szCs w:val="20"/>
              </w:rPr>
              <w:t> </w:t>
            </w:r>
            <w:r w:rsidRPr="00303565">
              <w:rPr>
                <w:rFonts w:asciiTheme="minorHAnsi" w:hAnsiTheme="minorHAnsi" w:cstheme="minorHAnsi"/>
                <w:color w:val="000000"/>
                <w:sz w:val="20"/>
                <w:szCs w:val="20"/>
              </w:rPr>
              <w:t>installed capacity by Year 3, and a pipeline capable of mobilising larger volumes of private capital over time.</w:t>
            </w:r>
          </w:p>
        </w:tc>
      </w:tr>
    </w:tbl>
    <w:p w14:paraId="25585B9B" w14:textId="2663B174" w:rsidR="00E65ADE" w:rsidRPr="00E65ADE" w:rsidRDefault="00E65ADE" w:rsidP="00E65ADE">
      <w:pPr>
        <w:spacing w:before="120" w:after="120"/>
        <w:rPr>
          <w:rFonts w:ascii="Source Sans Pro" w:hAnsi="Source Sans Pro" w:cs="Arial"/>
          <w:b/>
          <w:iCs/>
          <w:color w:val="003478" w:themeColor="accent1"/>
          <w:sz w:val="36"/>
          <w:szCs w:val="40"/>
          <w:lang w:eastAsia="en-US"/>
        </w:rPr>
      </w:pPr>
      <w:bookmarkStart w:id="69" w:name="_Toc226976867"/>
      <w:r>
        <w:br w:type="page"/>
      </w:r>
    </w:p>
    <w:p w14:paraId="3DD2F759" w14:textId="00A80EDA" w:rsidR="007F6E50" w:rsidRPr="00E70DBE" w:rsidRDefault="00E70DBE" w:rsidP="003D231F">
      <w:pPr>
        <w:pStyle w:val="Heading1"/>
        <w:rPr>
          <w:rStyle w:val="Bluetext"/>
          <w:color w:val="003478" w:themeColor="accent1"/>
        </w:rPr>
      </w:pPr>
      <w:bookmarkStart w:id="70" w:name="_Toc233026605"/>
      <w:r w:rsidRPr="00E70DBE">
        <w:lastRenderedPageBreak/>
        <w:t>Case Study: Dat Bike – E-mobility</w:t>
      </w:r>
      <w:bookmarkEnd w:id="70"/>
      <w:r w:rsidRPr="00E70DBE">
        <w:t xml:space="preserve"> </w:t>
      </w:r>
      <w:bookmarkEnd w:id="69"/>
    </w:p>
    <w:p w14:paraId="569128B4" w14:textId="409941F4" w:rsidR="00766A9D" w:rsidRPr="00E70DBE" w:rsidRDefault="007F6E50" w:rsidP="003D231F">
      <w:pPr>
        <w:pStyle w:val="Heading2"/>
      </w:pPr>
      <w:bookmarkStart w:id="71" w:name="_Toc233026606"/>
      <w:r w:rsidRPr="00E70DBE">
        <w:t>Context</w:t>
      </w:r>
      <w:bookmarkEnd w:id="71"/>
    </w:p>
    <w:p w14:paraId="68CFFE83" w14:textId="77777777" w:rsidR="007F6E50" w:rsidRPr="00303565" w:rsidRDefault="007F6E50" w:rsidP="007F6E50">
      <w:pPr>
        <w:pStyle w:val="NormalWeb"/>
        <w:rPr>
          <w:rFonts w:ascii="Arial" w:hAnsi="Arial" w:cs="Arial"/>
          <w:color w:val="000000"/>
          <w:sz w:val="22"/>
          <w:szCs w:val="22"/>
        </w:rPr>
      </w:pPr>
      <w:r w:rsidRPr="00303565">
        <w:rPr>
          <w:rFonts w:ascii="Arial" w:hAnsi="Arial" w:cs="Arial"/>
          <w:color w:val="000000"/>
          <w:sz w:val="22"/>
          <w:szCs w:val="22"/>
        </w:rPr>
        <w:t>Dat Bike is a Vietnamese electric motorbike company operating in a market where two-wheelers are central to daily mobility and urban economic activity. This makes the company relevant to Vietnam’s transition to cleaner transport. Before PIDG’s investment, Dat Bike had already established itself as a promising domestic player, but its growth was constrained by limited access to finance, relatively small production capacity, and a narrow retail footprint. Dat Bike reported that local bank lending was difficult to access because of collateral requirements. At the same time, the company needed working capital to strengthen operations, expand manufacturing, and improve performance. PIDG’s support therefore came at an important stage in the company’s growth.</w:t>
      </w:r>
      <w:r w:rsidRPr="00303565">
        <w:rPr>
          <w:rStyle w:val="apple-converted-space"/>
          <w:rFonts w:ascii="Arial" w:hAnsi="Arial" w:cs="Arial"/>
          <w:color w:val="000000"/>
          <w:sz w:val="22"/>
          <w:szCs w:val="22"/>
        </w:rPr>
        <w:t> </w:t>
      </w:r>
    </w:p>
    <w:p w14:paraId="0E63C6E7" w14:textId="77777777" w:rsidR="007F6E50" w:rsidRPr="00E70DBE" w:rsidRDefault="007F6E50" w:rsidP="003D231F">
      <w:pPr>
        <w:pStyle w:val="Heading2"/>
      </w:pPr>
      <w:bookmarkStart w:id="72" w:name="_Toc233026607"/>
      <w:r w:rsidRPr="00E70DBE">
        <w:t>PIDG support</w:t>
      </w:r>
      <w:bookmarkEnd w:id="72"/>
    </w:p>
    <w:p w14:paraId="24D24132" w14:textId="77777777" w:rsidR="007F6E50" w:rsidRPr="00303565" w:rsidRDefault="007F6E50" w:rsidP="007F6E50">
      <w:pPr>
        <w:pStyle w:val="NormalWeb"/>
        <w:rPr>
          <w:rFonts w:ascii="Arial" w:hAnsi="Arial" w:cs="Arial"/>
          <w:color w:val="000000"/>
          <w:sz w:val="22"/>
          <w:szCs w:val="22"/>
        </w:rPr>
      </w:pPr>
      <w:r w:rsidRPr="00303565">
        <w:rPr>
          <w:rFonts w:ascii="Arial" w:hAnsi="Arial" w:cs="Arial"/>
          <w:color w:val="000000"/>
          <w:sz w:val="22"/>
          <w:szCs w:val="22"/>
        </w:rPr>
        <w:t xml:space="preserve">Dat Bike received USD 4 million in debt financing from </w:t>
      </w:r>
      <w:proofErr w:type="spellStart"/>
      <w:r w:rsidRPr="00303565">
        <w:rPr>
          <w:rFonts w:ascii="Arial" w:hAnsi="Arial" w:cs="Arial"/>
          <w:color w:val="000000"/>
          <w:sz w:val="22"/>
          <w:szCs w:val="22"/>
        </w:rPr>
        <w:t>InfraCo</w:t>
      </w:r>
      <w:proofErr w:type="spellEnd"/>
      <w:r w:rsidRPr="00303565">
        <w:rPr>
          <w:rFonts w:ascii="Arial" w:hAnsi="Arial" w:cs="Arial"/>
          <w:color w:val="000000"/>
          <w:sz w:val="22"/>
          <w:szCs w:val="22"/>
        </w:rPr>
        <w:t xml:space="preserve"> Asia. According to the company, this support helped it manage working capital pressure, invest in manufacturing, expand plant capacity, and improve cost-to-performance. Dat Bike also reported that PIDG support went beyond finance. The company highlighted the value of due diligence, HSES guidance, monthly exchanges on safety incidents and good practice, and support to strengthen internal systems. While Dat Bike noted that PIDG’s due diligence process was longer than that of some other funders, it also stated that the process helped improve its internal standards and credibility.</w:t>
      </w:r>
      <w:r w:rsidRPr="00303565">
        <w:rPr>
          <w:rStyle w:val="apple-converted-space"/>
          <w:rFonts w:ascii="Arial" w:hAnsi="Arial" w:cs="Arial"/>
          <w:color w:val="000000"/>
          <w:sz w:val="22"/>
          <w:szCs w:val="22"/>
        </w:rPr>
        <w:t> </w:t>
      </w:r>
    </w:p>
    <w:p w14:paraId="311BD443" w14:textId="77777777" w:rsidR="007F6E50" w:rsidRPr="00E70DBE" w:rsidRDefault="007F6E50" w:rsidP="003D231F">
      <w:pPr>
        <w:pStyle w:val="Heading2"/>
      </w:pPr>
      <w:bookmarkStart w:id="73" w:name="_Toc233026608"/>
      <w:r w:rsidRPr="00E70DBE">
        <w:t>What changed</w:t>
      </w:r>
      <w:bookmarkEnd w:id="73"/>
    </w:p>
    <w:p w14:paraId="186C3F70" w14:textId="297A3CD6" w:rsidR="00DA7638" w:rsidRPr="00DA7638" w:rsidRDefault="00DA7638" w:rsidP="00DA7638">
      <w:pPr>
        <w:spacing w:before="100" w:beforeAutospacing="1" w:after="100" w:afterAutospacing="1"/>
        <w:rPr>
          <w:rFonts w:asciiTheme="minorHAnsi" w:hAnsiTheme="minorHAnsi" w:cstheme="minorHAnsi"/>
          <w:color w:val="000000"/>
          <w:sz w:val="22"/>
          <w:szCs w:val="22"/>
        </w:rPr>
      </w:pPr>
      <w:bookmarkStart w:id="74" w:name="_Toc230168213"/>
      <w:r w:rsidRPr="00DA7638">
        <w:rPr>
          <w:rFonts w:asciiTheme="minorHAnsi" w:hAnsiTheme="minorHAnsi" w:cstheme="minorHAnsi"/>
          <w:color w:val="000000"/>
          <w:sz w:val="22"/>
          <w:szCs w:val="22"/>
        </w:rPr>
        <w:t xml:space="preserve">PIDG support contributed to a significant shift in Dat Bike’s scale, market reach and commercial maturity. Following the transaction, production capacity increased more than tenfold, while the retail footprint expanded from 6 stores to more than 40, with a target of 100 stores by the end of 2026. </w:t>
      </w:r>
      <w:r w:rsidR="000D71C5" w:rsidRPr="000D71C5">
        <w:rPr>
          <w:rFonts w:ascii="Arial" w:hAnsi="Arial" w:cs="Arial"/>
          <w:color w:val="000000"/>
          <w:sz w:val="22"/>
          <w:szCs w:val="22"/>
        </w:rPr>
        <w:t xml:space="preserve">The company’s geographic footprint also widened significantly over time. While Dat Bike initially focused its retail presence </w:t>
      </w:r>
      <w:proofErr w:type="gramStart"/>
      <w:r w:rsidR="000D71C5" w:rsidRPr="000D71C5">
        <w:rPr>
          <w:rFonts w:ascii="Arial" w:hAnsi="Arial" w:cs="Arial"/>
          <w:color w:val="000000"/>
          <w:sz w:val="22"/>
          <w:szCs w:val="22"/>
        </w:rPr>
        <w:t>in</w:t>
      </w:r>
      <w:proofErr w:type="gramEnd"/>
      <w:r w:rsidR="000D71C5">
        <w:rPr>
          <w:rFonts w:ascii="Arial" w:hAnsi="Arial" w:cs="Arial"/>
          <w:color w:val="000000"/>
          <w:sz w:val="22"/>
          <w:szCs w:val="22"/>
        </w:rPr>
        <w:t xml:space="preserve"> the</w:t>
      </w:r>
      <w:r w:rsidR="000D71C5" w:rsidRPr="000D71C5">
        <w:rPr>
          <w:rFonts w:ascii="Arial" w:hAnsi="Arial" w:cs="Arial"/>
          <w:color w:val="000000"/>
          <w:sz w:val="22"/>
          <w:szCs w:val="22"/>
        </w:rPr>
        <w:t xml:space="preserve"> Ho Chi Minh City, it later expanded into Hanoi and gradually extended its reach across central Vietnam, the Mekong Delta, and southeast provinces</w:t>
      </w:r>
      <w:r w:rsidRPr="000D71C5">
        <w:rPr>
          <w:rFonts w:ascii="Arial" w:hAnsi="Arial" w:cs="Arial"/>
          <w:color w:val="000000"/>
          <w:sz w:val="22"/>
          <w:szCs w:val="22"/>
        </w:rPr>
        <w:t>.</w:t>
      </w:r>
      <w:r>
        <w:rPr>
          <w:rFonts w:asciiTheme="minorHAnsi" w:hAnsiTheme="minorHAnsi" w:cstheme="minorHAnsi"/>
          <w:color w:val="000000"/>
          <w:sz w:val="22"/>
          <w:szCs w:val="22"/>
        </w:rPr>
        <w:t xml:space="preserve"> </w:t>
      </w:r>
      <w:r w:rsidRPr="00DA7638">
        <w:rPr>
          <w:rFonts w:asciiTheme="minorHAnsi" w:hAnsiTheme="minorHAnsi" w:cstheme="minorHAnsi"/>
          <w:color w:val="000000"/>
          <w:sz w:val="22"/>
          <w:szCs w:val="22"/>
        </w:rPr>
        <w:t>Business growth was accompanied by stronger organisational capacity, with total headcount increasing approximately twofold to more than 400 employees across office and manufacturing functions. The company also broadened its product range from a mainly premium segment to lower-priced models, helping reach more price-sensitive customers and beginning to serve business users such as ride-hailing drivers.</w:t>
      </w:r>
      <w:r>
        <w:rPr>
          <w:rFonts w:asciiTheme="minorHAnsi" w:hAnsiTheme="minorHAnsi" w:cstheme="minorHAnsi"/>
          <w:color w:val="000000"/>
          <w:sz w:val="22"/>
          <w:szCs w:val="22"/>
        </w:rPr>
        <w:t xml:space="preserve"> </w:t>
      </w:r>
      <w:r w:rsidRPr="00DA7638">
        <w:rPr>
          <w:rFonts w:asciiTheme="minorHAnsi" w:hAnsiTheme="minorHAnsi" w:cstheme="minorHAnsi"/>
          <w:color w:val="000000"/>
          <w:sz w:val="22"/>
          <w:szCs w:val="22"/>
        </w:rPr>
        <w:t xml:space="preserve">The case also shows wider market development effects, including a user community of around 50,000 people, regular test-ride events, and a partnership with Grab and Grab Finance to support uptake among drivers. Based on current sales and assuming the bikes remain in active use, Dat Bike could be avoiding around 13,140 </w:t>
      </w:r>
      <w:proofErr w:type="spellStart"/>
      <w:r w:rsidRPr="00DA7638">
        <w:rPr>
          <w:rFonts w:asciiTheme="minorHAnsi" w:hAnsiTheme="minorHAnsi" w:cstheme="minorHAnsi"/>
          <w:color w:val="000000"/>
          <w:sz w:val="22"/>
          <w:szCs w:val="22"/>
        </w:rPr>
        <w:t>tCO</w:t>
      </w:r>
      <w:proofErr w:type="spellEnd"/>
      <w:r w:rsidRPr="00DA7638">
        <w:rPr>
          <w:rFonts w:ascii="Cambria Math" w:hAnsi="Cambria Math" w:cs="Cambria Math"/>
          <w:color w:val="000000"/>
          <w:sz w:val="22"/>
          <w:szCs w:val="22"/>
        </w:rPr>
        <w:t>₂</w:t>
      </w:r>
      <w:r w:rsidRPr="00DA7638">
        <w:rPr>
          <w:rFonts w:asciiTheme="minorHAnsi" w:hAnsiTheme="minorHAnsi" w:cstheme="minorHAnsi"/>
          <w:color w:val="000000"/>
          <w:sz w:val="22"/>
          <w:szCs w:val="22"/>
        </w:rPr>
        <w:t xml:space="preserve"> annually.</w:t>
      </w:r>
    </w:p>
    <w:p w14:paraId="09F22FA5" w14:textId="15B74B3D" w:rsidR="008F4A9F" w:rsidRPr="009A291C" w:rsidRDefault="00611677" w:rsidP="009A291C">
      <w:pPr>
        <w:pStyle w:val="Caption"/>
        <w:keepNext/>
        <w:jc w:val="left"/>
        <w:rPr>
          <w:rFonts w:ascii="Arial" w:hAnsi="Arial"/>
          <w:sz w:val="18"/>
        </w:rPr>
      </w:pPr>
      <w:bookmarkStart w:id="75" w:name="_Toc233026569"/>
      <w:r>
        <w:t xml:space="preserve">Table </w:t>
      </w:r>
      <w:r>
        <w:fldChar w:fldCharType="begin"/>
      </w:r>
      <w:r>
        <w:instrText xml:space="preserve"> SEQ Table \* ARABIC </w:instrText>
      </w:r>
      <w:r>
        <w:fldChar w:fldCharType="separate"/>
      </w:r>
      <w:r w:rsidR="006C7E0E">
        <w:rPr>
          <w:noProof/>
        </w:rPr>
        <w:t>10</w:t>
      </w:r>
      <w:r>
        <w:fldChar w:fldCharType="end"/>
      </w:r>
      <w:r>
        <w:t>:</w:t>
      </w:r>
      <w:r w:rsidRPr="00611677">
        <w:rPr>
          <w:rFonts w:ascii="Arial" w:hAnsi="Arial"/>
          <w:b/>
          <w:sz w:val="18"/>
        </w:rPr>
        <w:t xml:space="preserve"> </w:t>
      </w:r>
      <w:r w:rsidRPr="0040259E">
        <w:rPr>
          <w:rFonts w:ascii="Arial" w:hAnsi="Arial"/>
          <w:bCs w:val="0"/>
          <w:sz w:val="18"/>
        </w:rPr>
        <w:t>Data snapshot: Dat Bike before and after PIDG support</w:t>
      </w:r>
      <w:bookmarkEnd w:id="74"/>
      <w:bookmarkEnd w:id="75"/>
    </w:p>
    <w:tbl>
      <w:tblPr>
        <w:tblStyle w:val="CBSTable1"/>
        <w:tblW w:w="0" w:type="auto"/>
        <w:tblLook w:val="04A0" w:firstRow="1" w:lastRow="0" w:firstColumn="1" w:lastColumn="0" w:noHBand="0" w:noVBand="1"/>
      </w:tblPr>
      <w:tblGrid>
        <w:gridCol w:w="1555"/>
        <w:gridCol w:w="1984"/>
        <w:gridCol w:w="3260"/>
        <w:gridCol w:w="3390"/>
      </w:tblGrid>
      <w:tr w:rsidR="008F4A9F" w:rsidRPr="00303565" w14:paraId="71D812A5" w14:textId="77777777" w:rsidTr="0047596E">
        <w:trPr>
          <w:tblHeader/>
        </w:trPr>
        <w:tc>
          <w:tcPr>
            <w:tcW w:w="1555" w:type="dxa"/>
            <w:shd w:val="clear" w:color="auto" w:fill="0065BC" w:themeFill="background2"/>
            <w:hideMark/>
          </w:tcPr>
          <w:p w14:paraId="2B1A825E" w14:textId="77777777" w:rsidR="008F4A9F" w:rsidRPr="00146589" w:rsidRDefault="008F4A9F" w:rsidP="008F4A9F">
            <w:pPr>
              <w:jc w:val="cente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Indicator</w:t>
            </w:r>
          </w:p>
        </w:tc>
        <w:tc>
          <w:tcPr>
            <w:tcW w:w="1984" w:type="dxa"/>
            <w:shd w:val="clear" w:color="auto" w:fill="0065BC" w:themeFill="background2"/>
            <w:hideMark/>
          </w:tcPr>
          <w:p w14:paraId="3308172E" w14:textId="77777777" w:rsidR="008F4A9F" w:rsidRPr="00146589" w:rsidRDefault="008F4A9F" w:rsidP="00226499">
            <w:pP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Before PIDG deal, August 2024</w:t>
            </w:r>
          </w:p>
        </w:tc>
        <w:tc>
          <w:tcPr>
            <w:tcW w:w="3260" w:type="dxa"/>
            <w:shd w:val="clear" w:color="auto" w:fill="0065BC" w:themeFill="background2"/>
            <w:hideMark/>
          </w:tcPr>
          <w:p w14:paraId="586E210B" w14:textId="77777777" w:rsidR="008F4A9F" w:rsidRPr="00146589" w:rsidRDefault="008F4A9F" w:rsidP="00226499">
            <w:pP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 xml:space="preserve">After PIDG deal or </w:t>
            </w:r>
            <w:proofErr w:type="gramStart"/>
            <w:r w:rsidRPr="00146589">
              <w:rPr>
                <w:rFonts w:asciiTheme="minorHAnsi" w:hAnsiTheme="minorHAnsi" w:cstheme="minorHAnsi"/>
                <w:b/>
                <w:bCs/>
                <w:color w:val="FFFFFF" w:themeColor="background1"/>
                <w:sz w:val="20"/>
                <w:szCs w:val="20"/>
              </w:rPr>
              <w:t>current status</w:t>
            </w:r>
            <w:proofErr w:type="gramEnd"/>
            <w:r w:rsidRPr="00146589">
              <w:rPr>
                <w:rFonts w:asciiTheme="minorHAnsi" w:hAnsiTheme="minorHAnsi" w:cstheme="minorHAnsi"/>
                <w:b/>
                <w:bCs/>
                <w:color w:val="FFFFFF" w:themeColor="background1"/>
                <w:sz w:val="20"/>
                <w:szCs w:val="20"/>
              </w:rPr>
              <w:t>, March 2026</w:t>
            </w:r>
          </w:p>
        </w:tc>
        <w:tc>
          <w:tcPr>
            <w:tcW w:w="3390" w:type="dxa"/>
            <w:shd w:val="clear" w:color="auto" w:fill="0065BC" w:themeFill="background2"/>
            <w:hideMark/>
          </w:tcPr>
          <w:p w14:paraId="13F67AF7" w14:textId="77777777" w:rsidR="008F4A9F" w:rsidRPr="00146589" w:rsidRDefault="008F4A9F" w:rsidP="00226499">
            <w:pP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Change or interpretation</w:t>
            </w:r>
          </w:p>
        </w:tc>
      </w:tr>
      <w:tr w:rsidR="008F4A9F" w:rsidRPr="00303565" w14:paraId="36C70EF6" w14:textId="77777777" w:rsidTr="002A52B5">
        <w:tc>
          <w:tcPr>
            <w:tcW w:w="1555" w:type="dxa"/>
            <w:hideMark/>
          </w:tcPr>
          <w:p w14:paraId="35B74CFD"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Stores</w:t>
            </w:r>
          </w:p>
        </w:tc>
        <w:tc>
          <w:tcPr>
            <w:tcW w:w="1984" w:type="dxa"/>
            <w:hideMark/>
          </w:tcPr>
          <w:p w14:paraId="54114FB7"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6 stores</w:t>
            </w:r>
          </w:p>
        </w:tc>
        <w:tc>
          <w:tcPr>
            <w:tcW w:w="3260" w:type="dxa"/>
            <w:hideMark/>
          </w:tcPr>
          <w:p w14:paraId="372BF619"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More than 40 stores, with a target of 100 by end-2026</w:t>
            </w:r>
          </w:p>
        </w:tc>
        <w:tc>
          <w:tcPr>
            <w:tcW w:w="3390" w:type="dxa"/>
            <w:hideMark/>
          </w:tcPr>
          <w:p w14:paraId="2C8CF606"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Store footprint is now at least 6.7 times the baseline, equivalent to a minimum 567% increase.</w:t>
            </w:r>
          </w:p>
        </w:tc>
      </w:tr>
      <w:tr w:rsidR="008F4A9F" w:rsidRPr="00303565" w14:paraId="21D9E371" w14:textId="77777777" w:rsidTr="002A52B5">
        <w:tc>
          <w:tcPr>
            <w:tcW w:w="1555" w:type="dxa"/>
            <w:hideMark/>
          </w:tcPr>
          <w:p w14:paraId="0D95B17C"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Growth trajectory</w:t>
            </w:r>
          </w:p>
        </w:tc>
        <w:tc>
          <w:tcPr>
            <w:tcW w:w="1984" w:type="dxa"/>
            <w:hideMark/>
          </w:tcPr>
          <w:p w14:paraId="42C6ABC7"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Not applicable</w:t>
            </w:r>
          </w:p>
        </w:tc>
        <w:tc>
          <w:tcPr>
            <w:tcW w:w="3260" w:type="dxa"/>
            <w:hideMark/>
          </w:tcPr>
          <w:p w14:paraId="5AB8C0F1"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14 stores by end-2024 and 37 stores by end-2025</w:t>
            </w:r>
          </w:p>
        </w:tc>
        <w:tc>
          <w:tcPr>
            <w:tcW w:w="3390" w:type="dxa"/>
            <w:hideMark/>
          </w:tcPr>
          <w:p w14:paraId="7CCEBA9C"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The company has expanded rapidly since the PIDG investment.</w:t>
            </w:r>
          </w:p>
        </w:tc>
      </w:tr>
      <w:tr w:rsidR="008F4A9F" w:rsidRPr="00303565" w14:paraId="7B154F05" w14:textId="77777777" w:rsidTr="002A52B5">
        <w:tc>
          <w:tcPr>
            <w:tcW w:w="1555" w:type="dxa"/>
            <w:hideMark/>
          </w:tcPr>
          <w:p w14:paraId="3EF727C3"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Sales demographic</w:t>
            </w:r>
          </w:p>
        </w:tc>
        <w:tc>
          <w:tcPr>
            <w:tcW w:w="1984" w:type="dxa"/>
            <w:hideMark/>
          </w:tcPr>
          <w:p w14:paraId="2ABD4925"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Product segment at USD 1,800 and above, mainly personal users</w:t>
            </w:r>
          </w:p>
        </w:tc>
        <w:tc>
          <w:tcPr>
            <w:tcW w:w="3260" w:type="dxa"/>
            <w:hideMark/>
          </w:tcPr>
          <w:p w14:paraId="3AABDA19" w14:textId="5E49A234"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 xml:space="preserve">Product segment expanded to approximately USD 1,200–1,800; </w:t>
            </w:r>
          </w:p>
        </w:tc>
        <w:tc>
          <w:tcPr>
            <w:tcW w:w="3390" w:type="dxa"/>
            <w:hideMark/>
          </w:tcPr>
          <w:p w14:paraId="6DDAB9C3"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Lower-priced models appear to be broadening access to e-mobility beyond higher-income customers.</w:t>
            </w:r>
          </w:p>
        </w:tc>
      </w:tr>
      <w:tr w:rsidR="008F4A9F" w:rsidRPr="00303565" w14:paraId="6ECB80D1" w14:textId="77777777" w:rsidTr="002A52B5">
        <w:tc>
          <w:tcPr>
            <w:tcW w:w="1555" w:type="dxa"/>
            <w:hideMark/>
          </w:tcPr>
          <w:p w14:paraId="249EE5DF"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Estimated emissions avoided per bike</w:t>
            </w:r>
          </w:p>
        </w:tc>
        <w:tc>
          <w:tcPr>
            <w:tcW w:w="1984" w:type="dxa"/>
            <w:hideMark/>
          </w:tcPr>
          <w:p w14:paraId="7EE572ED"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Not fully stated</w:t>
            </w:r>
          </w:p>
        </w:tc>
        <w:tc>
          <w:tcPr>
            <w:tcW w:w="3260" w:type="dxa"/>
            <w:hideMark/>
          </w:tcPr>
          <w:p w14:paraId="4376E2E9"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730 kg CO</w:t>
            </w:r>
            <w:r w:rsidRPr="00303565">
              <w:rPr>
                <w:rFonts w:ascii="Cambria Math" w:hAnsi="Cambria Math" w:cs="Cambria Math"/>
                <w:color w:val="000000"/>
                <w:sz w:val="20"/>
                <w:szCs w:val="20"/>
              </w:rPr>
              <w:t>₂</w:t>
            </w:r>
            <w:r w:rsidRPr="00303565">
              <w:rPr>
                <w:rFonts w:asciiTheme="minorHAnsi" w:hAnsiTheme="minorHAnsi" w:cstheme="minorHAnsi"/>
                <w:color w:val="000000"/>
                <w:sz w:val="20"/>
                <w:szCs w:val="20"/>
              </w:rPr>
              <w:t xml:space="preserve"> per electric motorbike per year</w:t>
            </w:r>
          </w:p>
        </w:tc>
        <w:tc>
          <w:tcPr>
            <w:tcW w:w="3390" w:type="dxa"/>
            <w:hideMark/>
          </w:tcPr>
          <w:p w14:paraId="42EBE561"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This figure is used to estimate total potential emissions avoided.</w:t>
            </w:r>
          </w:p>
        </w:tc>
      </w:tr>
      <w:tr w:rsidR="008F4A9F" w:rsidRPr="00303565" w14:paraId="7ECDE0C4" w14:textId="77777777" w:rsidTr="002A52B5">
        <w:tc>
          <w:tcPr>
            <w:tcW w:w="1555" w:type="dxa"/>
            <w:hideMark/>
          </w:tcPr>
          <w:p w14:paraId="1019D62D"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lastRenderedPageBreak/>
              <w:t>Estimated total CO</w:t>
            </w:r>
            <w:r w:rsidRPr="00303565">
              <w:rPr>
                <w:rFonts w:ascii="Cambria Math" w:hAnsi="Cambria Math" w:cs="Cambria Math"/>
                <w:color w:val="000000"/>
                <w:sz w:val="20"/>
                <w:szCs w:val="20"/>
              </w:rPr>
              <w:t>₂</w:t>
            </w:r>
            <w:r w:rsidRPr="00303565">
              <w:rPr>
                <w:rFonts w:asciiTheme="minorHAnsi" w:hAnsiTheme="minorHAnsi" w:cstheme="minorHAnsi"/>
                <w:color w:val="000000"/>
                <w:sz w:val="20"/>
                <w:szCs w:val="20"/>
              </w:rPr>
              <w:t xml:space="preserve"> avoided per year</w:t>
            </w:r>
          </w:p>
        </w:tc>
        <w:tc>
          <w:tcPr>
            <w:tcW w:w="1984" w:type="dxa"/>
            <w:hideMark/>
          </w:tcPr>
          <w:p w14:paraId="4A3A46C0"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Not applicable</w:t>
            </w:r>
          </w:p>
        </w:tc>
        <w:tc>
          <w:tcPr>
            <w:tcW w:w="3260" w:type="dxa"/>
            <w:hideMark/>
          </w:tcPr>
          <w:p w14:paraId="38B91BC0"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13,140,000 kg CO</w:t>
            </w:r>
            <w:r w:rsidRPr="00303565">
              <w:rPr>
                <w:rFonts w:ascii="Cambria Math" w:hAnsi="Cambria Math" w:cs="Cambria Math"/>
                <w:color w:val="000000"/>
                <w:sz w:val="20"/>
                <w:szCs w:val="20"/>
              </w:rPr>
              <w:t>₂</w:t>
            </w:r>
            <w:r w:rsidRPr="00303565">
              <w:rPr>
                <w:rFonts w:asciiTheme="minorHAnsi" w:hAnsiTheme="minorHAnsi" w:cstheme="minorHAnsi"/>
                <w:color w:val="000000"/>
                <w:sz w:val="20"/>
                <w:szCs w:val="20"/>
              </w:rPr>
              <w:t xml:space="preserve"> per year, or 13,140 </w:t>
            </w:r>
            <w:proofErr w:type="spellStart"/>
            <w:r w:rsidRPr="00303565">
              <w:rPr>
                <w:rFonts w:asciiTheme="minorHAnsi" w:hAnsiTheme="minorHAnsi" w:cstheme="minorHAnsi"/>
                <w:color w:val="000000"/>
                <w:sz w:val="20"/>
                <w:szCs w:val="20"/>
              </w:rPr>
              <w:t>tCO</w:t>
            </w:r>
            <w:proofErr w:type="spellEnd"/>
            <w:r w:rsidRPr="00303565">
              <w:rPr>
                <w:rFonts w:ascii="Cambria Math" w:hAnsi="Cambria Math" w:cs="Cambria Math"/>
                <w:color w:val="000000"/>
                <w:sz w:val="20"/>
                <w:szCs w:val="20"/>
              </w:rPr>
              <w:t>₂</w:t>
            </w:r>
            <w:r w:rsidRPr="00303565">
              <w:rPr>
                <w:rFonts w:asciiTheme="minorHAnsi" w:hAnsiTheme="minorHAnsi" w:cstheme="minorHAnsi"/>
                <w:color w:val="000000"/>
                <w:sz w:val="20"/>
                <w:szCs w:val="20"/>
              </w:rPr>
              <w:t xml:space="preserve"> per year</w:t>
            </w:r>
          </w:p>
        </w:tc>
        <w:tc>
          <w:tcPr>
            <w:tcW w:w="3390" w:type="dxa"/>
            <w:hideMark/>
          </w:tcPr>
          <w:p w14:paraId="306A7316" w14:textId="7EE3D3EB"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Estimated emissions avoided are based on bikes sold.</w:t>
            </w:r>
          </w:p>
        </w:tc>
      </w:tr>
      <w:tr w:rsidR="008F4A9F" w:rsidRPr="00303565" w14:paraId="04AEDE77" w14:textId="77777777" w:rsidTr="002A52B5">
        <w:tc>
          <w:tcPr>
            <w:tcW w:w="1555" w:type="dxa"/>
            <w:hideMark/>
          </w:tcPr>
          <w:p w14:paraId="3B34ADDF"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Daily kilometres travelled</w:t>
            </w:r>
          </w:p>
        </w:tc>
        <w:tc>
          <w:tcPr>
            <w:tcW w:w="1984" w:type="dxa"/>
            <w:hideMark/>
          </w:tcPr>
          <w:p w14:paraId="6EFF28CA"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Not applicable</w:t>
            </w:r>
          </w:p>
        </w:tc>
        <w:tc>
          <w:tcPr>
            <w:tcW w:w="3260" w:type="dxa"/>
            <w:hideMark/>
          </w:tcPr>
          <w:p w14:paraId="4DCCB2FC"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Approximately 30 km per day on average; 150–200 km per day for business users</w:t>
            </w:r>
          </w:p>
        </w:tc>
        <w:tc>
          <w:tcPr>
            <w:tcW w:w="3390" w:type="dxa"/>
            <w:hideMark/>
          </w:tcPr>
          <w:p w14:paraId="40FB5313"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Business users travel substantially longer distances than average users.</w:t>
            </w:r>
          </w:p>
        </w:tc>
      </w:tr>
      <w:tr w:rsidR="008F4A9F" w:rsidRPr="00303565" w14:paraId="29718903" w14:textId="77777777" w:rsidTr="002A52B5">
        <w:tc>
          <w:tcPr>
            <w:tcW w:w="1555" w:type="dxa"/>
            <w:hideMark/>
          </w:tcPr>
          <w:p w14:paraId="4399378C"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Battery performance</w:t>
            </w:r>
          </w:p>
        </w:tc>
        <w:tc>
          <w:tcPr>
            <w:tcW w:w="1984" w:type="dxa"/>
            <w:hideMark/>
          </w:tcPr>
          <w:p w14:paraId="67F4D82A" w14:textId="77777777" w:rsidR="008F4A9F" w:rsidRPr="005C5713" w:rsidRDefault="008F4A9F" w:rsidP="002A52B5">
            <w:pPr>
              <w:rPr>
                <w:rFonts w:asciiTheme="minorHAnsi" w:hAnsiTheme="minorHAnsi" w:cstheme="minorHAnsi"/>
                <w:color w:val="000000"/>
                <w:sz w:val="20"/>
                <w:szCs w:val="20"/>
              </w:rPr>
            </w:pPr>
            <w:r w:rsidRPr="005C5713">
              <w:rPr>
                <w:rFonts w:asciiTheme="minorHAnsi" w:hAnsiTheme="minorHAnsi" w:cstheme="minorHAnsi"/>
                <w:color w:val="000000"/>
                <w:sz w:val="20"/>
                <w:szCs w:val="20"/>
              </w:rPr>
              <w:t>Not applicable</w:t>
            </w:r>
          </w:p>
        </w:tc>
        <w:tc>
          <w:tcPr>
            <w:tcW w:w="3260" w:type="dxa"/>
            <w:hideMark/>
          </w:tcPr>
          <w:p w14:paraId="3715A916" w14:textId="12407DCD" w:rsidR="008F4A9F" w:rsidRPr="005C5713" w:rsidRDefault="00DA7638" w:rsidP="002A52B5">
            <w:pPr>
              <w:rPr>
                <w:rFonts w:asciiTheme="minorHAnsi" w:hAnsiTheme="minorHAnsi" w:cstheme="minorHAnsi"/>
                <w:color w:val="000000"/>
                <w:sz w:val="20"/>
                <w:szCs w:val="20"/>
              </w:rPr>
            </w:pPr>
            <w:r w:rsidRPr="005C5713">
              <w:rPr>
                <w:rFonts w:asciiTheme="minorHAnsi" w:eastAsia="Arial" w:hAnsiTheme="minorHAnsi" w:cstheme="minorHAnsi"/>
                <w:sz w:val="20"/>
                <w:szCs w:val="20"/>
              </w:rPr>
              <w:t xml:space="preserve">Battery degrades to </w:t>
            </w:r>
            <w:sdt>
              <w:sdtPr>
                <w:rPr>
                  <w:rFonts w:asciiTheme="minorHAnsi" w:hAnsiTheme="minorHAnsi" w:cstheme="minorHAnsi"/>
                  <w:sz w:val="20"/>
                  <w:szCs w:val="20"/>
                </w:rPr>
                <w:tag w:val="goog_rdk_47"/>
                <w:id w:val="654429343"/>
              </w:sdtPr>
              <w:sdtContent>
                <w:r w:rsidRPr="005C5713">
                  <w:rPr>
                    <w:rFonts w:asciiTheme="minorHAnsi" w:eastAsia="Arial" w:hAnsiTheme="minorHAnsi" w:cstheme="minorHAnsi"/>
                    <w:sz w:val="20"/>
                    <w:szCs w:val="20"/>
                  </w:rPr>
                  <w:t>80</w:t>
                </w:r>
              </w:sdtContent>
            </w:sdt>
            <w:r w:rsidRPr="005C5713">
              <w:rPr>
                <w:rFonts w:asciiTheme="minorHAnsi" w:hAnsiTheme="minorHAnsi" w:cstheme="minorHAnsi"/>
                <w:sz w:val="20"/>
                <w:szCs w:val="20"/>
              </w:rPr>
              <w:t>% after 350.000km</w:t>
            </w:r>
            <w:r w:rsidR="000D71C5" w:rsidRPr="005C5713">
              <w:rPr>
                <w:rFonts w:asciiTheme="minorHAnsi" w:hAnsiTheme="minorHAnsi" w:cstheme="minorHAnsi"/>
                <w:sz w:val="20"/>
                <w:szCs w:val="20"/>
              </w:rPr>
              <w:t>, 25 years</w:t>
            </w:r>
            <w:r w:rsidRPr="005C5713">
              <w:rPr>
                <w:rFonts w:asciiTheme="minorHAnsi" w:hAnsiTheme="minorHAnsi" w:cstheme="minorHAnsi"/>
                <w:sz w:val="20"/>
                <w:szCs w:val="20"/>
              </w:rPr>
              <w:t xml:space="preserve"> </w:t>
            </w:r>
          </w:p>
        </w:tc>
        <w:tc>
          <w:tcPr>
            <w:tcW w:w="3390" w:type="dxa"/>
            <w:hideMark/>
          </w:tcPr>
          <w:p w14:paraId="55048510"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Battery durability supports longer-term use and consumer confidence.</w:t>
            </w:r>
          </w:p>
        </w:tc>
      </w:tr>
      <w:tr w:rsidR="008F4A9F" w:rsidRPr="00303565" w14:paraId="017CDB28" w14:textId="77777777" w:rsidTr="002A52B5">
        <w:tc>
          <w:tcPr>
            <w:tcW w:w="1555" w:type="dxa"/>
            <w:hideMark/>
          </w:tcPr>
          <w:p w14:paraId="03A1F589"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Geographic spread</w:t>
            </w:r>
          </w:p>
        </w:tc>
        <w:tc>
          <w:tcPr>
            <w:tcW w:w="1984" w:type="dxa"/>
            <w:hideMark/>
          </w:tcPr>
          <w:p w14:paraId="77553A25"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Limited</w:t>
            </w:r>
          </w:p>
        </w:tc>
        <w:tc>
          <w:tcPr>
            <w:tcW w:w="3260" w:type="dxa"/>
            <w:hideMark/>
          </w:tcPr>
          <w:p w14:paraId="1BA4922F"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More than 40 stores, mainly in Ho Chi Minh City and Hanoi, with wider presence in central, Mekong Delta and southeast areas</w:t>
            </w:r>
          </w:p>
        </w:tc>
        <w:tc>
          <w:tcPr>
            <w:tcW w:w="3390" w:type="dxa"/>
            <w:hideMark/>
          </w:tcPr>
          <w:p w14:paraId="1388C867"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Dat Bike has expanded beyond its initial market footprint.</w:t>
            </w:r>
          </w:p>
        </w:tc>
      </w:tr>
      <w:tr w:rsidR="008F4A9F" w:rsidRPr="00303565" w14:paraId="6D6FBBFC" w14:textId="77777777" w:rsidTr="002A52B5">
        <w:tc>
          <w:tcPr>
            <w:tcW w:w="1555" w:type="dxa"/>
            <w:hideMark/>
          </w:tcPr>
          <w:p w14:paraId="2DF048CD"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Low-income or price-sensitive reach</w:t>
            </w:r>
          </w:p>
        </w:tc>
        <w:tc>
          <w:tcPr>
            <w:tcW w:w="1984" w:type="dxa"/>
            <w:hideMark/>
          </w:tcPr>
          <w:p w14:paraId="7625ADF2"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Not tracked</w:t>
            </w:r>
          </w:p>
        </w:tc>
        <w:tc>
          <w:tcPr>
            <w:tcW w:w="3260" w:type="dxa"/>
            <w:hideMark/>
          </w:tcPr>
          <w:p w14:paraId="1E8F2194"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More than 40% of lower-priced model customers appear to be lower-income or price-sensitive</w:t>
            </w:r>
          </w:p>
        </w:tc>
        <w:tc>
          <w:tcPr>
            <w:tcW w:w="3390" w:type="dxa"/>
            <w:hideMark/>
          </w:tcPr>
          <w:p w14:paraId="7407E1D6"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Lower-priced models may be helping broaden access to e-mobility.</w:t>
            </w:r>
          </w:p>
        </w:tc>
      </w:tr>
      <w:tr w:rsidR="008F4A9F" w:rsidRPr="00303565" w14:paraId="48D9BDC1" w14:textId="77777777" w:rsidTr="002A52B5">
        <w:tc>
          <w:tcPr>
            <w:tcW w:w="1555" w:type="dxa"/>
            <w:hideMark/>
          </w:tcPr>
          <w:p w14:paraId="728BAC4D"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Partnerships</w:t>
            </w:r>
          </w:p>
        </w:tc>
        <w:tc>
          <w:tcPr>
            <w:tcW w:w="1984" w:type="dxa"/>
            <w:hideMark/>
          </w:tcPr>
          <w:p w14:paraId="735E0C9E"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Not specified</w:t>
            </w:r>
          </w:p>
        </w:tc>
        <w:tc>
          <w:tcPr>
            <w:tcW w:w="3260" w:type="dxa"/>
            <w:hideMark/>
          </w:tcPr>
          <w:p w14:paraId="7A16F2F8"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Partnership with Grab and Grab Finance</w:t>
            </w:r>
          </w:p>
        </w:tc>
        <w:tc>
          <w:tcPr>
            <w:tcW w:w="3390" w:type="dxa"/>
            <w:hideMark/>
          </w:tcPr>
          <w:p w14:paraId="5D7411BF"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Partnerships may support customer finance and access for drivers with limited credit history.</w:t>
            </w:r>
          </w:p>
        </w:tc>
      </w:tr>
      <w:tr w:rsidR="008F4A9F" w:rsidRPr="00303565" w14:paraId="27C78153" w14:textId="77777777" w:rsidTr="002A52B5">
        <w:tc>
          <w:tcPr>
            <w:tcW w:w="1555" w:type="dxa"/>
            <w:hideMark/>
          </w:tcPr>
          <w:p w14:paraId="64516822"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Consumer confidence and awareness</w:t>
            </w:r>
          </w:p>
        </w:tc>
        <w:tc>
          <w:tcPr>
            <w:tcW w:w="1984" w:type="dxa"/>
            <w:hideMark/>
          </w:tcPr>
          <w:p w14:paraId="2214C415"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Not specified</w:t>
            </w:r>
          </w:p>
        </w:tc>
        <w:tc>
          <w:tcPr>
            <w:tcW w:w="3260" w:type="dxa"/>
            <w:hideMark/>
          </w:tcPr>
          <w:p w14:paraId="11B32A68"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Approximately 50,000-user community, regular test rides, and stronger awareness and trust in electric vehicles</w:t>
            </w:r>
          </w:p>
        </w:tc>
        <w:tc>
          <w:tcPr>
            <w:tcW w:w="3390" w:type="dxa"/>
            <w:hideMark/>
          </w:tcPr>
          <w:p w14:paraId="216E83EB"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The company is contributing to consumer awareness and confidence in e-mobility.</w:t>
            </w:r>
          </w:p>
        </w:tc>
      </w:tr>
      <w:tr w:rsidR="008F4A9F" w:rsidRPr="00303565" w14:paraId="141F926E" w14:textId="77777777" w:rsidTr="002A52B5">
        <w:tc>
          <w:tcPr>
            <w:tcW w:w="1555" w:type="dxa"/>
            <w:hideMark/>
          </w:tcPr>
          <w:p w14:paraId="2BB91469"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Contribution to e-mobility market</w:t>
            </w:r>
          </w:p>
        </w:tc>
        <w:tc>
          <w:tcPr>
            <w:tcW w:w="1984" w:type="dxa"/>
            <w:hideMark/>
          </w:tcPr>
          <w:p w14:paraId="7650D004"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Not specified</w:t>
            </w:r>
          </w:p>
        </w:tc>
        <w:tc>
          <w:tcPr>
            <w:tcW w:w="3260" w:type="dxa"/>
            <w:hideMark/>
          </w:tcPr>
          <w:p w14:paraId="15491B6C"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Leading domestic electric motorcycle player contributing to local manufacturing and supply chain development</w:t>
            </w:r>
          </w:p>
        </w:tc>
        <w:tc>
          <w:tcPr>
            <w:tcW w:w="3390" w:type="dxa"/>
            <w:hideMark/>
          </w:tcPr>
          <w:p w14:paraId="30ADBC5A" w14:textId="77777777" w:rsidR="008F4A9F" w:rsidRPr="00303565" w:rsidRDefault="008F4A9F" w:rsidP="002A52B5">
            <w:pPr>
              <w:rPr>
                <w:rFonts w:asciiTheme="minorHAnsi" w:hAnsiTheme="minorHAnsi" w:cstheme="minorHAnsi"/>
                <w:color w:val="000000"/>
                <w:sz w:val="20"/>
                <w:szCs w:val="20"/>
              </w:rPr>
            </w:pPr>
            <w:r w:rsidRPr="00303565">
              <w:rPr>
                <w:rFonts w:asciiTheme="minorHAnsi" w:hAnsiTheme="minorHAnsi" w:cstheme="minorHAnsi"/>
                <w:color w:val="000000"/>
                <w:sz w:val="20"/>
                <w:szCs w:val="20"/>
              </w:rPr>
              <w:t>Dat Bike is supporting the development of Vietnam’s domestic e-mobility market.</w:t>
            </w:r>
          </w:p>
        </w:tc>
      </w:tr>
    </w:tbl>
    <w:p w14:paraId="71185A90" w14:textId="77777777" w:rsidR="007F6E50" w:rsidRPr="00E70DBE" w:rsidRDefault="007F6E50" w:rsidP="003D231F">
      <w:pPr>
        <w:pStyle w:val="Heading2"/>
      </w:pPr>
      <w:bookmarkStart w:id="76" w:name="_Toc233026609"/>
      <w:r w:rsidRPr="00E70DBE">
        <w:t>Cross-cutting issues</w:t>
      </w:r>
      <w:bookmarkEnd w:id="76"/>
    </w:p>
    <w:p w14:paraId="2152F8F5" w14:textId="77777777" w:rsidR="0047596E" w:rsidRDefault="007F6E50" w:rsidP="007F6E50">
      <w:pPr>
        <w:pStyle w:val="NormalWeb"/>
        <w:rPr>
          <w:rFonts w:ascii="Arial" w:hAnsi="Arial" w:cs="Arial"/>
          <w:color w:val="000000"/>
          <w:sz w:val="22"/>
          <w:szCs w:val="22"/>
        </w:rPr>
      </w:pPr>
      <w:r w:rsidRPr="00303565">
        <w:rPr>
          <w:rFonts w:ascii="Arial" w:hAnsi="Arial" w:cs="Arial"/>
          <w:color w:val="000000"/>
          <w:sz w:val="22"/>
          <w:szCs w:val="22"/>
        </w:rPr>
        <w:t>Dat Bike reported that women make up around 20% of the total workforce, 35% of office staff, and around one-third of leadership positions. The company also stated that it considers gender in market research and product design. At the same time, it noted that women are harder to recruit into factory roles because of labour market preferences and perceptions about manufacturing work. According to Dat Bike, most gender-related HR policies were already in place before PIDG support, while the more visible changes after the investment related to HSES.</w:t>
      </w:r>
      <w:r w:rsidRPr="00303565">
        <w:rPr>
          <w:rStyle w:val="apple-converted-space"/>
          <w:rFonts w:ascii="Arial" w:hAnsi="Arial" w:cs="Arial"/>
          <w:color w:val="000000"/>
          <w:sz w:val="22"/>
          <w:szCs w:val="22"/>
        </w:rPr>
        <w:t> </w:t>
      </w:r>
      <w:r w:rsidR="00303565">
        <w:rPr>
          <w:rFonts w:ascii="Arial" w:hAnsi="Arial" w:cs="Arial"/>
          <w:color w:val="000000"/>
          <w:sz w:val="22"/>
          <w:szCs w:val="22"/>
        </w:rPr>
        <w:t xml:space="preserve"> </w:t>
      </w:r>
      <w:r w:rsidRPr="00303565">
        <w:rPr>
          <w:rFonts w:ascii="Arial" w:hAnsi="Arial" w:cs="Arial"/>
          <w:color w:val="000000"/>
          <w:sz w:val="22"/>
          <w:szCs w:val="22"/>
        </w:rPr>
        <w:t>On disability inclusion, Dat Bike reported that it currently has no employees with disabilities and no specific policy in place, although it indicated openness to exploring this in future. On health and safety, the company reported no physical accidents in manufacturing during 2024–2025, worker insurance coverage, and regular safety meetings and reporting. It also stated that PIDG helped strengthen its safety systems.</w:t>
      </w:r>
      <w:r w:rsidRPr="00303565">
        <w:rPr>
          <w:rStyle w:val="apple-converted-space"/>
          <w:rFonts w:ascii="Arial" w:hAnsi="Arial" w:cs="Arial"/>
          <w:color w:val="000000"/>
          <w:sz w:val="22"/>
          <w:szCs w:val="22"/>
        </w:rPr>
        <w:t> </w:t>
      </w:r>
      <w:r w:rsidRPr="00303565">
        <w:rPr>
          <w:rFonts w:ascii="Arial" w:hAnsi="Arial" w:cs="Arial"/>
          <w:color w:val="000000"/>
          <w:sz w:val="22"/>
          <w:szCs w:val="22"/>
        </w:rPr>
        <w:t>Some evidence gaps remain. Several consumer-impact indicators, including electricity consumption, fuel savings, petrol displaced, and monthly cost savings, are referenced but not yet quantified in the available dataset. Battery durability is described, but battery recycling or end-of-life arrangements are not yet clearly evidenced. Some inclusion and climate claims are therefore promising but not yet fully substantiated.</w:t>
      </w:r>
    </w:p>
    <w:p w14:paraId="527E5F71" w14:textId="6DE0ED59" w:rsidR="00E65ADE" w:rsidRPr="00E65ADE" w:rsidRDefault="00E65ADE" w:rsidP="00E65ADE">
      <w:pPr>
        <w:spacing w:before="120" w:after="120"/>
        <w:rPr>
          <w:rFonts w:ascii="Arial" w:eastAsiaTheme="minorEastAsia" w:hAnsi="Arial" w:cs="Arial"/>
          <w:color w:val="000000"/>
          <w:sz w:val="22"/>
          <w:szCs w:val="22"/>
          <w:lang w:val="en-GB" w:eastAsia="en-AU"/>
        </w:rPr>
      </w:pPr>
      <w:r>
        <w:rPr>
          <w:rFonts w:ascii="Arial" w:hAnsi="Arial" w:cs="Arial"/>
          <w:color w:val="000000"/>
          <w:sz w:val="22"/>
          <w:szCs w:val="22"/>
        </w:rPr>
        <w:br w:type="page"/>
      </w:r>
    </w:p>
    <w:p w14:paraId="11D1D6B2" w14:textId="5CF48665" w:rsidR="007F6E50" w:rsidRPr="0091722F" w:rsidRDefault="007F6E50" w:rsidP="003D231F">
      <w:pPr>
        <w:pStyle w:val="Heading1"/>
      </w:pPr>
      <w:bookmarkStart w:id="77" w:name="_Toc233026610"/>
      <w:r w:rsidRPr="0091722F">
        <w:lastRenderedPageBreak/>
        <w:t xml:space="preserve">Case Study: </w:t>
      </w:r>
      <w:r w:rsidR="00FD2EBC" w:rsidRPr="0091722F">
        <w:t>W</w:t>
      </w:r>
      <w:r w:rsidRPr="0091722F">
        <w:t xml:space="preserve">ater </w:t>
      </w:r>
      <w:r w:rsidR="00FD2EBC" w:rsidRPr="0091722F">
        <w:t>I</w:t>
      </w:r>
      <w:r w:rsidRPr="0091722F">
        <w:t>nfrastructure</w:t>
      </w:r>
      <w:bookmarkStart w:id="78" w:name="_Toc226976869"/>
      <w:bookmarkEnd w:id="77"/>
      <w:r w:rsidRPr="0091722F">
        <w:t xml:space="preserve"> </w:t>
      </w:r>
      <w:bookmarkEnd w:id="78"/>
    </w:p>
    <w:p w14:paraId="3A261CCB" w14:textId="2BE54C00" w:rsidR="007F6E50" w:rsidRPr="001F4432" w:rsidRDefault="007F6E50" w:rsidP="003D231F">
      <w:pPr>
        <w:pStyle w:val="Heading2"/>
      </w:pPr>
      <w:bookmarkStart w:id="79" w:name="_Toc233026611"/>
      <w:r w:rsidRPr="001F4432">
        <w:t>Context</w:t>
      </w:r>
      <w:bookmarkEnd w:id="79"/>
    </w:p>
    <w:p w14:paraId="11EB591C" w14:textId="38735F58" w:rsidR="007F6E50" w:rsidRPr="00303565" w:rsidRDefault="007F6E50" w:rsidP="007F6E50">
      <w:pPr>
        <w:pStyle w:val="NormalWeb"/>
        <w:rPr>
          <w:rFonts w:asciiTheme="minorHAnsi" w:hAnsiTheme="minorHAnsi" w:cstheme="minorHAnsi"/>
          <w:color w:val="000000"/>
          <w:sz w:val="22"/>
          <w:szCs w:val="22"/>
        </w:rPr>
      </w:pPr>
      <w:proofErr w:type="spellStart"/>
      <w:r w:rsidRPr="00303565">
        <w:rPr>
          <w:rFonts w:asciiTheme="minorHAnsi" w:hAnsiTheme="minorHAnsi" w:cstheme="minorHAnsi"/>
          <w:color w:val="000000"/>
          <w:sz w:val="22"/>
          <w:szCs w:val="22"/>
        </w:rPr>
        <w:t>AquaOne’s</w:t>
      </w:r>
      <w:proofErr w:type="spellEnd"/>
      <w:r w:rsidRPr="00303565">
        <w:rPr>
          <w:rFonts w:asciiTheme="minorHAnsi" w:hAnsiTheme="minorHAnsi" w:cstheme="minorHAnsi"/>
          <w:color w:val="000000"/>
          <w:sz w:val="22"/>
          <w:szCs w:val="22"/>
        </w:rPr>
        <w:t xml:space="preserve"> Hoa Binh–Xuan Mai water treatment project provides an important example of how AVETP support can contribute to sustainable infrastructure beyond energy generation alone. The project is establishing a new water treatment plant and transmission system designed to supply clean water to populations whose baseline access has depended heavily on bottled water and groundwater extraction, with associated cost, environmental, and ecosystem implications. According to </w:t>
      </w:r>
      <w:proofErr w:type="spellStart"/>
      <w:r w:rsidRPr="00303565">
        <w:rPr>
          <w:rFonts w:asciiTheme="minorHAnsi" w:hAnsiTheme="minorHAnsi" w:cstheme="minorHAnsi"/>
          <w:color w:val="000000"/>
          <w:sz w:val="22"/>
          <w:szCs w:val="22"/>
        </w:rPr>
        <w:t>AquaOne</w:t>
      </w:r>
      <w:proofErr w:type="spellEnd"/>
      <w:r w:rsidRPr="00303565">
        <w:rPr>
          <w:rFonts w:asciiTheme="minorHAnsi" w:hAnsiTheme="minorHAnsi" w:cstheme="minorHAnsi"/>
          <w:color w:val="000000"/>
          <w:sz w:val="22"/>
          <w:szCs w:val="22"/>
        </w:rPr>
        <w:t>, the new plant is expected to produce up to</w:t>
      </w:r>
      <w:r w:rsidRPr="00303565">
        <w:rPr>
          <w:rStyle w:val="apple-converted-space"/>
          <w:rFonts w:asciiTheme="minorHAnsi" w:hAnsiTheme="minorHAnsi" w:cstheme="minorHAnsi"/>
          <w:color w:val="000000"/>
          <w:sz w:val="22"/>
          <w:szCs w:val="22"/>
        </w:rPr>
        <w:t> </w:t>
      </w:r>
      <w:r w:rsidRPr="00303565">
        <w:rPr>
          <w:rStyle w:val="Strong"/>
          <w:rFonts w:asciiTheme="minorHAnsi" w:hAnsiTheme="minorHAnsi" w:cstheme="minorHAnsi"/>
          <w:color w:val="000000"/>
          <w:sz w:val="22"/>
          <w:szCs w:val="22"/>
        </w:rPr>
        <w:t>150,000 m³ of clean water per day</w:t>
      </w:r>
      <w:r w:rsidRPr="00303565">
        <w:rPr>
          <w:rFonts w:asciiTheme="minorHAnsi" w:hAnsiTheme="minorHAnsi" w:cstheme="minorHAnsi"/>
          <w:color w:val="000000"/>
          <w:sz w:val="22"/>
          <w:szCs w:val="22"/>
        </w:rPr>
        <w:t>, which the company estimates could serve around</w:t>
      </w:r>
      <w:r w:rsidRPr="00303565">
        <w:rPr>
          <w:rStyle w:val="apple-converted-space"/>
          <w:rFonts w:asciiTheme="minorHAnsi" w:hAnsiTheme="minorHAnsi" w:cstheme="minorHAnsi"/>
          <w:color w:val="000000"/>
          <w:sz w:val="22"/>
          <w:szCs w:val="22"/>
        </w:rPr>
        <w:t> </w:t>
      </w:r>
      <w:r w:rsidRPr="00303565">
        <w:rPr>
          <w:rStyle w:val="Strong"/>
          <w:rFonts w:asciiTheme="minorHAnsi" w:hAnsiTheme="minorHAnsi" w:cstheme="minorHAnsi"/>
          <w:color w:val="000000"/>
          <w:sz w:val="22"/>
          <w:szCs w:val="22"/>
        </w:rPr>
        <w:t>1.5 million people</w:t>
      </w:r>
      <w:r w:rsidRPr="00303565">
        <w:rPr>
          <w:rStyle w:val="apple-converted-space"/>
          <w:rFonts w:asciiTheme="minorHAnsi" w:hAnsiTheme="minorHAnsi" w:cstheme="minorHAnsi"/>
          <w:color w:val="000000"/>
          <w:sz w:val="22"/>
          <w:szCs w:val="22"/>
        </w:rPr>
        <w:t> </w:t>
      </w:r>
      <w:r w:rsidRPr="00303565">
        <w:rPr>
          <w:rFonts w:asciiTheme="minorHAnsi" w:hAnsiTheme="minorHAnsi" w:cstheme="minorHAnsi"/>
          <w:color w:val="000000"/>
          <w:sz w:val="22"/>
          <w:szCs w:val="22"/>
        </w:rPr>
        <w:t>based on average daily water use.</w:t>
      </w:r>
      <w:r w:rsidRPr="00303565">
        <w:rPr>
          <w:rStyle w:val="apple-converted-space"/>
          <w:rFonts w:asciiTheme="minorHAnsi" w:hAnsiTheme="minorHAnsi" w:cstheme="minorHAnsi"/>
          <w:color w:val="000000"/>
          <w:sz w:val="22"/>
          <w:szCs w:val="22"/>
        </w:rPr>
        <w:t> </w:t>
      </w:r>
      <w:r w:rsidRPr="00303565">
        <w:rPr>
          <w:rFonts w:asciiTheme="minorHAnsi" w:hAnsiTheme="minorHAnsi" w:cstheme="minorHAnsi"/>
          <w:color w:val="000000"/>
          <w:sz w:val="22"/>
          <w:szCs w:val="22"/>
        </w:rPr>
        <w:t xml:space="preserve">At the time the project was being developed, </w:t>
      </w:r>
      <w:proofErr w:type="spellStart"/>
      <w:r w:rsidRPr="00303565">
        <w:rPr>
          <w:rFonts w:asciiTheme="minorHAnsi" w:hAnsiTheme="minorHAnsi" w:cstheme="minorHAnsi"/>
          <w:color w:val="000000"/>
          <w:sz w:val="22"/>
          <w:szCs w:val="22"/>
        </w:rPr>
        <w:t>AquaOne</w:t>
      </w:r>
      <w:proofErr w:type="spellEnd"/>
      <w:r w:rsidRPr="00303565">
        <w:rPr>
          <w:rFonts w:asciiTheme="minorHAnsi" w:hAnsiTheme="minorHAnsi" w:cstheme="minorHAnsi"/>
          <w:color w:val="000000"/>
          <w:sz w:val="22"/>
          <w:szCs w:val="22"/>
        </w:rPr>
        <w:t xml:space="preserve"> had arranged around 20% of the project’s capital expenditure from its own equity and needed to raise the remaining 80% externally. The company first explored local bank lending but reported that bank loans offered less favourable interest rates, stricter conditions, and slower disbursement than the project timeline required. Since the project licence was time-bound and construction speed was critical, the company needed financing that was faster, more flexible, and better matched to the project’s long-term infrastructure profile.</w:t>
      </w:r>
      <w:r w:rsidRPr="00303565">
        <w:rPr>
          <w:rStyle w:val="apple-converted-space"/>
          <w:rFonts w:asciiTheme="minorHAnsi" w:hAnsiTheme="minorHAnsi" w:cstheme="minorHAnsi"/>
          <w:color w:val="000000"/>
          <w:sz w:val="22"/>
          <w:szCs w:val="22"/>
        </w:rPr>
        <w:t> </w:t>
      </w:r>
    </w:p>
    <w:p w14:paraId="0CC64EA8" w14:textId="77777777" w:rsidR="007F6E50" w:rsidRPr="00E70DBE" w:rsidRDefault="007F6E50" w:rsidP="003D231F">
      <w:pPr>
        <w:pStyle w:val="Heading2"/>
      </w:pPr>
      <w:bookmarkStart w:id="80" w:name="_Toc233026612"/>
      <w:r w:rsidRPr="00E70DBE">
        <w:t>PIDG support</w:t>
      </w:r>
      <w:bookmarkEnd w:id="80"/>
    </w:p>
    <w:p w14:paraId="0347B6FC" w14:textId="242E7501" w:rsidR="007F6E50" w:rsidRPr="00303565" w:rsidRDefault="007F6E50" w:rsidP="007F6E50">
      <w:pPr>
        <w:pStyle w:val="NormalWeb"/>
        <w:rPr>
          <w:rFonts w:asciiTheme="minorHAnsi" w:hAnsiTheme="minorHAnsi" w:cstheme="minorHAnsi"/>
          <w:color w:val="000000"/>
          <w:sz w:val="22"/>
          <w:szCs w:val="22"/>
        </w:rPr>
      </w:pPr>
      <w:proofErr w:type="spellStart"/>
      <w:r w:rsidRPr="00303565">
        <w:rPr>
          <w:rFonts w:asciiTheme="minorHAnsi" w:hAnsiTheme="minorHAnsi" w:cstheme="minorHAnsi"/>
          <w:color w:val="000000"/>
          <w:sz w:val="22"/>
          <w:szCs w:val="22"/>
        </w:rPr>
        <w:t>AquaOne</w:t>
      </w:r>
      <w:proofErr w:type="spellEnd"/>
      <w:r w:rsidRPr="00303565">
        <w:rPr>
          <w:rFonts w:asciiTheme="minorHAnsi" w:hAnsiTheme="minorHAnsi" w:cstheme="minorHAnsi"/>
          <w:color w:val="000000"/>
          <w:sz w:val="22"/>
          <w:szCs w:val="22"/>
        </w:rPr>
        <w:t xml:space="preserve"> reported receiving three forms of support through PIDG. First, </w:t>
      </w:r>
      <w:proofErr w:type="spellStart"/>
      <w:r w:rsidRPr="00303565">
        <w:rPr>
          <w:rFonts w:asciiTheme="minorHAnsi" w:hAnsiTheme="minorHAnsi" w:cstheme="minorHAnsi"/>
          <w:color w:val="000000"/>
          <w:sz w:val="22"/>
          <w:szCs w:val="22"/>
        </w:rPr>
        <w:t>GuarantCo</w:t>
      </w:r>
      <w:proofErr w:type="spellEnd"/>
      <w:r w:rsidRPr="00303565">
        <w:rPr>
          <w:rFonts w:asciiTheme="minorHAnsi" w:hAnsiTheme="minorHAnsi" w:cstheme="minorHAnsi"/>
          <w:color w:val="000000"/>
          <w:sz w:val="22"/>
          <w:szCs w:val="22"/>
        </w:rPr>
        <w:t xml:space="preserve"> provided a</w:t>
      </w:r>
      <w:r w:rsidRPr="00303565">
        <w:rPr>
          <w:rStyle w:val="apple-converted-space"/>
          <w:rFonts w:asciiTheme="minorHAnsi" w:hAnsiTheme="minorHAnsi" w:cstheme="minorHAnsi"/>
          <w:color w:val="000000"/>
          <w:sz w:val="22"/>
          <w:szCs w:val="22"/>
        </w:rPr>
        <w:t> </w:t>
      </w:r>
      <w:r w:rsidRPr="00303565">
        <w:rPr>
          <w:rStyle w:val="Strong"/>
          <w:rFonts w:asciiTheme="minorHAnsi" w:hAnsiTheme="minorHAnsi" w:cstheme="minorHAnsi"/>
          <w:color w:val="000000"/>
          <w:sz w:val="22"/>
          <w:szCs w:val="22"/>
        </w:rPr>
        <w:t xml:space="preserve">green bond </w:t>
      </w:r>
      <w:r w:rsidR="00E71FF9" w:rsidRPr="00303565">
        <w:rPr>
          <w:rStyle w:val="Strong"/>
          <w:rFonts w:asciiTheme="minorHAnsi" w:hAnsiTheme="minorHAnsi" w:cstheme="minorHAnsi"/>
          <w:color w:val="000000"/>
          <w:sz w:val="22"/>
          <w:szCs w:val="22"/>
        </w:rPr>
        <w:t>guarantee</w:t>
      </w:r>
      <w:r w:rsidR="00E71FF9" w:rsidRPr="00303565">
        <w:rPr>
          <w:rFonts w:asciiTheme="minorHAnsi" w:hAnsiTheme="minorHAnsi" w:cstheme="minorHAnsi"/>
          <w:color w:val="000000"/>
          <w:sz w:val="22"/>
          <w:szCs w:val="22"/>
        </w:rPr>
        <w:t xml:space="preserve"> that</w:t>
      </w:r>
      <w:r w:rsidRPr="00303565">
        <w:rPr>
          <w:rFonts w:asciiTheme="minorHAnsi" w:hAnsiTheme="minorHAnsi" w:cstheme="minorHAnsi"/>
          <w:color w:val="000000"/>
          <w:sz w:val="22"/>
          <w:szCs w:val="22"/>
        </w:rPr>
        <w:t xml:space="preserve"> enabled </w:t>
      </w:r>
      <w:proofErr w:type="spellStart"/>
      <w:r w:rsidRPr="00303565">
        <w:rPr>
          <w:rFonts w:asciiTheme="minorHAnsi" w:hAnsiTheme="minorHAnsi" w:cstheme="minorHAnsi"/>
          <w:color w:val="000000"/>
          <w:sz w:val="22"/>
          <w:szCs w:val="22"/>
        </w:rPr>
        <w:t>AquaOne</w:t>
      </w:r>
      <w:proofErr w:type="spellEnd"/>
      <w:r w:rsidRPr="00303565">
        <w:rPr>
          <w:rFonts w:asciiTheme="minorHAnsi" w:hAnsiTheme="minorHAnsi" w:cstheme="minorHAnsi"/>
          <w:color w:val="000000"/>
          <w:sz w:val="22"/>
          <w:szCs w:val="22"/>
        </w:rPr>
        <w:t xml:space="preserve"> to raise bond financing for around</w:t>
      </w:r>
      <w:r w:rsidRPr="00303565">
        <w:rPr>
          <w:rStyle w:val="apple-converted-space"/>
          <w:rFonts w:asciiTheme="minorHAnsi" w:hAnsiTheme="minorHAnsi" w:cstheme="minorHAnsi"/>
          <w:color w:val="000000"/>
          <w:sz w:val="22"/>
          <w:szCs w:val="22"/>
        </w:rPr>
        <w:t> </w:t>
      </w:r>
      <w:r w:rsidRPr="00303565">
        <w:rPr>
          <w:rStyle w:val="Strong"/>
          <w:rFonts w:asciiTheme="minorHAnsi" w:hAnsiTheme="minorHAnsi" w:cstheme="minorHAnsi"/>
          <w:color w:val="000000"/>
          <w:sz w:val="22"/>
          <w:szCs w:val="22"/>
        </w:rPr>
        <w:t>40% of capital expenditure</w:t>
      </w:r>
      <w:r w:rsidRPr="00303565">
        <w:rPr>
          <w:rFonts w:asciiTheme="minorHAnsi" w:hAnsiTheme="minorHAnsi" w:cstheme="minorHAnsi"/>
          <w:color w:val="000000"/>
          <w:sz w:val="22"/>
          <w:szCs w:val="22"/>
        </w:rPr>
        <w:t xml:space="preserve">. </w:t>
      </w:r>
      <w:proofErr w:type="spellStart"/>
      <w:r w:rsidRPr="00303565">
        <w:rPr>
          <w:rFonts w:asciiTheme="minorHAnsi" w:hAnsiTheme="minorHAnsi" w:cstheme="minorHAnsi"/>
          <w:color w:val="000000"/>
          <w:sz w:val="22"/>
          <w:szCs w:val="22"/>
        </w:rPr>
        <w:t>AquaOne</w:t>
      </w:r>
      <w:proofErr w:type="spellEnd"/>
      <w:r w:rsidRPr="00303565">
        <w:rPr>
          <w:rFonts w:asciiTheme="minorHAnsi" w:hAnsiTheme="minorHAnsi" w:cstheme="minorHAnsi"/>
          <w:color w:val="000000"/>
          <w:sz w:val="22"/>
          <w:szCs w:val="22"/>
        </w:rPr>
        <w:t xml:space="preserve"> stated that this financing was more attractive than bank lending because the bond terms provided more favourable interest rates, a longer tenor of up to 20 years, and a </w:t>
      </w:r>
      <w:r w:rsidR="005F75FB" w:rsidRPr="00303565">
        <w:rPr>
          <w:rFonts w:asciiTheme="minorHAnsi" w:hAnsiTheme="minorHAnsi" w:cstheme="minorHAnsi"/>
          <w:sz w:val="22"/>
          <w:szCs w:val="22"/>
          <w:lang w:eastAsia="en-US"/>
        </w:rPr>
        <w:t>grace period on principal repayment for first few year</w:t>
      </w:r>
      <w:r w:rsidR="005F75FB" w:rsidRPr="00303565">
        <w:rPr>
          <w:rFonts w:ascii="Helvetica" w:hAnsi="Helvetica" w:cs="Helvetica"/>
          <w:sz w:val="22"/>
          <w:szCs w:val="22"/>
          <w:lang w:eastAsia="en-US"/>
        </w:rPr>
        <w:t>s</w:t>
      </w:r>
      <w:r w:rsidR="005F75FB" w:rsidRPr="00303565">
        <w:rPr>
          <w:rFonts w:asciiTheme="minorHAnsi" w:hAnsiTheme="minorHAnsi" w:cstheme="minorHAnsi"/>
          <w:color w:val="000000"/>
          <w:sz w:val="22"/>
          <w:szCs w:val="22"/>
        </w:rPr>
        <w:t>, which helped reduce the project’s interest rate risk</w:t>
      </w:r>
      <w:r w:rsidRPr="00303565">
        <w:rPr>
          <w:rFonts w:asciiTheme="minorHAnsi" w:hAnsiTheme="minorHAnsi" w:cstheme="minorHAnsi"/>
          <w:color w:val="000000"/>
          <w:sz w:val="22"/>
          <w:szCs w:val="22"/>
        </w:rPr>
        <w:t>.</w:t>
      </w:r>
      <w:r w:rsidR="005F75FB" w:rsidRPr="00303565">
        <w:rPr>
          <w:rFonts w:asciiTheme="minorHAnsi" w:hAnsiTheme="minorHAnsi" w:cstheme="minorHAnsi"/>
          <w:color w:val="000000"/>
          <w:sz w:val="22"/>
          <w:szCs w:val="22"/>
        </w:rPr>
        <w:t xml:space="preserve"> </w:t>
      </w:r>
      <w:r w:rsidR="005F75FB" w:rsidRPr="00303565">
        <w:rPr>
          <w:rFonts w:ascii="Arial" w:hAnsi="Arial" w:cs="Arial" w:hint="eastAsia"/>
          <w:color w:val="000000"/>
          <w:sz w:val="22"/>
          <w:szCs w:val="22"/>
        </w:rPr>
        <w:t>It should also be noted that this was the first time in Vietnam that a 20-year bond was issued by a corporate entity.</w:t>
      </w:r>
      <w:r w:rsidRPr="00303565">
        <w:rPr>
          <w:rFonts w:asciiTheme="minorHAnsi" w:hAnsiTheme="minorHAnsi" w:cstheme="minorHAnsi"/>
          <w:color w:val="000000"/>
          <w:sz w:val="22"/>
          <w:szCs w:val="22"/>
        </w:rPr>
        <w:t xml:space="preserve"> The company indicated that this </w:t>
      </w:r>
      <w:r w:rsidR="005F75FB" w:rsidRPr="00303565">
        <w:rPr>
          <w:rFonts w:asciiTheme="minorHAnsi" w:hAnsiTheme="minorHAnsi" w:cstheme="minorHAnsi"/>
          <w:color w:val="000000"/>
          <w:sz w:val="22"/>
          <w:szCs w:val="22"/>
        </w:rPr>
        <w:t xml:space="preserve">bond </w:t>
      </w:r>
      <w:r w:rsidRPr="00303565">
        <w:rPr>
          <w:rFonts w:asciiTheme="minorHAnsi" w:hAnsiTheme="minorHAnsi" w:cstheme="minorHAnsi"/>
          <w:color w:val="000000"/>
          <w:sz w:val="22"/>
          <w:szCs w:val="22"/>
        </w:rPr>
        <w:t>allowed construction to move faster and helped it meet project deadlines.</w:t>
      </w:r>
      <w:r w:rsidRPr="00303565">
        <w:rPr>
          <w:rStyle w:val="apple-converted-space"/>
          <w:rFonts w:asciiTheme="minorHAnsi" w:hAnsiTheme="minorHAnsi" w:cstheme="minorHAnsi"/>
          <w:color w:val="000000"/>
          <w:sz w:val="22"/>
          <w:szCs w:val="22"/>
        </w:rPr>
        <w:t> </w:t>
      </w:r>
      <w:r w:rsidRPr="00303565">
        <w:rPr>
          <w:rFonts w:asciiTheme="minorHAnsi" w:hAnsiTheme="minorHAnsi" w:cstheme="minorHAnsi"/>
          <w:color w:val="000000"/>
          <w:sz w:val="22"/>
          <w:szCs w:val="22"/>
        </w:rPr>
        <w:t xml:space="preserve">Second, </w:t>
      </w:r>
      <w:proofErr w:type="spellStart"/>
      <w:r w:rsidRPr="00303565">
        <w:rPr>
          <w:rFonts w:asciiTheme="minorHAnsi" w:hAnsiTheme="minorHAnsi" w:cstheme="minorHAnsi"/>
          <w:color w:val="000000"/>
          <w:sz w:val="22"/>
          <w:szCs w:val="22"/>
        </w:rPr>
        <w:t>InfraCo</w:t>
      </w:r>
      <w:proofErr w:type="spellEnd"/>
      <w:r w:rsidRPr="00303565">
        <w:rPr>
          <w:rFonts w:asciiTheme="minorHAnsi" w:hAnsiTheme="minorHAnsi" w:cstheme="minorHAnsi"/>
          <w:color w:val="000000"/>
          <w:sz w:val="22"/>
          <w:szCs w:val="22"/>
        </w:rPr>
        <w:t xml:space="preserve"> provided an</w:t>
      </w:r>
      <w:r w:rsidRPr="00303565">
        <w:rPr>
          <w:rStyle w:val="apple-converted-space"/>
          <w:rFonts w:asciiTheme="minorHAnsi" w:hAnsiTheme="minorHAnsi" w:cstheme="minorHAnsi"/>
          <w:color w:val="000000"/>
          <w:sz w:val="22"/>
          <w:szCs w:val="22"/>
        </w:rPr>
        <w:t> </w:t>
      </w:r>
      <w:r w:rsidRPr="00303565">
        <w:rPr>
          <w:rStyle w:val="Strong"/>
          <w:rFonts w:asciiTheme="minorHAnsi" w:hAnsiTheme="minorHAnsi" w:cstheme="minorHAnsi"/>
          <w:color w:val="000000"/>
          <w:sz w:val="22"/>
          <w:szCs w:val="22"/>
        </w:rPr>
        <w:t>equity investment of VND 218 billion</w:t>
      </w:r>
      <w:r w:rsidRPr="00303565">
        <w:rPr>
          <w:rFonts w:asciiTheme="minorHAnsi" w:hAnsiTheme="minorHAnsi" w:cstheme="minorHAnsi"/>
          <w:color w:val="000000"/>
          <w:sz w:val="22"/>
          <w:szCs w:val="22"/>
        </w:rPr>
        <w:t xml:space="preserve">, resulting in </w:t>
      </w:r>
      <w:proofErr w:type="spellStart"/>
      <w:r w:rsidRPr="00303565">
        <w:rPr>
          <w:rFonts w:asciiTheme="minorHAnsi" w:hAnsiTheme="minorHAnsi" w:cstheme="minorHAnsi"/>
          <w:color w:val="000000"/>
          <w:sz w:val="22"/>
          <w:szCs w:val="22"/>
        </w:rPr>
        <w:t>InfraCo</w:t>
      </w:r>
      <w:proofErr w:type="spellEnd"/>
      <w:r w:rsidRPr="00303565">
        <w:rPr>
          <w:rFonts w:asciiTheme="minorHAnsi" w:hAnsiTheme="minorHAnsi" w:cstheme="minorHAnsi"/>
          <w:color w:val="000000"/>
          <w:sz w:val="22"/>
          <w:szCs w:val="22"/>
        </w:rPr>
        <w:t xml:space="preserve"> holding</w:t>
      </w:r>
      <w:r w:rsidRPr="00303565">
        <w:rPr>
          <w:rStyle w:val="apple-converted-space"/>
          <w:rFonts w:asciiTheme="minorHAnsi" w:hAnsiTheme="minorHAnsi" w:cstheme="minorHAnsi"/>
          <w:color w:val="000000"/>
          <w:sz w:val="22"/>
          <w:szCs w:val="22"/>
        </w:rPr>
        <w:t> </w:t>
      </w:r>
      <w:r w:rsidRPr="00303565">
        <w:rPr>
          <w:rStyle w:val="Strong"/>
          <w:rFonts w:asciiTheme="minorHAnsi" w:hAnsiTheme="minorHAnsi" w:cstheme="minorHAnsi"/>
          <w:color w:val="000000"/>
          <w:sz w:val="22"/>
          <w:szCs w:val="22"/>
        </w:rPr>
        <w:t>24.8% of the total equity share</w:t>
      </w:r>
      <w:r w:rsidRPr="00303565">
        <w:rPr>
          <w:rStyle w:val="apple-converted-space"/>
          <w:rFonts w:asciiTheme="minorHAnsi" w:hAnsiTheme="minorHAnsi" w:cstheme="minorHAnsi"/>
          <w:color w:val="000000"/>
          <w:sz w:val="22"/>
          <w:szCs w:val="22"/>
        </w:rPr>
        <w:t> </w:t>
      </w:r>
      <w:r w:rsidRPr="00303565">
        <w:rPr>
          <w:rFonts w:asciiTheme="minorHAnsi" w:hAnsiTheme="minorHAnsi" w:cstheme="minorHAnsi"/>
          <w:color w:val="000000"/>
          <w:sz w:val="22"/>
          <w:szCs w:val="22"/>
        </w:rPr>
        <w:t xml:space="preserve">in the Hoa Binh–Xuan Mai company, making it the largest owner after </w:t>
      </w:r>
      <w:proofErr w:type="spellStart"/>
      <w:r w:rsidRPr="00303565">
        <w:rPr>
          <w:rFonts w:asciiTheme="minorHAnsi" w:hAnsiTheme="minorHAnsi" w:cstheme="minorHAnsi"/>
          <w:color w:val="000000"/>
          <w:sz w:val="22"/>
          <w:szCs w:val="22"/>
        </w:rPr>
        <w:t>AquaOne</w:t>
      </w:r>
      <w:proofErr w:type="spellEnd"/>
      <w:r w:rsidRPr="00303565">
        <w:rPr>
          <w:rFonts w:asciiTheme="minorHAnsi" w:hAnsiTheme="minorHAnsi" w:cstheme="minorHAnsi"/>
          <w:color w:val="000000"/>
          <w:sz w:val="22"/>
          <w:szCs w:val="22"/>
        </w:rPr>
        <w:t xml:space="preserve"> itself.</w:t>
      </w:r>
      <w:r w:rsidRPr="00303565">
        <w:rPr>
          <w:rStyle w:val="apple-converted-space"/>
          <w:rFonts w:asciiTheme="minorHAnsi" w:hAnsiTheme="minorHAnsi" w:cstheme="minorHAnsi"/>
          <w:color w:val="000000"/>
          <w:sz w:val="22"/>
          <w:szCs w:val="22"/>
        </w:rPr>
        <w:t> </w:t>
      </w:r>
      <w:r w:rsidRPr="00303565">
        <w:rPr>
          <w:rFonts w:asciiTheme="minorHAnsi" w:hAnsiTheme="minorHAnsi" w:cstheme="minorHAnsi"/>
          <w:color w:val="000000"/>
          <w:sz w:val="22"/>
          <w:szCs w:val="22"/>
        </w:rPr>
        <w:t xml:space="preserve">Third, </w:t>
      </w:r>
      <w:proofErr w:type="spellStart"/>
      <w:r w:rsidRPr="00303565">
        <w:rPr>
          <w:rFonts w:asciiTheme="minorHAnsi" w:hAnsiTheme="minorHAnsi" w:cstheme="minorHAnsi"/>
          <w:color w:val="000000"/>
          <w:sz w:val="22"/>
          <w:szCs w:val="22"/>
        </w:rPr>
        <w:t>AquaOne</w:t>
      </w:r>
      <w:proofErr w:type="spellEnd"/>
      <w:r w:rsidRPr="00303565">
        <w:rPr>
          <w:rFonts w:asciiTheme="minorHAnsi" w:hAnsiTheme="minorHAnsi" w:cstheme="minorHAnsi"/>
          <w:color w:val="000000"/>
          <w:sz w:val="22"/>
          <w:szCs w:val="22"/>
        </w:rPr>
        <w:t xml:space="preserve"> described a technical and institutional strengthening dimension to the support. The company reported that PIDG’s requirements led it to adopt IFC-aligned HSES standards, strengthen documentation and contract review processes, and engage external support to build systems that could meet the required standards. </w:t>
      </w:r>
      <w:proofErr w:type="spellStart"/>
      <w:r w:rsidRPr="00303565">
        <w:rPr>
          <w:rFonts w:asciiTheme="minorHAnsi" w:hAnsiTheme="minorHAnsi" w:cstheme="minorHAnsi"/>
          <w:color w:val="000000"/>
          <w:sz w:val="22"/>
          <w:szCs w:val="22"/>
        </w:rPr>
        <w:t>AquaOne</w:t>
      </w:r>
      <w:proofErr w:type="spellEnd"/>
      <w:r w:rsidRPr="00303565">
        <w:rPr>
          <w:rFonts w:asciiTheme="minorHAnsi" w:hAnsiTheme="minorHAnsi" w:cstheme="minorHAnsi"/>
          <w:color w:val="000000"/>
          <w:sz w:val="22"/>
          <w:szCs w:val="22"/>
        </w:rPr>
        <w:t xml:space="preserve"> emphasised that these processes were demanding, but also useful in strengthening the company’s internal capability and preparing it for future transactions.</w:t>
      </w:r>
      <w:r w:rsidRPr="00303565">
        <w:rPr>
          <w:rStyle w:val="apple-converted-space"/>
          <w:rFonts w:asciiTheme="minorHAnsi" w:hAnsiTheme="minorHAnsi" w:cstheme="minorHAnsi"/>
          <w:color w:val="000000"/>
          <w:sz w:val="22"/>
          <w:szCs w:val="22"/>
        </w:rPr>
        <w:t> </w:t>
      </w:r>
    </w:p>
    <w:p w14:paraId="714399BE" w14:textId="6420E114" w:rsidR="007F6E50" w:rsidRPr="00E70DBE" w:rsidRDefault="007F6E50" w:rsidP="003D231F">
      <w:pPr>
        <w:pStyle w:val="Heading2"/>
      </w:pPr>
      <w:bookmarkStart w:id="81" w:name="_Toc233026613"/>
      <w:r w:rsidRPr="00E70DBE">
        <w:t>What changed</w:t>
      </w:r>
      <w:bookmarkEnd w:id="81"/>
    </w:p>
    <w:p w14:paraId="6AFF95D1" w14:textId="01EF76F3" w:rsidR="00E42B20" w:rsidRPr="00303565" w:rsidRDefault="00E42B20" w:rsidP="00E42B20">
      <w:pPr>
        <w:rPr>
          <w:rFonts w:asciiTheme="minorHAnsi" w:hAnsiTheme="minorHAnsi" w:cstheme="minorHAnsi"/>
          <w:sz w:val="22"/>
          <w:szCs w:val="22"/>
        </w:rPr>
      </w:pPr>
      <w:r w:rsidRPr="00303565">
        <w:rPr>
          <w:rFonts w:asciiTheme="minorHAnsi" w:hAnsiTheme="minorHAnsi" w:cstheme="minorHAnsi"/>
          <w:sz w:val="22"/>
          <w:szCs w:val="22"/>
        </w:rPr>
        <w:t xml:space="preserve">PIDG support contributed to four main outcomes for </w:t>
      </w:r>
      <w:proofErr w:type="spellStart"/>
      <w:r w:rsidRPr="00303565">
        <w:rPr>
          <w:rFonts w:asciiTheme="minorHAnsi" w:hAnsiTheme="minorHAnsi" w:cstheme="minorHAnsi"/>
          <w:sz w:val="22"/>
          <w:szCs w:val="22"/>
        </w:rPr>
        <w:t>AquaOne</w:t>
      </w:r>
      <w:proofErr w:type="spellEnd"/>
      <w:r w:rsidRPr="00303565">
        <w:rPr>
          <w:rFonts w:asciiTheme="minorHAnsi" w:hAnsiTheme="minorHAnsi" w:cstheme="minorHAnsi"/>
          <w:sz w:val="22"/>
          <w:szCs w:val="22"/>
        </w:rPr>
        <w:t>. First, it improved the project</w:t>
      </w:r>
      <w:r w:rsidRPr="00303565">
        <w:rPr>
          <w:rFonts w:asciiTheme="minorHAnsi" w:hAnsiTheme="minorHAnsi" w:cstheme="minorHAnsi" w:hint="eastAsia"/>
          <w:sz w:val="22"/>
          <w:szCs w:val="22"/>
        </w:rPr>
        <w:t>’</w:t>
      </w:r>
      <w:r w:rsidRPr="00303565">
        <w:rPr>
          <w:rFonts w:asciiTheme="minorHAnsi" w:hAnsiTheme="minorHAnsi" w:cstheme="minorHAnsi"/>
          <w:sz w:val="22"/>
          <w:szCs w:val="22"/>
        </w:rPr>
        <w:t>s financing by combining a green bond guarantee, equity investment and technical assistance, helping the 150,000 m</w:t>
      </w:r>
      <w:r w:rsidRPr="00303565">
        <w:rPr>
          <w:rFonts w:asciiTheme="minorHAnsi" w:hAnsiTheme="minorHAnsi" w:cstheme="minorHAnsi" w:hint="eastAsia"/>
          <w:sz w:val="22"/>
          <w:szCs w:val="22"/>
        </w:rPr>
        <w:t>³</w:t>
      </w:r>
      <w:r w:rsidRPr="00303565">
        <w:rPr>
          <w:rFonts w:asciiTheme="minorHAnsi" w:hAnsiTheme="minorHAnsi" w:cstheme="minorHAnsi"/>
          <w:sz w:val="22"/>
          <w:szCs w:val="22"/>
        </w:rPr>
        <w:t xml:space="preserve">/day water treatment plant move forward. Second, it strengthened project delivery standards. </w:t>
      </w:r>
      <w:proofErr w:type="spellStart"/>
      <w:r w:rsidRPr="00303565">
        <w:rPr>
          <w:rFonts w:asciiTheme="minorHAnsi" w:hAnsiTheme="minorHAnsi" w:cstheme="minorHAnsi"/>
          <w:sz w:val="22"/>
          <w:szCs w:val="22"/>
        </w:rPr>
        <w:t>AquaOne</w:t>
      </w:r>
      <w:proofErr w:type="spellEnd"/>
      <w:r w:rsidRPr="00303565">
        <w:rPr>
          <w:rFonts w:asciiTheme="minorHAnsi" w:hAnsiTheme="minorHAnsi" w:cstheme="minorHAnsi"/>
          <w:sz w:val="22"/>
          <w:szCs w:val="22"/>
        </w:rPr>
        <w:t xml:space="preserve"> reported improved HSES systems, safer construction practices, stronger contractor management and better environmental controls. Third, it improved the project</w:t>
      </w:r>
      <w:r w:rsidRPr="00303565">
        <w:rPr>
          <w:rFonts w:asciiTheme="minorHAnsi" w:hAnsiTheme="minorHAnsi" w:cstheme="minorHAnsi" w:hint="eastAsia"/>
          <w:sz w:val="22"/>
          <w:szCs w:val="22"/>
        </w:rPr>
        <w:t>’</w:t>
      </w:r>
      <w:r w:rsidRPr="00303565">
        <w:rPr>
          <w:rFonts w:asciiTheme="minorHAnsi" w:hAnsiTheme="minorHAnsi" w:cstheme="minorHAnsi"/>
          <w:sz w:val="22"/>
          <w:szCs w:val="22"/>
        </w:rPr>
        <w:t>s climate and resource efficiency through 1.57</w:t>
      </w:r>
      <w:r w:rsidRPr="00303565">
        <w:rPr>
          <w:rFonts w:asciiTheme="minorHAnsi" w:hAnsiTheme="minorHAnsi" w:cstheme="minorHAnsi" w:hint="eastAsia"/>
          <w:sz w:val="22"/>
          <w:szCs w:val="22"/>
        </w:rPr>
        <w:t>–</w:t>
      </w:r>
      <w:r w:rsidRPr="00303565">
        <w:rPr>
          <w:rFonts w:asciiTheme="minorHAnsi" w:hAnsiTheme="minorHAnsi" w:cstheme="minorHAnsi"/>
          <w:sz w:val="22"/>
          <w:szCs w:val="22"/>
        </w:rPr>
        <w:t>1.7 MW of rooftop solar, expected to meet 15%</w:t>
      </w:r>
      <w:r w:rsidRPr="00303565">
        <w:rPr>
          <w:rFonts w:asciiTheme="minorHAnsi" w:hAnsiTheme="minorHAnsi" w:cstheme="minorHAnsi" w:hint="eastAsia"/>
          <w:sz w:val="22"/>
          <w:szCs w:val="22"/>
        </w:rPr>
        <w:t>–</w:t>
      </w:r>
      <w:r w:rsidRPr="00303565">
        <w:rPr>
          <w:rFonts w:asciiTheme="minorHAnsi" w:hAnsiTheme="minorHAnsi" w:cstheme="minorHAnsi"/>
          <w:sz w:val="22"/>
          <w:szCs w:val="22"/>
        </w:rPr>
        <w:t>17% of the plant</w:t>
      </w:r>
      <w:r w:rsidRPr="00303565">
        <w:rPr>
          <w:rFonts w:asciiTheme="minorHAnsi" w:hAnsiTheme="minorHAnsi" w:cstheme="minorHAnsi" w:hint="eastAsia"/>
          <w:sz w:val="22"/>
          <w:szCs w:val="22"/>
        </w:rPr>
        <w:t>’</w:t>
      </w:r>
      <w:r w:rsidRPr="00303565">
        <w:rPr>
          <w:rFonts w:asciiTheme="minorHAnsi" w:hAnsiTheme="minorHAnsi" w:cstheme="minorHAnsi"/>
          <w:sz w:val="22"/>
          <w:szCs w:val="22"/>
        </w:rPr>
        <w:t>s energy needs and avoid around 800</w:t>
      </w:r>
      <w:r w:rsidRPr="00303565">
        <w:rPr>
          <w:rFonts w:asciiTheme="minorHAnsi" w:hAnsiTheme="minorHAnsi" w:cstheme="minorHAnsi" w:hint="eastAsia"/>
          <w:sz w:val="22"/>
          <w:szCs w:val="22"/>
        </w:rPr>
        <w:t>–</w:t>
      </w:r>
      <w:r w:rsidRPr="00303565">
        <w:rPr>
          <w:rFonts w:asciiTheme="minorHAnsi" w:hAnsiTheme="minorHAnsi" w:cstheme="minorHAnsi"/>
          <w:sz w:val="22"/>
          <w:szCs w:val="22"/>
        </w:rPr>
        <w:t xml:space="preserve">1,000 </w:t>
      </w:r>
      <w:proofErr w:type="spellStart"/>
      <w:r w:rsidRPr="00303565">
        <w:rPr>
          <w:rFonts w:asciiTheme="minorHAnsi" w:hAnsiTheme="minorHAnsi" w:cstheme="minorHAnsi"/>
          <w:sz w:val="22"/>
          <w:szCs w:val="22"/>
        </w:rPr>
        <w:t>tCO</w:t>
      </w:r>
      <w:proofErr w:type="spellEnd"/>
      <w:r w:rsidRPr="00303565">
        <w:rPr>
          <w:rFonts w:ascii="Cambria Math" w:hAnsi="Cambria Math" w:cs="Cambria Math"/>
          <w:sz w:val="22"/>
          <w:szCs w:val="22"/>
        </w:rPr>
        <w:t>₂</w:t>
      </w:r>
      <w:r w:rsidRPr="00303565">
        <w:rPr>
          <w:rFonts w:asciiTheme="minorHAnsi" w:hAnsiTheme="minorHAnsi" w:cstheme="minorHAnsi"/>
          <w:sz w:val="22"/>
          <w:szCs w:val="22"/>
        </w:rPr>
        <w:t xml:space="preserve"> per year. Fourth, it is expected to support local employment and inclusion, with around 150 operational jobs planned, including 70% from local communities, 30%</w:t>
      </w:r>
      <w:r w:rsidRPr="00303565">
        <w:rPr>
          <w:rFonts w:asciiTheme="minorHAnsi" w:hAnsiTheme="minorHAnsi" w:cstheme="minorHAnsi" w:hint="eastAsia"/>
          <w:sz w:val="22"/>
          <w:szCs w:val="22"/>
        </w:rPr>
        <w:t>–</w:t>
      </w:r>
      <w:r w:rsidRPr="00303565">
        <w:rPr>
          <w:rFonts w:asciiTheme="minorHAnsi" w:hAnsiTheme="minorHAnsi" w:cstheme="minorHAnsi"/>
          <w:sz w:val="22"/>
          <w:szCs w:val="22"/>
        </w:rPr>
        <w:t>34% women and 25%</w:t>
      </w:r>
      <w:r w:rsidRPr="00303565">
        <w:rPr>
          <w:rFonts w:asciiTheme="minorHAnsi" w:hAnsiTheme="minorHAnsi" w:cstheme="minorHAnsi" w:hint="eastAsia"/>
          <w:sz w:val="22"/>
          <w:szCs w:val="22"/>
        </w:rPr>
        <w:t>–</w:t>
      </w:r>
      <w:r w:rsidRPr="00303565">
        <w:rPr>
          <w:rFonts w:asciiTheme="minorHAnsi" w:hAnsiTheme="minorHAnsi" w:cstheme="minorHAnsi"/>
          <w:sz w:val="22"/>
          <w:szCs w:val="22"/>
        </w:rPr>
        <w:t>29% from ethnic minority communities.</w:t>
      </w:r>
    </w:p>
    <w:p w14:paraId="7B8D7407" w14:textId="2FB54CEA" w:rsidR="003A62DB" w:rsidRDefault="003A62DB" w:rsidP="003A62DB">
      <w:pPr>
        <w:pStyle w:val="Caption"/>
        <w:keepNext/>
        <w:jc w:val="left"/>
      </w:pPr>
      <w:bookmarkStart w:id="82" w:name="_Toc233026570"/>
      <w:r>
        <w:t xml:space="preserve">Table </w:t>
      </w:r>
      <w:r>
        <w:fldChar w:fldCharType="begin"/>
      </w:r>
      <w:r>
        <w:instrText xml:space="preserve"> SEQ Table \* ARABIC </w:instrText>
      </w:r>
      <w:r>
        <w:fldChar w:fldCharType="separate"/>
      </w:r>
      <w:r w:rsidR="006C7E0E">
        <w:rPr>
          <w:noProof/>
        </w:rPr>
        <w:t>11</w:t>
      </w:r>
      <w:r>
        <w:fldChar w:fldCharType="end"/>
      </w:r>
      <w:r>
        <w:t>: Aqua-one data matrix for water treatment project</w:t>
      </w:r>
      <w:bookmarkEnd w:id="82"/>
    </w:p>
    <w:tbl>
      <w:tblPr>
        <w:tblStyle w:val="CBSTable1"/>
        <w:tblW w:w="0" w:type="auto"/>
        <w:tblLook w:val="04A0" w:firstRow="1" w:lastRow="0" w:firstColumn="1" w:lastColumn="0" w:noHBand="0" w:noVBand="1"/>
      </w:tblPr>
      <w:tblGrid>
        <w:gridCol w:w="1980"/>
        <w:gridCol w:w="3260"/>
        <w:gridCol w:w="4949"/>
      </w:tblGrid>
      <w:tr w:rsidR="00A03038" w:rsidRPr="00A03038" w14:paraId="12CDA9B7" w14:textId="77777777" w:rsidTr="0047596E">
        <w:trPr>
          <w:tblHeader/>
        </w:trPr>
        <w:tc>
          <w:tcPr>
            <w:tcW w:w="1980" w:type="dxa"/>
            <w:shd w:val="clear" w:color="auto" w:fill="0065BC" w:themeFill="background2"/>
            <w:hideMark/>
          </w:tcPr>
          <w:p w14:paraId="63E96568" w14:textId="77777777" w:rsidR="00A03038" w:rsidRPr="00146589" w:rsidRDefault="00A03038" w:rsidP="00A03038">
            <w:pPr>
              <w:jc w:val="cente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Indicator or measure</w:t>
            </w:r>
          </w:p>
        </w:tc>
        <w:tc>
          <w:tcPr>
            <w:tcW w:w="3260" w:type="dxa"/>
            <w:shd w:val="clear" w:color="auto" w:fill="0065BC" w:themeFill="background2"/>
            <w:hideMark/>
          </w:tcPr>
          <w:p w14:paraId="0BE43CB9" w14:textId="77777777" w:rsidR="00A03038" w:rsidRPr="00146589" w:rsidRDefault="00A03038" w:rsidP="00A03038">
            <w:pPr>
              <w:jc w:val="cente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Baseline or before PIDG support</w:t>
            </w:r>
          </w:p>
        </w:tc>
        <w:tc>
          <w:tcPr>
            <w:tcW w:w="4949" w:type="dxa"/>
            <w:shd w:val="clear" w:color="auto" w:fill="0065BC" w:themeFill="background2"/>
            <w:hideMark/>
          </w:tcPr>
          <w:p w14:paraId="4DFA34F0" w14:textId="77777777" w:rsidR="00A03038" w:rsidRPr="00146589" w:rsidRDefault="00A03038" w:rsidP="00A03038">
            <w:pPr>
              <w:jc w:val="cente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Current or expected with PIDG support</w:t>
            </w:r>
          </w:p>
        </w:tc>
      </w:tr>
      <w:tr w:rsidR="00A03038" w:rsidRPr="00A03038" w14:paraId="709A655C" w14:textId="77777777" w:rsidTr="005B6D16">
        <w:tc>
          <w:tcPr>
            <w:tcW w:w="1980" w:type="dxa"/>
            <w:hideMark/>
          </w:tcPr>
          <w:p w14:paraId="742E399C"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Financing structure</w:t>
            </w:r>
          </w:p>
        </w:tc>
        <w:tc>
          <w:tcPr>
            <w:tcW w:w="3260" w:type="dxa"/>
            <w:hideMark/>
          </w:tcPr>
          <w:p w14:paraId="2C651CFE"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Aqua-One had 20% equity available, with the remaining 80% needed from external sources. Bank loans offered strict conditions, slower disbursement, and shorter tenors.</w:t>
            </w:r>
          </w:p>
        </w:tc>
        <w:tc>
          <w:tcPr>
            <w:tcW w:w="4949" w:type="dxa"/>
            <w:hideMark/>
          </w:tcPr>
          <w:p w14:paraId="3E1617C3" w14:textId="77777777" w:rsidR="00A03038" w:rsidRPr="009A291C" w:rsidRDefault="00A03038" w:rsidP="00A03038">
            <w:pPr>
              <w:rPr>
                <w:rFonts w:asciiTheme="minorHAnsi" w:hAnsiTheme="minorHAnsi" w:cstheme="minorHAnsi"/>
                <w:color w:val="000000"/>
                <w:sz w:val="20"/>
                <w:szCs w:val="20"/>
              </w:rPr>
            </w:pPr>
            <w:proofErr w:type="spellStart"/>
            <w:r w:rsidRPr="009A291C">
              <w:rPr>
                <w:rFonts w:asciiTheme="minorHAnsi" w:hAnsiTheme="minorHAnsi" w:cstheme="minorHAnsi"/>
                <w:color w:val="000000"/>
                <w:sz w:val="20"/>
                <w:szCs w:val="20"/>
              </w:rPr>
              <w:t>GuarantCo</w:t>
            </w:r>
            <w:proofErr w:type="spellEnd"/>
            <w:r w:rsidRPr="009A291C">
              <w:rPr>
                <w:rFonts w:asciiTheme="minorHAnsi" w:hAnsiTheme="minorHAnsi" w:cstheme="minorHAnsi"/>
                <w:color w:val="000000"/>
                <w:sz w:val="20"/>
                <w:szCs w:val="20"/>
              </w:rPr>
              <w:t xml:space="preserve"> provided a green bond guarantee for around 40% of capital expenditure. </w:t>
            </w:r>
            <w:proofErr w:type="spellStart"/>
            <w:r w:rsidRPr="009A291C">
              <w:rPr>
                <w:rFonts w:asciiTheme="minorHAnsi" w:hAnsiTheme="minorHAnsi" w:cstheme="minorHAnsi"/>
                <w:color w:val="000000"/>
                <w:sz w:val="20"/>
                <w:szCs w:val="20"/>
              </w:rPr>
              <w:t>InfraCo</w:t>
            </w:r>
            <w:proofErr w:type="spellEnd"/>
            <w:r w:rsidRPr="009A291C">
              <w:rPr>
                <w:rFonts w:asciiTheme="minorHAnsi" w:hAnsiTheme="minorHAnsi" w:cstheme="minorHAnsi"/>
                <w:color w:val="000000"/>
                <w:sz w:val="20"/>
                <w:szCs w:val="20"/>
              </w:rPr>
              <w:t xml:space="preserve"> made an equity investment of VND 218 billion and holds a 24.8% equity share.</w:t>
            </w:r>
          </w:p>
        </w:tc>
      </w:tr>
      <w:tr w:rsidR="00A03038" w:rsidRPr="00A03038" w14:paraId="1BD4C38F" w14:textId="77777777" w:rsidTr="005B6D16">
        <w:tc>
          <w:tcPr>
            <w:tcW w:w="1980" w:type="dxa"/>
            <w:hideMark/>
          </w:tcPr>
          <w:p w14:paraId="6E2F6C3C"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lastRenderedPageBreak/>
              <w:t>Green bond tenor</w:t>
            </w:r>
          </w:p>
        </w:tc>
        <w:tc>
          <w:tcPr>
            <w:tcW w:w="3260" w:type="dxa"/>
            <w:hideMark/>
          </w:tcPr>
          <w:p w14:paraId="2C5836B4"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Local bank loans typically offered tenors of 10–15 years.</w:t>
            </w:r>
          </w:p>
        </w:tc>
        <w:tc>
          <w:tcPr>
            <w:tcW w:w="4949" w:type="dxa"/>
            <w:hideMark/>
          </w:tcPr>
          <w:p w14:paraId="4F376970"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Green bond financing provides a tenor of up to 20 years, with interest payment waived for the first two years.</w:t>
            </w:r>
          </w:p>
        </w:tc>
      </w:tr>
      <w:tr w:rsidR="00A03038" w:rsidRPr="00A03038" w14:paraId="7265EE6E" w14:textId="77777777" w:rsidTr="005B6D16">
        <w:tc>
          <w:tcPr>
            <w:tcW w:w="1980" w:type="dxa"/>
            <w:hideMark/>
          </w:tcPr>
          <w:p w14:paraId="4C5EFE92"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Water treatment capacity</w:t>
            </w:r>
          </w:p>
        </w:tc>
        <w:tc>
          <w:tcPr>
            <w:tcW w:w="3260" w:type="dxa"/>
            <w:hideMark/>
          </w:tcPr>
          <w:p w14:paraId="7358F4A9"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No new plant in the project area.</w:t>
            </w:r>
          </w:p>
        </w:tc>
        <w:tc>
          <w:tcPr>
            <w:tcW w:w="4949" w:type="dxa"/>
            <w:hideMark/>
          </w:tcPr>
          <w:p w14:paraId="36AEFE7E"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The project is expected to produce 150,000 m³ of clean water per day.</w:t>
            </w:r>
          </w:p>
        </w:tc>
      </w:tr>
      <w:tr w:rsidR="00A03038" w:rsidRPr="00A03038" w14:paraId="298A6C6A" w14:textId="77777777" w:rsidTr="005B6D16">
        <w:tc>
          <w:tcPr>
            <w:tcW w:w="1980" w:type="dxa"/>
            <w:hideMark/>
          </w:tcPr>
          <w:p w14:paraId="4B78D6D0"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Estimated people served</w:t>
            </w:r>
          </w:p>
        </w:tc>
        <w:tc>
          <w:tcPr>
            <w:tcW w:w="3260" w:type="dxa"/>
            <w:hideMark/>
          </w:tcPr>
          <w:p w14:paraId="75D5D621"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Baseline reliance on bottled water and groundwater extraction.</w:t>
            </w:r>
          </w:p>
        </w:tc>
        <w:tc>
          <w:tcPr>
            <w:tcW w:w="4949" w:type="dxa"/>
            <w:hideMark/>
          </w:tcPr>
          <w:p w14:paraId="2784B7C3"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Approximately 1.5 million people could potentially be served.</w:t>
            </w:r>
          </w:p>
        </w:tc>
      </w:tr>
      <w:tr w:rsidR="00A03038" w:rsidRPr="00A03038" w14:paraId="273D73EC" w14:textId="77777777" w:rsidTr="005B6D16">
        <w:tc>
          <w:tcPr>
            <w:tcW w:w="1980" w:type="dxa"/>
            <w:hideMark/>
          </w:tcPr>
          <w:p w14:paraId="3E6DD74E"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Construction timeline</w:t>
            </w:r>
          </w:p>
        </w:tc>
        <w:tc>
          <w:tcPr>
            <w:tcW w:w="3260" w:type="dxa"/>
            <w:hideMark/>
          </w:tcPr>
          <w:p w14:paraId="16E9990A"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The project was under pressure to meet a time-bound construction licence.</w:t>
            </w:r>
          </w:p>
        </w:tc>
        <w:tc>
          <w:tcPr>
            <w:tcW w:w="4949" w:type="dxa"/>
            <w:hideMark/>
          </w:tcPr>
          <w:p w14:paraId="1AA0D5F9"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Construction started about one year earlier and is expected to be completed by the end of April 2026.</w:t>
            </w:r>
          </w:p>
        </w:tc>
      </w:tr>
      <w:tr w:rsidR="00A03038" w:rsidRPr="00A03038" w14:paraId="081B007E" w14:textId="77777777" w:rsidTr="005B6D16">
        <w:tc>
          <w:tcPr>
            <w:tcW w:w="1980" w:type="dxa"/>
            <w:hideMark/>
          </w:tcPr>
          <w:p w14:paraId="7B94DCA1"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HSES standards</w:t>
            </w:r>
          </w:p>
        </w:tc>
        <w:tc>
          <w:tcPr>
            <w:tcW w:w="3260" w:type="dxa"/>
            <w:hideMark/>
          </w:tcPr>
          <w:p w14:paraId="18E0F9A9"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The company had prior project experience, but not at this level of external standards.</w:t>
            </w:r>
          </w:p>
        </w:tc>
        <w:tc>
          <w:tcPr>
            <w:tcW w:w="4949" w:type="dxa"/>
            <w:hideMark/>
          </w:tcPr>
          <w:p w14:paraId="09D694E6"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IFC-aligned HSES standards are being applied across the project and contractors, with six-monthly PIDG reporting.</w:t>
            </w:r>
          </w:p>
        </w:tc>
      </w:tr>
      <w:tr w:rsidR="00A03038" w:rsidRPr="00A03038" w14:paraId="6E1A8216" w14:textId="77777777" w:rsidTr="005B6D16">
        <w:tc>
          <w:tcPr>
            <w:tcW w:w="1980" w:type="dxa"/>
            <w:hideMark/>
          </w:tcPr>
          <w:p w14:paraId="669E00A0"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Energy efficiency of plant</w:t>
            </w:r>
          </w:p>
        </w:tc>
        <w:tc>
          <w:tcPr>
            <w:tcW w:w="3260" w:type="dxa"/>
            <w:hideMark/>
          </w:tcPr>
          <w:p w14:paraId="568AF29C"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Standard equipment approach.</w:t>
            </w:r>
          </w:p>
        </w:tc>
        <w:tc>
          <w:tcPr>
            <w:tcW w:w="4949" w:type="dxa"/>
            <w:hideMark/>
          </w:tcPr>
          <w:p w14:paraId="2B8A2782"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Higher-cost, energy-efficient European equipment has been purchased, and a water recycling system has been installed.</w:t>
            </w:r>
          </w:p>
        </w:tc>
      </w:tr>
      <w:tr w:rsidR="00A03038" w:rsidRPr="00A03038" w14:paraId="715AD46D" w14:textId="77777777" w:rsidTr="005B6D16">
        <w:tc>
          <w:tcPr>
            <w:tcW w:w="1980" w:type="dxa"/>
            <w:hideMark/>
          </w:tcPr>
          <w:p w14:paraId="09FD7A5C"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Rooftop solar installed or planned</w:t>
            </w:r>
          </w:p>
        </w:tc>
        <w:tc>
          <w:tcPr>
            <w:tcW w:w="3260" w:type="dxa"/>
            <w:hideMark/>
          </w:tcPr>
          <w:p w14:paraId="5C4BD258"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Not available.</w:t>
            </w:r>
          </w:p>
        </w:tc>
        <w:tc>
          <w:tcPr>
            <w:tcW w:w="4949" w:type="dxa"/>
            <w:hideMark/>
          </w:tcPr>
          <w:p w14:paraId="63D15947"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A 1.57–1.7 MW rooftop solar system is planned for the plant.</w:t>
            </w:r>
          </w:p>
        </w:tc>
      </w:tr>
      <w:tr w:rsidR="00A03038" w:rsidRPr="00A03038" w14:paraId="2A8DA3D0" w14:textId="77777777" w:rsidTr="005B6D16">
        <w:tc>
          <w:tcPr>
            <w:tcW w:w="1980" w:type="dxa"/>
            <w:hideMark/>
          </w:tcPr>
          <w:p w14:paraId="44945F6B"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Share of plant energy supplied by rooftop solar</w:t>
            </w:r>
          </w:p>
        </w:tc>
        <w:tc>
          <w:tcPr>
            <w:tcW w:w="3260" w:type="dxa"/>
            <w:hideMark/>
          </w:tcPr>
          <w:p w14:paraId="0B1D7573"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Not applicable.</w:t>
            </w:r>
          </w:p>
        </w:tc>
        <w:tc>
          <w:tcPr>
            <w:tcW w:w="4949" w:type="dxa"/>
            <w:hideMark/>
          </w:tcPr>
          <w:p w14:paraId="042F6DA2"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Rooftop solar is expected to supply approximately 15%–17% of the plant’s energy use.</w:t>
            </w:r>
          </w:p>
        </w:tc>
      </w:tr>
      <w:tr w:rsidR="00A03038" w:rsidRPr="00A03038" w14:paraId="7AE97774" w14:textId="77777777" w:rsidTr="005B6D16">
        <w:tc>
          <w:tcPr>
            <w:tcW w:w="1980" w:type="dxa"/>
            <w:hideMark/>
          </w:tcPr>
          <w:p w14:paraId="16D232BD"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Estimated GHG emissions avoided from rooftop solar</w:t>
            </w:r>
          </w:p>
        </w:tc>
        <w:tc>
          <w:tcPr>
            <w:tcW w:w="3260" w:type="dxa"/>
            <w:hideMark/>
          </w:tcPr>
          <w:p w14:paraId="18F13DC7"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Not applicable.</w:t>
            </w:r>
          </w:p>
        </w:tc>
        <w:tc>
          <w:tcPr>
            <w:tcW w:w="4949" w:type="dxa"/>
            <w:hideMark/>
          </w:tcPr>
          <w:p w14:paraId="79DBA8D9"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 xml:space="preserve">Rooftop solar is expected to avoid approximately 800–1,000 </w:t>
            </w:r>
            <w:proofErr w:type="spellStart"/>
            <w:r w:rsidRPr="009A291C">
              <w:rPr>
                <w:rFonts w:asciiTheme="minorHAnsi" w:hAnsiTheme="minorHAnsi" w:cstheme="minorHAnsi"/>
                <w:color w:val="000000"/>
                <w:sz w:val="20"/>
                <w:szCs w:val="20"/>
              </w:rPr>
              <w:t>tCO</w:t>
            </w:r>
            <w:proofErr w:type="spellEnd"/>
            <w:r w:rsidRPr="009A291C">
              <w:rPr>
                <w:rFonts w:ascii="Cambria Math" w:hAnsi="Cambria Math" w:cs="Cambria Math"/>
                <w:color w:val="000000"/>
                <w:sz w:val="20"/>
                <w:szCs w:val="20"/>
              </w:rPr>
              <w:t>₂</w:t>
            </w:r>
            <w:r w:rsidRPr="009A291C">
              <w:rPr>
                <w:rFonts w:asciiTheme="minorHAnsi" w:hAnsiTheme="minorHAnsi" w:cstheme="minorHAnsi"/>
                <w:color w:val="000000"/>
                <w:sz w:val="20"/>
                <w:szCs w:val="20"/>
              </w:rPr>
              <w:t xml:space="preserve"> per year.</w:t>
            </w:r>
          </w:p>
        </w:tc>
      </w:tr>
      <w:tr w:rsidR="00A03038" w:rsidRPr="00A03038" w14:paraId="6AFF81DE" w14:textId="77777777" w:rsidTr="005B6D16">
        <w:tc>
          <w:tcPr>
            <w:tcW w:w="1980" w:type="dxa"/>
            <w:hideMark/>
          </w:tcPr>
          <w:p w14:paraId="69988943"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Local workforce participation</w:t>
            </w:r>
          </w:p>
        </w:tc>
        <w:tc>
          <w:tcPr>
            <w:tcW w:w="3260" w:type="dxa"/>
            <w:hideMark/>
          </w:tcPr>
          <w:p w14:paraId="1BD6AD61"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Not applicable.</w:t>
            </w:r>
          </w:p>
        </w:tc>
        <w:tc>
          <w:tcPr>
            <w:tcW w:w="4949" w:type="dxa"/>
            <w:hideMark/>
          </w:tcPr>
          <w:p w14:paraId="15C61425"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70% of future staff are expected to be recruited from local communities.</w:t>
            </w:r>
          </w:p>
        </w:tc>
      </w:tr>
      <w:tr w:rsidR="00A03038" w:rsidRPr="00A03038" w14:paraId="46AEF663" w14:textId="77777777" w:rsidTr="005B6D16">
        <w:tc>
          <w:tcPr>
            <w:tcW w:w="1980" w:type="dxa"/>
            <w:hideMark/>
          </w:tcPr>
          <w:p w14:paraId="672604DA"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Women in workforce</w:t>
            </w:r>
          </w:p>
        </w:tc>
        <w:tc>
          <w:tcPr>
            <w:tcW w:w="3260" w:type="dxa"/>
            <w:hideMark/>
          </w:tcPr>
          <w:p w14:paraId="38950BEB"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Not applicable.</w:t>
            </w:r>
          </w:p>
        </w:tc>
        <w:tc>
          <w:tcPr>
            <w:tcW w:w="4949" w:type="dxa"/>
            <w:hideMark/>
          </w:tcPr>
          <w:p w14:paraId="48F6FF5A"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Women are expected to represent 30%–34% of the total workforce.</w:t>
            </w:r>
          </w:p>
        </w:tc>
      </w:tr>
      <w:tr w:rsidR="00A03038" w:rsidRPr="00A03038" w14:paraId="72D0D10B" w14:textId="77777777" w:rsidTr="005B6D16">
        <w:tc>
          <w:tcPr>
            <w:tcW w:w="1980" w:type="dxa"/>
            <w:hideMark/>
          </w:tcPr>
          <w:p w14:paraId="412F13E0"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Ethnic minority participation</w:t>
            </w:r>
          </w:p>
        </w:tc>
        <w:tc>
          <w:tcPr>
            <w:tcW w:w="3260" w:type="dxa"/>
            <w:hideMark/>
          </w:tcPr>
          <w:p w14:paraId="461A3F08"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Not applicable.</w:t>
            </w:r>
          </w:p>
        </w:tc>
        <w:tc>
          <w:tcPr>
            <w:tcW w:w="4949" w:type="dxa"/>
            <w:hideMark/>
          </w:tcPr>
          <w:p w14:paraId="77F0FAC2" w14:textId="77777777" w:rsidR="00A03038" w:rsidRPr="009A291C" w:rsidRDefault="00A03038" w:rsidP="00A03038">
            <w:pPr>
              <w:rPr>
                <w:rFonts w:asciiTheme="minorHAnsi" w:hAnsiTheme="minorHAnsi" w:cstheme="minorHAnsi"/>
                <w:color w:val="000000"/>
                <w:sz w:val="20"/>
                <w:szCs w:val="20"/>
              </w:rPr>
            </w:pPr>
            <w:r w:rsidRPr="009A291C">
              <w:rPr>
                <w:rFonts w:asciiTheme="minorHAnsi" w:hAnsiTheme="minorHAnsi" w:cstheme="minorHAnsi"/>
                <w:color w:val="000000"/>
                <w:sz w:val="20"/>
                <w:szCs w:val="20"/>
              </w:rPr>
              <w:t>Ethnic minority staff are expected to represent 25%–29% of the total workforce.</w:t>
            </w:r>
          </w:p>
        </w:tc>
      </w:tr>
    </w:tbl>
    <w:p w14:paraId="53CEC418" w14:textId="7D18A441" w:rsidR="007F6E50" w:rsidRPr="00303565" w:rsidRDefault="007F6E50" w:rsidP="007F6E50">
      <w:pPr>
        <w:pStyle w:val="NormalWeb"/>
        <w:rPr>
          <w:rFonts w:asciiTheme="minorHAnsi" w:hAnsiTheme="minorHAnsi" w:cstheme="minorHAnsi"/>
          <w:color w:val="000000"/>
          <w:sz w:val="22"/>
          <w:szCs w:val="22"/>
        </w:rPr>
      </w:pPr>
      <w:r w:rsidRPr="00303565">
        <w:rPr>
          <w:rFonts w:asciiTheme="minorHAnsi" w:hAnsiTheme="minorHAnsi" w:cstheme="minorHAnsi"/>
          <w:color w:val="000000"/>
          <w:sz w:val="22"/>
          <w:szCs w:val="22"/>
        </w:rPr>
        <w:t xml:space="preserve">The case also shows that PIDG’s contribution is not limited to capital. </w:t>
      </w:r>
      <w:proofErr w:type="spellStart"/>
      <w:r w:rsidRPr="00303565">
        <w:rPr>
          <w:rFonts w:asciiTheme="minorHAnsi" w:hAnsiTheme="minorHAnsi" w:cstheme="minorHAnsi"/>
          <w:color w:val="000000"/>
          <w:sz w:val="22"/>
          <w:szCs w:val="22"/>
        </w:rPr>
        <w:t>AquaOne</w:t>
      </w:r>
      <w:proofErr w:type="spellEnd"/>
      <w:r w:rsidRPr="00303565">
        <w:rPr>
          <w:rFonts w:asciiTheme="minorHAnsi" w:hAnsiTheme="minorHAnsi" w:cstheme="minorHAnsi"/>
          <w:color w:val="000000"/>
          <w:sz w:val="22"/>
          <w:szCs w:val="22"/>
        </w:rPr>
        <w:t xml:space="preserve"> repeatedly linked PIDG’s support to stricter operational, legal, commercial, and HSES discipline. The due diligence process was described as demanding, but also valuable in strengthening the company’s internal systems and helping it learn how to work with international partners and requirements. This suggests that PIDG’s role extended beyond financing the transaction to strengthening the company’s capability for future deals.</w:t>
      </w:r>
      <w:r w:rsidRPr="00303565">
        <w:rPr>
          <w:rStyle w:val="apple-converted-space"/>
          <w:rFonts w:asciiTheme="minorHAnsi" w:hAnsiTheme="minorHAnsi" w:cstheme="minorHAnsi"/>
          <w:color w:val="000000"/>
          <w:sz w:val="22"/>
          <w:szCs w:val="22"/>
        </w:rPr>
        <w:t> </w:t>
      </w:r>
      <w:r w:rsidRPr="00303565">
        <w:rPr>
          <w:rFonts w:asciiTheme="minorHAnsi" w:hAnsiTheme="minorHAnsi" w:cstheme="minorHAnsi"/>
          <w:color w:val="000000"/>
          <w:sz w:val="22"/>
          <w:szCs w:val="22"/>
        </w:rPr>
        <w:t xml:space="preserve">The project also appears to generate both infrastructure and climate benefits. Its core development contribution lies in providing large-scale access to treated water, while climate-related co-benefits arise through rooftop solar generation, more energy-efficient equipment, and improved resource use. </w:t>
      </w:r>
    </w:p>
    <w:p w14:paraId="3E45BC5D" w14:textId="77777777" w:rsidR="007F6E50" w:rsidRPr="00E70DBE" w:rsidRDefault="007F6E50" w:rsidP="003D231F">
      <w:pPr>
        <w:pStyle w:val="Heading2"/>
      </w:pPr>
      <w:bookmarkStart w:id="83" w:name="_Toc233026614"/>
      <w:r w:rsidRPr="00E70DBE">
        <w:t>Cross-cutting issues</w:t>
      </w:r>
      <w:bookmarkEnd w:id="83"/>
    </w:p>
    <w:p w14:paraId="4E0FE7B6" w14:textId="7563A5EA" w:rsidR="00F565A4" w:rsidRDefault="0050726B" w:rsidP="007F6E50">
      <w:pPr>
        <w:pStyle w:val="NormalWeb"/>
        <w:rPr>
          <w:rFonts w:asciiTheme="minorHAnsi" w:hAnsiTheme="minorHAnsi" w:cstheme="minorHAnsi"/>
          <w:color w:val="000000"/>
          <w:sz w:val="22"/>
          <w:szCs w:val="22"/>
        </w:rPr>
      </w:pPr>
      <w:r w:rsidRPr="0050726B">
        <w:rPr>
          <w:rFonts w:ascii="Arial" w:hAnsi="Arial" w:cs="Arial"/>
          <w:color w:val="000000"/>
          <w:sz w:val="22"/>
          <w:szCs w:val="22"/>
        </w:rPr>
        <w:t>Aqua-One reported a strong local workforce orientation, with most future staff expected to be recruited from surrounding communities, including ethnic minority groups. The project is also expected to supply clean water to Muong communities in Phu Tho province, where households currently rely on untreated groundwater, rainwater, or river water for domestic use.</w:t>
      </w:r>
      <w:r w:rsidRPr="002A52B5">
        <w:rPr>
          <w:rFonts w:asciiTheme="minorHAnsi" w:hAnsiTheme="minorHAnsi" w:cstheme="minorHAnsi"/>
          <w:color w:val="000000"/>
          <w:sz w:val="22"/>
          <w:szCs w:val="22"/>
        </w:rPr>
        <w:t xml:space="preserve"> Women</w:t>
      </w:r>
      <w:r w:rsidR="007F6E50" w:rsidRPr="002A52B5">
        <w:rPr>
          <w:rFonts w:asciiTheme="minorHAnsi" w:hAnsiTheme="minorHAnsi" w:cstheme="minorHAnsi"/>
          <w:color w:val="000000"/>
          <w:sz w:val="22"/>
          <w:szCs w:val="22"/>
        </w:rPr>
        <w:t xml:space="preserve"> are expected to make up roughly one-third of the total workforce. The company also described active workforce training and a no-accident construction record at the time of the interview. These are positive signals, though most of the workforce and inclusion data remain forward-looking rather than verified through post-construction evidence.</w:t>
      </w:r>
      <w:r w:rsidR="007F6E50" w:rsidRPr="002A52B5">
        <w:rPr>
          <w:rStyle w:val="apple-converted-space"/>
          <w:rFonts w:asciiTheme="minorHAnsi" w:hAnsiTheme="minorHAnsi" w:cstheme="minorHAnsi"/>
          <w:color w:val="000000"/>
          <w:sz w:val="22"/>
          <w:szCs w:val="22"/>
        </w:rPr>
        <w:t> </w:t>
      </w:r>
      <w:proofErr w:type="spellStart"/>
      <w:r w:rsidR="007F6E50" w:rsidRPr="002A52B5">
        <w:rPr>
          <w:rFonts w:asciiTheme="minorHAnsi" w:hAnsiTheme="minorHAnsi" w:cstheme="minorHAnsi"/>
          <w:color w:val="000000"/>
          <w:sz w:val="22"/>
          <w:szCs w:val="22"/>
        </w:rPr>
        <w:t>AquaOne</w:t>
      </w:r>
      <w:proofErr w:type="spellEnd"/>
      <w:r w:rsidR="007F6E50" w:rsidRPr="002A52B5">
        <w:rPr>
          <w:rFonts w:asciiTheme="minorHAnsi" w:hAnsiTheme="minorHAnsi" w:cstheme="minorHAnsi"/>
          <w:color w:val="000000"/>
          <w:sz w:val="22"/>
          <w:szCs w:val="22"/>
        </w:rPr>
        <w:t xml:space="preserve"> is a strong example of how AVETP support can help deliver sustainable infrastructure through a blended package of equity, guarantee support, and technical strengthening. The case is particularly important because it broadens the platform’s relevance beyond energy generation into water infrastructure with clear public service benefits. </w:t>
      </w:r>
    </w:p>
    <w:p w14:paraId="1FE21ED0" w14:textId="3825DDA3" w:rsidR="00692DFA" w:rsidRPr="00C376B6" w:rsidRDefault="00692DFA" w:rsidP="00C376B6">
      <w:pPr>
        <w:spacing w:before="120" w:after="120"/>
        <w:rPr>
          <w:rStyle w:val="DkBluetextbold"/>
          <w:rFonts w:asciiTheme="minorHAnsi" w:eastAsiaTheme="minorEastAsia" w:hAnsiTheme="minorHAnsi" w:cstheme="minorHAnsi"/>
          <w:b w:val="0"/>
          <w:color w:val="000000"/>
          <w:sz w:val="22"/>
          <w:szCs w:val="22"/>
          <w:lang w:val="en-GB" w:eastAsia="en-AU"/>
        </w:rPr>
      </w:pPr>
      <w:bookmarkStart w:id="84" w:name="_Toc226976870"/>
      <w:r>
        <w:rPr>
          <w:rStyle w:val="DkBluetextbold"/>
          <w:b w:val="0"/>
        </w:rPr>
        <w:br w:type="page"/>
      </w:r>
    </w:p>
    <w:p w14:paraId="33455F66" w14:textId="2FDA4B33" w:rsidR="007F6E50" w:rsidRPr="0091722F" w:rsidRDefault="007F6E50" w:rsidP="003D231F">
      <w:pPr>
        <w:pStyle w:val="Heading1"/>
      </w:pPr>
      <w:bookmarkStart w:id="85" w:name="_Toc233026615"/>
      <w:r w:rsidRPr="0091722F">
        <w:lastRenderedPageBreak/>
        <w:t xml:space="preserve">Case Study: </w:t>
      </w:r>
      <w:r w:rsidR="00FD2EBC" w:rsidRPr="0091722F">
        <w:t>C</w:t>
      </w:r>
      <w:r w:rsidRPr="0091722F">
        <w:t xml:space="preserve">ircular </w:t>
      </w:r>
      <w:r w:rsidR="00FD2EBC" w:rsidRPr="0091722F">
        <w:t>Economy</w:t>
      </w:r>
      <w:bookmarkEnd w:id="85"/>
      <w:r w:rsidR="00FD2EBC" w:rsidRPr="0091722F">
        <w:t xml:space="preserve"> </w:t>
      </w:r>
      <w:bookmarkEnd w:id="84"/>
    </w:p>
    <w:p w14:paraId="51BA84EA" w14:textId="335CA468" w:rsidR="00FD2EBC" w:rsidRPr="00E70DBE" w:rsidRDefault="00FD2EBC" w:rsidP="003D231F">
      <w:pPr>
        <w:pStyle w:val="Heading2"/>
      </w:pPr>
      <w:bookmarkStart w:id="86" w:name="_Toc233026616"/>
      <w:r w:rsidRPr="00E70DBE">
        <w:t>Context</w:t>
      </w:r>
      <w:bookmarkEnd w:id="86"/>
    </w:p>
    <w:p w14:paraId="32706D70" w14:textId="18AE903D" w:rsidR="004B0439" w:rsidRPr="004B0439" w:rsidRDefault="004B0439" w:rsidP="004B0439">
      <w:pPr>
        <w:spacing w:before="100" w:beforeAutospacing="1" w:after="100" w:afterAutospacing="1"/>
        <w:rPr>
          <w:rFonts w:asciiTheme="minorHAnsi" w:hAnsiTheme="minorHAnsi" w:cstheme="minorHAnsi"/>
          <w:color w:val="000000"/>
          <w:sz w:val="22"/>
          <w:szCs w:val="22"/>
        </w:rPr>
      </w:pPr>
      <w:r w:rsidRPr="004B0439">
        <w:rPr>
          <w:rFonts w:asciiTheme="minorHAnsi" w:hAnsiTheme="minorHAnsi" w:cstheme="minorHAnsi"/>
          <w:color w:val="000000"/>
          <w:sz w:val="22"/>
          <w:szCs w:val="22"/>
        </w:rPr>
        <w:t xml:space="preserve">Binh Thuan Plastic Group (BPG) provides an important example of how AVETP support can contribute to Vietnam’s green industrial transition through circular manufacturing. The company planned to expand its recycled plastic manufacturing business by developing two new factories, one in Hung Yen province and another in Ho Chi Minh City. To support this expansion, BPG explored different financing options, including bank loans and bond issuance. According to the company, bond finance offered more favourable pricing than bank lending at the time, which led BPG to seek support for a green bond transaction. Through a banking intermediary, BPG connected with </w:t>
      </w:r>
      <w:proofErr w:type="spellStart"/>
      <w:r w:rsidRPr="004B0439">
        <w:rPr>
          <w:rFonts w:asciiTheme="minorHAnsi" w:hAnsiTheme="minorHAnsi" w:cstheme="minorHAnsi"/>
          <w:color w:val="000000"/>
          <w:sz w:val="22"/>
          <w:szCs w:val="22"/>
        </w:rPr>
        <w:t>GuarantCo</w:t>
      </w:r>
      <w:proofErr w:type="spellEnd"/>
      <w:r w:rsidRPr="004B0439">
        <w:rPr>
          <w:rFonts w:asciiTheme="minorHAnsi" w:hAnsiTheme="minorHAnsi" w:cstheme="minorHAnsi"/>
          <w:color w:val="000000"/>
          <w:sz w:val="22"/>
          <w:szCs w:val="22"/>
        </w:rPr>
        <w:t xml:space="preserve"> and developed the transaction from there.</w:t>
      </w:r>
      <w:r w:rsidR="00C635C1">
        <w:rPr>
          <w:rFonts w:asciiTheme="minorHAnsi" w:hAnsiTheme="minorHAnsi" w:cstheme="minorHAnsi"/>
          <w:color w:val="000000"/>
          <w:sz w:val="22"/>
          <w:szCs w:val="22"/>
        </w:rPr>
        <w:t xml:space="preserve"> </w:t>
      </w:r>
      <w:r w:rsidRPr="004B0439">
        <w:rPr>
          <w:rFonts w:asciiTheme="minorHAnsi" w:hAnsiTheme="minorHAnsi" w:cstheme="minorHAnsi"/>
          <w:color w:val="000000"/>
          <w:sz w:val="22"/>
          <w:szCs w:val="22"/>
        </w:rPr>
        <w:t xml:space="preserve">In December 2025, BPG successfully issued a VND 260 billion green bond for its EDGE-certified Hung Yen factory and recycled plastic pallet rental business, backed by a USD 20 million guarantee from </w:t>
      </w:r>
      <w:proofErr w:type="spellStart"/>
      <w:r w:rsidRPr="004B0439">
        <w:rPr>
          <w:rFonts w:asciiTheme="minorHAnsi" w:hAnsiTheme="minorHAnsi" w:cstheme="minorHAnsi"/>
          <w:color w:val="000000"/>
          <w:sz w:val="22"/>
          <w:szCs w:val="22"/>
        </w:rPr>
        <w:t>GuarantCo</w:t>
      </w:r>
      <w:proofErr w:type="spellEnd"/>
      <w:r w:rsidRPr="004B0439">
        <w:rPr>
          <w:rFonts w:asciiTheme="minorHAnsi" w:hAnsiTheme="minorHAnsi" w:cstheme="minorHAnsi"/>
          <w:color w:val="000000"/>
          <w:sz w:val="22"/>
          <w:szCs w:val="22"/>
        </w:rPr>
        <w:t>. The company reported that USD 10 million was allocated to the Hung Yen factory and rental business, and USD 10 million to the Ho Chi Minh City factory, with the first tranche already disbursed.</w:t>
      </w:r>
    </w:p>
    <w:p w14:paraId="755E88C2" w14:textId="77777777" w:rsidR="007F6E50" w:rsidRPr="001F4432" w:rsidRDefault="007F6E50" w:rsidP="003D231F">
      <w:pPr>
        <w:pStyle w:val="Heading2"/>
      </w:pPr>
      <w:bookmarkStart w:id="87" w:name="_Toc233026617"/>
      <w:r w:rsidRPr="001F4432">
        <w:t>PIDG support</w:t>
      </w:r>
      <w:bookmarkEnd w:id="87"/>
    </w:p>
    <w:p w14:paraId="7B76B5E6" w14:textId="590961BA" w:rsidR="004B0439" w:rsidRDefault="004B0439" w:rsidP="004B0439">
      <w:pPr>
        <w:spacing w:before="100" w:beforeAutospacing="1" w:after="100" w:afterAutospacing="1"/>
        <w:rPr>
          <w:rFonts w:ascii="Arial" w:hAnsi="Arial" w:cs="Arial"/>
          <w:color w:val="000000"/>
          <w:sz w:val="22"/>
          <w:szCs w:val="22"/>
        </w:rPr>
      </w:pPr>
      <w:r w:rsidRPr="004B0439">
        <w:rPr>
          <w:rFonts w:ascii="Arial" w:hAnsi="Arial" w:cs="Arial"/>
          <w:color w:val="000000"/>
          <w:sz w:val="22"/>
          <w:szCs w:val="22"/>
        </w:rPr>
        <w:t xml:space="preserve">BPG described PIDG’s support as having three main elements. First, </w:t>
      </w:r>
      <w:proofErr w:type="spellStart"/>
      <w:r w:rsidRPr="004B0439">
        <w:rPr>
          <w:rFonts w:ascii="Arial" w:hAnsi="Arial" w:cs="Arial"/>
          <w:color w:val="000000"/>
          <w:sz w:val="22"/>
          <w:szCs w:val="22"/>
        </w:rPr>
        <w:t>GuarantCo’s</w:t>
      </w:r>
      <w:proofErr w:type="spellEnd"/>
      <w:r w:rsidRPr="004B0439">
        <w:rPr>
          <w:rFonts w:ascii="Arial" w:hAnsi="Arial" w:cs="Arial"/>
          <w:color w:val="000000"/>
          <w:sz w:val="22"/>
          <w:szCs w:val="22"/>
        </w:rPr>
        <w:t xml:space="preserve"> guarantee enabled the company to issue a green bond on more favourable terms than the available bank loan options. Second, PIDG support helped BPG strengthen and systematise its internal environmental, social, health, safety and governance processes. Third, the company stated that the transaction improved its market standing and enhanced its profile as the first plastic group in Vietnam to successfully issue a green bond. BPG repeatedly emphasised that the </w:t>
      </w:r>
      <w:proofErr w:type="spellStart"/>
      <w:r w:rsidRPr="004B0439">
        <w:rPr>
          <w:rFonts w:ascii="Arial" w:hAnsi="Arial" w:cs="Arial"/>
          <w:color w:val="000000"/>
          <w:sz w:val="22"/>
          <w:szCs w:val="22"/>
        </w:rPr>
        <w:t>GuarantCo</w:t>
      </w:r>
      <w:proofErr w:type="spellEnd"/>
      <w:r w:rsidRPr="004B0439">
        <w:rPr>
          <w:rFonts w:ascii="Arial" w:hAnsi="Arial" w:cs="Arial"/>
          <w:color w:val="000000"/>
          <w:sz w:val="22"/>
          <w:szCs w:val="22"/>
        </w:rPr>
        <w:t xml:space="preserve"> structure was commercially favourable and aligned with the type of financing it was seeking.</w:t>
      </w:r>
      <w:r>
        <w:rPr>
          <w:rFonts w:ascii="Arial" w:hAnsi="Arial" w:cs="Arial"/>
          <w:color w:val="000000"/>
          <w:sz w:val="22"/>
          <w:szCs w:val="22"/>
        </w:rPr>
        <w:t xml:space="preserve"> </w:t>
      </w:r>
      <w:r w:rsidRPr="004B0439">
        <w:rPr>
          <w:rFonts w:ascii="Arial" w:hAnsi="Arial" w:cs="Arial"/>
          <w:color w:val="000000"/>
          <w:sz w:val="22"/>
          <w:szCs w:val="22"/>
        </w:rPr>
        <w:t>BPG noted that it already had E&amp;S processes and regular ESG reporting before the transaction, and that key labour standards, including commitments relating to child labour, forced labour and other core labour requirements, were already being implemented in practice in line with Vietnamese regulations. However, these systems and commitments were not yet fully structured, standardised or formally documented. The due diligence process helped BPG organise and formalise these systems more systematically. Following PIDG support, BPG strengthened HSES documentation for upcoming projects in line with international standards, formalised labour and safeguard commitments, and standardised procedures and mechanisms, including grievance mechanisms, to strengthen compliance, governance and contractor management.</w:t>
      </w:r>
    </w:p>
    <w:p w14:paraId="7D2ECEAE" w14:textId="77777777" w:rsidR="004B0439" w:rsidRPr="0046585F" w:rsidRDefault="004B0439" w:rsidP="003D231F">
      <w:pPr>
        <w:pStyle w:val="Heading2"/>
      </w:pPr>
      <w:bookmarkStart w:id="88" w:name="_Toc233026618"/>
      <w:r w:rsidRPr="0046585F">
        <w:t>What changed</w:t>
      </w:r>
      <w:bookmarkEnd w:id="88"/>
    </w:p>
    <w:p w14:paraId="63B6F701" w14:textId="07BBE9F1" w:rsidR="004B0439" w:rsidRPr="004B0439" w:rsidRDefault="004B0439" w:rsidP="004B0439">
      <w:pPr>
        <w:spacing w:before="100" w:beforeAutospacing="1" w:after="100" w:afterAutospacing="1"/>
        <w:rPr>
          <w:rFonts w:ascii="Arial" w:hAnsi="Arial" w:cs="Arial"/>
          <w:color w:val="000000"/>
          <w:sz w:val="22"/>
          <w:szCs w:val="22"/>
        </w:rPr>
      </w:pPr>
      <w:r w:rsidRPr="004B0439">
        <w:rPr>
          <w:rFonts w:ascii="Arial" w:hAnsi="Arial" w:cs="Arial"/>
          <w:color w:val="000000"/>
          <w:sz w:val="22"/>
          <w:szCs w:val="22"/>
        </w:rPr>
        <w:t xml:space="preserve">BPG’s key changes can be understood across finance, business scale, circular production and systems strengthening. With </w:t>
      </w:r>
      <w:proofErr w:type="spellStart"/>
      <w:r w:rsidRPr="004B0439">
        <w:rPr>
          <w:rFonts w:ascii="Arial" w:hAnsi="Arial" w:cs="Arial"/>
          <w:color w:val="000000"/>
          <w:sz w:val="22"/>
          <w:szCs w:val="22"/>
        </w:rPr>
        <w:t>GuarantCo’s</w:t>
      </w:r>
      <w:proofErr w:type="spellEnd"/>
      <w:r w:rsidRPr="004B0439">
        <w:rPr>
          <w:rFonts w:ascii="Arial" w:hAnsi="Arial" w:cs="Arial"/>
          <w:color w:val="000000"/>
          <w:sz w:val="22"/>
          <w:szCs w:val="22"/>
        </w:rPr>
        <w:t xml:space="preserve"> support, BPG diversified its financing sources by raising capital through a green bond rather than relying only on bank finance. The transaction did not solve a pre-existing bankability problem, as BPG already had access to bank loans, but it helped the company broaden its financing portfolio, reduce dependence on traditional bank lending, and access a more suitable capital market instrument to support expansion into recycling and new factory development. This financing supported a broader business trajectory in which recycling is becoming more central to BPG’s operations. By 2024, BPG had reached a substantial level of plastic waste collection and recycling across its factories, and the upcoming Hung Yen factory is expected to add recycled plastic use equivalent to around 17%–18% of BPG’s current annual recycling activity. BPG also reported that recycled plastic now accounts for around 60% of total production input, while virgin plastic use fell from 50% in 2022 to 30% in 2024, indicating a shift toward a more circular production model and reduced reliance on fossil-based raw materials.</w:t>
      </w:r>
    </w:p>
    <w:p w14:paraId="718071BB" w14:textId="6431C94B" w:rsidR="004B0439" w:rsidRPr="004B0439" w:rsidRDefault="004B0439" w:rsidP="004B0439">
      <w:pPr>
        <w:pStyle w:val="Caption"/>
        <w:keepNext/>
        <w:jc w:val="left"/>
        <w:rPr>
          <w:rFonts w:ascii="Arial" w:hAnsi="Arial" w:cs="Arial"/>
          <w:i w:val="0"/>
          <w:iCs/>
          <w:color w:val="000000"/>
          <w:sz w:val="22"/>
          <w:szCs w:val="22"/>
        </w:rPr>
      </w:pPr>
      <w:r w:rsidRPr="004B0439">
        <w:rPr>
          <w:rFonts w:ascii="Arial" w:hAnsi="Arial" w:cs="Arial"/>
          <w:i w:val="0"/>
          <w:iCs/>
          <w:color w:val="000000"/>
          <w:sz w:val="22"/>
          <w:szCs w:val="22"/>
        </w:rPr>
        <w:lastRenderedPageBreak/>
        <w:t xml:space="preserve">Recycling capacity also increased by around 3.5 times between 2022 and 2024, equivalent to an approximate 246% increase, driven by market expansion, factory investment, supply-chain optimisation, and improved raw-material technology. In addition, BPG stated that health and safety were already high priorities before the transaction, but PIDG support helped formalise and systematise internal processes, strengthen environmental requirements for contractors and suppliers, and make alignment with international standards more visible. </w:t>
      </w:r>
    </w:p>
    <w:p w14:paraId="00922F82" w14:textId="06EA07D5" w:rsidR="003A62DB" w:rsidRDefault="003A62DB" w:rsidP="003A62DB">
      <w:pPr>
        <w:pStyle w:val="Caption"/>
        <w:keepNext/>
        <w:jc w:val="left"/>
      </w:pPr>
      <w:bookmarkStart w:id="89" w:name="_Toc233026571"/>
      <w:r>
        <w:t xml:space="preserve">Table </w:t>
      </w:r>
      <w:r>
        <w:fldChar w:fldCharType="begin"/>
      </w:r>
      <w:r>
        <w:instrText xml:space="preserve"> SEQ Table \* ARABIC </w:instrText>
      </w:r>
      <w:r>
        <w:fldChar w:fldCharType="separate"/>
      </w:r>
      <w:r w:rsidR="006C7E0E">
        <w:rPr>
          <w:noProof/>
        </w:rPr>
        <w:t>12</w:t>
      </w:r>
      <w:r>
        <w:fldChar w:fldCharType="end"/>
      </w:r>
      <w:r>
        <w:t>:</w:t>
      </w:r>
      <w:r w:rsidRPr="003A62DB">
        <w:t xml:space="preserve"> </w:t>
      </w:r>
      <w:r>
        <w:t>KPI and data matrix for BPG Plastic</w:t>
      </w:r>
      <w:bookmarkEnd w:id="89"/>
    </w:p>
    <w:tbl>
      <w:tblPr>
        <w:tblStyle w:val="CBSTable1"/>
        <w:tblW w:w="0" w:type="auto"/>
        <w:tblLook w:val="04A0" w:firstRow="1" w:lastRow="0" w:firstColumn="1" w:lastColumn="0" w:noHBand="0" w:noVBand="1"/>
      </w:tblPr>
      <w:tblGrid>
        <w:gridCol w:w="1980"/>
        <w:gridCol w:w="3260"/>
        <w:gridCol w:w="4949"/>
      </w:tblGrid>
      <w:tr w:rsidR="00A03038" w:rsidRPr="00A03038" w14:paraId="63ED6FD3" w14:textId="77777777" w:rsidTr="004B0439">
        <w:trPr>
          <w:tblHeader/>
        </w:trPr>
        <w:tc>
          <w:tcPr>
            <w:tcW w:w="1980" w:type="dxa"/>
            <w:shd w:val="clear" w:color="auto" w:fill="0065BC" w:themeFill="background2"/>
            <w:hideMark/>
          </w:tcPr>
          <w:p w14:paraId="59E54054" w14:textId="77777777" w:rsidR="00A03038" w:rsidRPr="00146589" w:rsidRDefault="00A03038" w:rsidP="00A03038">
            <w:pPr>
              <w:jc w:val="cente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Indicator or measure</w:t>
            </w:r>
          </w:p>
        </w:tc>
        <w:tc>
          <w:tcPr>
            <w:tcW w:w="3260" w:type="dxa"/>
            <w:shd w:val="clear" w:color="auto" w:fill="0065BC" w:themeFill="background2"/>
            <w:hideMark/>
          </w:tcPr>
          <w:p w14:paraId="4AE1B2C1" w14:textId="77777777" w:rsidR="00A03038" w:rsidRPr="00146589" w:rsidRDefault="00A03038" w:rsidP="00A03038">
            <w:pPr>
              <w:jc w:val="cente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Baseline or before PIDG support</w:t>
            </w:r>
          </w:p>
        </w:tc>
        <w:tc>
          <w:tcPr>
            <w:tcW w:w="4949" w:type="dxa"/>
            <w:shd w:val="clear" w:color="auto" w:fill="0065BC" w:themeFill="background2"/>
            <w:hideMark/>
          </w:tcPr>
          <w:p w14:paraId="4F936097" w14:textId="77777777" w:rsidR="00A03038" w:rsidRPr="00146589" w:rsidRDefault="00A03038" w:rsidP="00A03038">
            <w:pPr>
              <w:jc w:val="cente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Current or expected with PIDG support</w:t>
            </w:r>
          </w:p>
        </w:tc>
      </w:tr>
      <w:tr w:rsidR="004B0439" w:rsidRPr="00A03038" w14:paraId="61063613" w14:textId="77777777" w:rsidTr="004B0439">
        <w:tc>
          <w:tcPr>
            <w:tcW w:w="1980" w:type="dxa"/>
            <w:hideMark/>
          </w:tcPr>
          <w:p w14:paraId="26E7CBDE" w14:textId="0A0B1B41"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Financing instrument</w:t>
            </w:r>
          </w:p>
        </w:tc>
        <w:tc>
          <w:tcPr>
            <w:tcW w:w="3260" w:type="dxa"/>
            <w:hideMark/>
          </w:tcPr>
          <w:p w14:paraId="2584D1CD" w14:textId="7FD898B7"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Bank loans and other fundraising options considered; bond market seen as more favourable than bank loans</w:t>
            </w:r>
          </w:p>
        </w:tc>
        <w:tc>
          <w:tcPr>
            <w:tcW w:w="4949" w:type="dxa"/>
            <w:hideMark/>
          </w:tcPr>
          <w:p w14:paraId="73716A41" w14:textId="2B2853AF"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Green bond of</w:t>
            </w:r>
            <w:r w:rsidRPr="005C5713">
              <w:rPr>
                <w:rStyle w:val="apple-converted-space"/>
                <w:rFonts w:asciiTheme="minorHAnsi" w:hAnsiTheme="minorHAnsi" w:cstheme="minorHAnsi"/>
                <w:sz w:val="20"/>
                <w:szCs w:val="20"/>
              </w:rPr>
              <w:t> </w:t>
            </w:r>
            <w:r w:rsidRPr="005C5713">
              <w:rPr>
                <w:rStyle w:val="Strong"/>
                <w:rFonts w:asciiTheme="minorHAnsi" w:hAnsiTheme="minorHAnsi" w:cstheme="minorHAnsi"/>
                <w:sz w:val="20"/>
                <w:szCs w:val="20"/>
              </w:rPr>
              <w:t>VND 260bn</w:t>
            </w:r>
            <w:r w:rsidRPr="005C5713">
              <w:rPr>
                <w:rStyle w:val="apple-converted-space"/>
                <w:rFonts w:asciiTheme="minorHAnsi" w:hAnsiTheme="minorHAnsi" w:cstheme="minorHAnsi"/>
                <w:sz w:val="20"/>
                <w:szCs w:val="20"/>
              </w:rPr>
              <w:t> </w:t>
            </w:r>
            <w:r w:rsidRPr="005C5713">
              <w:rPr>
                <w:rFonts w:asciiTheme="minorHAnsi" w:hAnsiTheme="minorHAnsi" w:cstheme="minorHAnsi"/>
                <w:sz w:val="20"/>
                <w:szCs w:val="20"/>
              </w:rPr>
              <w:t>issued in Dec 2025 with</w:t>
            </w:r>
            <w:r w:rsidRPr="005C5713">
              <w:rPr>
                <w:rStyle w:val="apple-converted-space"/>
                <w:rFonts w:asciiTheme="minorHAnsi" w:hAnsiTheme="minorHAnsi" w:cstheme="minorHAnsi"/>
                <w:sz w:val="20"/>
                <w:szCs w:val="20"/>
              </w:rPr>
              <w:t> </w:t>
            </w:r>
            <w:r w:rsidRPr="005C5713">
              <w:rPr>
                <w:rStyle w:val="Strong"/>
                <w:rFonts w:asciiTheme="minorHAnsi" w:hAnsiTheme="minorHAnsi" w:cstheme="minorHAnsi"/>
                <w:sz w:val="20"/>
                <w:szCs w:val="20"/>
              </w:rPr>
              <w:t xml:space="preserve">USD 20m </w:t>
            </w:r>
            <w:proofErr w:type="spellStart"/>
            <w:r w:rsidRPr="005C5713">
              <w:rPr>
                <w:rStyle w:val="Strong"/>
                <w:rFonts w:asciiTheme="minorHAnsi" w:hAnsiTheme="minorHAnsi" w:cstheme="minorHAnsi"/>
                <w:sz w:val="20"/>
                <w:szCs w:val="20"/>
              </w:rPr>
              <w:t>GuarantCo</w:t>
            </w:r>
            <w:proofErr w:type="spellEnd"/>
            <w:r w:rsidRPr="005C5713">
              <w:rPr>
                <w:rStyle w:val="Strong"/>
                <w:rFonts w:asciiTheme="minorHAnsi" w:hAnsiTheme="minorHAnsi" w:cstheme="minorHAnsi"/>
                <w:sz w:val="20"/>
                <w:szCs w:val="20"/>
              </w:rPr>
              <w:t xml:space="preserve"> guarantee</w:t>
            </w:r>
          </w:p>
        </w:tc>
      </w:tr>
      <w:tr w:rsidR="004B0439" w:rsidRPr="00A03038" w14:paraId="7A5A718F" w14:textId="77777777" w:rsidTr="004B0439">
        <w:tc>
          <w:tcPr>
            <w:tcW w:w="1980" w:type="dxa"/>
            <w:hideMark/>
          </w:tcPr>
          <w:p w14:paraId="4655577C" w14:textId="5733C728"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Use of proceeds</w:t>
            </w:r>
          </w:p>
        </w:tc>
        <w:tc>
          <w:tcPr>
            <w:tcW w:w="3260" w:type="dxa"/>
            <w:hideMark/>
          </w:tcPr>
          <w:p w14:paraId="530A0F0E" w14:textId="69C64BF6"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Expansion plans for manufacturing recycled plastic business and two new factories</w:t>
            </w:r>
          </w:p>
        </w:tc>
        <w:tc>
          <w:tcPr>
            <w:tcW w:w="4949" w:type="dxa"/>
            <w:hideMark/>
          </w:tcPr>
          <w:p w14:paraId="43F07237" w14:textId="4A5D1BDE" w:rsidR="004B0439" w:rsidRPr="005C5713" w:rsidRDefault="004B0439" w:rsidP="004B0439">
            <w:pPr>
              <w:rPr>
                <w:rFonts w:asciiTheme="minorHAnsi" w:hAnsiTheme="minorHAnsi" w:cstheme="minorHAnsi"/>
                <w:color w:val="000000"/>
                <w:sz w:val="20"/>
                <w:szCs w:val="20"/>
              </w:rPr>
            </w:pPr>
            <w:r w:rsidRPr="005C5713">
              <w:rPr>
                <w:rStyle w:val="Strong"/>
                <w:rFonts w:asciiTheme="minorHAnsi" w:hAnsiTheme="minorHAnsi" w:cstheme="minorHAnsi"/>
                <w:sz w:val="20"/>
                <w:szCs w:val="20"/>
              </w:rPr>
              <w:t>USD 10m</w:t>
            </w:r>
            <w:r w:rsidRPr="005C5713">
              <w:rPr>
                <w:rStyle w:val="apple-converted-space"/>
                <w:rFonts w:asciiTheme="minorHAnsi" w:hAnsiTheme="minorHAnsi" w:cstheme="minorHAnsi"/>
                <w:sz w:val="20"/>
                <w:szCs w:val="20"/>
              </w:rPr>
              <w:t> </w:t>
            </w:r>
            <w:r w:rsidRPr="005C5713">
              <w:rPr>
                <w:rFonts w:asciiTheme="minorHAnsi" w:hAnsiTheme="minorHAnsi" w:cstheme="minorHAnsi"/>
                <w:sz w:val="20"/>
                <w:szCs w:val="20"/>
              </w:rPr>
              <w:t>allocated to Hung Yen factory and</w:t>
            </w:r>
            <w:r w:rsidRPr="005C5713">
              <w:rPr>
                <w:rStyle w:val="apple-converted-space"/>
                <w:rFonts w:asciiTheme="minorHAnsi" w:hAnsiTheme="minorHAnsi" w:cstheme="minorHAnsi"/>
                <w:sz w:val="20"/>
                <w:szCs w:val="20"/>
              </w:rPr>
              <w:t> </w:t>
            </w:r>
            <w:r w:rsidRPr="005C5713">
              <w:rPr>
                <w:rStyle w:val="Strong"/>
                <w:rFonts w:asciiTheme="minorHAnsi" w:hAnsiTheme="minorHAnsi" w:cstheme="minorHAnsi"/>
                <w:sz w:val="20"/>
                <w:szCs w:val="20"/>
              </w:rPr>
              <w:t>USD 10m</w:t>
            </w:r>
            <w:r w:rsidRPr="005C5713">
              <w:rPr>
                <w:rStyle w:val="apple-converted-space"/>
                <w:rFonts w:asciiTheme="minorHAnsi" w:hAnsiTheme="minorHAnsi" w:cstheme="minorHAnsi"/>
                <w:sz w:val="20"/>
                <w:szCs w:val="20"/>
              </w:rPr>
              <w:t> </w:t>
            </w:r>
            <w:r w:rsidRPr="005C5713">
              <w:rPr>
                <w:rFonts w:asciiTheme="minorHAnsi" w:hAnsiTheme="minorHAnsi" w:cstheme="minorHAnsi"/>
                <w:sz w:val="20"/>
                <w:szCs w:val="20"/>
              </w:rPr>
              <w:t>to Ho Chi Minh City factory; first USD 10m disbursed</w:t>
            </w:r>
          </w:p>
        </w:tc>
      </w:tr>
      <w:tr w:rsidR="004B0439" w:rsidRPr="00A03038" w14:paraId="11A683D6" w14:textId="77777777" w:rsidTr="004B0439">
        <w:tc>
          <w:tcPr>
            <w:tcW w:w="1980" w:type="dxa"/>
            <w:hideMark/>
          </w:tcPr>
          <w:p w14:paraId="7AC36305" w14:textId="1635BEEA"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Factory expansion</w:t>
            </w:r>
          </w:p>
        </w:tc>
        <w:tc>
          <w:tcPr>
            <w:tcW w:w="3260" w:type="dxa"/>
            <w:hideMark/>
          </w:tcPr>
          <w:p w14:paraId="34BAC28F" w14:textId="7590601C"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Existing operations, with plans to expand into recycled plastic</w:t>
            </w:r>
          </w:p>
        </w:tc>
        <w:tc>
          <w:tcPr>
            <w:tcW w:w="4949" w:type="dxa"/>
            <w:hideMark/>
          </w:tcPr>
          <w:p w14:paraId="7BC6B8A5" w14:textId="7EBD6FC3"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Hung Yen plant under construction, expected operation from</w:t>
            </w:r>
            <w:r w:rsidRPr="005C5713">
              <w:rPr>
                <w:rStyle w:val="apple-converted-space"/>
                <w:rFonts w:asciiTheme="minorHAnsi" w:hAnsiTheme="minorHAnsi" w:cstheme="minorHAnsi"/>
                <w:sz w:val="20"/>
                <w:szCs w:val="20"/>
              </w:rPr>
              <w:t> </w:t>
            </w:r>
            <w:r w:rsidRPr="005C5713">
              <w:rPr>
                <w:rStyle w:val="Strong"/>
                <w:rFonts w:asciiTheme="minorHAnsi" w:hAnsiTheme="minorHAnsi" w:cstheme="minorHAnsi"/>
                <w:sz w:val="20"/>
                <w:szCs w:val="20"/>
              </w:rPr>
              <w:t>1 July 2026</w:t>
            </w:r>
            <w:r w:rsidRPr="005C5713">
              <w:rPr>
                <w:rFonts w:asciiTheme="minorHAnsi" w:hAnsiTheme="minorHAnsi" w:cstheme="minorHAnsi"/>
                <w:sz w:val="20"/>
                <w:szCs w:val="20"/>
              </w:rPr>
              <w:t>; Ho Chi Minh City plant planned for 2026</w:t>
            </w:r>
          </w:p>
        </w:tc>
      </w:tr>
      <w:tr w:rsidR="004B0439" w:rsidRPr="00A03038" w14:paraId="6B3DD26D" w14:textId="77777777" w:rsidTr="004B0439">
        <w:tc>
          <w:tcPr>
            <w:tcW w:w="1980" w:type="dxa"/>
            <w:hideMark/>
          </w:tcPr>
          <w:p w14:paraId="3C1C5FD1" w14:textId="6C7BF450"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Annual plastic waste collected and recycled</w:t>
            </w:r>
          </w:p>
        </w:tc>
        <w:tc>
          <w:tcPr>
            <w:tcW w:w="3260" w:type="dxa"/>
            <w:hideMark/>
          </w:tcPr>
          <w:p w14:paraId="27949BCF" w14:textId="6274FECD"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Not stated pre-transaction</w:t>
            </w:r>
          </w:p>
        </w:tc>
        <w:tc>
          <w:tcPr>
            <w:tcW w:w="4949" w:type="dxa"/>
            <w:hideMark/>
          </w:tcPr>
          <w:p w14:paraId="0B2A2799" w14:textId="28CAE394"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color w:val="000000"/>
                <w:sz w:val="20"/>
                <w:szCs w:val="20"/>
              </w:rPr>
              <w:t>The upcoming Hung Yen factory is expected to add recycled plastic capacity equal to around 17%–18% of BPG’s current annual recycling activity.</w:t>
            </w:r>
          </w:p>
        </w:tc>
      </w:tr>
      <w:tr w:rsidR="004B0439" w:rsidRPr="00A03038" w14:paraId="5838CED4" w14:textId="77777777" w:rsidTr="004B0439">
        <w:tc>
          <w:tcPr>
            <w:tcW w:w="1980" w:type="dxa"/>
            <w:hideMark/>
          </w:tcPr>
          <w:p w14:paraId="15DF6A25" w14:textId="068D9D52"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Share of recycled material in production</w:t>
            </w:r>
          </w:p>
        </w:tc>
        <w:tc>
          <w:tcPr>
            <w:tcW w:w="3260" w:type="dxa"/>
            <w:hideMark/>
          </w:tcPr>
          <w:p w14:paraId="36F7CA36" w14:textId="7E874839"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Lower historically</w:t>
            </w:r>
          </w:p>
        </w:tc>
        <w:tc>
          <w:tcPr>
            <w:tcW w:w="4949" w:type="dxa"/>
            <w:hideMark/>
          </w:tcPr>
          <w:p w14:paraId="5B153901" w14:textId="16234EA2"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Approx.</w:t>
            </w:r>
            <w:r w:rsidRPr="005C5713">
              <w:rPr>
                <w:rStyle w:val="apple-converted-space"/>
                <w:rFonts w:asciiTheme="minorHAnsi" w:hAnsiTheme="minorHAnsi" w:cstheme="minorHAnsi"/>
                <w:sz w:val="20"/>
                <w:szCs w:val="20"/>
              </w:rPr>
              <w:t> </w:t>
            </w:r>
            <w:r w:rsidRPr="005C5713">
              <w:rPr>
                <w:rStyle w:val="Strong"/>
                <w:rFonts w:asciiTheme="minorHAnsi" w:hAnsiTheme="minorHAnsi" w:cstheme="minorHAnsi"/>
                <w:sz w:val="20"/>
                <w:szCs w:val="20"/>
              </w:rPr>
              <w:t>60%</w:t>
            </w:r>
            <w:r w:rsidRPr="005C5713">
              <w:rPr>
                <w:rStyle w:val="apple-converted-space"/>
                <w:rFonts w:asciiTheme="minorHAnsi" w:hAnsiTheme="minorHAnsi" w:cstheme="minorHAnsi"/>
                <w:sz w:val="20"/>
                <w:szCs w:val="20"/>
              </w:rPr>
              <w:t> </w:t>
            </w:r>
            <w:r w:rsidRPr="005C5713">
              <w:rPr>
                <w:rFonts w:asciiTheme="minorHAnsi" w:hAnsiTheme="minorHAnsi" w:cstheme="minorHAnsi"/>
                <w:sz w:val="20"/>
                <w:szCs w:val="20"/>
              </w:rPr>
              <w:t>recycled plastic used in production</w:t>
            </w:r>
          </w:p>
        </w:tc>
      </w:tr>
      <w:tr w:rsidR="004B0439" w:rsidRPr="00A03038" w14:paraId="72E7E258" w14:textId="77777777" w:rsidTr="004B0439">
        <w:tc>
          <w:tcPr>
            <w:tcW w:w="1980" w:type="dxa"/>
            <w:hideMark/>
          </w:tcPr>
          <w:p w14:paraId="16637156" w14:textId="1B6DBB9C"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Virgin plastic demand</w:t>
            </w:r>
          </w:p>
        </w:tc>
        <w:tc>
          <w:tcPr>
            <w:tcW w:w="3260" w:type="dxa"/>
            <w:hideMark/>
          </w:tcPr>
          <w:p w14:paraId="7FFFAD4E" w14:textId="64C9AA0D" w:rsidR="004B0439" w:rsidRPr="005C5713" w:rsidRDefault="004B0439" w:rsidP="004B0439">
            <w:pPr>
              <w:rPr>
                <w:rFonts w:asciiTheme="minorHAnsi" w:hAnsiTheme="minorHAnsi" w:cstheme="minorHAnsi"/>
                <w:color w:val="000000"/>
                <w:sz w:val="20"/>
                <w:szCs w:val="20"/>
              </w:rPr>
            </w:pPr>
            <w:r w:rsidRPr="005C5713">
              <w:rPr>
                <w:rStyle w:val="Strong"/>
                <w:rFonts w:asciiTheme="minorHAnsi" w:hAnsiTheme="minorHAnsi" w:cstheme="minorHAnsi"/>
                <w:sz w:val="20"/>
                <w:szCs w:val="20"/>
              </w:rPr>
              <w:t>50%</w:t>
            </w:r>
            <w:r w:rsidRPr="005C5713">
              <w:rPr>
                <w:rStyle w:val="apple-converted-space"/>
                <w:rFonts w:asciiTheme="minorHAnsi" w:hAnsiTheme="minorHAnsi" w:cstheme="minorHAnsi"/>
                <w:sz w:val="20"/>
                <w:szCs w:val="20"/>
              </w:rPr>
              <w:t> </w:t>
            </w:r>
            <w:r w:rsidRPr="005C5713">
              <w:rPr>
                <w:rFonts w:asciiTheme="minorHAnsi" w:hAnsiTheme="minorHAnsi" w:cstheme="minorHAnsi"/>
                <w:sz w:val="20"/>
                <w:szCs w:val="20"/>
              </w:rPr>
              <w:t>virgin plastic used in 2022</w:t>
            </w:r>
          </w:p>
        </w:tc>
        <w:tc>
          <w:tcPr>
            <w:tcW w:w="4949" w:type="dxa"/>
            <w:hideMark/>
          </w:tcPr>
          <w:p w14:paraId="0EA88AF7" w14:textId="7E9FC517" w:rsidR="004B0439" w:rsidRPr="005C5713" w:rsidRDefault="004B0439" w:rsidP="004B0439">
            <w:pPr>
              <w:rPr>
                <w:rFonts w:asciiTheme="minorHAnsi" w:hAnsiTheme="minorHAnsi" w:cstheme="minorHAnsi"/>
                <w:color w:val="000000"/>
                <w:sz w:val="20"/>
                <w:szCs w:val="20"/>
              </w:rPr>
            </w:pPr>
            <w:r w:rsidRPr="005C5713">
              <w:rPr>
                <w:rStyle w:val="Strong"/>
                <w:rFonts w:asciiTheme="minorHAnsi" w:hAnsiTheme="minorHAnsi" w:cstheme="minorHAnsi"/>
                <w:sz w:val="20"/>
                <w:szCs w:val="20"/>
              </w:rPr>
              <w:t>30%</w:t>
            </w:r>
            <w:r w:rsidRPr="005C5713">
              <w:rPr>
                <w:rStyle w:val="apple-converted-space"/>
                <w:rFonts w:asciiTheme="minorHAnsi" w:hAnsiTheme="minorHAnsi" w:cstheme="minorHAnsi"/>
                <w:sz w:val="20"/>
                <w:szCs w:val="20"/>
              </w:rPr>
              <w:t> </w:t>
            </w:r>
            <w:r w:rsidRPr="005C5713">
              <w:rPr>
                <w:rFonts w:asciiTheme="minorHAnsi" w:hAnsiTheme="minorHAnsi" w:cstheme="minorHAnsi"/>
                <w:sz w:val="20"/>
                <w:szCs w:val="20"/>
              </w:rPr>
              <w:t>virgin plastic used in 2024</w:t>
            </w:r>
          </w:p>
        </w:tc>
      </w:tr>
      <w:tr w:rsidR="004B0439" w:rsidRPr="00A03038" w14:paraId="19C798FD" w14:textId="77777777" w:rsidTr="004B0439">
        <w:tc>
          <w:tcPr>
            <w:tcW w:w="1980" w:type="dxa"/>
            <w:hideMark/>
          </w:tcPr>
          <w:p w14:paraId="44E34826" w14:textId="3BC4F84E"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sz w:val="20"/>
                <w:szCs w:val="20"/>
              </w:rPr>
              <w:t>Recycling capacity growth</w:t>
            </w:r>
          </w:p>
        </w:tc>
        <w:tc>
          <w:tcPr>
            <w:tcW w:w="3260" w:type="dxa"/>
            <w:hideMark/>
          </w:tcPr>
          <w:p w14:paraId="5E53AF26" w14:textId="7C6307F5"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color w:val="000000"/>
                <w:sz w:val="20"/>
                <w:szCs w:val="20"/>
              </w:rPr>
              <w:t>Nil</w:t>
            </w:r>
          </w:p>
        </w:tc>
        <w:tc>
          <w:tcPr>
            <w:tcW w:w="4949" w:type="dxa"/>
            <w:hideMark/>
          </w:tcPr>
          <w:p w14:paraId="4B731A5F" w14:textId="039AC0C6" w:rsidR="004B0439" w:rsidRPr="005C5713" w:rsidRDefault="004B0439" w:rsidP="004B0439">
            <w:pPr>
              <w:rPr>
                <w:rFonts w:asciiTheme="minorHAnsi" w:hAnsiTheme="minorHAnsi" w:cstheme="minorHAnsi"/>
                <w:color w:val="000000"/>
                <w:sz w:val="20"/>
                <w:szCs w:val="20"/>
              </w:rPr>
            </w:pPr>
            <w:r w:rsidRPr="005C5713">
              <w:rPr>
                <w:rFonts w:asciiTheme="minorHAnsi" w:hAnsiTheme="minorHAnsi" w:cstheme="minorHAnsi"/>
                <w:color w:val="000000"/>
                <w:sz w:val="20"/>
                <w:szCs w:val="20"/>
              </w:rPr>
              <w:t>Recycling capacity increased by</w:t>
            </w:r>
            <w:r w:rsidRPr="005C5713">
              <w:rPr>
                <w:rStyle w:val="apple-converted-space"/>
                <w:rFonts w:asciiTheme="minorHAnsi" w:hAnsiTheme="minorHAnsi" w:cstheme="minorHAnsi"/>
                <w:color w:val="000000"/>
                <w:sz w:val="20"/>
                <w:szCs w:val="20"/>
              </w:rPr>
              <w:t> </w:t>
            </w:r>
            <w:r w:rsidRPr="005C5713">
              <w:rPr>
                <w:rStyle w:val="Strong"/>
                <w:rFonts w:asciiTheme="minorHAnsi" w:hAnsiTheme="minorHAnsi" w:cstheme="minorHAnsi"/>
                <w:b w:val="0"/>
                <w:bCs w:val="0"/>
                <w:color w:val="000000"/>
                <w:sz w:val="20"/>
                <w:szCs w:val="20"/>
              </w:rPr>
              <w:t>around 3.5 times</w:t>
            </w:r>
            <w:r w:rsidRPr="005C5713">
              <w:rPr>
                <w:rFonts w:asciiTheme="minorHAnsi" w:hAnsiTheme="minorHAnsi" w:cstheme="minorHAnsi"/>
                <w:color w:val="000000"/>
                <w:sz w:val="20"/>
                <w:szCs w:val="20"/>
              </w:rPr>
              <w:t>, or by approximately</w:t>
            </w:r>
            <w:r w:rsidRPr="005C5713">
              <w:rPr>
                <w:rStyle w:val="apple-converted-space"/>
                <w:rFonts w:asciiTheme="minorHAnsi" w:hAnsiTheme="minorHAnsi" w:cstheme="minorHAnsi"/>
                <w:color w:val="000000"/>
                <w:sz w:val="20"/>
                <w:szCs w:val="20"/>
              </w:rPr>
              <w:t> </w:t>
            </w:r>
            <w:r w:rsidRPr="005C5713">
              <w:rPr>
                <w:rStyle w:val="Strong"/>
                <w:rFonts w:asciiTheme="minorHAnsi" w:hAnsiTheme="minorHAnsi" w:cstheme="minorHAnsi"/>
                <w:b w:val="0"/>
                <w:bCs w:val="0"/>
                <w:color w:val="000000"/>
                <w:sz w:val="20"/>
                <w:szCs w:val="20"/>
              </w:rPr>
              <w:t>246%</w:t>
            </w:r>
            <w:r w:rsidRPr="005C5713">
              <w:rPr>
                <w:rStyle w:val="apple-converted-space"/>
                <w:rFonts w:asciiTheme="minorHAnsi" w:hAnsiTheme="minorHAnsi" w:cstheme="minorHAnsi"/>
                <w:color w:val="000000"/>
                <w:sz w:val="20"/>
                <w:szCs w:val="20"/>
              </w:rPr>
              <w:t> </w:t>
            </w:r>
            <w:r w:rsidRPr="005C5713">
              <w:rPr>
                <w:rFonts w:asciiTheme="minorHAnsi" w:hAnsiTheme="minorHAnsi" w:cstheme="minorHAnsi"/>
                <w:color w:val="000000"/>
                <w:sz w:val="20"/>
                <w:szCs w:val="20"/>
              </w:rPr>
              <w:t>between 2022 and 2024.</w:t>
            </w:r>
          </w:p>
        </w:tc>
      </w:tr>
      <w:tr w:rsidR="00A03038" w:rsidRPr="00A03038" w14:paraId="7F591351" w14:textId="77777777" w:rsidTr="004B0439">
        <w:tc>
          <w:tcPr>
            <w:tcW w:w="1980" w:type="dxa"/>
            <w:hideMark/>
          </w:tcPr>
          <w:p w14:paraId="295EB6DB" w14:textId="77777777" w:rsidR="00A03038" w:rsidRPr="005C5713" w:rsidRDefault="00A03038" w:rsidP="00A03038">
            <w:pPr>
              <w:rPr>
                <w:rFonts w:asciiTheme="minorHAnsi" w:hAnsiTheme="minorHAnsi" w:cstheme="minorHAnsi"/>
                <w:color w:val="000000"/>
                <w:sz w:val="20"/>
                <w:szCs w:val="20"/>
              </w:rPr>
            </w:pPr>
            <w:r w:rsidRPr="005C5713">
              <w:rPr>
                <w:rFonts w:asciiTheme="minorHAnsi" w:hAnsiTheme="minorHAnsi" w:cstheme="minorHAnsi"/>
                <w:color w:val="000000"/>
                <w:sz w:val="20"/>
                <w:szCs w:val="20"/>
              </w:rPr>
              <w:t>Gender inclusion</w:t>
            </w:r>
          </w:p>
        </w:tc>
        <w:tc>
          <w:tcPr>
            <w:tcW w:w="3260" w:type="dxa"/>
            <w:hideMark/>
          </w:tcPr>
          <w:p w14:paraId="3199AE6D" w14:textId="77777777" w:rsidR="00A03038" w:rsidRPr="005C5713" w:rsidRDefault="00A03038" w:rsidP="00A03038">
            <w:pPr>
              <w:rPr>
                <w:rFonts w:asciiTheme="minorHAnsi" w:hAnsiTheme="minorHAnsi" w:cstheme="minorHAnsi"/>
                <w:color w:val="000000"/>
                <w:sz w:val="20"/>
                <w:szCs w:val="20"/>
              </w:rPr>
            </w:pPr>
            <w:r w:rsidRPr="005C5713">
              <w:rPr>
                <w:rFonts w:asciiTheme="minorHAnsi" w:hAnsiTheme="minorHAnsi" w:cstheme="minorHAnsi"/>
                <w:color w:val="000000"/>
                <w:sz w:val="20"/>
                <w:szCs w:val="20"/>
              </w:rPr>
              <w:t>Women were already present in the company and in leadership.</w:t>
            </w:r>
          </w:p>
        </w:tc>
        <w:tc>
          <w:tcPr>
            <w:tcW w:w="4949" w:type="dxa"/>
            <w:hideMark/>
          </w:tcPr>
          <w:p w14:paraId="6FC54E48" w14:textId="77777777" w:rsidR="00A03038" w:rsidRPr="005C5713" w:rsidRDefault="00A03038" w:rsidP="00A03038">
            <w:pPr>
              <w:rPr>
                <w:rFonts w:asciiTheme="minorHAnsi" w:hAnsiTheme="minorHAnsi" w:cstheme="minorHAnsi"/>
                <w:color w:val="000000"/>
                <w:sz w:val="20"/>
                <w:szCs w:val="20"/>
              </w:rPr>
            </w:pPr>
            <w:r w:rsidRPr="005C5713">
              <w:rPr>
                <w:rFonts w:asciiTheme="minorHAnsi" w:hAnsiTheme="minorHAnsi" w:cstheme="minorHAnsi"/>
                <w:color w:val="000000"/>
                <w:sz w:val="20"/>
                <w:szCs w:val="20"/>
              </w:rPr>
              <w:t>Women represent 50%–60% of office staff, 30%–35% of the total workforce, and 30%–35% of the board.</w:t>
            </w:r>
          </w:p>
        </w:tc>
      </w:tr>
    </w:tbl>
    <w:p w14:paraId="36608B5C" w14:textId="77777777" w:rsidR="007F6E50" w:rsidRPr="00B40CAC" w:rsidRDefault="007F6E50" w:rsidP="003D231F">
      <w:pPr>
        <w:pStyle w:val="Heading2"/>
      </w:pPr>
      <w:bookmarkStart w:id="90" w:name="_Toc233026619"/>
      <w:r w:rsidRPr="00B40CAC">
        <w:t>Cross-cutting issues</w:t>
      </w:r>
      <w:bookmarkEnd w:id="90"/>
    </w:p>
    <w:p w14:paraId="3B7A3FB6" w14:textId="77777777" w:rsidR="003C05B9" w:rsidRDefault="007F6E50" w:rsidP="007F6E50">
      <w:pPr>
        <w:pStyle w:val="NormalWeb"/>
        <w:rPr>
          <w:rFonts w:asciiTheme="minorHAnsi" w:hAnsiTheme="minorHAnsi" w:cstheme="minorHAnsi"/>
          <w:color w:val="000000"/>
          <w:sz w:val="22"/>
          <w:szCs w:val="22"/>
        </w:rPr>
      </w:pPr>
      <w:r w:rsidRPr="00303565">
        <w:rPr>
          <w:rFonts w:asciiTheme="minorHAnsi" w:hAnsiTheme="minorHAnsi" w:cstheme="minorHAnsi"/>
          <w:color w:val="000000"/>
          <w:sz w:val="22"/>
          <w:szCs w:val="22"/>
        </w:rPr>
        <w:t>BPG reported positive gender participation across the company, with women representing between</w:t>
      </w:r>
      <w:r w:rsidRPr="00303565">
        <w:rPr>
          <w:rStyle w:val="apple-converted-space"/>
          <w:rFonts w:asciiTheme="minorHAnsi" w:hAnsiTheme="minorHAnsi" w:cstheme="minorHAnsi"/>
          <w:color w:val="000000"/>
          <w:sz w:val="22"/>
          <w:szCs w:val="22"/>
        </w:rPr>
        <w:t> </w:t>
      </w:r>
      <w:r w:rsidRPr="00303565">
        <w:rPr>
          <w:rStyle w:val="Strong"/>
          <w:rFonts w:asciiTheme="minorHAnsi" w:hAnsiTheme="minorHAnsi" w:cstheme="minorHAnsi"/>
          <w:color w:val="000000"/>
          <w:sz w:val="22"/>
          <w:szCs w:val="22"/>
        </w:rPr>
        <w:t>50% and 60% of office staff</w:t>
      </w:r>
      <w:r w:rsidRPr="00303565">
        <w:rPr>
          <w:rFonts w:asciiTheme="minorHAnsi" w:hAnsiTheme="minorHAnsi" w:cstheme="minorHAnsi"/>
          <w:color w:val="000000"/>
          <w:sz w:val="22"/>
          <w:szCs w:val="22"/>
        </w:rPr>
        <w:t>,</w:t>
      </w:r>
      <w:r w:rsidRPr="00303565">
        <w:rPr>
          <w:rStyle w:val="apple-converted-space"/>
          <w:rFonts w:asciiTheme="minorHAnsi" w:hAnsiTheme="minorHAnsi" w:cstheme="minorHAnsi"/>
          <w:color w:val="000000"/>
          <w:sz w:val="22"/>
          <w:szCs w:val="22"/>
        </w:rPr>
        <w:t> </w:t>
      </w:r>
      <w:r w:rsidRPr="00303565">
        <w:rPr>
          <w:rStyle w:val="Strong"/>
          <w:rFonts w:asciiTheme="minorHAnsi" w:hAnsiTheme="minorHAnsi" w:cstheme="minorHAnsi"/>
          <w:color w:val="000000"/>
          <w:sz w:val="22"/>
          <w:szCs w:val="22"/>
        </w:rPr>
        <w:t>30% to 35% of the total workforce</w:t>
      </w:r>
      <w:r w:rsidRPr="00303565">
        <w:rPr>
          <w:rFonts w:asciiTheme="minorHAnsi" w:hAnsiTheme="minorHAnsi" w:cstheme="minorHAnsi"/>
          <w:color w:val="000000"/>
          <w:sz w:val="22"/>
          <w:szCs w:val="22"/>
        </w:rPr>
        <w:t>, and</w:t>
      </w:r>
      <w:r w:rsidRPr="00303565">
        <w:rPr>
          <w:rStyle w:val="apple-converted-space"/>
          <w:rFonts w:asciiTheme="minorHAnsi" w:hAnsiTheme="minorHAnsi" w:cstheme="minorHAnsi"/>
          <w:color w:val="000000"/>
          <w:sz w:val="22"/>
          <w:szCs w:val="22"/>
        </w:rPr>
        <w:t> </w:t>
      </w:r>
      <w:r w:rsidRPr="00303565">
        <w:rPr>
          <w:rStyle w:val="Strong"/>
          <w:rFonts w:asciiTheme="minorHAnsi" w:hAnsiTheme="minorHAnsi" w:cstheme="minorHAnsi"/>
          <w:color w:val="000000"/>
          <w:sz w:val="22"/>
          <w:szCs w:val="22"/>
        </w:rPr>
        <w:t>30% to 35% of the board of directors</w:t>
      </w:r>
      <w:r w:rsidRPr="00303565">
        <w:rPr>
          <w:rFonts w:asciiTheme="minorHAnsi" w:hAnsiTheme="minorHAnsi" w:cstheme="minorHAnsi"/>
          <w:color w:val="000000"/>
          <w:sz w:val="22"/>
          <w:szCs w:val="22"/>
        </w:rPr>
        <w:t>. The company stated that there is no gender discrimination in recruitment and that women are regularly appointed to leadership and appropriate operational roles.</w:t>
      </w:r>
      <w:r w:rsidR="005B6D16" w:rsidRPr="00303565">
        <w:rPr>
          <w:rFonts w:asciiTheme="minorHAnsi" w:hAnsiTheme="minorHAnsi" w:cstheme="minorHAnsi"/>
          <w:color w:val="000000"/>
          <w:sz w:val="22"/>
          <w:szCs w:val="22"/>
        </w:rPr>
        <w:t xml:space="preserve"> </w:t>
      </w:r>
      <w:r w:rsidRPr="00303565">
        <w:rPr>
          <w:rFonts w:asciiTheme="minorHAnsi" w:hAnsiTheme="minorHAnsi" w:cstheme="minorHAnsi"/>
          <w:color w:val="000000"/>
          <w:sz w:val="22"/>
          <w:szCs w:val="22"/>
        </w:rPr>
        <w:t>On health and safety, BPG described safety as a top leadership priority and reported no physical accidents over the past five years. Fire prevention and firefighting drills are regularly organised, and contractor oversight has been strengthened. On environmental management, BPG highlighted efforts to minimise water use, recycle process water, collect used pallets and plastic waste, and encourage customers to switch from wooden to plastic pallets, which the company frames as contributing indirectly to forest protection.</w:t>
      </w:r>
      <w:r w:rsidRPr="00303565">
        <w:rPr>
          <w:rStyle w:val="apple-converted-space"/>
          <w:rFonts w:asciiTheme="minorHAnsi" w:hAnsiTheme="minorHAnsi" w:cstheme="minorHAnsi"/>
          <w:color w:val="000000"/>
          <w:sz w:val="22"/>
          <w:szCs w:val="22"/>
        </w:rPr>
        <w:t> </w:t>
      </w:r>
      <w:r w:rsidRPr="00303565">
        <w:rPr>
          <w:rFonts w:asciiTheme="minorHAnsi" w:hAnsiTheme="minorHAnsi" w:cstheme="minorHAnsi"/>
          <w:color w:val="000000"/>
          <w:sz w:val="22"/>
          <w:szCs w:val="22"/>
        </w:rPr>
        <w:t>BPG Plastic is a strong example of how AVETP support can help advance green industrial transition through circular manufacturing and green capital-market instruments. The strongest evidence lies in the successful green bond issuance, expansion of recycling capacity, high and rising use of recycled material in production, and the company’s growing role in plastic waste recovery. The case also suggests that PIDG support helped strengthen internal systems and raise BPG’s profile in the market. While the transaction did not fundamentally solve a bankability constraint, it did provide a more favourable financing route and helped position the company as a visible early mover in green finance for the plastics sector in Vietnam.</w:t>
      </w:r>
    </w:p>
    <w:p w14:paraId="7C86D500" w14:textId="21E6CF4F" w:rsidR="003C05B9" w:rsidRPr="00C376B6" w:rsidRDefault="003C05B9" w:rsidP="00C376B6">
      <w:pPr>
        <w:pStyle w:val="NormalWeb"/>
        <w:rPr>
          <w:rFonts w:asciiTheme="minorHAnsi" w:hAnsiTheme="minorHAnsi" w:cstheme="minorHAnsi"/>
          <w:color w:val="000000"/>
          <w:sz w:val="22"/>
          <w:szCs w:val="22"/>
        </w:rPr>
      </w:pPr>
      <w:r>
        <w:rPr>
          <w:rFonts w:asciiTheme="minorHAnsi" w:hAnsiTheme="minorHAnsi" w:cstheme="minorHAnsi"/>
          <w:color w:val="000000"/>
          <w:sz w:val="20"/>
          <w:szCs w:val="20"/>
        </w:rPr>
        <w:br w:type="page"/>
      </w:r>
    </w:p>
    <w:p w14:paraId="4E293459" w14:textId="2738E370" w:rsidR="007F6E50" w:rsidRPr="0091722F" w:rsidRDefault="007F6E50" w:rsidP="003D231F">
      <w:pPr>
        <w:pStyle w:val="Heading1"/>
      </w:pPr>
      <w:bookmarkStart w:id="91" w:name="_Toc233026620"/>
      <w:r w:rsidRPr="0091722F">
        <w:lastRenderedPageBreak/>
        <w:t xml:space="preserve">Case Study: </w:t>
      </w:r>
      <w:r w:rsidR="004F310C" w:rsidRPr="0091722F">
        <w:t>August Energy – Early-stage platform support for Energy as a Service Generation</w:t>
      </w:r>
      <w:bookmarkStart w:id="92" w:name="_Toc226976871"/>
      <w:bookmarkEnd w:id="91"/>
      <w:r w:rsidR="004F310C" w:rsidRPr="0091722F">
        <w:t xml:space="preserve"> </w:t>
      </w:r>
      <w:r w:rsidRPr="0091722F">
        <w:t xml:space="preserve"> </w:t>
      </w:r>
      <w:bookmarkEnd w:id="92"/>
    </w:p>
    <w:p w14:paraId="1DCA0710" w14:textId="77777777" w:rsidR="007F6E50" w:rsidRPr="00B40CAC" w:rsidRDefault="007F6E50" w:rsidP="003D231F">
      <w:pPr>
        <w:pStyle w:val="Heading2"/>
      </w:pPr>
      <w:bookmarkStart w:id="93" w:name="_Toc233026621"/>
      <w:r w:rsidRPr="00B40CAC">
        <w:t>Context</w:t>
      </w:r>
      <w:bookmarkEnd w:id="93"/>
    </w:p>
    <w:p w14:paraId="348C62AC" w14:textId="77777777" w:rsidR="002935DE" w:rsidRPr="002935DE" w:rsidRDefault="002935DE" w:rsidP="002935DE">
      <w:pPr>
        <w:spacing w:before="100" w:beforeAutospacing="1" w:after="100" w:afterAutospacing="1"/>
        <w:rPr>
          <w:rFonts w:ascii="Arial" w:hAnsi="Arial" w:cs="Arial"/>
          <w:color w:val="000000"/>
          <w:sz w:val="22"/>
          <w:szCs w:val="22"/>
        </w:rPr>
      </w:pPr>
      <w:r w:rsidRPr="002935DE">
        <w:rPr>
          <w:rFonts w:ascii="Arial" w:hAnsi="Arial" w:cs="Arial"/>
          <w:color w:val="000000"/>
          <w:sz w:val="22"/>
          <w:szCs w:val="22"/>
        </w:rPr>
        <w:t xml:space="preserve">August Energy is a regional energy-as-a-service infrastructure platform with operations in India and Southeast Asia. Through its Southeast Asia vehicle, the company has partnered with </w:t>
      </w:r>
      <w:proofErr w:type="spellStart"/>
      <w:r w:rsidRPr="002935DE">
        <w:rPr>
          <w:rFonts w:ascii="Arial" w:hAnsi="Arial" w:cs="Arial"/>
          <w:color w:val="000000"/>
          <w:sz w:val="22"/>
          <w:szCs w:val="22"/>
        </w:rPr>
        <w:t>InfraCo</w:t>
      </w:r>
      <w:proofErr w:type="spellEnd"/>
      <w:r w:rsidRPr="002935DE">
        <w:rPr>
          <w:rFonts w:ascii="Arial" w:hAnsi="Arial" w:cs="Arial"/>
          <w:color w:val="000000"/>
          <w:sz w:val="22"/>
          <w:szCs w:val="22"/>
        </w:rPr>
        <w:t xml:space="preserve"> Asia to develop generation and integrated utilities projects, with Vietnam identified as one of its priority markets alongside the Philippines. The platform focuses primarily on solar-plus-storage and cooling-as-a-service projects, with an interest in building a scaled portfolio of distributed energy assets in Vietnam.</w:t>
      </w:r>
    </w:p>
    <w:p w14:paraId="08B23588" w14:textId="77777777" w:rsidR="002935DE" w:rsidRPr="002935DE" w:rsidRDefault="002935DE" w:rsidP="002935DE">
      <w:pPr>
        <w:spacing w:before="100" w:beforeAutospacing="1" w:after="100" w:afterAutospacing="1"/>
        <w:rPr>
          <w:rFonts w:ascii="Arial" w:hAnsi="Arial" w:cs="Arial"/>
          <w:color w:val="000000"/>
          <w:sz w:val="22"/>
          <w:szCs w:val="22"/>
        </w:rPr>
      </w:pPr>
      <w:r w:rsidRPr="002935DE">
        <w:rPr>
          <w:rFonts w:ascii="Arial" w:hAnsi="Arial" w:cs="Arial"/>
          <w:color w:val="000000"/>
          <w:sz w:val="22"/>
          <w:szCs w:val="22"/>
        </w:rPr>
        <w:t xml:space="preserve">August Energy is still at an early stage in Vietnam. Before closing the </w:t>
      </w:r>
      <w:proofErr w:type="spellStart"/>
      <w:r w:rsidRPr="002935DE">
        <w:rPr>
          <w:rFonts w:ascii="Arial" w:hAnsi="Arial" w:cs="Arial"/>
          <w:color w:val="000000"/>
          <w:sz w:val="22"/>
          <w:szCs w:val="22"/>
        </w:rPr>
        <w:t>InfraCo</w:t>
      </w:r>
      <w:proofErr w:type="spellEnd"/>
      <w:r w:rsidRPr="002935DE">
        <w:rPr>
          <w:rFonts w:ascii="Arial" w:hAnsi="Arial" w:cs="Arial"/>
          <w:color w:val="000000"/>
          <w:sz w:val="22"/>
          <w:szCs w:val="22"/>
        </w:rPr>
        <w:t xml:space="preserve"> transaction, its </w:t>
      </w:r>
      <w:proofErr w:type="gramStart"/>
      <w:r w:rsidRPr="002935DE">
        <w:rPr>
          <w:rFonts w:ascii="Arial" w:hAnsi="Arial" w:cs="Arial"/>
          <w:color w:val="000000"/>
          <w:sz w:val="22"/>
          <w:szCs w:val="22"/>
        </w:rPr>
        <w:t>main focus</w:t>
      </w:r>
      <w:proofErr w:type="gramEnd"/>
      <w:r w:rsidRPr="002935DE">
        <w:rPr>
          <w:rFonts w:ascii="Arial" w:hAnsi="Arial" w:cs="Arial"/>
          <w:color w:val="000000"/>
          <w:sz w:val="22"/>
          <w:szCs w:val="22"/>
        </w:rPr>
        <w:t xml:space="preserve"> had been the Philippines and Thailand. The company stated that the availability of capital and support from </w:t>
      </w:r>
      <w:proofErr w:type="spellStart"/>
      <w:r w:rsidRPr="002935DE">
        <w:rPr>
          <w:rFonts w:ascii="Arial" w:hAnsi="Arial" w:cs="Arial"/>
          <w:color w:val="000000"/>
          <w:sz w:val="22"/>
          <w:szCs w:val="22"/>
        </w:rPr>
        <w:t>InfraCo</w:t>
      </w:r>
      <w:proofErr w:type="spellEnd"/>
      <w:r w:rsidRPr="002935DE">
        <w:rPr>
          <w:rFonts w:ascii="Arial" w:hAnsi="Arial" w:cs="Arial"/>
          <w:color w:val="000000"/>
          <w:sz w:val="22"/>
          <w:szCs w:val="22"/>
        </w:rPr>
        <w:t xml:space="preserve"> accelerated its entry into Vietnam by around 12 months, allowing it to move earlier than would otherwise have been possible to build an on-the-ground team.</w:t>
      </w:r>
    </w:p>
    <w:p w14:paraId="39FB2CFA" w14:textId="77777777" w:rsidR="007F6E50" w:rsidRPr="00B40CAC" w:rsidRDefault="007F6E50" w:rsidP="003D231F">
      <w:pPr>
        <w:pStyle w:val="Heading2"/>
      </w:pPr>
      <w:bookmarkStart w:id="94" w:name="_Toc233026622"/>
      <w:r w:rsidRPr="00B40CAC">
        <w:t>PIDG support</w:t>
      </w:r>
      <w:bookmarkEnd w:id="94"/>
    </w:p>
    <w:p w14:paraId="164404FD" w14:textId="77777777" w:rsidR="002935DE" w:rsidRPr="002935DE" w:rsidRDefault="002935DE" w:rsidP="002935DE">
      <w:pPr>
        <w:spacing w:before="100" w:beforeAutospacing="1" w:after="100" w:afterAutospacing="1"/>
        <w:rPr>
          <w:rFonts w:asciiTheme="minorHAnsi" w:hAnsiTheme="minorHAnsi" w:cstheme="minorHAnsi"/>
          <w:color w:val="000000"/>
          <w:sz w:val="22"/>
          <w:szCs w:val="22"/>
        </w:rPr>
      </w:pPr>
      <w:r w:rsidRPr="002935DE">
        <w:rPr>
          <w:rFonts w:asciiTheme="minorHAnsi" w:hAnsiTheme="minorHAnsi" w:cstheme="minorHAnsi"/>
          <w:color w:val="000000"/>
          <w:sz w:val="22"/>
          <w:szCs w:val="22"/>
        </w:rPr>
        <w:t xml:space="preserve">August Energy reported that </w:t>
      </w:r>
      <w:proofErr w:type="spellStart"/>
      <w:r w:rsidRPr="002935DE">
        <w:rPr>
          <w:rFonts w:asciiTheme="minorHAnsi" w:hAnsiTheme="minorHAnsi" w:cstheme="minorHAnsi"/>
          <w:color w:val="000000"/>
          <w:sz w:val="22"/>
          <w:szCs w:val="22"/>
        </w:rPr>
        <w:t>InfraCo</w:t>
      </w:r>
      <w:proofErr w:type="spellEnd"/>
      <w:r w:rsidRPr="002935DE">
        <w:rPr>
          <w:rFonts w:asciiTheme="minorHAnsi" w:hAnsiTheme="minorHAnsi" w:cstheme="minorHAnsi"/>
          <w:color w:val="000000"/>
          <w:sz w:val="22"/>
          <w:szCs w:val="22"/>
        </w:rPr>
        <w:t xml:space="preserve"> committed USD 15 million, matched by USD 15 million from August Energy, creating a USD 30 million platform in Southeast Asia, with the ability for both parties to increase their commitments as the platform scales. Within this structure, August Energy retains 51% ownership and </w:t>
      </w:r>
      <w:proofErr w:type="spellStart"/>
      <w:r w:rsidRPr="002935DE">
        <w:rPr>
          <w:rFonts w:asciiTheme="minorHAnsi" w:hAnsiTheme="minorHAnsi" w:cstheme="minorHAnsi"/>
          <w:color w:val="000000"/>
          <w:sz w:val="22"/>
          <w:szCs w:val="22"/>
        </w:rPr>
        <w:t>InfraCo</w:t>
      </w:r>
      <w:proofErr w:type="spellEnd"/>
      <w:r w:rsidRPr="002935DE">
        <w:rPr>
          <w:rFonts w:asciiTheme="minorHAnsi" w:hAnsiTheme="minorHAnsi" w:cstheme="minorHAnsi"/>
          <w:color w:val="000000"/>
          <w:sz w:val="22"/>
          <w:szCs w:val="22"/>
        </w:rPr>
        <w:t xml:space="preserve"> holds 49%. The capital is intended mainly for projects in the Philippines and Vietnam, with a smaller allocation to Thailand. The company stated that the </w:t>
      </w:r>
      <w:proofErr w:type="spellStart"/>
      <w:r w:rsidRPr="002935DE">
        <w:rPr>
          <w:rFonts w:asciiTheme="minorHAnsi" w:hAnsiTheme="minorHAnsi" w:cstheme="minorHAnsi"/>
          <w:color w:val="000000"/>
          <w:sz w:val="22"/>
          <w:szCs w:val="22"/>
        </w:rPr>
        <w:t>InfraCo</w:t>
      </w:r>
      <w:proofErr w:type="spellEnd"/>
      <w:r w:rsidRPr="002935DE">
        <w:rPr>
          <w:rFonts w:asciiTheme="minorHAnsi" w:hAnsiTheme="minorHAnsi" w:cstheme="minorHAnsi"/>
          <w:color w:val="000000"/>
          <w:sz w:val="22"/>
          <w:szCs w:val="22"/>
        </w:rPr>
        <w:t xml:space="preserve"> transaction was signed in December 2025 and completed in February 2026.</w:t>
      </w:r>
    </w:p>
    <w:p w14:paraId="4A80192E" w14:textId="77777777" w:rsidR="002935DE" w:rsidRPr="002935DE" w:rsidRDefault="002935DE" w:rsidP="002935DE">
      <w:pPr>
        <w:spacing w:before="100" w:beforeAutospacing="1" w:after="100" w:afterAutospacing="1"/>
        <w:rPr>
          <w:rFonts w:asciiTheme="minorHAnsi" w:hAnsiTheme="minorHAnsi" w:cstheme="minorHAnsi"/>
          <w:color w:val="000000"/>
          <w:sz w:val="22"/>
          <w:szCs w:val="22"/>
        </w:rPr>
      </w:pPr>
      <w:r w:rsidRPr="002935DE">
        <w:rPr>
          <w:rFonts w:asciiTheme="minorHAnsi" w:hAnsiTheme="minorHAnsi" w:cstheme="minorHAnsi"/>
          <w:color w:val="000000"/>
          <w:sz w:val="22"/>
          <w:szCs w:val="22"/>
        </w:rPr>
        <w:t xml:space="preserve">The company highlighted three main forms of support from </w:t>
      </w:r>
      <w:proofErr w:type="spellStart"/>
      <w:r w:rsidRPr="002935DE">
        <w:rPr>
          <w:rFonts w:asciiTheme="minorHAnsi" w:hAnsiTheme="minorHAnsi" w:cstheme="minorHAnsi"/>
          <w:color w:val="000000"/>
          <w:sz w:val="22"/>
          <w:szCs w:val="22"/>
        </w:rPr>
        <w:t>InfraCo</w:t>
      </w:r>
      <w:proofErr w:type="spellEnd"/>
      <w:r w:rsidRPr="002935DE">
        <w:rPr>
          <w:rFonts w:asciiTheme="minorHAnsi" w:hAnsiTheme="minorHAnsi" w:cstheme="minorHAnsi"/>
          <w:color w:val="000000"/>
          <w:sz w:val="22"/>
          <w:szCs w:val="22"/>
        </w:rPr>
        <w:t xml:space="preserve">. First, the capital commitment allows August Energy to allocate equity funding earlier in project development, especially in markets where debt finance is limited at the early stage. Second, </w:t>
      </w:r>
      <w:proofErr w:type="spellStart"/>
      <w:r w:rsidRPr="002935DE">
        <w:rPr>
          <w:rFonts w:asciiTheme="minorHAnsi" w:hAnsiTheme="minorHAnsi" w:cstheme="minorHAnsi"/>
          <w:color w:val="000000"/>
          <w:sz w:val="22"/>
          <w:szCs w:val="22"/>
        </w:rPr>
        <w:t>InfraCo’s</w:t>
      </w:r>
      <w:proofErr w:type="spellEnd"/>
      <w:r w:rsidRPr="002935DE">
        <w:rPr>
          <w:rFonts w:asciiTheme="minorHAnsi" w:hAnsiTheme="minorHAnsi" w:cstheme="minorHAnsi"/>
          <w:color w:val="000000"/>
          <w:sz w:val="22"/>
          <w:szCs w:val="22"/>
        </w:rPr>
        <w:t xml:space="preserve"> willingness to share upfront project risk makes smaller and earlier-stage projects more feasible, including August Energy’s first cooling-as-a-service project in Vietnam. Third, August Energy reported receiving support on ESG systems, templates, policies, gender initiatives, and a technical assistance facility to cover certain upfront development costs.</w:t>
      </w:r>
    </w:p>
    <w:p w14:paraId="1AE5CF68" w14:textId="77777777" w:rsidR="007F6E50" w:rsidRPr="00B40CAC" w:rsidRDefault="007F6E50" w:rsidP="003D231F">
      <w:pPr>
        <w:pStyle w:val="Heading2"/>
      </w:pPr>
      <w:bookmarkStart w:id="95" w:name="_Toc233026623"/>
      <w:r w:rsidRPr="00B40CAC">
        <w:t>What changed</w:t>
      </w:r>
      <w:bookmarkEnd w:id="95"/>
    </w:p>
    <w:p w14:paraId="7C66FB32" w14:textId="77777777" w:rsidR="002935DE" w:rsidRPr="002935DE" w:rsidRDefault="002935DE" w:rsidP="002935DE">
      <w:pPr>
        <w:spacing w:before="100" w:beforeAutospacing="1" w:after="100" w:afterAutospacing="1"/>
        <w:rPr>
          <w:rFonts w:asciiTheme="minorHAnsi" w:hAnsiTheme="minorHAnsi" w:cstheme="minorHAnsi"/>
          <w:color w:val="000000"/>
          <w:sz w:val="22"/>
          <w:szCs w:val="22"/>
        </w:rPr>
      </w:pPr>
      <w:bookmarkStart w:id="96" w:name="_Toc230168217"/>
      <w:r w:rsidRPr="002935DE">
        <w:rPr>
          <w:rFonts w:asciiTheme="minorHAnsi" w:hAnsiTheme="minorHAnsi" w:cstheme="minorHAnsi"/>
          <w:color w:val="000000"/>
          <w:sz w:val="22"/>
          <w:szCs w:val="22"/>
        </w:rPr>
        <w:t xml:space="preserve">The most immediate change is that August Energy was able to establish a concrete entry pathway into Vietnam. The company stated that, without </w:t>
      </w:r>
      <w:proofErr w:type="spellStart"/>
      <w:r w:rsidRPr="002935DE">
        <w:rPr>
          <w:rFonts w:asciiTheme="minorHAnsi" w:hAnsiTheme="minorHAnsi" w:cstheme="minorHAnsi"/>
          <w:color w:val="000000"/>
          <w:sz w:val="22"/>
          <w:szCs w:val="22"/>
        </w:rPr>
        <w:t>InfraCo’s</w:t>
      </w:r>
      <w:proofErr w:type="spellEnd"/>
      <w:r w:rsidRPr="002935DE">
        <w:rPr>
          <w:rFonts w:asciiTheme="minorHAnsi" w:hAnsiTheme="minorHAnsi" w:cstheme="minorHAnsi"/>
          <w:color w:val="000000"/>
          <w:sz w:val="22"/>
          <w:szCs w:val="22"/>
        </w:rPr>
        <w:t xml:space="preserve"> backing, Vietnam would likely have remained a later-stage market after the Philippines and Thailand. With </w:t>
      </w:r>
      <w:proofErr w:type="spellStart"/>
      <w:r w:rsidRPr="002935DE">
        <w:rPr>
          <w:rFonts w:asciiTheme="minorHAnsi" w:hAnsiTheme="minorHAnsi" w:cstheme="minorHAnsi"/>
          <w:color w:val="000000"/>
          <w:sz w:val="22"/>
          <w:szCs w:val="22"/>
        </w:rPr>
        <w:t>InfraCo</w:t>
      </w:r>
      <w:proofErr w:type="spellEnd"/>
      <w:r w:rsidRPr="002935DE">
        <w:rPr>
          <w:rFonts w:asciiTheme="minorHAnsi" w:hAnsiTheme="minorHAnsi" w:cstheme="minorHAnsi"/>
          <w:color w:val="000000"/>
          <w:sz w:val="22"/>
          <w:szCs w:val="22"/>
        </w:rPr>
        <w:t xml:space="preserve"> support, August Energy moved forward with a local partnership, began structuring its Vietnam business plan, built an initial team, and started developing a project pipeline.</w:t>
      </w:r>
    </w:p>
    <w:p w14:paraId="15BFA5BA" w14:textId="77777777" w:rsidR="002935DE" w:rsidRPr="002935DE" w:rsidRDefault="002935DE" w:rsidP="002935DE">
      <w:pPr>
        <w:spacing w:before="100" w:beforeAutospacing="1" w:after="100" w:afterAutospacing="1"/>
        <w:rPr>
          <w:rFonts w:asciiTheme="minorHAnsi" w:hAnsiTheme="minorHAnsi" w:cstheme="minorHAnsi"/>
          <w:color w:val="000000"/>
          <w:sz w:val="22"/>
          <w:szCs w:val="22"/>
        </w:rPr>
      </w:pPr>
      <w:r w:rsidRPr="002935DE">
        <w:rPr>
          <w:rFonts w:asciiTheme="minorHAnsi" w:hAnsiTheme="minorHAnsi" w:cstheme="minorHAnsi"/>
          <w:color w:val="000000"/>
          <w:sz w:val="22"/>
          <w:szCs w:val="22"/>
        </w:rPr>
        <w:t xml:space="preserve">A second important change is the establishment of a local origination and delivery model. August Energy announced a partnership with Mega Energy, led by a developer with prior experience in Vietnam’s solar sector. According to the company, this arrangement provides on-the-ground presence, local market knowledge, and origination capability, while August Energy provides institutional development capability. August Energy and </w:t>
      </w:r>
      <w:proofErr w:type="spellStart"/>
      <w:r w:rsidRPr="002935DE">
        <w:rPr>
          <w:rFonts w:asciiTheme="minorHAnsi" w:hAnsiTheme="minorHAnsi" w:cstheme="minorHAnsi"/>
          <w:color w:val="000000"/>
          <w:sz w:val="22"/>
          <w:szCs w:val="22"/>
        </w:rPr>
        <w:t>InfraCo</w:t>
      </w:r>
      <w:proofErr w:type="spellEnd"/>
      <w:r w:rsidRPr="002935DE">
        <w:rPr>
          <w:rFonts w:asciiTheme="minorHAnsi" w:hAnsiTheme="minorHAnsi" w:cstheme="minorHAnsi"/>
          <w:color w:val="000000"/>
          <w:sz w:val="22"/>
          <w:szCs w:val="22"/>
        </w:rPr>
        <w:t xml:space="preserve"> remain the owners and investors of the projects.</w:t>
      </w:r>
    </w:p>
    <w:p w14:paraId="74458E15" w14:textId="77777777" w:rsidR="002935DE" w:rsidRPr="002935DE" w:rsidRDefault="002935DE" w:rsidP="002935DE">
      <w:pPr>
        <w:spacing w:before="100" w:beforeAutospacing="1" w:after="100" w:afterAutospacing="1"/>
        <w:rPr>
          <w:rFonts w:asciiTheme="minorHAnsi" w:hAnsiTheme="minorHAnsi" w:cstheme="minorHAnsi"/>
          <w:color w:val="000000"/>
          <w:sz w:val="22"/>
          <w:szCs w:val="22"/>
        </w:rPr>
      </w:pPr>
      <w:r w:rsidRPr="002935DE">
        <w:rPr>
          <w:rFonts w:asciiTheme="minorHAnsi" w:hAnsiTheme="minorHAnsi" w:cstheme="minorHAnsi"/>
          <w:color w:val="000000"/>
          <w:sz w:val="22"/>
          <w:szCs w:val="22"/>
        </w:rPr>
        <w:t xml:space="preserve">A third area of change is that the Vietnam business now has a quantified growth pathway. The KPI matrix indicates a cumulative target of at least 30 MW installed in Year 1, rising to more than 100 MW in Year 2 and more than 200 MW in Year 3 across behind-the-meter and front-of-the-meter projects. Annual renewable electricity generation is projected at 37,213 MWh in Year 1, 150,252 MWh in Year 2, and 263,290 MWh in Year 3. Using Vietnam’s latest publicly available grid emissions factor of 0.6592 </w:t>
      </w:r>
      <w:proofErr w:type="spellStart"/>
      <w:r w:rsidRPr="002935DE">
        <w:rPr>
          <w:rFonts w:asciiTheme="minorHAnsi" w:hAnsiTheme="minorHAnsi" w:cstheme="minorHAnsi"/>
          <w:color w:val="000000"/>
          <w:sz w:val="22"/>
          <w:szCs w:val="22"/>
        </w:rPr>
        <w:t>tCO</w:t>
      </w:r>
      <w:proofErr w:type="spellEnd"/>
      <w:r w:rsidRPr="002935DE">
        <w:rPr>
          <w:rFonts w:ascii="Cambria Math" w:hAnsi="Cambria Math" w:cs="Cambria Math"/>
          <w:color w:val="000000"/>
          <w:sz w:val="22"/>
          <w:szCs w:val="22"/>
        </w:rPr>
        <w:t>₂</w:t>
      </w:r>
      <w:r w:rsidRPr="002935DE">
        <w:rPr>
          <w:rFonts w:asciiTheme="minorHAnsi" w:hAnsiTheme="minorHAnsi" w:cstheme="minorHAnsi"/>
          <w:color w:val="000000"/>
          <w:sz w:val="22"/>
          <w:szCs w:val="22"/>
        </w:rPr>
        <w:t xml:space="preserve">/MWh, this would translate into estimated avoided emissions of 24,531 </w:t>
      </w:r>
      <w:proofErr w:type="spellStart"/>
      <w:r w:rsidRPr="002935DE">
        <w:rPr>
          <w:rFonts w:asciiTheme="minorHAnsi" w:hAnsiTheme="minorHAnsi" w:cstheme="minorHAnsi"/>
          <w:color w:val="000000"/>
          <w:sz w:val="22"/>
          <w:szCs w:val="22"/>
        </w:rPr>
        <w:t>tCO</w:t>
      </w:r>
      <w:proofErr w:type="spellEnd"/>
      <w:r w:rsidRPr="002935DE">
        <w:rPr>
          <w:rFonts w:ascii="Cambria Math" w:hAnsi="Cambria Math" w:cs="Cambria Math"/>
          <w:color w:val="000000"/>
          <w:sz w:val="22"/>
          <w:szCs w:val="22"/>
        </w:rPr>
        <w:t>₂</w:t>
      </w:r>
      <w:r w:rsidRPr="002935DE">
        <w:rPr>
          <w:rFonts w:asciiTheme="minorHAnsi" w:hAnsiTheme="minorHAnsi" w:cstheme="minorHAnsi"/>
          <w:color w:val="000000"/>
          <w:sz w:val="22"/>
          <w:szCs w:val="22"/>
        </w:rPr>
        <w:t xml:space="preserve"> in Year 1, 99,046 </w:t>
      </w:r>
      <w:proofErr w:type="spellStart"/>
      <w:r w:rsidRPr="002935DE">
        <w:rPr>
          <w:rFonts w:asciiTheme="minorHAnsi" w:hAnsiTheme="minorHAnsi" w:cstheme="minorHAnsi"/>
          <w:color w:val="000000"/>
          <w:sz w:val="22"/>
          <w:szCs w:val="22"/>
        </w:rPr>
        <w:t>tCO</w:t>
      </w:r>
      <w:proofErr w:type="spellEnd"/>
      <w:r w:rsidRPr="002935DE">
        <w:rPr>
          <w:rFonts w:ascii="Cambria Math" w:hAnsi="Cambria Math" w:cs="Cambria Math"/>
          <w:color w:val="000000"/>
          <w:sz w:val="22"/>
          <w:szCs w:val="22"/>
        </w:rPr>
        <w:t>₂</w:t>
      </w:r>
      <w:r w:rsidRPr="002935DE">
        <w:rPr>
          <w:rFonts w:asciiTheme="minorHAnsi" w:hAnsiTheme="minorHAnsi" w:cstheme="minorHAnsi"/>
          <w:color w:val="000000"/>
          <w:sz w:val="22"/>
          <w:szCs w:val="22"/>
        </w:rPr>
        <w:t xml:space="preserve"> in Year 2, and 173,561 </w:t>
      </w:r>
      <w:proofErr w:type="spellStart"/>
      <w:r w:rsidRPr="002935DE">
        <w:rPr>
          <w:rFonts w:asciiTheme="minorHAnsi" w:hAnsiTheme="minorHAnsi" w:cstheme="minorHAnsi"/>
          <w:color w:val="000000"/>
          <w:sz w:val="22"/>
          <w:szCs w:val="22"/>
        </w:rPr>
        <w:t>tCO</w:t>
      </w:r>
      <w:proofErr w:type="spellEnd"/>
      <w:r w:rsidRPr="002935DE">
        <w:rPr>
          <w:rFonts w:ascii="Cambria Math" w:hAnsi="Cambria Math" w:cs="Cambria Math"/>
          <w:color w:val="000000"/>
          <w:sz w:val="22"/>
          <w:szCs w:val="22"/>
        </w:rPr>
        <w:t>₂</w:t>
      </w:r>
      <w:r w:rsidRPr="002935DE">
        <w:rPr>
          <w:rFonts w:asciiTheme="minorHAnsi" w:hAnsiTheme="minorHAnsi" w:cstheme="minorHAnsi"/>
          <w:color w:val="000000"/>
          <w:sz w:val="22"/>
          <w:szCs w:val="22"/>
        </w:rPr>
        <w:t xml:space="preserve"> in Year 3. On this basis, the platform has the potential to generate material climate benefits if delivery proceeds as planned.</w:t>
      </w:r>
    </w:p>
    <w:p w14:paraId="2B68C0B4" w14:textId="77777777" w:rsidR="002935DE" w:rsidRPr="002935DE" w:rsidRDefault="002935DE" w:rsidP="002935DE">
      <w:pPr>
        <w:spacing w:before="100" w:beforeAutospacing="1" w:after="100" w:afterAutospacing="1"/>
        <w:rPr>
          <w:rFonts w:asciiTheme="minorHAnsi" w:hAnsiTheme="minorHAnsi" w:cstheme="minorHAnsi"/>
          <w:color w:val="000000"/>
          <w:sz w:val="22"/>
          <w:szCs w:val="22"/>
        </w:rPr>
      </w:pPr>
      <w:r w:rsidRPr="002935DE">
        <w:rPr>
          <w:rFonts w:asciiTheme="minorHAnsi" w:hAnsiTheme="minorHAnsi" w:cstheme="minorHAnsi"/>
          <w:color w:val="000000"/>
          <w:sz w:val="22"/>
          <w:szCs w:val="22"/>
        </w:rPr>
        <w:lastRenderedPageBreak/>
        <w:t xml:space="preserve">A fourth area of change is the scale of project mobilisation now envisaged. The platform is intended not only to deliver individual projects, but also to build a portfolio capable of mobilising progressively larger volumes of capital over time. August Energy has also secured internal approval for its first cooling project in Vietnam, linked to a light industrial manufacturing facility. The company stated that construction was being targeted for April or May 2026, subject to final structuring and local setup. It noted that </w:t>
      </w:r>
      <w:proofErr w:type="spellStart"/>
      <w:r w:rsidRPr="002935DE">
        <w:rPr>
          <w:rFonts w:asciiTheme="minorHAnsi" w:hAnsiTheme="minorHAnsi" w:cstheme="minorHAnsi"/>
          <w:color w:val="000000"/>
          <w:sz w:val="22"/>
          <w:szCs w:val="22"/>
        </w:rPr>
        <w:t>InfraCo’s</w:t>
      </w:r>
      <w:proofErr w:type="spellEnd"/>
      <w:r w:rsidRPr="002935DE">
        <w:rPr>
          <w:rFonts w:asciiTheme="minorHAnsi" w:hAnsiTheme="minorHAnsi" w:cstheme="minorHAnsi"/>
          <w:color w:val="000000"/>
          <w:sz w:val="22"/>
          <w:szCs w:val="22"/>
        </w:rPr>
        <w:t xml:space="preserve"> participation made it easier to proceed with this smaller project because risk and equity funding could be shared upfront.</w:t>
      </w:r>
    </w:p>
    <w:p w14:paraId="5EF2E0A1" w14:textId="0BEC3B97" w:rsidR="003A62DB" w:rsidRDefault="003A62DB" w:rsidP="003A62DB">
      <w:pPr>
        <w:pStyle w:val="Caption"/>
        <w:keepNext/>
        <w:jc w:val="left"/>
      </w:pPr>
      <w:bookmarkStart w:id="97" w:name="_Toc233026572"/>
      <w:bookmarkEnd w:id="96"/>
      <w:r>
        <w:t xml:space="preserve">Table </w:t>
      </w:r>
      <w:r>
        <w:fldChar w:fldCharType="begin"/>
      </w:r>
      <w:r>
        <w:instrText xml:space="preserve"> SEQ Table \* ARABIC </w:instrText>
      </w:r>
      <w:r>
        <w:fldChar w:fldCharType="separate"/>
      </w:r>
      <w:r w:rsidR="006C7E0E">
        <w:rPr>
          <w:noProof/>
        </w:rPr>
        <w:t>13</w:t>
      </w:r>
      <w:r>
        <w:fldChar w:fldCharType="end"/>
      </w:r>
      <w:r>
        <w:t>:</w:t>
      </w:r>
      <w:r w:rsidRPr="003A62DB">
        <w:t xml:space="preserve"> </w:t>
      </w:r>
      <w:r>
        <w:t>Data and KPI matrix for August Energy</w:t>
      </w:r>
      <w:bookmarkEnd w:id="97"/>
    </w:p>
    <w:tbl>
      <w:tblPr>
        <w:tblStyle w:val="CBSTable1"/>
        <w:tblW w:w="0" w:type="auto"/>
        <w:tblLook w:val="04A0" w:firstRow="1" w:lastRow="0" w:firstColumn="1" w:lastColumn="0" w:noHBand="0" w:noVBand="1"/>
      </w:tblPr>
      <w:tblGrid>
        <w:gridCol w:w="3663"/>
        <w:gridCol w:w="2250"/>
        <w:gridCol w:w="1350"/>
        <w:gridCol w:w="1462"/>
        <w:gridCol w:w="1462"/>
      </w:tblGrid>
      <w:tr w:rsidR="00F10A1B" w:rsidRPr="00F10A1B" w14:paraId="5DBEFBCD" w14:textId="77777777" w:rsidTr="0047596E">
        <w:trPr>
          <w:tblHeader/>
        </w:trPr>
        <w:tc>
          <w:tcPr>
            <w:tcW w:w="0" w:type="auto"/>
            <w:shd w:val="clear" w:color="auto" w:fill="0065BC" w:themeFill="background2"/>
            <w:hideMark/>
          </w:tcPr>
          <w:p w14:paraId="608199ED" w14:textId="77777777" w:rsidR="00F10A1B" w:rsidRPr="00146589" w:rsidRDefault="00F10A1B" w:rsidP="00F10A1B">
            <w:pPr>
              <w:jc w:val="center"/>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Indicator or measure</w:t>
            </w:r>
          </w:p>
        </w:tc>
        <w:tc>
          <w:tcPr>
            <w:tcW w:w="0" w:type="auto"/>
            <w:shd w:val="clear" w:color="auto" w:fill="0065BC" w:themeFill="background2"/>
            <w:hideMark/>
          </w:tcPr>
          <w:p w14:paraId="66FAF3FC" w14:textId="77777777" w:rsidR="00F10A1B" w:rsidRPr="00146589" w:rsidRDefault="00F10A1B" w:rsidP="00F10A1B">
            <w:pPr>
              <w:jc w:val="right"/>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Baseline before PIDG</w:t>
            </w:r>
          </w:p>
        </w:tc>
        <w:tc>
          <w:tcPr>
            <w:tcW w:w="0" w:type="auto"/>
            <w:shd w:val="clear" w:color="auto" w:fill="0065BC" w:themeFill="background2"/>
            <w:hideMark/>
          </w:tcPr>
          <w:p w14:paraId="446EF10D" w14:textId="77777777" w:rsidR="00F10A1B" w:rsidRPr="00146589" w:rsidRDefault="00F10A1B" w:rsidP="00F10A1B">
            <w:pPr>
              <w:jc w:val="right"/>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Year 1</w:t>
            </w:r>
          </w:p>
        </w:tc>
        <w:tc>
          <w:tcPr>
            <w:tcW w:w="0" w:type="auto"/>
            <w:shd w:val="clear" w:color="auto" w:fill="0065BC" w:themeFill="background2"/>
            <w:hideMark/>
          </w:tcPr>
          <w:p w14:paraId="6F2245C7" w14:textId="77777777" w:rsidR="00F10A1B" w:rsidRPr="00146589" w:rsidRDefault="00F10A1B" w:rsidP="00F10A1B">
            <w:pPr>
              <w:jc w:val="right"/>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Year 2</w:t>
            </w:r>
          </w:p>
        </w:tc>
        <w:tc>
          <w:tcPr>
            <w:tcW w:w="0" w:type="auto"/>
            <w:shd w:val="clear" w:color="auto" w:fill="0065BC" w:themeFill="background2"/>
            <w:hideMark/>
          </w:tcPr>
          <w:p w14:paraId="10DBDD21" w14:textId="77777777" w:rsidR="00F10A1B" w:rsidRPr="00146589" w:rsidRDefault="00F10A1B" w:rsidP="00F10A1B">
            <w:pPr>
              <w:jc w:val="right"/>
              <w:rPr>
                <w:rFonts w:asciiTheme="minorHAnsi" w:hAnsiTheme="minorHAnsi" w:cstheme="minorHAnsi"/>
                <w:b/>
                <w:bCs/>
                <w:color w:val="FFFFFF" w:themeColor="background1"/>
                <w:sz w:val="20"/>
                <w:szCs w:val="20"/>
              </w:rPr>
            </w:pPr>
            <w:r w:rsidRPr="00146589">
              <w:rPr>
                <w:rFonts w:asciiTheme="minorHAnsi" w:hAnsiTheme="minorHAnsi" w:cstheme="minorHAnsi"/>
                <w:b/>
                <w:bCs/>
                <w:color w:val="FFFFFF" w:themeColor="background1"/>
                <w:sz w:val="20"/>
                <w:szCs w:val="20"/>
              </w:rPr>
              <w:t>Year 3</w:t>
            </w:r>
          </w:p>
        </w:tc>
      </w:tr>
      <w:tr w:rsidR="00F10A1B" w:rsidRPr="00F10A1B" w14:paraId="7FEA99CA" w14:textId="77777777" w:rsidTr="009A291C">
        <w:tc>
          <w:tcPr>
            <w:tcW w:w="0" w:type="auto"/>
            <w:hideMark/>
          </w:tcPr>
          <w:p w14:paraId="02CEC5E3" w14:textId="77777777" w:rsidR="00F10A1B" w:rsidRPr="009A291C" w:rsidRDefault="00F10A1B" w:rsidP="00F10A1B">
            <w:pPr>
              <w:rPr>
                <w:rFonts w:asciiTheme="minorHAnsi" w:hAnsiTheme="minorHAnsi" w:cstheme="minorHAnsi"/>
                <w:color w:val="000000"/>
                <w:sz w:val="20"/>
                <w:szCs w:val="20"/>
              </w:rPr>
            </w:pPr>
            <w:r w:rsidRPr="009A291C">
              <w:rPr>
                <w:rFonts w:asciiTheme="minorHAnsi" w:hAnsiTheme="minorHAnsi" w:cstheme="minorHAnsi"/>
                <w:color w:val="000000"/>
                <w:sz w:val="20"/>
                <w:szCs w:val="20"/>
              </w:rPr>
              <w:t>Renewable energy capacity installed</w:t>
            </w:r>
          </w:p>
        </w:tc>
        <w:tc>
          <w:tcPr>
            <w:tcW w:w="0" w:type="auto"/>
            <w:hideMark/>
          </w:tcPr>
          <w:p w14:paraId="518A43D8" w14:textId="77777777" w:rsidR="00F10A1B" w:rsidRPr="009A291C" w:rsidRDefault="00F10A1B" w:rsidP="00F10A1B">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Not available</w:t>
            </w:r>
          </w:p>
        </w:tc>
        <w:tc>
          <w:tcPr>
            <w:tcW w:w="0" w:type="auto"/>
            <w:hideMark/>
          </w:tcPr>
          <w:p w14:paraId="4059A005" w14:textId="77777777" w:rsidR="00F10A1B" w:rsidRPr="009A291C" w:rsidRDefault="00F10A1B" w:rsidP="00F10A1B">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30 MW</w:t>
            </w:r>
          </w:p>
        </w:tc>
        <w:tc>
          <w:tcPr>
            <w:tcW w:w="0" w:type="auto"/>
            <w:hideMark/>
          </w:tcPr>
          <w:p w14:paraId="495CB589" w14:textId="28886D90" w:rsidR="00F10A1B" w:rsidRPr="009A291C" w:rsidRDefault="00F10A1B" w:rsidP="00F10A1B">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1</w:t>
            </w:r>
            <w:r w:rsidR="00FE25C6">
              <w:rPr>
                <w:rFonts w:asciiTheme="minorHAnsi" w:hAnsiTheme="minorHAnsi" w:cstheme="minorHAnsi"/>
                <w:color w:val="000000"/>
                <w:sz w:val="20"/>
                <w:szCs w:val="20"/>
              </w:rPr>
              <w:t>0</w:t>
            </w:r>
            <w:r w:rsidR="00FE25C6">
              <w:rPr>
                <w:sz w:val="20"/>
                <w:szCs w:val="20"/>
              </w:rPr>
              <w:t>0</w:t>
            </w:r>
            <w:r w:rsidRPr="009A291C">
              <w:rPr>
                <w:rFonts w:asciiTheme="minorHAnsi" w:hAnsiTheme="minorHAnsi" w:cstheme="minorHAnsi"/>
                <w:color w:val="000000"/>
                <w:sz w:val="20"/>
                <w:szCs w:val="20"/>
              </w:rPr>
              <w:t xml:space="preserve"> MW</w:t>
            </w:r>
          </w:p>
        </w:tc>
        <w:tc>
          <w:tcPr>
            <w:tcW w:w="0" w:type="auto"/>
            <w:hideMark/>
          </w:tcPr>
          <w:p w14:paraId="04AD1AD2" w14:textId="77777777" w:rsidR="00F10A1B" w:rsidRPr="009A291C" w:rsidRDefault="00F10A1B" w:rsidP="00F10A1B">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200 MW</w:t>
            </w:r>
          </w:p>
        </w:tc>
      </w:tr>
      <w:tr w:rsidR="00F10A1B" w:rsidRPr="00F10A1B" w14:paraId="7C14BF91" w14:textId="77777777" w:rsidTr="009A291C">
        <w:tc>
          <w:tcPr>
            <w:tcW w:w="0" w:type="auto"/>
            <w:hideMark/>
          </w:tcPr>
          <w:p w14:paraId="661AE0BA" w14:textId="77777777" w:rsidR="00F10A1B" w:rsidRPr="009A291C" w:rsidRDefault="00F10A1B" w:rsidP="00F10A1B">
            <w:pPr>
              <w:rPr>
                <w:rFonts w:asciiTheme="minorHAnsi" w:hAnsiTheme="minorHAnsi" w:cstheme="minorHAnsi"/>
                <w:color w:val="000000"/>
                <w:sz w:val="20"/>
                <w:szCs w:val="20"/>
              </w:rPr>
            </w:pPr>
            <w:r w:rsidRPr="009A291C">
              <w:rPr>
                <w:rFonts w:asciiTheme="minorHAnsi" w:hAnsiTheme="minorHAnsi" w:cstheme="minorHAnsi"/>
                <w:color w:val="000000"/>
                <w:sz w:val="20"/>
                <w:szCs w:val="20"/>
              </w:rPr>
              <w:t>Annual renewable electricity generated</w:t>
            </w:r>
          </w:p>
        </w:tc>
        <w:tc>
          <w:tcPr>
            <w:tcW w:w="0" w:type="auto"/>
            <w:hideMark/>
          </w:tcPr>
          <w:p w14:paraId="302C33A3" w14:textId="77777777" w:rsidR="00F10A1B" w:rsidRPr="009A291C" w:rsidRDefault="00F10A1B" w:rsidP="00F10A1B">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Not available</w:t>
            </w:r>
          </w:p>
        </w:tc>
        <w:tc>
          <w:tcPr>
            <w:tcW w:w="0" w:type="auto"/>
            <w:hideMark/>
          </w:tcPr>
          <w:p w14:paraId="2AC5B58E" w14:textId="77777777" w:rsidR="00F10A1B" w:rsidRPr="009A291C" w:rsidRDefault="00F10A1B" w:rsidP="00F10A1B">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37,213 MWh</w:t>
            </w:r>
          </w:p>
        </w:tc>
        <w:tc>
          <w:tcPr>
            <w:tcW w:w="0" w:type="auto"/>
            <w:hideMark/>
          </w:tcPr>
          <w:p w14:paraId="7DD2CB0B" w14:textId="77777777" w:rsidR="00F10A1B" w:rsidRPr="009A291C" w:rsidRDefault="00F10A1B" w:rsidP="00F10A1B">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150,252 MWh</w:t>
            </w:r>
          </w:p>
        </w:tc>
        <w:tc>
          <w:tcPr>
            <w:tcW w:w="0" w:type="auto"/>
            <w:hideMark/>
          </w:tcPr>
          <w:p w14:paraId="1AC4699F" w14:textId="77777777" w:rsidR="00F10A1B" w:rsidRPr="009A291C" w:rsidRDefault="00F10A1B" w:rsidP="00F10A1B">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263,290 MWh</w:t>
            </w:r>
          </w:p>
        </w:tc>
      </w:tr>
      <w:tr w:rsidR="00F10A1B" w:rsidRPr="00F10A1B" w14:paraId="3864120E" w14:textId="77777777" w:rsidTr="009A291C">
        <w:tc>
          <w:tcPr>
            <w:tcW w:w="0" w:type="auto"/>
            <w:hideMark/>
          </w:tcPr>
          <w:p w14:paraId="43061077" w14:textId="77777777" w:rsidR="00F10A1B" w:rsidRPr="009A291C" w:rsidRDefault="00F10A1B" w:rsidP="00F10A1B">
            <w:pPr>
              <w:rPr>
                <w:rFonts w:asciiTheme="minorHAnsi" w:hAnsiTheme="minorHAnsi" w:cstheme="minorHAnsi"/>
                <w:color w:val="000000"/>
                <w:sz w:val="20"/>
                <w:szCs w:val="20"/>
              </w:rPr>
            </w:pPr>
            <w:r w:rsidRPr="009A291C">
              <w:rPr>
                <w:rFonts w:asciiTheme="minorHAnsi" w:hAnsiTheme="minorHAnsi" w:cstheme="minorHAnsi"/>
                <w:color w:val="000000"/>
                <w:sz w:val="20"/>
                <w:szCs w:val="20"/>
              </w:rPr>
              <w:t>Greenhouse gas emissions avoided</w:t>
            </w:r>
          </w:p>
        </w:tc>
        <w:tc>
          <w:tcPr>
            <w:tcW w:w="0" w:type="auto"/>
            <w:hideMark/>
          </w:tcPr>
          <w:p w14:paraId="5AB2898F" w14:textId="77777777" w:rsidR="00F10A1B" w:rsidRPr="009A291C" w:rsidRDefault="00F10A1B" w:rsidP="00F10A1B">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Not available</w:t>
            </w:r>
          </w:p>
        </w:tc>
        <w:tc>
          <w:tcPr>
            <w:tcW w:w="0" w:type="auto"/>
            <w:hideMark/>
          </w:tcPr>
          <w:p w14:paraId="0E54151C" w14:textId="77777777" w:rsidR="00F10A1B" w:rsidRPr="009A291C" w:rsidRDefault="00F10A1B" w:rsidP="00F10A1B">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 xml:space="preserve">24,531 </w:t>
            </w:r>
            <w:proofErr w:type="spellStart"/>
            <w:r w:rsidRPr="009A291C">
              <w:rPr>
                <w:rFonts w:asciiTheme="minorHAnsi" w:hAnsiTheme="minorHAnsi" w:cstheme="minorHAnsi"/>
                <w:color w:val="000000"/>
                <w:sz w:val="20"/>
                <w:szCs w:val="20"/>
              </w:rPr>
              <w:t>tCO</w:t>
            </w:r>
            <w:proofErr w:type="spellEnd"/>
            <w:r w:rsidRPr="009A291C">
              <w:rPr>
                <w:rFonts w:ascii="Cambria Math" w:hAnsi="Cambria Math" w:cs="Cambria Math"/>
                <w:color w:val="000000"/>
                <w:sz w:val="20"/>
                <w:szCs w:val="20"/>
              </w:rPr>
              <w:t>₂</w:t>
            </w:r>
          </w:p>
        </w:tc>
        <w:tc>
          <w:tcPr>
            <w:tcW w:w="0" w:type="auto"/>
            <w:hideMark/>
          </w:tcPr>
          <w:p w14:paraId="4ABA84B3" w14:textId="77777777" w:rsidR="00F10A1B" w:rsidRPr="009A291C" w:rsidRDefault="00F10A1B" w:rsidP="00F10A1B">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 xml:space="preserve">99,046 </w:t>
            </w:r>
            <w:proofErr w:type="spellStart"/>
            <w:r w:rsidRPr="009A291C">
              <w:rPr>
                <w:rFonts w:asciiTheme="minorHAnsi" w:hAnsiTheme="minorHAnsi" w:cstheme="minorHAnsi"/>
                <w:color w:val="000000"/>
                <w:sz w:val="20"/>
                <w:szCs w:val="20"/>
              </w:rPr>
              <w:t>tCO</w:t>
            </w:r>
            <w:proofErr w:type="spellEnd"/>
            <w:r w:rsidRPr="009A291C">
              <w:rPr>
                <w:rFonts w:ascii="Cambria Math" w:hAnsi="Cambria Math" w:cs="Cambria Math"/>
                <w:color w:val="000000"/>
                <w:sz w:val="20"/>
                <w:szCs w:val="20"/>
              </w:rPr>
              <w:t>₂</w:t>
            </w:r>
          </w:p>
        </w:tc>
        <w:tc>
          <w:tcPr>
            <w:tcW w:w="0" w:type="auto"/>
            <w:hideMark/>
          </w:tcPr>
          <w:p w14:paraId="7081A356" w14:textId="77777777" w:rsidR="00F10A1B" w:rsidRPr="009A291C" w:rsidRDefault="00F10A1B" w:rsidP="00F10A1B">
            <w:pPr>
              <w:jc w:val="right"/>
              <w:rPr>
                <w:rFonts w:asciiTheme="minorHAnsi" w:hAnsiTheme="minorHAnsi" w:cstheme="minorHAnsi"/>
                <w:color w:val="000000"/>
                <w:sz w:val="20"/>
                <w:szCs w:val="20"/>
              </w:rPr>
            </w:pPr>
            <w:r w:rsidRPr="009A291C">
              <w:rPr>
                <w:rFonts w:asciiTheme="minorHAnsi" w:hAnsiTheme="minorHAnsi" w:cstheme="minorHAnsi"/>
                <w:color w:val="000000"/>
                <w:sz w:val="20"/>
                <w:szCs w:val="20"/>
              </w:rPr>
              <w:t xml:space="preserve">173,561 </w:t>
            </w:r>
            <w:proofErr w:type="spellStart"/>
            <w:r w:rsidRPr="009A291C">
              <w:rPr>
                <w:rFonts w:asciiTheme="minorHAnsi" w:hAnsiTheme="minorHAnsi" w:cstheme="minorHAnsi"/>
                <w:color w:val="000000"/>
                <w:sz w:val="20"/>
                <w:szCs w:val="20"/>
              </w:rPr>
              <w:t>tCO</w:t>
            </w:r>
            <w:proofErr w:type="spellEnd"/>
            <w:r w:rsidRPr="009A291C">
              <w:rPr>
                <w:rFonts w:ascii="Cambria Math" w:hAnsi="Cambria Math" w:cs="Cambria Math"/>
                <w:color w:val="000000"/>
                <w:sz w:val="20"/>
                <w:szCs w:val="20"/>
              </w:rPr>
              <w:t>₂</w:t>
            </w:r>
          </w:p>
        </w:tc>
      </w:tr>
    </w:tbl>
    <w:p w14:paraId="04A7C736" w14:textId="77777777" w:rsidR="002935DE" w:rsidRPr="002935DE" w:rsidRDefault="002935DE" w:rsidP="002935DE">
      <w:pPr>
        <w:spacing w:before="100" w:beforeAutospacing="1" w:after="100" w:afterAutospacing="1"/>
        <w:rPr>
          <w:rFonts w:asciiTheme="minorHAnsi" w:hAnsiTheme="minorHAnsi" w:cstheme="minorHAnsi"/>
          <w:color w:val="000000"/>
          <w:sz w:val="22"/>
          <w:szCs w:val="22"/>
        </w:rPr>
      </w:pPr>
      <w:r w:rsidRPr="002935DE">
        <w:rPr>
          <w:rFonts w:asciiTheme="minorHAnsi" w:hAnsiTheme="minorHAnsi" w:cstheme="minorHAnsi"/>
          <w:color w:val="000000"/>
          <w:sz w:val="22"/>
          <w:szCs w:val="22"/>
        </w:rPr>
        <w:t>The August Energy case differs from the other case studies because it remains in a platform-building phase. The main results are not yet large-scale installed assets, but the creation of a capital base, local market entry, an initial team, a delivery partnership, a live project pipeline, and a quantified pathway for growth. The results matrix should therefore be understood as a forward-looking business and impact plan, rather than verified performance to date.</w:t>
      </w:r>
    </w:p>
    <w:p w14:paraId="33922514" w14:textId="77777777" w:rsidR="002935DE" w:rsidRPr="002935DE" w:rsidRDefault="002935DE" w:rsidP="002935DE">
      <w:pPr>
        <w:spacing w:before="100" w:beforeAutospacing="1" w:after="100" w:afterAutospacing="1"/>
        <w:rPr>
          <w:rFonts w:asciiTheme="minorHAnsi" w:hAnsiTheme="minorHAnsi" w:cstheme="minorHAnsi"/>
          <w:color w:val="000000"/>
          <w:sz w:val="22"/>
          <w:szCs w:val="22"/>
        </w:rPr>
      </w:pPr>
      <w:r w:rsidRPr="002935DE">
        <w:rPr>
          <w:rFonts w:asciiTheme="minorHAnsi" w:hAnsiTheme="minorHAnsi" w:cstheme="minorHAnsi"/>
          <w:color w:val="000000"/>
          <w:sz w:val="22"/>
          <w:szCs w:val="22"/>
        </w:rPr>
        <w:t xml:space="preserve">The case also provides a useful example of early-stage additionality. August Energy stated that </w:t>
      </w:r>
      <w:proofErr w:type="spellStart"/>
      <w:r w:rsidRPr="002935DE">
        <w:rPr>
          <w:rFonts w:asciiTheme="minorHAnsi" w:hAnsiTheme="minorHAnsi" w:cstheme="minorHAnsi"/>
          <w:color w:val="000000"/>
          <w:sz w:val="22"/>
          <w:szCs w:val="22"/>
        </w:rPr>
        <w:t>InfraCo’s</w:t>
      </w:r>
      <w:proofErr w:type="spellEnd"/>
      <w:r w:rsidRPr="002935DE">
        <w:rPr>
          <w:rFonts w:asciiTheme="minorHAnsi" w:hAnsiTheme="minorHAnsi" w:cstheme="minorHAnsi"/>
          <w:color w:val="000000"/>
          <w:sz w:val="22"/>
          <w:szCs w:val="22"/>
        </w:rPr>
        <w:t xml:space="preserve"> value lies in entering earlier than most commercial capital providers would. Because distributed energy infrastructure requires substantial upfront equity before debt can usually be arranged, early risk-sharing and capital support are important. In this sense, PIDG support appears to have helped August Energy establish a foothold in Vietnam sooner and with greater confidence than would otherwise have been possible.</w:t>
      </w:r>
    </w:p>
    <w:p w14:paraId="08A54E87" w14:textId="77777777" w:rsidR="002935DE" w:rsidRPr="002935DE" w:rsidRDefault="002935DE" w:rsidP="002935DE">
      <w:pPr>
        <w:spacing w:before="100" w:beforeAutospacing="1" w:after="100" w:afterAutospacing="1"/>
        <w:rPr>
          <w:rFonts w:asciiTheme="minorHAnsi" w:hAnsiTheme="minorHAnsi" w:cstheme="minorHAnsi"/>
          <w:color w:val="000000"/>
          <w:sz w:val="22"/>
          <w:szCs w:val="22"/>
        </w:rPr>
      </w:pPr>
      <w:r w:rsidRPr="002935DE">
        <w:rPr>
          <w:rFonts w:asciiTheme="minorHAnsi" w:hAnsiTheme="minorHAnsi" w:cstheme="minorHAnsi"/>
          <w:color w:val="000000"/>
          <w:sz w:val="22"/>
          <w:szCs w:val="22"/>
        </w:rPr>
        <w:t xml:space="preserve">If the Year 3 targets are achieved, August Energy’s Vietnam portfolio would reach 200 MW of installed capacity, generate more than 263,000 MWh annually, and avoid more than 173,000 </w:t>
      </w:r>
      <w:proofErr w:type="spellStart"/>
      <w:r w:rsidRPr="002935DE">
        <w:rPr>
          <w:rFonts w:asciiTheme="minorHAnsi" w:hAnsiTheme="minorHAnsi" w:cstheme="minorHAnsi"/>
          <w:color w:val="000000"/>
          <w:sz w:val="22"/>
          <w:szCs w:val="22"/>
        </w:rPr>
        <w:t>tCO</w:t>
      </w:r>
      <w:proofErr w:type="spellEnd"/>
      <w:r w:rsidRPr="002935DE">
        <w:rPr>
          <w:rFonts w:ascii="Cambria Math" w:hAnsi="Cambria Math" w:cs="Cambria Math"/>
          <w:color w:val="000000"/>
          <w:sz w:val="22"/>
          <w:szCs w:val="22"/>
        </w:rPr>
        <w:t>₂</w:t>
      </w:r>
      <w:r w:rsidRPr="002935DE">
        <w:rPr>
          <w:rFonts w:asciiTheme="minorHAnsi" w:hAnsiTheme="minorHAnsi" w:cstheme="minorHAnsi"/>
          <w:color w:val="000000"/>
          <w:sz w:val="22"/>
          <w:szCs w:val="22"/>
        </w:rPr>
        <w:t xml:space="preserve"> per year. This suggests that the platform could become a significant contributor to Vietnam’s distributed renewable energy growth, particularly if it converts its early-stage pipeline into operating projects.</w:t>
      </w:r>
    </w:p>
    <w:p w14:paraId="1DD7BE4D" w14:textId="2C13F40B" w:rsidR="007F6E50" w:rsidRPr="00B40CAC" w:rsidRDefault="007F6E50" w:rsidP="003D231F">
      <w:pPr>
        <w:pStyle w:val="Heading2"/>
      </w:pPr>
      <w:bookmarkStart w:id="98" w:name="_Toc233026624"/>
      <w:r w:rsidRPr="00B40CAC">
        <w:t>Cross-cutting issues</w:t>
      </w:r>
      <w:bookmarkEnd w:id="98"/>
    </w:p>
    <w:p w14:paraId="2F58A9CE" w14:textId="77777777" w:rsidR="00C13E07" w:rsidRPr="00C13E07" w:rsidRDefault="00C13E07" w:rsidP="00C13E07">
      <w:pPr>
        <w:spacing w:before="100" w:beforeAutospacing="1" w:after="100" w:afterAutospacing="1"/>
        <w:rPr>
          <w:rFonts w:asciiTheme="minorHAnsi" w:hAnsiTheme="minorHAnsi" w:cstheme="minorHAnsi"/>
          <w:color w:val="000000"/>
          <w:sz w:val="22"/>
          <w:szCs w:val="22"/>
        </w:rPr>
      </w:pPr>
      <w:r w:rsidRPr="00C13E07">
        <w:rPr>
          <w:rFonts w:asciiTheme="minorHAnsi" w:hAnsiTheme="minorHAnsi" w:cstheme="minorHAnsi"/>
          <w:color w:val="000000"/>
          <w:sz w:val="22"/>
          <w:szCs w:val="22"/>
        </w:rPr>
        <w:t xml:space="preserve">August Energy reported that its institutional shareholders, including </w:t>
      </w:r>
      <w:proofErr w:type="spellStart"/>
      <w:r w:rsidRPr="00C13E07">
        <w:rPr>
          <w:rFonts w:asciiTheme="minorHAnsi" w:hAnsiTheme="minorHAnsi" w:cstheme="minorHAnsi"/>
          <w:color w:val="000000"/>
          <w:sz w:val="22"/>
          <w:szCs w:val="22"/>
        </w:rPr>
        <w:t>InfraCo</w:t>
      </w:r>
      <w:proofErr w:type="spellEnd"/>
      <w:r w:rsidRPr="00C13E07">
        <w:rPr>
          <w:rFonts w:asciiTheme="minorHAnsi" w:hAnsiTheme="minorHAnsi" w:cstheme="minorHAnsi"/>
          <w:color w:val="000000"/>
          <w:sz w:val="22"/>
          <w:szCs w:val="22"/>
        </w:rPr>
        <w:t xml:space="preserve">, have stringent environmental, social, health and safety requirements. The company stated that it already had an ESAP in place and that </w:t>
      </w:r>
      <w:proofErr w:type="spellStart"/>
      <w:r w:rsidRPr="00C13E07">
        <w:rPr>
          <w:rFonts w:asciiTheme="minorHAnsi" w:hAnsiTheme="minorHAnsi" w:cstheme="minorHAnsi"/>
          <w:color w:val="000000"/>
          <w:sz w:val="22"/>
          <w:szCs w:val="22"/>
        </w:rPr>
        <w:t>InfraCo’s</w:t>
      </w:r>
      <w:proofErr w:type="spellEnd"/>
      <w:r w:rsidRPr="00C13E07">
        <w:rPr>
          <w:rFonts w:asciiTheme="minorHAnsi" w:hAnsiTheme="minorHAnsi" w:cstheme="minorHAnsi"/>
          <w:color w:val="000000"/>
          <w:sz w:val="22"/>
          <w:szCs w:val="22"/>
        </w:rPr>
        <w:t xml:space="preserve"> ESG team provided templates and policy support to help strengthen its systems further. It also noted that it is working on gender diversity targets, with discussions underway on initiatives such as internships, early-career opportunities for women, and support from diversity-focused HR consultants.</w:t>
      </w:r>
    </w:p>
    <w:p w14:paraId="77770B2A" w14:textId="77777777" w:rsidR="00C13E07" w:rsidRPr="00C13E07" w:rsidRDefault="00C13E07" w:rsidP="00C13E07">
      <w:pPr>
        <w:spacing w:before="100" w:beforeAutospacing="1" w:after="100" w:afterAutospacing="1"/>
        <w:rPr>
          <w:rFonts w:asciiTheme="minorHAnsi" w:hAnsiTheme="minorHAnsi" w:cstheme="minorHAnsi"/>
          <w:color w:val="000000"/>
          <w:sz w:val="22"/>
          <w:szCs w:val="22"/>
        </w:rPr>
      </w:pPr>
      <w:r w:rsidRPr="00C13E07">
        <w:rPr>
          <w:rFonts w:asciiTheme="minorHAnsi" w:hAnsiTheme="minorHAnsi" w:cstheme="minorHAnsi"/>
          <w:color w:val="000000"/>
          <w:sz w:val="22"/>
          <w:szCs w:val="22"/>
        </w:rPr>
        <w:t>August Energy is a useful example of how AVETP support can enable an early-stage renewable energy platform to enter Vietnam faster, establish a local development model, and begin building a portfolio of distributed solar and cooling projects. The strongest evidence currently lies in accelerated market entry, shared-risk capital, a local partnership, and a quantified results pathway for project delivery, capital mobilisation, and emissions reduction. While the Vietnam platform is still at an early stage and most KPI figures remain projected rather than achieved, the case suggests that PIDG’s contribution is strongest at the front end: enabling earlier positioning, faster origination, and greater willingness to pursue projects that might otherwise have been delayed.</w:t>
      </w:r>
    </w:p>
    <w:p w14:paraId="78CF9E87" w14:textId="77777777" w:rsidR="002F4A65" w:rsidRDefault="002F4A65">
      <w:pPr>
        <w:spacing w:before="120" w:after="120"/>
        <w:rPr>
          <w:rStyle w:val="DkBluetextbold"/>
          <w:rFonts w:ascii="Source Sans Pro" w:hAnsi="Source Sans Pro" w:cs="Arial"/>
          <w:iCs/>
          <w:sz w:val="36"/>
          <w:szCs w:val="40"/>
          <w:lang w:eastAsia="en-US"/>
        </w:rPr>
      </w:pPr>
      <w:bookmarkStart w:id="99" w:name="_Toc226976873"/>
      <w:r>
        <w:rPr>
          <w:rStyle w:val="DkBluetextbold"/>
          <w:b w:val="0"/>
        </w:rPr>
        <w:br w:type="page"/>
      </w:r>
    </w:p>
    <w:p w14:paraId="47360FD4" w14:textId="7097561E" w:rsidR="00191821" w:rsidRPr="0091722F" w:rsidRDefault="00191821" w:rsidP="003D231F">
      <w:pPr>
        <w:pStyle w:val="Heading1"/>
      </w:pPr>
      <w:bookmarkStart w:id="100" w:name="_Toc233026625"/>
      <w:r w:rsidRPr="0091722F">
        <w:lastRenderedPageBreak/>
        <w:t>Review Terms of Reference</w:t>
      </w:r>
      <w:bookmarkEnd w:id="99"/>
      <w:bookmarkEnd w:id="100"/>
      <w:r w:rsidRPr="0091722F">
        <w:t xml:space="preserve"> </w:t>
      </w:r>
    </w:p>
    <w:p w14:paraId="0EE862D1" w14:textId="77777777" w:rsidR="00191821" w:rsidRPr="005C5713" w:rsidRDefault="00191821" w:rsidP="00400371">
      <w:pPr>
        <w:rPr>
          <w:rFonts w:asciiTheme="minorHAnsi" w:hAnsiTheme="minorHAnsi" w:cstheme="minorHAnsi"/>
          <w:b/>
          <w:bCs/>
          <w:color w:val="000000" w:themeColor="text2"/>
          <w:sz w:val="22"/>
          <w:szCs w:val="22"/>
        </w:rPr>
      </w:pPr>
      <w:r w:rsidRPr="005C5713">
        <w:rPr>
          <w:rFonts w:asciiTheme="minorHAnsi" w:hAnsiTheme="minorHAnsi" w:cstheme="minorHAnsi"/>
          <w:b/>
          <w:bCs/>
          <w:color w:val="000000" w:themeColor="text2"/>
          <w:sz w:val="22"/>
          <w:szCs w:val="22"/>
        </w:rPr>
        <w:t xml:space="preserve">Climate Resilient Communities </w:t>
      </w:r>
    </w:p>
    <w:p w14:paraId="04239EF5" w14:textId="77777777" w:rsidR="00191821" w:rsidRPr="005C5713" w:rsidRDefault="00191821" w:rsidP="00400371">
      <w:pPr>
        <w:pStyle w:val="BodyText"/>
        <w:rPr>
          <w:rFonts w:eastAsia="Calibri Light"/>
          <w:color w:val="000000" w:themeColor="text2"/>
          <w:sz w:val="22"/>
          <w:szCs w:val="22"/>
        </w:rPr>
      </w:pPr>
      <w:r w:rsidRPr="005C5713">
        <w:rPr>
          <w:rFonts w:eastAsia="Calibri Light"/>
          <w:color w:val="000000" w:themeColor="text2"/>
          <w:sz w:val="22"/>
          <w:szCs w:val="22"/>
        </w:rPr>
        <w:t>Climate Resilient Communities (CRC) supports implementation of the Australian Government's climate change commitments under Australia's International Development Policy, in line with partner government priorities.</w:t>
      </w:r>
    </w:p>
    <w:p w14:paraId="6595C4DD" w14:textId="77777777" w:rsidR="00191821" w:rsidRPr="005C5713" w:rsidRDefault="00191821" w:rsidP="00400371">
      <w:pPr>
        <w:pStyle w:val="BodyText"/>
        <w:rPr>
          <w:rFonts w:eastAsia="Calibri Light"/>
          <w:color w:val="000000" w:themeColor="text2"/>
          <w:sz w:val="22"/>
          <w:szCs w:val="22"/>
        </w:rPr>
      </w:pPr>
      <w:r w:rsidRPr="005C5713">
        <w:rPr>
          <w:rFonts w:eastAsia="Calibri Light"/>
          <w:color w:val="000000" w:themeColor="text2"/>
          <w:sz w:val="22"/>
          <w:szCs w:val="22"/>
        </w:rPr>
        <w:t>CRC supports the Department of Foreign Affairs and Trade (DFAT) to increase climate investments, drive climate integration, and better address climate change and disaster risk across Australia’s development portfolio.</w:t>
      </w:r>
    </w:p>
    <w:p w14:paraId="3DAE4467" w14:textId="77777777" w:rsidR="00191821" w:rsidRPr="005C5713" w:rsidRDefault="00191821" w:rsidP="00400371">
      <w:pPr>
        <w:pStyle w:val="BodyText"/>
        <w:rPr>
          <w:rFonts w:eastAsia="Calibri Light"/>
          <w:color w:val="000000" w:themeColor="text2"/>
          <w:sz w:val="22"/>
          <w:szCs w:val="22"/>
        </w:rPr>
      </w:pPr>
      <w:r w:rsidRPr="005C5713">
        <w:rPr>
          <w:rFonts w:eastAsia="Calibri Light"/>
          <w:color w:val="000000" w:themeColor="text2"/>
          <w:sz w:val="22"/>
          <w:szCs w:val="22"/>
        </w:rPr>
        <w:t>CRC incentivises funding towards gender-responsive, inclusive climate and disaster resilience programming, particularly in the water, food, nature-based solutions, and energy sectors.</w:t>
      </w:r>
    </w:p>
    <w:p w14:paraId="6182EF65" w14:textId="77777777" w:rsidR="00191821" w:rsidRPr="005C5713" w:rsidRDefault="00191821" w:rsidP="00400371">
      <w:pPr>
        <w:pStyle w:val="BodyText"/>
        <w:rPr>
          <w:rFonts w:eastAsia="Calibri Light"/>
          <w:color w:val="000000" w:themeColor="text2"/>
          <w:sz w:val="22"/>
          <w:szCs w:val="22"/>
        </w:rPr>
      </w:pPr>
      <w:r w:rsidRPr="005C5713">
        <w:rPr>
          <w:rFonts w:eastAsia="Calibri Light"/>
          <w:color w:val="000000" w:themeColor="text2"/>
          <w:sz w:val="22"/>
          <w:szCs w:val="22"/>
        </w:rPr>
        <w:t>DFAT has engaged DT Global to support the implementation of CRC through a Support Unit.</w:t>
      </w:r>
    </w:p>
    <w:p w14:paraId="7726D692" w14:textId="77777777" w:rsidR="00191821" w:rsidRPr="005C5713" w:rsidRDefault="00191821" w:rsidP="00400371">
      <w:pPr>
        <w:pStyle w:val="BodyText"/>
        <w:rPr>
          <w:rFonts w:eastAsia="Calibri Light"/>
          <w:color w:val="000000" w:themeColor="text2"/>
          <w:sz w:val="22"/>
          <w:szCs w:val="22"/>
        </w:rPr>
      </w:pPr>
      <w:r w:rsidRPr="005C5713">
        <w:rPr>
          <w:rFonts w:eastAsia="Calibri Light"/>
          <w:color w:val="000000" w:themeColor="text2"/>
          <w:sz w:val="22"/>
          <w:szCs w:val="22"/>
        </w:rPr>
        <w:t xml:space="preserve">For further information about CRC, visit the </w:t>
      </w:r>
      <w:hyperlink r:id="rId20">
        <w:r w:rsidRPr="005C5713">
          <w:rPr>
            <w:rStyle w:val="Hyperlink"/>
            <w:rFonts w:eastAsia="Calibri Light"/>
            <w:color w:val="000000" w:themeColor="text2"/>
            <w:sz w:val="22"/>
            <w:szCs w:val="22"/>
          </w:rPr>
          <w:t>DFAT website</w:t>
        </w:r>
      </w:hyperlink>
      <w:r w:rsidRPr="005C5713">
        <w:rPr>
          <w:rFonts w:eastAsia="Calibri Light"/>
          <w:color w:val="000000" w:themeColor="text2"/>
          <w:sz w:val="22"/>
          <w:szCs w:val="22"/>
        </w:rPr>
        <w:t>.</w:t>
      </w:r>
    </w:p>
    <w:p w14:paraId="280299EC" w14:textId="77777777" w:rsidR="00191821" w:rsidRPr="005C5713" w:rsidRDefault="00191821" w:rsidP="00400371">
      <w:pPr>
        <w:rPr>
          <w:rFonts w:asciiTheme="minorHAnsi" w:hAnsiTheme="minorHAnsi" w:cstheme="minorHAnsi"/>
          <w:b/>
          <w:bCs/>
          <w:color w:val="000000" w:themeColor="text2"/>
          <w:sz w:val="22"/>
          <w:szCs w:val="22"/>
        </w:rPr>
      </w:pPr>
      <w:r w:rsidRPr="005C5713">
        <w:rPr>
          <w:rFonts w:asciiTheme="minorHAnsi" w:hAnsiTheme="minorHAnsi" w:cstheme="minorHAnsi"/>
          <w:b/>
          <w:bCs/>
          <w:color w:val="000000" w:themeColor="text2"/>
          <w:sz w:val="22"/>
          <w:szCs w:val="22"/>
        </w:rPr>
        <w:t>Background – Australia – Vietnam Energy Transition Platform (AVETP)</w:t>
      </w:r>
    </w:p>
    <w:p w14:paraId="06D7C862"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AVETP aims to increase access to clean energy, enhance climate resilience, and support Vietnam in achieving its net-zero emissions target by 2050. It is designed to support Vietnam’s transition to a low-carbon economy by mobilising private sector investment in renewable energy and sustainable infrastructure. It is comprised of two investments:</w:t>
      </w:r>
    </w:p>
    <w:p w14:paraId="1F2EFC52" w14:textId="77777777" w:rsidR="00191821" w:rsidRPr="005C5713" w:rsidRDefault="00191821" w:rsidP="00400371">
      <w:pPr>
        <w:pStyle w:val="ListBullet"/>
        <w:ind w:left="680" w:hanging="396"/>
        <w:rPr>
          <w:rFonts w:eastAsia="Calibri Light"/>
          <w:color w:val="000000" w:themeColor="text2"/>
          <w:sz w:val="22"/>
          <w:szCs w:val="22"/>
        </w:rPr>
      </w:pPr>
      <w:r w:rsidRPr="005C5713">
        <w:rPr>
          <w:rFonts w:eastAsia="Calibri Light"/>
          <w:color w:val="000000" w:themeColor="text2"/>
          <w:sz w:val="22"/>
          <w:szCs w:val="22"/>
        </w:rPr>
        <w:t xml:space="preserve">$17 million allocated to the Private Infrastructure Development Group (PIDG) managed by the Australian Embassy in Hanoi; and </w:t>
      </w:r>
    </w:p>
    <w:p w14:paraId="6892896A" w14:textId="77777777" w:rsidR="00191821" w:rsidRPr="005C5713" w:rsidRDefault="00191821" w:rsidP="00400371">
      <w:pPr>
        <w:pStyle w:val="ListBullet"/>
        <w:ind w:left="680" w:hanging="396"/>
        <w:rPr>
          <w:rFonts w:eastAsia="Calibri Light"/>
          <w:color w:val="000000" w:themeColor="text2"/>
          <w:sz w:val="22"/>
          <w:szCs w:val="22"/>
        </w:rPr>
      </w:pPr>
      <w:r w:rsidRPr="005C5713">
        <w:rPr>
          <w:rFonts w:eastAsia="Calibri Light"/>
          <w:color w:val="000000" w:themeColor="text2"/>
          <w:sz w:val="22"/>
          <w:szCs w:val="22"/>
        </w:rPr>
        <w:t xml:space="preserve">$3 million allocated to Australian Development Investments (ADI) managed by the Blended Finance Section (BFU). </w:t>
      </w:r>
    </w:p>
    <w:p w14:paraId="58AE871D"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 xml:space="preserve">The midterm review focuses on the PIDG investment component of this program, as the ADI investment is clustered with the ADI global program reporting.  </w:t>
      </w:r>
    </w:p>
    <w:p w14:paraId="3A825B0C"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Australia is one of six owners of PIDG including Canada, the UK, the Netherlands, Sweden and Switzerland. PIDG is an impact investor that facilitates private investment in infrastructure projects in emerging markets by reducing financial and regulatory barriers.</w:t>
      </w:r>
    </w:p>
    <w:p w14:paraId="35EBAA56"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The design of the AVETP program was led by PIDG and specifies that the program will achieve two end-of-program outcomes (EOPOs) as follows:</w:t>
      </w:r>
    </w:p>
    <w:p w14:paraId="2CF269F4" w14:textId="77777777" w:rsidR="00191821" w:rsidRPr="005C5713" w:rsidRDefault="00191821" w:rsidP="00400371">
      <w:pPr>
        <w:pStyle w:val="ListBullet"/>
        <w:ind w:left="680" w:hanging="396"/>
        <w:rPr>
          <w:rFonts w:eastAsia="Calibri Light"/>
          <w:color w:val="000000" w:themeColor="text2"/>
          <w:sz w:val="22"/>
          <w:szCs w:val="22"/>
        </w:rPr>
      </w:pPr>
      <w:r w:rsidRPr="005C5713">
        <w:rPr>
          <w:rFonts w:eastAsia="Calibri Light"/>
          <w:color w:val="000000" w:themeColor="text2"/>
          <w:sz w:val="22"/>
          <w:szCs w:val="22"/>
        </w:rPr>
        <w:t>Australia will play a visible and influential role in increasing and improving the quality of private investment in Vietnam’s transition to net zero. This includes both the renewable energy sector and small and medium enterprises (SMEs) supporting climate action.</w:t>
      </w:r>
    </w:p>
    <w:p w14:paraId="6AD77EC5" w14:textId="77777777" w:rsidR="00191821" w:rsidRPr="005C5713" w:rsidRDefault="00191821" w:rsidP="00400371">
      <w:pPr>
        <w:pStyle w:val="ListBullet"/>
        <w:ind w:left="680" w:hanging="396"/>
        <w:rPr>
          <w:rFonts w:eastAsia="Calibri Light"/>
          <w:color w:val="000000" w:themeColor="text2"/>
          <w:sz w:val="22"/>
          <w:szCs w:val="22"/>
        </w:rPr>
      </w:pPr>
      <w:r w:rsidRPr="005C5713">
        <w:rPr>
          <w:rFonts w:eastAsia="Calibri Light"/>
          <w:color w:val="000000" w:themeColor="text2"/>
          <w:sz w:val="22"/>
          <w:szCs w:val="22"/>
        </w:rPr>
        <w:t>Increased investments in Vietnam’s net zero transition will be inclusive and equitable, including by supporting and augmenting Vietnam’s own policies in these areas.</w:t>
      </w:r>
    </w:p>
    <w:p w14:paraId="68273031"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Implementation of the AVETP is structured through three key components:</w:t>
      </w:r>
    </w:p>
    <w:p w14:paraId="4270C5E8" w14:textId="77777777" w:rsidR="00191821" w:rsidRPr="005C5713" w:rsidRDefault="00191821" w:rsidP="002A5232">
      <w:pPr>
        <w:pStyle w:val="ListParagraph"/>
        <w:numPr>
          <w:ilvl w:val="0"/>
          <w:numId w:val="17"/>
        </w:numPr>
        <w:suppressAutoHyphens/>
        <w:rPr>
          <w:rFonts w:eastAsia="Calibri Light"/>
          <w:color w:val="000000" w:themeColor="text2"/>
          <w:sz w:val="22"/>
          <w:szCs w:val="22"/>
        </w:rPr>
      </w:pPr>
      <w:r w:rsidRPr="005C5713">
        <w:rPr>
          <w:rFonts w:eastAsia="Calibri Light"/>
          <w:color w:val="000000" w:themeColor="text2"/>
          <w:sz w:val="22"/>
          <w:szCs w:val="22"/>
        </w:rPr>
        <w:t xml:space="preserve">The Renewable Energy Access Fund designed to expand PIDG’s investment footprint in Vietnam, accelerating the deployment of clean energy solutions and broadening access to renewable power sources. Catalytic capital (TA and capital grant) is “softly earmarked” to Vietnam to progress / unlock investments that face delays and additional costs due to long development times.  </w:t>
      </w:r>
    </w:p>
    <w:p w14:paraId="7B6523A7" w14:textId="77777777" w:rsidR="00191821" w:rsidRPr="005C5713" w:rsidRDefault="00191821" w:rsidP="002A5232">
      <w:pPr>
        <w:pStyle w:val="ListParagraph"/>
        <w:numPr>
          <w:ilvl w:val="0"/>
          <w:numId w:val="17"/>
        </w:numPr>
        <w:suppressAutoHyphens/>
        <w:rPr>
          <w:rFonts w:eastAsia="Calibri Light"/>
          <w:color w:val="000000" w:themeColor="text2"/>
          <w:sz w:val="22"/>
          <w:szCs w:val="22"/>
        </w:rPr>
      </w:pPr>
      <w:r w:rsidRPr="005C5713">
        <w:rPr>
          <w:rFonts w:eastAsia="Calibri Light"/>
          <w:color w:val="000000" w:themeColor="text2"/>
          <w:sz w:val="22"/>
          <w:szCs w:val="22"/>
        </w:rPr>
        <w:t xml:space="preserve">The Capital Markets for Climate Action Fund focuses on developing Vietnam’s financial markets by supporting green bonds, local currency investment mechanisms, and sustainable financing instruments that attract institutional investors. Catalytic capital (TA and capital grant) is “softly earmarked” to Vietnam to cover:  </w:t>
      </w:r>
    </w:p>
    <w:p w14:paraId="7215BDB8" w14:textId="77777777" w:rsidR="00191821" w:rsidRPr="005C5713" w:rsidRDefault="00191821" w:rsidP="00400371">
      <w:pPr>
        <w:pStyle w:val="ListBullet"/>
        <w:spacing w:before="0" w:after="0"/>
        <w:ind w:left="1080" w:hanging="396"/>
        <w:rPr>
          <w:rFonts w:eastAsia="Calibri Light"/>
          <w:color w:val="000000" w:themeColor="text2"/>
          <w:sz w:val="22"/>
          <w:szCs w:val="22"/>
        </w:rPr>
      </w:pPr>
      <w:r w:rsidRPr="005C5713">
        <w:rPr>
          <w:rFonts w:eastAsia="Calibri Light"/>
          <w:color w:val="000000" w:themeColor="text2"/>
          <w:sz w:val="22"/>
          <w:szCs w:val="22"/>
        </w:rPr>
        <w:t>selected costs of (green) bond issuances</w:t>
      </w:r>
    </w:p>
    <w:p w14:paraId="471C2604" w14:textId="77777777" w:rsidR="00191821" w:rsidRPr="005C5713" w:rsidRDefault="00191821" w:rsidP="00400371">
      <w:pPr>
        <w:pStyle w:val="ListBullet"/>
        <w:spacing w:before="0" w:after="0"/>
        <w:ind w:left="1080" w:hanging="396"/>
        <w:rPr>
          <w:rFonts w:eastAsia="Calibri Light"/>
          <w:color w:val="000000" w:themeColor="text2"/>
          <w:sz w:val="22"/>
          <w:szCs w:val="22"/>
        </w:rPr>
      </w:pPr>
      <w:r w:rsidRPr="005C5713">
        <w:rPr>
          <w:rFonts w:eastAsia="Calibri Light"/>
          <w:color w:val="000000" w:themeColor="text2"/>
          <w:sz w:val="22"/>
          <w:szCs w:val="22"/>
        </w:rPr>
        <w:t xml:space="preserve">targeted capital market studies and dissemination </w:t>
      </w:r>
    </w:p>
    <w:p w14:paraId="1DEB5021" w14:textId="77777777" w:rsidR="00191821" w:rsidRPr="005C5713" w:rsidRDefault="00191821" w:rsidP="00400371">
      <w:pPr>
        <w:pStyle w:val="ListBullet"/>
        <w:spacing w:before="0" w:after="0"/>
        <w:ind w:left="1080" w:hanging="396"/>
        <w:rPr>
          <w:rFonts w:eastAsia="Calibri Light"/>
          <w:color w:val="000000" w:themeColor="text2"/>
          <w:sz w:val="22"/>
          <w:szCs w:val="22"/>
        </w:rPr>
      </w:pPr>
      <w:r w:rsidRPr="005C5713">
        <w:rPr>
          <w:rFonts w:eastAsia="Calibri Light"/>
          <w:color w:val="000000" w:themeColor="text2"/>
          <w:sz w:val="22"/>
          <w:szCs w:val="22"/>
        </w:rPr>
        <w:t xml:space="preserve">detailed feasibility study to establish a local credit enhancement facility (CEF) </w:t>
      </w:r>
    </w:p>
    <w:p w14:paraId="676DD24F" w14:textId="77777777" w:rsidR="00191821" w:rsidRPr="005C5713" w:rsidRDefault="00191821" w:rsidP="00400371">
      <w:pPr>
        <w:pStyle w:val="ListBullet"/>
        <w:spacing w:before="0" w:after="0"/>
        <w:ind w:left="1080" w:hanging="396"/>
        <w:rPr>
          <w:rFonts w:eastAsia="Calibri Light"/>
          <w:color w:val="000000" w:themeColor="text2"/>
          <w:sz w:val="22"/>
          <w:szCs w:val="22"/>
        </w:rPr>
      </w:pPr>
      <w:r w:rsidRPr="005C5713">
        <w:rPr>
          <w:rFonts w:eastAsia="Calibri Light"/>
          <w:color w:val="000000" w:themeColor="text2"/>
          <w:sz w:val="22"/>
          <w:szCs w:val="22"/>
        </w:rPr>
        <w:t>set up costs for a new CEF</w:t>
      </w:r>
    </w:p>
    <w:p w14:paraId="7B2A161C" w14:textId="77777777" w:rsidR="00191821" w:rsidRPr="005C5713" w:rsidRDefault="00191821" w:rsidP="00400371">
      <w:pPr>
        <w:pStyle w:val="ListBullet"/>
        <w:spacing w:before="0" w:after="0"/>
        <w:ind w:left="1080" w:hanging="396"/>
        <w:rPr>
          <w:rFonts w:eastAsia="Calibri Light"/>
          <w:color w:val="000000" w:themeColor="text2"/>
          <w:sz w:val="22"/>
          <w:szCs w:val="22"/>
        </w:rPr>
      </w:pPr>
      <w:r w:rsidRPr="005C5713">
        <w:rPr>
          <w:rFonts w:eastAsia="Calibri Light"/>
          <w:color w:val="000000" w:themeColor="text2"/>
          <w:sz w:val="22"/>
          <w:szCs w:val="22"/>
        </w:rPr>
        <w:t>initial equity investment in the new CEF</w:t>
      </w:r>
    </w:p>
    <w:p w14:paraId="189F2237" w14:textId="77777777" w:rsidR="00191821" w:rsidRPr="005C5713" w:rsidRDefault="00191821" w:rsidP="00400371">
      <w:pPr>
        <w:pStyle w:val="ListBullet"/>
        <w:spacing w:before="0" w:after="0"/>
        <w:ind w:left="1080" w:hanging="396"/>
        <w:rPr>
          <w:rFonts w:eastAsia="Calibri Light"/>
          <w:color w:val="000000" w:themeColor="text2"/>
          <w:sz w:val="22"/>
          <w:szCs w:val="22"/>
        </w:rPr>
      </w:pPr>
      <w:r w:rsidRPr="005C5713">
        <w:rPr>
          <w:rFonts w:eastAsia="Calibri Light"/>
          <w:color w:val="000000" w:themeColor="text2"/>
          <w:sz w:val="22"/>
          <w:szCs w:val="22"/>
        </w:rPr>
        <w:t>focused feasibility studies to explore integration of nature-based solutions in energy transition investments</w:t>
      </w:r>
    </w:p>
    <w:p w14:paraId="2BF05CFE" w14:textId="77777777" w:rsidR="00191821" w:rsidRPr="005C5713" w:rsidRDefault="00191821" w:rsidP="00400371">
      <w:pPr>
        <w:pStyle w:val="ListBullet"/>
        <w:spacing w:before="0" w:after="0"/>
        <w:ind w:left="1080" w:hanging="396"/>
        <w:rPr>
          <w:rFonts w:eastAsia="Calibri Light"/>
          <w:color w:val="000000" w:themeColor="text2"/>
          <w:sz w:val="22"/>
          <w:szCs w:val="22"/>
        </w:rPr>
      </w:pPr>
      <w:r w:rsidRPr="005C5713">
        <w:rPr>
          <w:rFonts w:eastAsia="Calibri Light"/>
          <w:color w:val="000000" w:themeColor="text2"/>
          <w:sz w:val="22"/>
          <w:szCs w:val="22"/>
        </w:rPr>
        <w:lastRenderedPageBreak/>
        <w:t xml:space="preserve">contribution to the implementation of nature-based solutions in specific investments for learning and demonstration.  </w:t>
      </w:r>
    </w:p>
    <w:p w14:paraId="3F2C3AEA" w14:textId="77777777" w:rsidR="00191821" w:rsidRPr="005C5713" w:rsidRDefault="00191821" w:rsidP="002A5232">
      <w:pPr>
        <w:pStyle w:val="ListParagraph"/>
        <w:numPr>
          <w:ilvl w:val="0"/>
          <w:numId w:val="17"/>
        </w:numPr>
        <w:suppressAutoHyphens/>
        <w:rPr>
          <w:rFonts w:eastAsia="Calibri Light"/>
          <w:color w:val="000000" w:themeColor="text2"/>
          <w:sz w:val="22"/>
          <w:szCs w:val="22"/>
        </w:rPr>
      </w:pPr>
      <w:r w:rsidRPr="005C5713">
        <w:rPr>
          <w:rFonts w:eastAsia="Calibri Light"/>
          <w:color w:val="000000" w:themeColor="text2"/>
          <w:sz w:val="22"/>
          <w:szCs w:val="22"/>
        </w:rPr>
        <w:t xml:space="preserve">The provision of investment capital to PIDG subsidiaries </w:t>
      </w:r>
      <w:proofErr w:type="spellStart"/>
      <w:r w:rsidRPr="005C5713">
        <w:rPr>
          <w:rFonts w:eastAsia="Calibri Light"/>
          <w:color w:val="000000" w:themeColor="text2"/>
          <w:sz w:val="22"/>
          <w:szCs w:val="22"/>
        </w:rPr>
        <w:t>InfraCo</w:t>
      </w:r>
      <w:proofErr w:type="spellEnd"/>
      <w:r w:rsidRPr="005C5713">
        <w:rPr>
          <w:rFonts w:eastAsia="Calibri Light"/>
          <w:color w:val="000000" w:themeColor="text2"/>
          <w:sz w:val="22"/>
          <w:szCs w:val="22"/>
        </w:rPr>
        <w:t xml:space="preserve"> Asia, </w:t>
      </w:r>
      <w:proofErr w:type="spellStart"/>
      <w:r w:rsidRPr="005C5713">
        <w:rPr>
          <w:rFonts w:eastAsia="Calibri Light"/>
          <w:color w:val="000000" w:themeColor="text2"/>
          <w:sz w:val="22"/>
          <w:szCs w:val="22"/>
        </w:rPr>
        <w:t>GuarantCo</w:t>
      </w:r>
      <w:proofErr w:type="spellEnd"/>
      <w:r w:rsidRPr="005C5713">
        <w:rPr>
          <w:rFonts w:eastAsia="Calibri Light"/>
          <w:color w:val="000000" w:themeColor="text2"/>
          <w:sz w:val="22"/>
          <w:szCs w:val="22"/>
        </w:rPr>
        <w:t>, and the Emerging Africa &amp; Asia Infrastructure Fund (EAAIF) to invest in new deals in Vietnam.</w:t>
      </w:r>
    </w:p>
    <w:p w14:paraId="1EDCF728"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 xml:space="preserve">DFAT provides strategic oversight of the AVETP through the teams in Hanoi and Canberra, ensuring alignment with Australia’s foreign policy and development objectives. PIDG’s independent investment committees are responsible for selecting and managing projects, ensuring that investments are commercially viable while delivering significant development impact. The AVETP does not have a specific Monitoring, Evaluation and Learning (MEL) framework.  PIDG use their own global MEL framework to feed into reporting for the program. PIDG is required to provide quarterly reporting on its activities in Vietnam. </w:t>
      </w:r>
    </w:p>
    <w:p w14:paraId="1E026C56"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 xml:space="preserve">The investment originally spanned a two-year period from 30 June 2023 to 30 June 2025 and was recently extended for an additional three years to 30 June 2028 to continue the implementation of program activities, including the establishment of a CEF in Vietnam which was not implemented during the original phase because of regulatory issues. </w:t>
      </w:r>
    </w:p>
    <w:p w14:paraId="5E02D890"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 xml:space="preserve">PIDG experienced challenges in achieving the IPOs and EOPOs during the original term of the program because a lack of bankable renewable energy projects in Vietnam, regulatory and policy uncertainty for renewable energy investment, and a lack of regulation to support the establishment of a CEF. Despite these challenges, PIDG was able to finance significant projects for Vietnam’s energy transition namely a loan for a company to develop a pipeline of rooftop solar projects, and a convertible loan for Vietnam’s fastest-growing electric motorbike producer. Further, PIDG financed a </w:t>
      </w:r>
      <w:proofErr w:type="gramStart"/>
      <w:r w:rsidRPr="005C5713">
        <w:rPr>
          <w:rFonts w:asciiTheme="minorHAnsi" w:eastAsia="Calibri Light" w:hAnsiTheme="minorHAnsi" w:cstheme="minorHAnsi"/>
          <w:color w:val="000000" w:themeColor="text2"/>
          <w:sz w:val="22"/>
          <w:szCs w:val="22"/>
        </w:rPr>
        <w:t>number</w:t>
      </w:r>
      <w:proofErr w:type="gramEnd"/>
      <w:r w:rsidRPr="005C5713">
        <w:rPr>
          <w:rFonts w:asciiTheme="minorHAnsi" w:eastAsia="Calibri Light" w:hAnsiTheme="minorHAnsi" w:cstheme="minorHAnsi"/>
          <w:color w:val="000000" w:themeColor="text2"/>
          <w:sz w:val="22"/>
          <w:szCs w:val="22"/>
        </w:rPr>
        <w:t xml:space="preserve"> projects that were complimentary to the AVETP including providing green bond guarantees for aquaculture and water treatment projects.</w:t>
      </w:r>
    </w:p>
    <w:p w14:paraId="2E3AE46E" w14:textId="77777777" w:rsidR="00191821" w:rsidRPr="005C5713" w:rsidRDefault="00191821" w:rsidP="00542F5C">
      <w:pPr>
        <w:spacing w:before="240"/>
        <w:rPr>
          <w:rFonts w:asciiTheme="minorHAnsi" w:hAnsiTheme="minorHAnsi" w:cstheme="minorHAnsi"/>
          <w:b/>
          <w:bCs/>
          <w:color w:val="000000" w:themeColor="text2"/>
          <w:sz w:val="22"/>
          <w:szCs w:val="22"/>
        </w:rPr>
      </w:pPr>
      <w:r w:rsidRPr="005C5713">
        <w:rPr>
          <w:rFonts w:asciiTheme="minorHAnsi" w:hAnsiTheme="minorHAnsi" w:cstheme="minorHAnsi"/>
          <w:b/>
          <w:bCs/>
          <w:color w:val="000000" w:themeColor="text2"/>
          <w:sz w:val="22"/>
          <w:szCs w:val="22"/>
        </w:rPr>
        <w:t>Purpose</w:t>
      </w:r>
    </w:p>
    <w:p w14:paraId="245A1AD1"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 xml:space="preserve">The AVETP is approaching its midway </w:t>
      </w:r>
      <w:proofErr w:type="gramStart"/>
      <w:r w:rsidRPr="005C5713">
        <w:rPr>
          <w:rFonts w:asciiTheme="minorHAnsi" w:eastAsia="Calibri Light" w:hAnsiTheme="minorHAnsi" w:cstheme="minorHAnsi"/>
          <w:color w:val="000000" w:themeColor="text2"/>
          <w:sz w:val="22"/>
          <w:szCs w:val="22"/>
        </w:rPr>
        <w:t>point</w:t>
      </w:r>
      <w:proofErr w:type="gramEnd"/>
      <w:r w:rsidRPr="005C5713">
        <w:rPr>
          <w:rFonts w:asciiTheme="minorHAnsi" w:eastAsia="Calibri Light" w:hAnsiTheme="minorHAnsi" w:cstheme="minorHAnsi"/>
          <w:color w:val="000000" w:themeColor="text2"/>
          <w:sz w:val="22"/>
          <w:szCs w:val="22"/>
        </w:rPr>
        <w:t xml:space="preserve"> and an independent Midterm Review (MTR) is being commissioned to:</w:t>
      </w:r>
    </w:p>
    <w:p w14:paraId="2FC38903" w14:textId="77777777" w:rsidR="00191821" w:rsidRPr="005C5713" w:rsidRDefault="00191821" w:rsidP="002A5232">
      <w:pPr>
        <w:pStyle w:val="ListParagraph"/>
        <w:numPr>
          <w:ilvl w:val="0"/>
          <w:numId w:val="16"/>
        </w:numPr>
        <w:suppressAutoHyphens/>
        <w:rPr>
          <w:rFonts w:eastAsia="Calibri Light"/>
          <w:color w:val="000000" w:themeColor="text2"/>
          <w:sz w:val="22"/>
          <w:szCs w:val="22"/>
        </w:rPr>
      </w:pPr>
      <w:r w:rsidRPr="005C5713">
        <w:rPr>
          <w:rFonts w:eastAsia="Calibri Light"/>
          <w:color w:val="000000" w:themeColor="text2"/>
          <w:sz w:val="22"/>
          <w:szCs w:val="22"/>
        </w:rPr>
        <w:t>assess the program logic and progress towards the EOPOs including the need to expand the program to climate resilience projects (if necessary);</w:t>
      </w:r>
    </w:p>
    <w:p w14:paraId="7B6BFDB2" w14:textId="77777777" w:rsidR="00191821" w:rsidRPr="005C5713" w:rsidRDefault="00191821" w:rsidP="002A5232">
      <w:pPr>
        <w:pStyle w:val="ListParagraph"/>
        <w:numPr>
          <w:ilvl w:val="0"/>
          <w:numId w:val="16"/>
        </w:numPr>
        <w:suppressAutoHyphens/>
        <w:rPr>
          <w:rFonts w:eastAsia="Calibri Light"/>
          <w:color w:val="000000" w:themeColor="text2"/>
          <w:sz w:val="22"/>
          <w:szCs w:val="22"/>
        </w:rPr>
      </w:pPr>
      <w:r w:rsidRPr="005C5713">
        <w:rPr>
          <w:rFonts w:eastAsia="Calibri Light"/>
          <w:color w:val="000000" w:themeColor="text2"/>
          <w:sz w:val="22"/>
          <w:szCs w:val="22"/>
        </w:rPr>
        <w:t>assess MEL framework arrangements for the program and provide recommendations on what framework is most practical and effective for the AVETP in the final phase of the program;</w:t>
      </w:r>
    </w:p>
    <w:p w14:paraId="78F08C0C" w14:textId="77777777" w:rsidR="00191821" w:rsidRPr="005C5713" w:rsidRDefault="00191821" w:rsidP="002A5232">
      <w:pPr>
        <w:pStyle w:val="ListParagraph"/>
        <w:numPr>
          <w:ilvl w:val="0"/>
          <w:numId w:val="16"/>
        </w:numPr>
        <w:suppressAutoHyphens/>
        <w:rPr>
          <w:rFonts w:eastAsia="Calibri Light"/>
          <w:color w:val="000000" w:themeColor="text2"/>
          <w:sz w:val="22"/>
          <w:szCs w:val="22"/>
        </w:rPr>
      </w:pPr>
      <w:r w:rsidRPr="005C5713">
        <w:rPr>
          <w:rFonts w:eastAsia="Calibri Light"/>
          <w:color w:val="000000" w:themeColor="text2"/>
          <w:sz w:val="22"/>
          <w:szCs w:val="22"/>
        </w:rPr>
        <w:t>provide recommendations to strengthen delivery, and sustainability for remainder phase of the program.</w:t>
      </w:r>
    </w:p>
    <w:p w14:paraId="3F39A843" w14:textId="77777777" w:rsidR="00191821" w:rsidRPr="005C5713" w:rsidRDefault="00191821" w:rsidP="00400371">
      <w:pPr>
        <w:ind w:left="284" w:hanging="284"/>
        <w:jc w:val="both"/>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 xml:space="preserve">The </w:t>
      </w:r>
      <w:r w:rsidRPr="005C5713">
        <w:rPr>
          <w:rFonts w:asciiTheme="minorHAnsi" w:eastAsia="Calibri Light" w:hAnsiTheme="minorHAnsi" w:cstheme="minorHAnsi"/>
          <w:b/>
          <w:bCs/>
          <w:color w:val="000000" w:themeColor="text2"/>
          <w:sz w:val="22"/>
          <w:szCs w:val="22"/>
        </w:rPr>
        <w:t>objectives</w:t>
      </w:r>
      <w:r w:rsidRPr="005C5713">
        <w:rPr>
          <w:rFonts w:asciiTheme="minorHAnsi" w:eastAsia="Calibri Light" w:hAnsiTheme="minorHAnsi" w:cstheme="minorHAnsi"/>
          <w:color w:val="000000" w:themeColor="text2"/>
          <w:sz w:val="22"/>
          <w:szCs w:val="22"/>
        </w:rPr>
        <w:t xml:space="preserve"> of the evaluation are:</w:t>
      </w:r>
    </w:p>
    <w:p w14:paraId="21F8EE94" w14:textId="77777777" w:rsidR="00191821" w:rsidRPr="005C5713" w:rsidRDefault="00191821" w:rsidP="002A5232">
      <w:pPr>
        <w:pStyle w:val="ListParagraph"/>
        <w:numPr>
          <w:ilvl w:val="0"/>
          <w:numId w:val="16"/>
        </w:numPr>
        <w:suppressAutoHyphens/>
        <w:rPr>
          <w:rFonts w:eastAsia="Calibri Light"/>
          <w:color w:val="000000" w:themeColor="text2"/>
          <w:sz w:val="22"/>
          <w:szCs w:val="22"/>
        </w:rPr>
      </w:pPr>
      <w:r w:rsidRPr="005C5713">
        <w:rPr>
          <w:rFonts w:eastAsia="Calibri Light"/>
          <w:color w:val="000000" w:themeColor="text2"/>
          <w:sz w:val="22"/>
          <w:szCs w:val="22"/>
        </w:rPr>
        <w:t>Review the program logic and evaluate progress towards achieving the EOPOs, including an assessment of the effectiveness and efficiency of the program and potential need to expand the scope of AVETP to include climate resilience projects (if required):</w:t>
      </w:r>
    </w:p>
    <w:p w14:paraId="65E56E3E" w14:textId="77777777" w:rsidR="00191821" w:rsidRPr="005C5713" w:rsidRDefault="00191821" w:rsidP="002A5232">
      <w:pPr>
        <w:pStyle w:val="ListParagraph"/>
        <w:numPr>
          <w:ilvl w:val="0"/>
          <w:numId w:val="16"/>
        </w:numPr>
        <w:suppressAutoHyphens/>
        <w:rPr>
          <w:rFonts w:eastAsia="Calibri Light"/>
          <w:color w:val="000000" w:themeColor="text2"/>
          <w:sz w:val="22"/>
          <w:szCs w:val="22"/>
        </w:rPr>
      </w:pPr>
      <w:r w:rsidRPr="005C5713">
        <w:rPr>
          <w:rFonts w:eastAsia="Calibri Light"/>
          <w:color w:val="000000" w:themeColor="text2"/>
          <w:sz w:val="22"/>
          <w:szCs w:val="22"/>
        </w:rPr>
        <w:t>Assess and provide recommendations to potentially improve the MEL framework and practical measures for tracking results and adaptive management: and</w:t>
      </w:r>
    </w:p>
    <w:p w14:paraId="2DC32F7E" w14:textId="77777777" w:rsidR="00191821" w:rsidRPr="005C5713" w:rsidRDefault="00191821" w:rsidP="002A5232">
      <w:pPr>
        <w:pStyle w:val="ListParagraph"/>
        <w:numPr>
          <w:ilvl w:val="0"/>
          <w:numId w:val="16"/>
        </w:numPr>
        <w:suppressAutoHyphens/>
        <w:rPr>
          <w:rFonts w:eastAsia="Calibri Light"/>
          <w:color w:val="000000" w:themeColor="text2"/>
          <w:sz w:val="22"/>
          <w:szCs w:val="22"/>
        </w:rPr>
      </w:pPr>
      <w:r w:rsidRPr="005C5713">
        <w:rPr>
          <w:rFonts w:eastAsia="Calibri Light"/>
          <w:color w:val="000000" w:themeColor="text2"/>
          <w:sz w:val="22"/>
          <w:szCs w:val="22"/>
        </w:rPr>
        <w:t>Provide recommendations for refinement of the EOPOs and/or IOs, to ensure feasibility and alignment with the EOPOs.</w:t>
      </w:r>
    </w:p>
    <w:p w14:paraId="3401CEFD"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 xml:space="preserve">The </w:t>
      </w:r>
      <w:r w:rsidRPr="005C5713">
        <w:rPr>
          <w:rFonts w:asciiTheme="minorHAnsi" w:eastAsia="Calibri Light" w:hAnsiTheme="minorHAnsi" w:cstheme="minorHAnsi"/>
          <w:b/>
          <w:bCs/>
          <w:color w:val="000000" w:themeColor="text2"/>
          <w:sz w:val="22"/>
          <w:szCs w:val="22"/>
        </w:rPr>
        <w:t>primary audience</w:t>
      </w:r>
      <w:r w:rsidRPr="005C5713">
        <w:rPr>
          <w:rFonts w:asciiTheme="minorHAnsi" w:eastAsia="Calibri Light" w:hAnsiTheme="minorHAnsi" w:cstheme="minorHAnsi"/>
          <w:color w:val="000000" w:themeColor="text2"/>
          <w:sz w:val="22"/>
          <w:szCs w:val="22"/>
        </w:rPr>
        <w:t xml:space="preserve"> for the MTR is the DFAT team in Hanoi and PIDG. Its secondary audience will be BFU who is the focal point for the PIDG core arrangement in DFAT. The MTR will be made available on DFAT’s website and needs to be clear, concise and easy to read. </w:t>
      </w:r>
    </w:p>
    <w:p w14:paraId="446E8E0F" w14:textId="77777777" w:rsidR="00191821" w:rsidRPr="005C5713" w:rsidRDefault="00191821" w:rsidP="00542F5C">
      <w:pPr>
        <w:spacing w:before="240"/>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The review will answer the following questions, which PIDG, DFAT and the MTR Review Team will refine and prioritise further during the inception period. </w:t>
      </w:r>
    </w:p>
    <w:p w14:paraId="604CC098" w14:textId="77777777" w:rsidR="00191821" w:rsidRPr="005C5713" w:rsidRDefault="00191821" w:rsidP="002A5232">
      <w:pPr>
        <w:pStyle w:val="ListParagraph"/>
        <w:numPr>
          <w:ilvl w:val="0"/>
          <w:numId w:val="18"/>
        </w:numPr>
        <w:rPr>
          <w:rFonts w:eastAsia="Calibri Light"/>
          <w:color w:val="000000" w:themeColor="text2"/>
          <w:sz w:val="22"/>
          <w:szCs w:val="22"/>
        </w:rPr>
      </w:pPr>
      <w:r w:rsidRPr="005C5713">
        <w:rPr>
          <w:rFonts w:eastAsia="Calibri Light"/>
          <w:color w:val="000000" w:themeColor="text2"/>
          <w:sz w:val="22"/>
          <w:szCs w:val="22"/>
        </w:rPr>
        <w:t>Is the program making the expected progress towards achieving its EOPOs? </w:t>
      </w:r>
    </w:p>
    <w:p w14:paraId="7B857DAD" w14:textId="77777777" w:rsidR="00191821" w:rsidRPr="005C5713" w:rsidRDefault="00191821" w:rsidP="002A5232">
      <w:pPr>
        <w:pStyle w:val="ListParagraph"/>
        <w:numPr>
          <w:ilvl w:val="0"/>
          <w:numId w:val="18"/>
        </w:numPr>
        <w:rPr>
          <w:rFonts w:eastAsia="Calibri Light"/>
          <w:color w:val="000000" w:themeColor="text2"/>
          <w:sz w:val="22"/>
          <w:szCs w:val="22"/>
        </w:rPr>
      </w:pPr>
      <w:r w:rsidRPr="005C5713">
        <w:rPr>
          <w:rFonts w:eastAsia="Calibri Light"/>
          <w:color w:val="000000" w:themeColor="text2"/>
          <w:sz w:val="22"/>
          <w:szCs w:val="22"/>
        </w:rPr>
        <w:t>To what extent has the AVETP investment contributed to mobilising quality private capital for Vietnam’s net zero transition, and what evidence is there that these investments are delivering sustainable, inclusive and equitable development outcomes (e.g. clean energy access, climate resilience, inclusive growth)? </w:t>
      </w:r>
    </w:p>
    <w:p w14:paraId="4B335CB8" w14:textId="77777777" w:rsidR="00191821" w:rsidRPr="005C5713" w:rsidRDefault="00191821" w:rsidP="002A5232">
      <w:pPr>
        <w:pStyle w:val="ListParagraph"/>
        <w:numPr>
          <w:ilvl w:val="0"/>
          <w:numId w:val="18"/>
        </w:numPr>
        <w:rPr>
          <w:rFonts w:eastAsia="Calibri Light"/>
          <w:color w:val="000000" w:themeColor="text2"/>
          <w:sz w:val="22"/>
          <w:szCs w:val="22"/>
        </w:rPr>
      </w:pPr>
      <w:r w:rsidRPr="005C5713">
        <w:rPr>
          <w:rFonts w:eastAsia="Calibri Light"/>
          <w:color w:val="000000" w:themeColor="text2"/>
          <w:sz w:val="22"/>
          <w:szCs w:val="22"/>
        </w:rPr>
        <w:t>Are the current IOs and program logic fit for purpose in linking PIDG’s activities to the EOPOs? If not, what refinements are recommended to improve alignment and feasibility? </w:t>
      </w:r>
    </w:p>
    <w:p w14:paraId="0C78D6E3" w14:textId="77777777" w:rsidR="00191821" w:rsidRPr="005C5713" w:rsidRDefault="00191821" w:rsidP="002A5232">
      <w:pPr>
        <w:pStyle w:val="ListParagraph"/>
        <w:numPr>
          <w:ilvl w:val="0"/>
          <w:numId w:val="18"/>
        </w:numPr>
        <w:rPr>
          <w:rFonts w:eastAsia="Calibri Light"/>
          <w:color w:val="000000" w:themeColor="text2"/>
          <w:sz w:val="22"/>
          <w:szCs w:val="22"/>
        </w:rPr>
      </w:pPr>
      <w:r w:rsidRPr="005C5713">
        <w:rPr>
          <w:rFonts w:eastAsia="Calibri Light"/>
          <w:color w:val="000000" w:themeColor="text2"/>
          <w:sz w:val="22"/>
          <w:szCs w:val="22"/>
        </w:rPr>
        <w:lastRenderedPageBreak/>
        <w:t>Assess current MEL arrangements (including current reporting arrangements), and the extent to which they are meeting PIDG's and DFAT's needs. Having regard to this, what MEL approaches are most practical and effective for the AVETP to track results—including gender equality, disability inclusion, and climate outcomes—over the remainder time of the program? </w:t>
      </w:r>
    </w:p>
    <w:p w14:paraId="12D8865A" w14:textId="77777777" w:rsidR="00191821" w:rsidRPr="005C5713" w:rsidRDefault="00191821" w:rsidP="002A5232">
      <w:pPr>
        <w:pStyle w:val="ListParagraph"/>
        <w:numPr>
          <w:ilvl w:val="0"/>
          <w:numId w:val="18"/>
        </w:numPr>
        <w:rPr>
          <w:rFonts w:eastAsia="Calibri Light"/>
          <w:color w:val="000000" w:themeColor="text2"/>
          <w:sz w:val="22"/>
          <w:szCs w:val="22"/>
        </w:rPr>
      </w:pPr>
      <w:r w:rsidRPr="005C5713">
        <w:rPr>
          <w:rFonts w:eastAsia="Calibri Light"/>
          <w:color w:val="000000" w:themeColor="text2"/>
          <w:sz w:val="22"/>
          <w:szCs w:val="22"/>
        </w:rPr>
        <w:t>How effective are DFAT’s oversight and engagement arrangements of PIDG in ensuring visibility of Australia’s contribution, and alignment with Vietnam’s priorities and Australia’s foreign policy objectives? </w:t>
      </w:r>
    </w:p>
    <w:p w14:paraId="17A6F3E7" w14:textId="5AC344C4" w:rsidR="00191821" w:rsidRPr="005C5713" w:rsidRDefault="00191821" w:rsidP="002A5232">
      <w:pPr>
        <w:pStyle w:val="ListParagraph"/>
        <w:numPr>
          <w:ilvl w:val="0"/>
          <w:numId w:val="18"/>
        </w:numPr>
        <w:rPr>
          <w:rFonts w:eastAsia="Calibri Light"/>
          <w:b/>
          <w:color w:val="000000" w:themeColor="text2"/>
          <w:sz w:val="22"/>
          <w:szCs w:val="22"/>
        </w:rPr>
      </w:pPr>
      <w:r w:rsidRPr="005C5713">
        <w:rPr>
          <w:rFonts w:eastAsia="Calibri Light"/>
          <w:color w:val="000000" w:themeColor="text2"/>
          <w:sz w:val="22"/>
          <w:szCs w:val="22"/>
        </w:rPr>
        <w:t>What lessons from AVETP implementation to date—including transaction support, technical assistance, and early work on the Credit Enhancement Facility—can inform delivery improvements and risk management for the remainder time of the program? </w:t>
      </w:r>
    </w:p>
    <w:p w14:paraId="7AE7AA26" w14:textId="77777777" w:rsidR="00191821" w:rsidRPr="005C5713" w:rsidRDefault="00191821" w:rsidP="00542F5C">
      <w:pPr>
        <w:spacing w:before="240"/>
        <w:rPr>
          <w:rFonts w:asciiTheme="minorHAnsi" w:hAnsiTheme="minorHAnsi" w:cstheme="minorHAnsi"/>
          <w:b/>
          <w:bCs/>
          <w:color w:val="000000" w:themeColor="text2"/>
          <w:sz w:val="22"/>
          <w:szCs w:val="22"/>
        </w:rPr>
      </w:pPr>
      <w:r w:rsidRPr="005C5713">
        <w:rPr>
          <w:rFonts w:asciiTheme="minorHAnsi" w:hAnsiTheme="minorHAnsi" w:cstheme="minorHAnsi"/>
          <w:b/>
          <w:bCs/>
          <w:color w:val="000000" w:themeColor="text2"/>
          <w:sz w:val="22"/>
          <w:szCs w:val="22"/>
        </w:rPr>
        <w:t>Reporting and Schedule </w:t>
      </w:r>
    </w:p>
    <w:p w14:paraId="24776DB7"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The methodology for the review will be refined in consultation with the MTR Review Team but will likely include: </w:t>
      </w:r>
    </w:p>
    <w:p w14:paraId="14B8CD57"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An initial verbal briefing to discuss the background, issues and priorities for the evaluation by DFAT Hanoi team.  </w:t>
      </w:r>
    </w:p>
    <w:p w14:paraId="10AA3D81"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A desk review of relevant documentations </w:t>
      </w:r>
    </w:p>
    <w:p w14:paraId="6E06287F"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A draft and final Review Plan </w:t>
      </w:r>
    </w:p>
    <w:p w14:paraId="7D4C7789"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Interviews with key stakeholders including PIDG, other PIDG owners in Hanoi, one or two projects invested and supported by PIDG in Vietnam. The interviews will be conducted online or in person. The MTR Review Team will propose a list of stakeholders for interview in consultation with DFAT Hanoi and PIDG. </w:t>
      </w:r>
    </w:p>
    <w:p w14:paraId="7992B615"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Presentation of findings after interviews. </w:t>
      </w:r>
    </w:p>
    <w:p w14:paraId="0C603274"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Draft Report to DFAT Hanoi, BFU and PIDG.  </w:t>
      </w:r>
    </w:p>
    <w:p w14:paraId="617C3221"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Draft and final report submitted to and accepted by the DFAT Hanoi in writing followed by a final presentation of the findings. </w:t>
      </w:r>
    </w:p>
    <w:p w14:paraId="749BF959" w14:textId="77777777" w:rsidR="00191821" w:rsidRPr="005C5713" w:rsidRDefault="00191821" w:rsidP="00542F5C">
      <w:pPr>
        <w:spacing w:after="240"/>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The review shall commence in January 2026 and will be completed by the end of March 2026, as per the indicative schedule below. </w:t>
      </w:r>
    </w:p>
    <w:p w14:paraId="66A5C85E" w14:textId="2A59ACC1" w:rsidR="006C7E0E" w:rsidRPr="006C7E0E" w:rsidRDefault="006C7E0E" w:rsidP="006C7E0E">
      <w:pPr>
        <w:pStyle w:val="Caption"/>
        <w:keepNext/>
        <w:rPr>
          <w:i w:val="0"/>
          <w:iCs/>
        </w:rPr>
      </w:pPr>
      <w:bookmarkStart w:id="101" w:name="_Toc233026573"/>
      <w:r w:rsidRPr="006C7E0E">
        <w:rPr>
          <w:i w:val="0"/>
          <w:iCs/>
        </w:rPr>
        <w:t xml:space="preserve">Table </w:t>
      </w:r>
      <w:r w:rsidRPr="006C7E0E">
        <w:rPr>
          <w:i w:val="0"/>
          <w:iCs/>
        </w:rPr>
        <w:fldChar w:fldCharType="begin"/>
      </w:r>
      <w:r w:rsidRPr="006C7E0E">
        <w:rPr>
          <w:i w:val="0"/>
          <w:iCs/>
        </w:rPr>
        <w:instrText xml:space="preserve"> SEQ Table \* ARABIC </w:instrText>
      </w:r>
      <w:r w:rsidRPr="006C7E0E">
        <w:rPr>
          <w:i w:val="0"/>
          <w:iCs/>
        </w:rPr>
        <w:fldChar w:fldCharType="separate"/>
      </w:r>
      <w:r w:rsidRPr="006C7E0E">
        <w:rPr>
          <w:i w:val="0"/>
          <w:iCs/>
          <w:noProof/>
        </w:rPr>
        <w:t>14</w:t>
      </w:r>
      <w:r w:rsidRPr="006C7E0E">
        <w:rPr>
          <w:i w:val="0"/>
          <w:iCs/>
        </w:rPr>
        <w:fldChar w:fldCharType="end"/>
      </w:r>
      <w:r w:rsidRPr="006C7E0E">
        <w:rPr>
          <w:i w:val="0"/>
          <w:iCs/>
        </w:rPr>
        <w:t>:</w:t>
      </w:r>
      <w:r>
        <w:rPr>
          <w:i w:val="0"/>
          <w:iCs/>
        </w:rPr>
        <w:t xml:space="preserve"> Planned MTR Activities</w:t>
      </w:r>
      <w:bookmarkEnd w:id="101"/>
      <w:r>
        <w:rPr>
          <w:i w:val="0"/>
          <w:iCs/>
        </w:rPr>
        <w:t xml:space="preserve"> </w:t>
      </w:r>
    </w:p>
    <w:tbl>
      <w:tblPr>
        <w:tblW w:w="0" w:type="auto"/>
        <w:tblInd w:w="60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05"/>
        <w:gridCol w:w="4920"/>
        <w:gridCol w:w="3240"/>
      </w:tblGrid>
      <w:tr w:rsidR="00191821" w:rsidRPr="00191821" w14:paraId="1270D314" w14:textId="77777777" w:rsidTr="001C3169">
        <w:trPr>
          <w:trHeight w:val="270"/>
          <w:tblHeader/>
        </w:trPr>
        <w:tc>
          <w:tcPr>
            <w:tcW w:w="705" w:type="dxa"/>
            <w:tcBorders>
              <w:top w:val="single" w:sz="6" w:space="0" w:color="auto"/>
              <w:left w:val="single" w:sz="6" w:space="0" w:color="auto"/>
              <w:bottom w:val="single" w:sz="6" w:space="0" w:color="auto"/>
              <w:right w:val="single" w:sz="6" w:space="0" w:color="auto"/>
            </w:tcBorders>
            <w:shd w:val="clear" w:color="auto" w:fill="0065BC" w:themeFill="background2"/>
          </w:tcPr>
          <w:p w14:paraId="54DF8543" w14:textId="77777777" w:rsidR="00191821" w:rsidRPr="00146589" w:rsidRDefault="00191821" w:rsidP="00400371">
            <w:pPr>
              <w:rPr>
                <w:rFonts w:asciiTheme="minorHAnsi" w:hAnsiTheme="minorHAnsi" w:cstheme="minorHAnsi"/>
                <w:color w:val="FFFFFF" w:themeColor="background1"/>
                <w:sz w:val="20"/>
                <w:szCs w:val="20"/>
              </w:rPr>
            </w:pPr>
            <w:r w:rsidRPr="00146589">
              <w:rPr>
                <w:rFonts w:asciiTheme="minorHAnsi" w:hAnsiTheme="minorHAnsi" w:cstheme="minorHAnsi"/>
                <w:color w:val="FFFFFF" w:themeColor="background1"/>
                <w:sz w:val="20"/>
                <w:szCs w:val="20"/>
              </w:rPr>
              <w:t>No. </w:t>
            </w:r>
          </w:p>
        </w:tc>
        <w:tc>
          <w:tcPr>
            <w:tcW w:w="4920" w:type="dxa"/>
            <w:tcBorders>
              <w:top w:val="single" w:sz="6" w:space="0" w:color="auto"/>
              <w:left w:val="single" w:sz="6" w:space="0" w:color="auto"/>
              <w:bottom w:val="single" w:sz="6" w:space="0" w:color="auto"/>
              <w:right w:val="single" w:sz="6" w:space="0" w:color="auto"/>
            </w:tcBorders>
            <w:shd w:val="clear" w:color="auto" w:fill="0065BC" w:themeFill="background2"/>
          </w:tcPr>
          <w:p w14:paraId="1E084225" w14:textId="77777777" w:rsidR="00191821" w:rsidRPr="00146589" w:rsidRDefault="00191821" w:rsidP="00400371">
            <w:pPr>
              <w:rPr>
                <w:rFonts w:asciiTheme="minorHAnsi" w:hAnsiTheme="minorHAnsi" w:cstheme="minorHAnsi"/>
                <w:color w:val="FFFFFF" w:themeColor="background1"/>
                <w:sz w:val="20"/>
                <w:szCs w:val="20"/>
              </w:rPr>
            </w:pPr>
            <w:r w:rsidRPr="00146589">
              <w:rPr>
                <w:rFonts w:asciiTheme="minorHAnsi" w:hAnsiTheme="minorHAnsi" w:cstheme="minorHAnsi"/>
                <w:color w:val="FFFFFF" w:themeColor="background1"/>
                <w:sz w:val="20"/>
                <w:szCs w:val="20"/>
              </w:rPr>
              <w:t>Tasks </w:t>
            </w:r>
          </w:p>
        </w:tc>
        <w:tc>
          <w:tcPr>
            <w:tcW w:w="3240" w:type="dxa"/>
            <w:tcBorders>
              <w:top w:val="single" w:sz="6" w:space="0" w:color="auto"/>
              <w:left w:val="single" w:sz="6" w:space="0" w:color="auto"/>
              <w:bottom w:val="single" w:sz="6" w:space="0" w:color="auto"/>
              <w:right w:val="single" w:sz="6" w:space="0" w:color="auto"/>
            </w:tcBorders>
            <w:shd w:val="clear" w:color="auto" w:fill="0065BC" w:themeFill="background2"/>
          </w:tcPr>
          <w:p w14:paraId="3DDE4103" w14:textId="77777777" w:rsidR="00191821" w:rsidRPr="00146589" w:rsidRDefault="00191821" w:rsidP="00400371">
            <w:pPr>
              <w:rPr>
                <w:rFonts w:asciiTheme="minorHAnsi" w:hAnsiTheme="minorHAnsi" w:cstheme="minorHAnsi"/>
                <w:color w:val="FFFFFF" w:themeColor="background1"/>
                <w:sz w:val="20"/>
                <w:szCs w:val="20"/>
              </w:rPr>
            </w:pPr>
            <w:r w:rsidRPr="00146589">
              <w:rPr>
                <w:rFonts w:asciiTheme="minorHAnsi" w:hAnsiTheme="minorHAnsi" w:cstheme="minorHAnsi"/>
                <w:color w:val="FFFFFF" w:themeColor="background1"/>
                <w:sz w:val="20"/>
                <w:szCs w:val="20"/>
              </w:rPr>
              <w:t>Indicative timeline </w:t>
            </w:r>
          </w:p>
        </w:tc>
      </w:tr>
      <w:tr w:rsidR="00191821" w:rsidRPr="00191821" w14:paraId="3BC17489" w14:textId="77777777">
        <w:trPr>
          <w:trHeight w:val="990"/>
        </w:trPr>
        <w:tc>
          <w:tcPr>
            <w:tcW w:w="705" w:type="dxa"/>
            <w:tcBorders>
              <w:top w:val="single" w:sz="6" w:space="0" w:color="auto"/>
              <w:left w:val="single" w:sz="6" w:space="0" w:color="auto"/>
              <w:bottom w:val="single" w:sz="6" w:space="0" w:color="auto"/>
              <w:right w:val="single" w:sz="6" w:space="0" w:color="auto"/>
            </w:tcBorders>
          </w:tcPr>
          <w:p w14:paraId="0D5E6895" w14:textId="77777777" w:rsidR="00191821" w:rsidRPr="00191821" w:rsidRDefault="00191821" w:rsidP="00400371">
            <w:pPr>
              <w:rPr>
                <w:rFonts w:asciiTheme="minorHAnsi" w:hAnsiTheme="minorHAnsi" w:cstheme="minorHAnsi"/>
                <w:color w:val="000000" w:themeColor="text2"/>
                <w:sz w:val="20"/>
                <w:szCs w:val="20"/>
              </w:rPr>
            </w:pPr>
            <w:r w:rsidRPr="00191821">
              <w:rPr>
                <w:rFonts w:asciiTheme="minorHAnsi" w:hAnsiTheme="minorHAnsi" w:cstheme="minorHAnsi"/>
                <w:color w:val="000000" w:themeColor="text2"/>
                <w:sz w:val="20"/>
                <w:szCs w:val="20"/>
              </w:rPr>
              <w:t>1 </w:t>
            </w:r>
          </w:p>
        </w:tc>
        <w:tc>
          <w:tcPr>
            <w:tcW w:w="4920" w:type="dxa"/>
            <w:tcBorders>
              <w:top w:val="single" w:sz="6" w:space="0" w:color="auto"/>
              <w:left w:val="single" w:sz="6" w:space="0" w:color="auto"/>
              <w:bottom w:val="single" w:sz="6" w:space="0" w:color="auto"/>
              <w:right w:val="single" w:sz="6" w:space="0" w:color="auto"/>
            </w:tcBorders>
          </w:tcPr>
          <w:p w14:paraId="79DEC616"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Undertake a verbal briefing with DFAT Hanoi to clarify scope and inform the Evaluation Plan, including consultation plan </w:t>
            </w:r>
          </w:p>
        </w:tc>
        <w:tc>
          <w:tcPr>
            <w:tcW w:w="3240" w:type="dxa"/>
            <w:tcBorders>
              <w:top w:val="single" w:sz="6" w:space="0" w:color="auto"/>
              <w:left w:val="single" w:sz="6" w:space="0" w:color="auto"/>
              <w:bottom w:val="single" w:sz="6" w:space="0" w:color="auto"/>
              <w:right w:val="single" w:sz="6" w:space="0" w:color="auto"/>
            </w:tcBorders>
          </w:tcPr>
          <w:p w14:paraId="72622F67"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12 January 2026 </w:t>
            </w:r>
          </w:p>
        </w:tc>
      </w:tr>
      <w:tr w:rsidR="00191821" w:rsidRPr="00191821" w14:paraId="756C1256" w14:textId="77777777">
        <w:trPr>
          <w:trHeight w:val="615"/>
        </w:trPr>
        <w:tc>
          <w:tcPr>
            <w:tcW w:w="705" w:type="dxa"/>
            <w:tcBorders>
              <w:top w:val="single" w:sz="6" w:space="0" w:color="auto"/>
              <w:left w:val="single" w:sz="6" w:space="0" w:color="auto"/>
              <w:bottom w:val="single" w:sz="6" w:space="0" w:color="auto"/>
              <w:right w:val="single" w:sz="6" w:space="0" w:color="auto"/>
            </w:tcBorders>
          </w:tcPr>
          <w:p w14:paraId="07A077D3" w14:textId="77777777" w:rsidR="00191821" w:rsidRPr="00191821" w:rsidRDefault="00191821" w:rsidP="00400371">
            <w:pPr>
              <w:rPr>
                <w:rFonts w:asciiTheme="minorHAnsi" w:hAnsiTheme="minorHAnsi" w:cstheme="minorHAnsi"/>
                <w:color w:val="000000" w:themeColor="text2"/>
                <w:sz w:val="20"/>
                <w:szCs w:val="20"/>
              </w:rPr>
            </w:pPr>
            <w:r w:rsidRPr="00191821">
              <w:rPr>
                <w:rFonts w:asciiTheme="minorHAnsi" w:hAnsiTheme="minorHAnsi" w:cstheme="minorHAnsi"/>
                <w:color w:val="000000" w:themeColor="text2"/>
                <w:sz w:val="20"/>
                <w:szCs w:val="20"/>
              </w:rPr>
              <w:t>2 </w:t>
            </w:r>
          </w:p>
        </w:tc>
        <w:tc>
          <w:tcPr>
            <w:tcW w:w="4920" w:type="dxa"/>
            <w:tcBorders>
              <w:top w:val="single" w:sz="6" w:space="0" w:color="auto"/>
              <w:left w:val="single" w:sz="6" w:space="0" w:color="auto"/>
              <w:bottom w:val="single" w:sz="6" w:space="0" w:color="auto"/>
              <w:right w:val="single" w:sz="6" w:space="0" w:color="auto"/>
            </w:tcBorders>
          </w:tcPr>
          <w:p w14:paraId="32219B24"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Conduct a desk review of relevant documentation provided by DFAT Hanoi </w:t>
            </w:r>
          </w:p>
        </w:tc>
        <w:tc>
          <w:tcPr>
            <w:tcW w:w="3240" w:type="dxa"/>
            <w:tcBorders>
              <w:top w:val="single" w:sz="6" w:space="0" w:color="auto"/>
              <w:left w:val="single" w:sz="6" w:space="0" w:color="auto"/>
              <w:bottom w:val="single" w:sz="6" w:space="0" w:color="auto"/>
              <w:right w:val="single" w:sz="6" w:space="0" w:color="auto"/>
            </w:tcBorders>
          </w:tcPr>
          <w:p w14:paraId="4E49847A"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16 January 2026 </w:t>
            </w:r>
          </w:p>
        </w:tc>
      </w:tr>
      <w:tr w:rsidR="00191821" w:rsidRPr="00191821" w14:paraId="4858673E" w14:textId="77777777">
        <w:trPr>
          <w:trHeight w:val="705"/>
        </w:trPr>
        <w:tc>
          <w:tcPr>
            <w:tcW w:w="705" w:type="dxa"/>
            <w:tcBorders>
              <w:top w:val="single" w:sz="6" w:space="0" w:color="auto"/>
              <w:left w:val="single" w:sz="6" w:space="0" w:color="auto"/>
              <w:bottom w:val="single" w:sz="6" w:space="0" w:color="auto"/>
              <w:right w:val="single" w:sz="6" w:space="0" w:color="auto"/>
            </w:tcBorders>
          </w:tcPr>
          <w:p w14:paraId="4E085B29" w14:textId="77777777" w:rsidR="00191821" w:rsidRPr="00191821" w:rsidRDefault="00191821" w:rsidP="00400371">
            <w:pPr>
              <w:rPr>
                <w:rFonts w:asciiTheme="minorHAnsi" w:hAnsiTheme="minorHAnsi" w:cstheme="minorHAnsi"/>
                <w:color w:val="000000" w:themeColor="text2"/>
                <w:sz w:val="20"/>
                <w:szCs w:val="20"/>
              </w:rPr>
            </w:pPr>
            <w:r w:rsidRPr="00191821">
              <w:rPr>
                <w:rFonts w:asciiTheme="minorHAnsi" w:hAnsiTheme="minorHAnsi" w:cstheme="minorHAnsi"/>
                <w:color w:val="000000" w:themeColor="text2"/>
                <w:sz w:val="20"/>
                <w:szCs w:val="20"/>
              </w:rPr>
              <w:t>3 </w:t>
            </w:r>
          </w:p>
        </w:tc>
        <w:tc>
          <w:tcPr>
            <w:tcW w:w="4920" w:type="dxa"/>
            <w:tcBorders>
              <w:top w:val="single" w:sz="6" w:space="0" w:color="auto"/>
              <w:left w:val="single" w:sz="6" w:space="0" w:color="auto"/>
              <w:bottom w:val="single" w:sz="6" w:space="0" w:color="auto"/>
              <w:right w:val="single" w:sz="6" w:space="0" w:color="auto"/>
            </w:tcBorders>
          </w:tcPr>
          <w:p w14:paraId="319E1FB8"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Submit a draft review plan to Post, including methodology, instruments, identification of key respondents, requirements for further documentation.  </w:t>
            </w:r>
          </w:p>
        </w:tc>
        <w:tc>
          <w:tcPr>
            <w:tcW w:w="3240" w:type="dxa"/>
            <w:tcBorders>
              <w:top w:val="single" w:sz="6" w:space="0" w:color="auto"/>
              <w:left w:val="single" w:sz="6" w:space="0" w:color="auto"/>
              <w:bottom w:val="single" w:sz="6" w:space="0" w:color="auto"/>
              <w:right w:val="single" w:sz="6" w:space="0" w:color="auto"/>
            </w:tcBorders>
          </w:tcPr>
          <w:p w14:paraId="1A3397EF"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23 January 2026 </w:t>
            </w:r>
          </w:p>
        </w:tc>
      </w:tr>
      <w:tr w:rsidR="00191821" w:rsidRPr="00191821" w14:paraId="0E48E7AC" w14:textId="77777777">
        <w:trPr>
          <w:trHeight w:val="630"/>
        </w:trPr>
        <w:tc>
          <w:tcPr>
            <w:tcW w:w="705" w:type="dxa"/>
            <w:tcBorders>
              <w:top w:val="single" w:sz="6" w:space="0" w:color="auto"/>
              <w:left w:val="single" w:sz="6" w:space="0" w:color="auto"/>
              <w:bottom w:val="single" w:sz="6" w:space="0" w:color="auto"/>
              <w:right w:val="single" w:sz="6" w:space="0" w:color="auto"/>
            </w:tcBorders>
          </w:tcPr>
          <w:p w14:paraId="027D90F1" w14:textId="77777777" w:rsidR="00191821" w:rsidRPr="00191821" w:rsidRDefault="00191821" w:rsidP="00400371">
            <w:pPr>
              <w:rPr>
                <w:rFonts w:asciiTheme="minorHAnsi" w:hAnsiTheme="minorHAnsi" w:cstheme="minorHAnsi"/>
                <w:color w:val="000000" w:themeColor="text2"/>
                <w:sz w:val="20"/>
                <w:szCs w:val="20"/>
              </w:rPr>
            </w:pPr>
            <w:r w:rsidRPr="00191821">
              <w:rPr>
                <w:rFonts w:asciiTheme="minorHAnsi" w:hAnsiTheme="minorHAnsi" w:cstheme="minorHAnsi"/>
                <w:color w:val="000000" w:themeColor="text2"/>
                <w:sz w:val="20"/>
                <w:szCs w:val="20"/>
              </w:rPr>
              <w:t> </w:t>
            </w:r>
          </w:p>
          <w:p w14:paraId="262E11BE" w14:textId="77777777" w:rsidR="00191821" w:rsidRPr="00191821" w:rsidRDefault="00191821" w:rsidP="00400371">
            <w:pPr>
              <w:rPr>
                <w:rFonts w:asciiTheme="minorHAnsi" w:hAnsiTheme="minorHAnsi" w:cstheme="minorHAnsi"/>
                <w:color w:val="000000" w:themeColor="text2"/>
                <w:sz w:val="20"/>
                <w:szCs w:val="20"/>
              </w:rPr>
            </w:pPr>
            <w:r w:rsidRPr="00191821">
              <w:rPr>
                <w:rFonts w:asciiTheme="minorHAnsi" w:hAnsiTheme="minorHAnsi" w:cstheme="minorHAnsi"/>
                <w:color w:val="000000" w:themeColor="text2"/>
                <w:sz w:val="20"/>
                <w:szCs w:val="20"/>
              </w:rPr>
              <w:t>4 </w:t>
            </w:r>
          </w:p>
        </w:tc>
        <w:tc>
          <w:tcPr>
            <w:tcW w:w="4920" w:type="dxa"/>
            <w:tcBorders>
              <w:top w:val="single" w:sz="6" w:space="0" w:color="auto"/>
              <w:left w:val="single" w:sz="6" w:space="0" w:color="auto"/>
              <w:bottom w:val="single" w:sz="6" w:space="0" w:color="auto"/>
              <w:right w:val="single" w:sz="6" w:space="0" w:color="auto"/>
            </w:tcBorders>
          </w:tcPr>
          <w:p w14:paraId="506B7599"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Following feedback from Post and PIDG (10 working days) submit a final review plan  </w:t>
            </w:r>
          </w:p>
        </w:tc>
        <w:tc>
          <w:tcPr>
            <w:tcW w:w="3240" w:type="dxa"/>
            <w:tcBorders>
              <w:top w:val="single" w:sz="6" w:space="0" w:color="auto"/>
              <w:left w:val="single" w:sz="6" w:space="0" w:color="auto"/>
              <w:bottom w:val="single" w:sz="6" w:space="0" w:color="auto"/>
              <w:right w:val="single" w:sz="6" w:space="0" w:color="auto"/>
            </w:tcBorders>
          </w:tcPr>
          <w:p w14:paraId="458B5BAD"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6 February 2026 </w:t>
            </w:r>
          </w:p>
        </w:tc>
      </w:tr>
      <w:tr w:rsidR="00191821" w:rsidRPr="00191821" w14:paraId="5C8E7BF1" w14:textId="77777777">
        <w:trPr>
          <w:trHeight w:val="135"/>
        </w:trPr>
        <w:tc>
          <w:tcPr>
            <w:tcW w:w="705" w:type="dxa"/>
            <w:tcBorders>
              <w:top w:val="single" w:sz="6" w:space="0" w:color="auto"/>
              <w:left w:val="single" w:sz="6" w:space="0" w:color="auto"/>
              <w:bottom w:val="single" w:sz="6" w:space="0" w:color="auto"/>
              <w:right w:val="single" w:sz="6" w:space="0" w:color="auto"/>
            </w:tcBorders>
          </w:tcPr>
          <w:p w14:paraId="1DEC7393" w14:textId="77777777" w:rsidR="00191821" w:rsidRPr="00191821" w:rsidRDefault="00191821" w:rsidP="00400371">
            <w:pPr>
              <w:rPr>
                <w:rFonts w:asciiTheme="minorHAnsi" w:hAnsiTheme="minorHAnsi" w:cstheme="minorHAnsi"/>
                <w:color w:val="000000" w:themeColor="text2"/>
                <w:sz w:val="20"/>
                <w:szCs w:val="20"/>
              </w:rPr>
            </w:pPr>
            <w:r w:rsidRPr="00191821">
              <w:rPr>
                <w:rFonts w:asciiTheme="minorHAnsi" w:hAnsiTheme="minorHAnsi" w:cstheme="minorHAnsi"/>
                <w:color w:val="000000" w:themeColor="text2"/>
                <w:sz w:val="20"/>
                <w:szCs w:val="20"/>
              </w:rPr>
              <w:t>5 </w:t>
            </w:r>
          </w:p>
        </w:tc>
        <w:tc>
          <w:tcPr>
            <w:tcW w:w="4920" w:type="dxa"/>
            <w:tcBorders>
              <w:top w:val="single" w:sz="6" w:space="0" w:color="auto"/>
              <w:left w:val="single" w:sz="6" w:space="0" w:color="auto"/>
              <w:bottom w:val="single" w:sz="6" w:space="0" w:color="auto"/>
              <w:right w:val="single" w:sz="6" w:space="0" w:color="auto"/>
            </w:tcBorders>
          </w:tcPr>
          <w:p w14:paraId="131A89D3"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Stakeholder interviews / field mission </w:t>
            </w:r>
          </w:p>
        </w:tc>
        <w:tc>
          <w:tcPr>
            <w:tcW w:w="3240" w:type="dxa"/>
            <w:tcBorders>
              <w:top w:val="single" w:sz="6" w:space="0" w:color="auto"/>
              <w:left w:val="single" w:sz="6" w:space="0" w:color="auto"/>
              <w:bottom w:val="single" w:sz="6" w:space="0" w:color="auto"/>
              <w:right w:val="single" w:sz="6" w:space="0" w:color="auto"/>
            </w:tcBorders>
          </w:tcPr>
          <w:p w14:paraId="7C2618B3"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9 – 13 February 2026 </w:t>
            </w:r>
          </w:p>
        </w:tc>
      </w:tr>
      <w:tr w:rsidR="00191821" w:rsidRPr="00191821" w14:paraId="52B967CB" w14:textId="77777777">
        <w:trPr>
          <w:trHeight w:val="135"/>
        </w:trPr>
        <w:tc>
          <w:tcPr>
            <w:tcW w:w="705" w:type="dxa"/>
            <w:tcBorders>
              <w:top w:val="single" w:sz="6" w:space="0" w:color="auto"/>
              <w:left w:val="single" w:sz="6" w:space="0" w:color="auto"/>
              <w:bottom w:val="single" w:sz="6" w:space="0" w:color="auto"/>
              <w:right w:val="single" w:sz="6" w:space="0" w:color="auto"/>
            </w:tcBorders>
          </w:tcPr>
          <w:p w14:paraId="6135C290" w14:textId="77777777" w:rsidR="00191821" w:rsidRPr="00191821" w:rsidRDefault="00191821" w:rsidP="00400371">
            <w:pPr>
              <w:rPr>
                <w:rFonts w:asciiTheme="minorHAnsi" w:hAnsiTheme="minorHAnsi" w:cstheme="minorHAnsi"/>
                <w:color w:val="000000" w:themeColor="text2"/>
                <w:sz w:val="20"/>
                <w:szCs w:val="20"/>
              </w:rPr>
            </w:pPr>
            <w:r w:rsidRPr="00191821">
              <w:rPr>
                <w:rFonts w:asciiTheme="minorHAnsi" w:hAnsiTheme="minorHAnsi" w:cstheme="minorHAnsi"/>
                <w:color w:val="000000" w:themeColor="text2"/>
                <w:sz w:val="20"/>
                <w:szCs w:val="20"/>
              </w:rPr>
              <w:t>6 </w:t>
            </w:r>
          </w:p>
        </w:tc>
        <w:tc>
          <w:tcPr>
            <w:tcW w:w="4920" w:type="dxa"/>
            <w:tcBorders>
              <w:top w:val="single" w:sz="6" w:space="0" w:color="auto"/>
              <w:left w:val="single" w:sz="6" w:space="0" w:color="auto"/>
              <w:bottom w:val="single" w:sz="6" w:space="0" w:color="auto"/>
              <w:right w:val="single" w:sz="6" w:space="0" w:color="auto"/>
            </w:tcBorders>
          </w:tcPr>
          <w:p w14:paraId="6675EB5F"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Presentation of findings for comments </w:t>
            </w:r>
          </w:p>
        </w:tc>
        <w:tc>
          <w:tcPr>
            <w:tcW w:w="3240" w:type="dxa"/>
            <w:tcBorders>
              <w:top w:val="single" w:sz="6" w:space="0" w:color="auto"/>
              <w:left w:val="single" w:sz="6" w:space="0" w:color="auto"/>
              <w:bottom w:val="single" w:sz="6" w:space="0" w:color="auto"/>
              <w:right w:val="single" w:sz="6" w:space="0" w:color="auto"/>
            </w:tcBorders>
          </w:tcPr>
          <w:p w14:paraId="54D38C47"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23 February 2026 </w:t>
            </w:r>
          </w:p>
        </w:tc>
      </w:tr>
      <w:tr w:rsidR="00191821" w:rsidRPr="00191821" w14:paraId="56B5AAB2" w14:textId="77777777">
        <w:trPr>
          <w:trHeight w:val="60"/>
        </w:trPr>
        <w:tc>
          <w:tcPr>
            <w:tcW w:w="705" w:type="dxa"/>
            <w:tcBorders>
              <w:top w:val="single" w:sz="6" w:space="0" w:color="auto"/>
              <w:left w:val="single" w:sz="6" w:space="0" w:color="auto"/>
              <w:bottom w:val="single" w:sz="6" w:space="0" w:color="auto"/>
              <w:right w:val="single" w:sz="6" w:space="0" w:color="auto"/>
            </w:tcBorders>
          </w:tcPr>
          <w:p w14:paraId="2DCFB515" w14:textId="77777777" w:rsidR="00191821" w:rsidRPr="00191821" w:rsidRDefault="00191821" w:rsidP="00400371">
            <w:pPr>
              <w:rPr>
                <w:rFonts w:asciiTheme="minorHAnsi" w:hAnsiTheme="minorHAnsi" w:cstheme="minorHAnsi"/>
                <w:color w:val="000000" w:themeColor="text2"/>
                <w:sz w:val="20"/>
                <w:szCs w:val="20"/>
              </w:rPr>
            </w:pPr>
            <w:r w:rsidRPr="00191821">
              <w:rPr>
                <w:rFonts w:asciiTheme="minorHAnsi" w:hAnsiTheme="minorHAnsi" w:cstheme="minorHAnsi"/>
                <w:color w:val="000000" w:themeColor="text2"/>
                <w:sz w:val="20"/>
                <w:szCs w:val="20"/>
              </w:rPr>
              <w:t>7 </w:t>
            </w:r>
          </w:p>
        </w:tc>
        <w:tc>
          <w:tcPr>
            <w:tcW w:w="4920" w:type="dxa"/>
            <w:tcBorders>
              <w:top w:val="single" w:sz="6" w:space="0" w:color="auto"/>
              <w:left w:val="single" w:sz="6" w:space="0" w:color="auto"/>
              <w:bottom w:val="single" w:sz="6" w:space="0" w:color="auto"/>
              <w:right w:val="single" w:sz="6" w:space="0" w:color="auto"/>
            </w:tcBorders>
          </w:tcPr>
          <w:p w14:paraId="1462B468"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Draft report and draft executive summary for comments </w:t>
            </w:r>
          </w:p>
        </w:tc>
        <w:tc>
          <w:tcPr>
            <w:tcW w:w="3240" w:type="dxa"/>
            <w:tcBorders>
              <w:top w:val="single" w:sz="6" w:space="0" w:color="auto"/>
              <w:left w:val="single" w:sz="6" w:space="0" w:color="auto"/>
              <w:bottom w:val="single" w:sz="6" w:space="0" w:color="auto"/>
              <w:right w:val="single" w:sz="6" w:space="0" w:color="auto"/>
            </w:tcBorders>
            <w:vAlign w:val="center"/>
          </w:tcPr>
          <w:p w14:paraId="29AFC217"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9 March 2026 </w:t>
            </w:r>
          </w:p>
        </w:tc>
      </w:tr>
      <w:tr w:rsidR="00191821" w:rsidRPr="00191821" w14:paraId="1C247B19" w14:textId="77777777">
        <w:trPr>
          <w:trHeight w:val="60"/>
        </w:trPr>
        <w:tc>
          <w:tcPr>
            <w:tcW w:w="705" w:type="dxa"/>
            <w:tcBorders>
              <w:top w:val="single" w:sz="6" w:space="0" w:color="auto"/>
              <w:left w:val="single" w:sz="6" w:space="0" w:color="auto"/>
              <w:bottom w:val="single" w:sz="6" w:space="0" w:color="auto"/>
              <w:right w:val="single" w:sz="6" w:space="0" w:color="auto"/>
            </w:tcBorders>
          </w:tcPr>
          <w:p w14:paraId="12624D4D" w14:textId="77777777" w:rsidR="00191821" w:rsidRPr="00191821" w:rsidRDefault="00191821" w:rsidP="00400371">
            <w:pPr>
              <w:rPr>
                <w:rFonts w:asciiTheme="minorHAnsi" w:hAnsiTheme="minorHAnsi" w:cstheme="minorHAnsi"/>
                <w:color w:val="000000" w:themeColor="text2"/>
                <w:sz w:val="20"/>
                <w:szCs w:val="20"/>
              </w:rPr>
            </w:pPr>
            <w:r w:rsidRPr="00191821">
              <w:rPr>
                <w:rFonts w:asciiTheme="minorHAnsi" w:hAnsiTheme="minorHAnsi" w:cstheme="minorHAnsi"/>
                <w:color w:val="000000" w:themeColor="text2"/>
                <w:sz w:val="20"/>
                <w:szCs w:val="20"/>
              </w:rPr>
              <w:t>8 </w:t>
            </w:r>
          </w:p>
        </w:tc>
        <w:tc>
          <w:tcPr>
            <w:tcW w:w="4920" w:type="dxa"/>
            <w:tcBorders>
              <w:top w:val="single" w:sz="6" w:space="0" w:color="auto"/>
              <w:left w:val="single" w:sz="6" w:space="0" w:color="auto"/>
              <w:bottom w:val="single" w:sz="6" w:space="0" w:color="auto"/>
              <w:right w:val="single" w:sz="6" w:space="0" w:color="auto"/>
            </w:tcBorders>
          </w:tcPr>
          <w:p w14:paraId="603C4642"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DFAT review of draft report in consultation with PIDG, and provision of feedback (up to 10 days) </w:t>
            </w:r>
          </w:p>
        </w:tc>
        <w:tc>
          <w:tcPr>
            <w:tcW w:w="3240" w:type="dxa"/>
            <w:tcBorders>
              <w:top w:val="single" w:sz="6" w:space="0" w:color="auto"/>
              <w:left w:val="single" w:sz="6" w:space="0" w:color="auto"/>
              <w:bottom w:val="single" w:sz="6" w:space="0" w:color="auto"/>
              <w:right w:val="single" w:sz="6" w:space="0" w:color="auto"/>
            </w:tcBorders>
          </w:tcPr>
          <w:p w14:paraId="0360302A"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23 March 2026</w:t>
            </w:r>
          </w:p>
        </w:tc>
      </w:tr>
      <w:tr w:rsidR="00191821" w:rsidRPr="00191821" w14:paraId="5DCB2A11" w14:textId="77777777">
        <w:trPr>
          <w:trHeight w:val="675"/>
        </w:trPr>
        <w:tc>
          <w:tcPr>
            <w:tcW w:w="705" w:type="dxa"/>
            <w:tcBorders>
              <w:top w:val="single" w:sz="6" w:space="0" w:color="auto"/>
              <w:left w:val="single" w:sz="6" w:space="0" w:color="auto"/>
              <w:bottom w:val="single" w:sz="6" w:space="0" w:color="auto"/>
              <w:right w:val="single" w:sz="6" w:space="0" w:color="auto"/>
            </w:tcBorders>
          </w:tcPr>
          <w:p w14:paraId="3E933EA1" w14:textId="77777777" w:rsidR="00191821" w:rsidRPr="00191821" w:rsidRDefault="00191821" w:rsidP="00400371">
            <w:pPr>
              <w:rPr>
                <w:rFonts w:asciiTheme="minorHAnsi" w:hAnsiTheme="minorHAnsi" w:cstheme="minorHAnsi"/>
                <w:color w:val="000000" w:themeColor="text2"/>
                <w:sz w:val="20"/>
                <w:szCs w:val="20"/>
              </w:rPr>
            </w:pPr>
            <w:r w:rsidRPr="00191821">
              <w:rPr>
                <w:rFonts w:asciiTheme="minorHAnsi" w:hAnsiTheme="minorHAnsi" w:cstheme="minorHAnsi"/>
                <w:color w:val="000000" w:themeColor="text2"/>
                <w:sz w:val="20"/>
                <w:szCs w:val="20"/>
              </w:rPr>
              <w:t>9 </w:t>
            </w:r>
          </w:p>
        </w:tc>
        <w:tc>
          <w:tcPr>
            <w:tcW w:w="4920" w:type="dxa"/>
            <w:tcBorders>
              <w:top w:val="single" w:sz="6" w:space="0" w:color="auto"/>
              <w:left w:val="single" w:sz="6" w:space="0" w:color="auto"/>
              <w:bottom w:val="single" w:sz="6" w:space="0" w:color="auto"/>
              <w:right w:val="single" w:sz="6" w:space="0" w:color="auto"/>
            </w:tcBorders>
          </w:tcPr>
          <w:p w14:paraId="31D68A72"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Final report and final executive summary (within 5 working days of receiving DFAT and PIDG feedback).  </w:t>
            </w:r>
          </w:p>
        </w:tc>
        <w:tc>
          <w:tcPr>
            <w:tcW w:w="3240" w:type="dxa"/>
            <w:tcBorders>
              <w:top w:val="single" w:sz="6" w:space="0" w:color="auto"/>
              <w:left w:val="single" w:sz="6" w:space="0" w:color="auto"/>
              <w:bottom w:val="single" w:sz="6" w:space="0" w:color="auto"/>
              <w:right w:val="single" w:sz="6" w:space="0" w:color="auto"/>
            </w:tcBorders>
          </w:tcPr>
          <w:p w14:paraId="0E89F6BB"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30 March 2026 </w:t>
            </w:r>
          </w:p>
        </w:tc>
      </w:tr>
      <w:tr w:rsidR="00191821" w:rsidRPr="00191821" w14:paraId="559F254D" w14:textId="77777777">
        <w:trPr>
          <w:trHeight w:val="435"/>
        </w:trPr>
        <w:tc>
          <w:tcPr>
            <w:tcW w:w="705" w:type="dxa"/>
            <w:tcBorders>
              <w:top w:val="single" w:sz="6" w:space="0" w:color="auto"/>
              <w:left w:val="single" w:sz="6" w:space="0" w:color="auto"/>
              <w:bottom w:val="single" w:sz="6" w:space="0" w:color="auto"/>
              <w:right w:val="single" w:sz="6" w:space="0" w:color="auto"/>
            </w:tcBorders>
          </w:tcPr>
          <w:p w14:paraId="5619A89D" w14:textId="77777777" w:rsidR="00191821" w:rsidRPr="00191821" w:rsidRDefault="00191821" w:rsidP="00400371">
            <w:pPr>
              <w:rPr>
                <w:rFonts w:asciiTheme="minorHAnsi" w:hAnsiTheme="minorHAnsi" w:cstheme="minorHAnsi"/>
                <w:color w:val="000000" w:themeColor="text2"/>
                <w:sz w:val="20"/>
                <w:szCs w:val="20"/>
              </w:rPr>
            </w:pPr>
            <w:r w:rsidRPr="00191821">
              <w:rPr>
                <w:rFonts w:asciiTheme="minorHAnsi" w:hAnsiTheme="minorHAnsi" w:cstheme="minorHAnsi"/>
                <w:color w:val="000000" w:themeColor="text2"/>
                <w:sz w:val="20"/>
                <w:szCs w:val="20"/>
              </w:rPr>
              <w:t>10 </w:t>
            </w:r>
          </w:p>
        </w:tc>
        <w:tc>
          <w:tcPr>
            <w:tcW w:w="4920" w:type="dxa"/>
            <w:tcBorders>
              <w:top w:val="single" w:sz="6" w:space="0" w:color="auto"/>
              <w:left w:val="single" w:sz="6" w:space="0" w:color="auto"/>
              <w:bottom w:val="single" w:sz="6" w:space="0" w:color="auto"/>
              <w:right w:val="single" w:sz="6" w:space="0" w:color="auto"/>
            </w:tcBorders>
          </w:tcPr>
          <w:p w14:paraId="31667217"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Presentation of final report to DFAT and PIDG </w:t>
            </w:r>
          </w:p>
        </w:tc>
        <w:tc>
          <w:tcPr>
            <w:tcW w:w="3240" w:type="dxa"/>
            <w:tcBorders>
              <w:top w:val="single" w:sz="6" w:space="0" w:color="auto"/>
              <w:left w:val="single" w:sz="6" w:space="0" w:color="auto"/>
              <w:bottom w:val="single" w:sz="6" w:space="0" w:color="auto"/>
              <w:right w:val="single" w:sz="6" w:space="0" w:color="auto"/>
            </w:tcBorders>
          </w:tcPr>
          <w:p w14:paraId="4233BB24" w14:textId="77777777" w:rsidR="00191821" w:rsidRPr="00191821" w:rsidRDefault="00191821" w:rsidP="00400371">
            <w:pPr>
              <w:rPr>
                <w:rFonts w:asciiTheme="minorHAnsi" w:eastAsia="Calibri Light" w:hAnsiTheme="minorHAnsi" w:cstheme="minorHAnsi"/>
                <w:color w:val="000000" w:themeColor="text2"/>
                <w:sz w:val="20"/>
                <w:szCs w:val="20"/>
              </w:rPr>
            </w:pPr>
            <w:r w:rsidRPr="00191821">
              <w:rPr>
                <w:rFonts w:asciiTheme="minorHAnsi" w:eastAsia="Calibri Light" w:hAnsiTheme="minorHAnsi" w:cstheme="minorHAnsi"/>
                <w:color w:val="000000" w:themeColor="text2"/>
                <w:sz w:val="20"/>
                <w:szCs w:val="20"/>
              </w:rPr>
              <w:t>30-31 March 2026 </w:t>
            </w:r>
          </w:p>
        </w:tc>
      </w:tr>
    </w:tbl>
    <w:p w14:paraId="5566D0EA" w14:textId="76B88170" w:rsidR="00191821" w:rsidRPr="005C5713" w:rsidRDefault="00191821" w:rsidP="00542F5C">
      <w:pPr>
        <w:spacing w:before="240"/>
        <w:rPr>
          <w:rFonts w:asciiTheme="minorHAnsi" w:hAnsiTheme="minorHAnsi" w:cstheme="minorHAnsi"/>
          <w:b/>
          <w:bCs/>
          <w:color w:val="000000" w:themeColor="text2"/>
          <w:sz w:val="22"/>
          <w:szCs w:val="22"/>
        </w:rPr>
      </w:pPr>
      <w:r w:rsidRPr="00191821">
        <w:rPr>
          <w:rFonts w:asciiTheme="minorHAnsi" w:hAnsiTheme="minorHAnsi" w:cstheme="minorHAnsi"/>
          <w:b/>
          <w:bCs/>
          <w:color w:val="000000" w:themeColor="text2"/>
          <w:sz w:val="20"/>
          <w:szCs w:val="20"/>
        </w:rPr>
        <w:t xml:space="preserve"> </w:t>
      </w:r>
      <w:r w:rsidRPr="005C5713">
        <w:rPr>
          <w:rFonts w:asciiTheme="minorHAnsi" w:hAnsiTheme="minorHAnsi" w:cstheme="minorHAnsi"/>
          <w:b/>
          <w:bCs/>
          <w:color w:val="000000" w:themeColor="text2"/>
          <w:sz w:val="22"/>
          <w:szCs w:val="22"/>
        </w:rPr>
        <w:t>Deliverables</w:t>
      </w:r>
    </w:p>
    <w:p w14:paraId="646987F5" w14:textId="77777777" w:rsidR="00191821" w:rsidRPr="005C5713" w:rsidRDefault="00191821" w:rsidP="00400371">
      <w:pPr>
        <w:pStyle w:val="ListBullet"/>
        <w:ind w:left="680" w:hanging="396"/>
        <w:rPr>
          <w:rFonts w:eastAsia="Calibri Light"/>
          <w:color w:val="000000" w:themeColor="text2"/>
          <w:sz w:val="22"/>
          <w:szCs w:val="22"/>
        </w:rPr>
      </w:pPr>
      <w:r w:rsidRPr="005C5713">
        <w:rPr>
          <w:rFonts w:eastAsia="Calibri Light"/>
          <w:b/>
          <w:bCs/>
          <w:color w:val="000000" w:themeColor="text2"/>
          <w:sz w:val="22"/>
          <w:szCs w:val="22"/>
        </w:rPr>
        <w:t>Review Plan</w:t>
      </w:r>
      <w:r w:rsidRPr="005C5713">
        <w:rPr>
          <w:rFonts w:eastAsia="Calibri Light"/>
          <w:color w:val="000000" w:themeColor="text2"/>
          <w:sz w:val="22"/>
          <w:szCs w:val="22"/>
        </w:rPr>
        <w:t xml:space="preserve">: </w:t>
      </w:r>
      <w:r w:rsidRPr="005C5713">
        <w:rPr>
          <w:rFonts w:eastAsia="Calibri Light"/>
          <w:color w:val="000000" w:themeColor="text2"/>
          <w:sz w:val="22"/>
          <w:szCs w:val="22"/>
          <w:lang w:val="en-GB"/>
        </w:rPr>
        <w:t>Following the briefing, the MTR Review Team will prepare a Review Plan in accordance with </w:t>
      </w:r>
      <w:r w:rsidRPr="005C5713">
        <w:rPr>
          <w:rFonts w:eastAsia="Calibri Light"/>
          <w:i/>
          <w:iCs/>
          <w:color w:val="000000" w:themeColor="text2"/>
          <w:sz w:val="22"/>
          <w:szCs w:val="22"/>
          <w:lang w:val="en-GB"/>
        </w:rPr>
        <w:t>DFAT’s Design and Monitoring, Evaluation and Learning Standards</w:t>
      </w:r>
      <w:r w:rsidRPr="005C5713">
        <w:rPr>
          <w:rFonts w:eastAsia="Calibri Light"/>
          <w:color w:val="000000" w:themeColor="text2"/>
          <w:sz w:val="22"/>
          <w:szCs w:val="22"/>
          <w:lang w:val="en-GB"/>
        </w:rPr>
        <w:t xml:space="preserve"> (Standard 9) </w:t>
      </w:r>
      <w:r w:rsidRPr="005C5713">
        <w:rPr>
          <w:rFonts w:eastAsia="Calibri Light"/>
          <w:color w:val="000000" w:themeColor="text2"/>
          <w:sz w:val="22"/>
          <w:szCs w:val="22"/>
          <w:lang w:val="en-GB"/>
        </w:rPr>
        <w:lastRenderedPageBreak/>
        <w:t>outlining the review methodology, the final evaluation questions, data collection methods and tools, and list of stakeholders for interviews. </w:t>
      </w:r>
      <w:r w:rsidRPr="005C5713">
        <w:rPr>
          <w:rFonts w:eastAsia="Calibri Light"/>
          <w:color w:val="000000" w:themeColor="text2"/>
          <w:sz w:val="22"/>
          <w:szCs w:val="22"/>
        </w:rPr>
        <w:t> </w:t>
      </w:r>
    </w:p>
    <w:p w14:paraId="3F91B1DF" w14:textId="77777777" w:rsidR="00191821" w:rsidRPr="005C5713" w:rsidRDefault="00191821" w:rsidP="00400371">
      <w:pPr>
        <w:pStyle w:val="ListBullet"/>
        <w:ind w:left="680" w:hanging="396"/>
        <w:rPr>
          <w:rFonts w:eastAsia="Calibri Light"/>
          <w:color w:val="000000" w:themeColor="text2"/>
          <w:sz w:val="22"/>
          <w:szCs w:val="22"/>
        </w:rPr>
      </w:pPr>
      <w:r w:rsidRPr="005C5713">
        <w:rPr>
          <w:rFonts w:eastAsia="Calibri Light"/>
          <w:b/>
          <w:bCs/>
          <w:color w:val="000000" w:themeColor="text2"/>
          <w:sz w:val="22"/>
          <w:szCs w:val="22"/>
          <w:lang w:val="en-GB"/>
        </w:rPr>
        <w:t xml:space="preserve">Stakeholder interviews/ Field Mission: </w:t>
      </w:r>
      <w:r w:rsidRPr="005C5713">
        <w:rPr>
          <w:rFonts w:eastAsia="Calibri Light"/>
          <w:color w:val="000000" w:themeColor="text2"/>
          <w:sz w:val="22"/>
          <w:szCs w:val="22"/>
          <w:lang w:val="en-GB"/>
        </w:rPr>
        <w:t>The MTR Review Team will be required to conduct a field mission to Vietnam to meet AVETP, PIDG representatives, beneficiaries and other stakeholders. </w:t>
      </w:r>
    </w:p>
    <w:p w14:paraId="5361991E" w14:textId="77777777" w:rsidR="00191821" w:rsidRPr="005C5713" w:rsidRDefault="00191821" w:rsidP="00400371">
      <w:pPr>
        <w:pStyle w:val="ListBullet"/>
        <w:ind w:left="680" w:hanging="396"/>
        <w:rPr>
          <w:rFonts w:eastAsia="Calibri Light"/>
          <w:color w:val="000000" w:themeColor="text2"/>
          <w:sz w:val="22"/>
          <w:szCs w:val="22"/>
        </w:rPr>
      </w:pPr>
      <w:r w:rsidRPr="005C5713">
        <w:rPr>
          <w:rFonts w:eastAsia="Calibri Light"/>
          <w:color w:val="000000" w:themeColor="text2"/>
          <w:sz w:val="22"/>
          <w:szCs w:val="22"/>
          <w:lang w:val="en-GB"/>
        </w:rPr>
        <w:t>The MTR Review Team will need to complete a schedule for stakeholder interviews and field missions at least 15 workdays prior to their commencement so that DFAT can make necessary arrangements. The schedule will include all interviews, a summary including purpose, key questions/areas, data requested, expected duration, interviewees. It will be essential for PIDG to arrange meetings with beneficiaries. An interpreter may be engaged to support meetings during the field mission (if required). Meeting with some stakeholders including PIDG may be conducted virtually noting PIDG representatives are geographically dispersed.    </w:t>
      </w:r>
    </w:p>
    <w:p w14:paraId="623BFD52" w14:textId="77777777" w:rsidR="00191821" w:rsidRPr="005C5713" w:rsidRDefault="00191821" w:rsidP="00400371">
      <w:pPr>
        <w:pStyle w:val="ListBullet"/>
        <w:ind w:left="680" w:hanging="396"/>
        <w:rPr>
          <w:rFonts w:eastAsia="Calibri Light"/>
          <w:color w:val="000000" w:themeColor="text2"/>
          <w:sz w:val="22"/>
          <w:szCs w:val="22"/>
        </w:rPr>
      </w:pPr>
      <w:r w:rsidRPr="005C5713">
        <w:rPr>
          <w:rFonts w:eastAsia="Calibri Light"/>
          <w:color w:val="000000" w:themeColor="text2"/>
          <w:sz w:val="22"/>
          <w:szCs w:val="22"/>
          <w:lang w:val="en-GB"/>
        </w:rPr>
        <w:t>At the conclusion of the mission, there will be a debrief session with DFAT to discuss emerging findings and test assumptions. </w:t>
      </w:r>
    </w:p>
    <w:p w14:paraId="3272226F" w14:textId="77777777" w:rsidR="00191821" w:rsidRPr="005C5713" w:rsidRDefault="00191821" w:rsidP="00400371">
      <w:pPr>
        <w:pStyle w:val="ListBullet"/>
        <w:ind w:left="680" w:hanging="396"/>
        <w:rPr>
          <w:rFonts w:eastAsia="Calibri Light"/>
          <w:color w:val="000000" w:themeColor="text2"/>
          <w:sz w:val="22"/>
          <w:szCs w:val="22"/>
        </w:rPr>
      </w:pPr>
      <w:r w:rsidRPr="005C5713">
        <w:rPr>
          <w:rFonts w:eastAsia="Calibri Light"/>
          <w:b/>
          <w:bCs/>
          <w:color w:val="000000" w:themeColor="text2"/>
          <w:sz w:val="22"/>
          <w:szCs w:val="22"/>
        </w:rPr>
        <w:t xml:space="preserve">Draft MTR and Executive Summary: </w:t>
      </w:r>
      <w:r w:rsidRPr="005C5713">
        <w:rPr>
          <w:rFonts w:eastAsia="Calibri Light"/>
          <w:color w:val="000000" w:themeColor="text2"/>
          <w:sz w:val="22"/>
          <w:szCs w:val="22"/>
          <w:lang w:val="en-GB"/>
        </w:rPr>
        <w:t>A draft Review Report and Executive Summary should be shared with DFAT by December 2025. The Review Report will include an executive summary (up to two pages), evaluation objectives, theory of change, methodology, findings/recommendations for each of the evaluation questions, and lessons learnt. Annexes should include the TOR, an evaluation matrix, and a list of interviews and sources of evidence.</w:t>
      </w:r>
      <w:r w:rsidRPr="005C5713">
        <w:rPr>
          <w:rFonts w:eastAsia="Calibri Light"/>
          <w:b/>
          <w:bCs/>
          <w:color w:val="000000" w:themeColor="text2"/>
          <w:sz w:val="22"/>
          <w:szCs w:val="22"/>
        </w:rPr>
        <w:t> </w:t>
      </w:r>
    </w:p>
    <w:p w14:paraId="5F9FC886" w14:textId="77777777" w:rsidR="00191821" w:rsidRPr="005C5713" w:rsidRDefault="00191821" w:rsidP="00400371">
      <w:pPr>
        <w:pStyle w:val="ListBullet"/>
        <w:spacing w:before="0" w:after="0"/>
        <w:ind w:left="691" w:hanging="403"/>
        <w:rPr>
          <w:rFonts w:eastAsia="Calibri Light"/>
          <w:color w:val="000000" w:themeColor="text2"/>
          <w:sz w:val="22"/>
          <w:szCs w:val="22"/>
        </w:rPr>
      </w:pPr>
      <w:r w:rsidRPr="005C5713">
        <w:rPr>
          <w:rFonts w:eastAsia="Calibri Light"/>
          <w:b/>
          <w:bCs/>
          <w:color w:val="000000" w:themeColor="text2"/>
          <w:sz w:val="22"/>
          <w:szCs w:val="22"/>
        </w:rPr>
        <w:t>Final MTR and Executive Summary:</w:t>
      </w:r>
      <w:r w:rsidRPr="005C5713">
        <w:rPr>
          <w:rFonts w:eastAsia="Calibri Light"/>
          <w:color w:val="000000" w:themeColor="text2"/>
          <w:sz w:val="22"/>
          <w:szCs w:val="22"/>
        </w:rPr>
        <w:t xml:space="preserve"> </w:t>
      </w:r>
      <w:r w:rsidRPr="005C5713">
        <w:rPr>
          <w:rFonts w:eastAsia="Calibri Light"/>
          <w:color w:val="000000" w:themeColor="text2"/>
          <w:sz w:val="22"/>
          <w:szCs w:val="22"/>
          <w:lang w:val="en-GB"/>
        </w:rPr>
        <w:t>The Final Report should meet the </w:t>
      </w:r>
      <w:hyperlink r:id="rId21">
        <w:r w:rsidRPr="005C5713">
          <w:rPr>
            <w:rStyle w:val="Hyperlink"/>
            <w:rFonts w:eastAsia="Calibri Light"/>
            <w:color w:val="000000" w:themeColor="text2"/>
            <w:sz w:val="22"/>
            <w:szCs w:val="22"/>
            <w:lang w:val="en-GB"/>
          </w:rPr>
          <w:t>DFAT’s </w:t>
        </w:r>
        <w:r w:rsidRPr="005C5713">
          <w:rPr>
            <w:rStyle w:val="Hyperlink"/>
            <w:rFonts w:eastAsia="Calibri Light"/>
            <w:i/>
            <w:iCs/>
            <w:color w:val="000000" w:themeColor="text2"/>
            <w:sz w:val="22"/>
            <w:szCs w:val="22"/>
            <w:lang w:val="en-GB"/>
          </w:rPr>
          <w:t>Design and Monitoring, Evaluation and Learning Standards (Standard 10)</w:t>
        </w:r>
      </w:hyperlink>
      <w:r w:rsidRPr="005C5713">
        <w:rPr>
          <w:rFonts w:eastAsia="Calibri Light"/>
          <w:i/>
          <w:iCs/>
          <w:color w:val="000000" w:themeColor="text2"/>
          <w:sz w:val="22"/>
          <w:szCs w:val="22"/>
          <w:lang w:val="en-GB"/>
        </w:rPr>
        <w:t> </w:t>
      </w:r>
      <w:r w:rsidRPr="005C5713">
        <w:rPr>
          <w:rFonts w:eastAsia="Calibri Light"/>
          <w:color w:val="000000" w:themeColor="text2"/>
          <w:sz w:val="22"/>
          <w:szCs w:val="22"/>
          <w:lang w:val="en-GB"/>
        </w:rPr>
        <w:t>and requirements for publishing including accessibility. The report should be a useful, clear and concise summary of the review findings, implications and recommendations. The report should:</w:t>
      </w:r>
      <w:r w:rsidRPr="005C5713">
        <w:rPr>
          <w:rFonts w:eastAsia="Calibri Light"/>
          <w:color w:val="000000" w:themeColor="text2"/>
          <w:sz w:val="22"/>
          <w:szCs w:val="22"/>
          <w:lang w:val="en-US"/>
        </w:rPr>
        <w:t> </w:t>
      </w:r>
    </w:p>
    <w:p w14:paraId="0FDCB278"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lang w:val="en-GB"/>
        </w:rPr>
        <w:t>include a succinct and clear executive summary;</w:t>
      </w:r>
      <w:r w:rsidRPr="005C5713">
        <w:rPr>
          <w:rFonts w:eastAsia="Calibri Light"/>
          <w:color w:val="000000" w:themeColor="text2"/>
          <w:sz w:val="22"/>
          <w:szCs w:val="22"/>
          <w:lang w:val="en-US"/>
        </w:rPr>
        <w:t> </w:t>
      </w:r>
    </w:p>
    <w:p w14:paraId="20B76DC0"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lang w:val="en-GB"/>
        </w:rPr>
        <w:t>be written in plain English that can be read as a stand-alone document;</w:t>
      </w:r>
      <w:r w:rsidRPr="005C5713">
        <w:rPr>
          <w:rFonts w:eastAsia="Calibri Light"/>
          <w:color w:val="000000" w:themeColor="text2"/>
          <w:sz w:val="22"/>
          <w:szCs w:val="22"/>
          <w:lang w:val="en-US"/>
        </w:rPr>
        <w:t> </w:t>
      </w:r>
    </w:p>
    <w:p w14:paraId="37FA3585"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lang w:val="en-GB"/>
        </w:rPr>
        <w:t>clearly present key achievements and challenges;</w:t>
      </w:r>
      <w:r w:rsidRPr="005C5713">
        <w:rPr>
          <w:rFonts w:eastAsia="Calibri Light"/>
          <w:color w:val="000000" w:themeColor="text2"/>
          <w:sz w:val="22"/>
          <w:szCs w:val="22"/>
          <w:lang w:val="en-US"/>
        </w:rPr>
        <w:t> </w:t>
      </w:r>
    </w:p>
    <w:p w14:paraId="14E3EFD5"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lang w:val="en-GB"/>
        </w:rPr>
        <w:t>be evidence-based; and</w:t>
      </w:r>
      <w:r w:rsidRPr="005C5713">
        <w:rPr>
          <w:rFonts w:eastAsia="Calibri Light"/>
          <w:color w:val="000000" w:themeColor="text2"/>
          <w:sz w:val="22"/>
          <w:szCs w:val="22"/>
          <w:lang w:val="en-US"/>
        </w:rPr>
        <w:t> </w:t>
      </w:r>
    </w:p>
    <w:p w14:paraId="077480EB"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lang w:val="en-GB"/>
        </w:rPr>
        <w:t>present a limited number of feasible recommendations.  </w:t>
      </w:r>
      <w:r w:rsidRPr="005C5713">
        <w:rPr>
          <w:rFonts w:eastAsia="Calibri Light"/>
          <w:color w:val="000000" w:themeColor="text2"/>
          <w:sz w:val="22"/>
          <w:szCs w:val="22"/>
          <w:lang w:val="en-US"/>
        </w:rPr>
        <w:t> </w:t>
      </w:r>
    </w:p>
    <w:p w14:paraId="1B82763D" w14:textId="77777777" w:rsidR="00191821" w:rsidRPr="005C5713" w:rsidRDefault="00191821" w:rsidP="00400371">
      <w:pPr>
        <w:pStyle w:val="ListBullet"/>
        <w:ind w:left="720" w:hanging="396"/>
        <w:rPr>
          <w:rFonts w:eastAsia="Calibri Light"/>
          <w:color w:val="000000" w:themeColor="text2"/>
          <w:sz w:val="22"/>
          <w:szCs w:val="22"/>
        </w:rPr>
      </w:pPr>
      <w:r w:rsidRPr="005C5713">
        <w:rPr>
          <w:rFonts w:eastAsia="Calibri Light"/>
          <w:color w:val="000000" w:themeColor="text2"/>
          <w:sz w:val="22"/>
          <w:szCs w:val="22"/>
          <w:lang w:val="en-US"/>
        </w:rPr>
        <w:t>The final report will be published on the DFAT website and is required to meet accessibility requirements (</w:t>
      </w:r>
      <w:hyperlink r:id="rId22">
        <w:r w:rsidRPr="005C5713">
          <w:rPr>
            <w:rStyle w:val="Hyperlink"/>
            <w:rFonts w:eastAsia="Calibri Light"/>
            <w:color w:val="000000" w:themeColor="text2"/>
            <w:sz w:val="22"/>
            <w:szCs w:val="22"/>
            <w:lang w:val="en-US"/>
          </w:rPr>
          <w:t>Web Content Accessibility Guidelines (WCAG) 2.0</w:t>
        </w:r>
      </w:hyperlink>
      <w:r w:rsidRPr="005C5713">
        <w:rPr>
          <w:rFonts w:eastAsia="Calibri Light"/>
          <w:color w:val="000000" w:themeColor="text2"/>
          <w:sz w:val="22"/>
          <w:szCs w:val="22"/>
          <w:lang w:val="en-US"/>
        </w:rPr>
        <w:t>). The MTR Review Team is required to work closely with DFAT to frame any sensitivities and meet DFAT’s requirements for documents to meet website accessibility guidelines. </w:t>
      </w:r>
    </w:p>
    <w:p w14:paraId="76FEC4D8" w14:textId="77777777" w:rsidR="00191821" w:rsidRPr="005C5713" w:rsidRDefault="00191821" w:rsidP="00400371">
      <w:pPr>
        <w:pStyle w:val="ListBullet"/>
        <w:ind w:left="720" w:hanging="396"/>
        <w:rPr>
          <w:rFonts w:eastAsia="Calibri Light"/>
          <w:color w:val="000000" w:themeColor="text2"/>
          <w:sz w:val="22"/>
          <w:szCs w:val="22"/>
        </w:rPr>
      </w:pPr>
      <w:r w:rsidRPr="005C5713">
        <w:rPr>
          <w:rFonts w:eastAsia="Calibri Light"/>
          <w:color w:val="000000" w:themeColor="text2"/>
          <w:sz w:val="22"/>
          <w:szCs w:val="22"/>
          <w:lang w:val="en-US"/>
        </w:rPr>
        <w:t>The MTR Review Team must submit the draft report to DFAT Hanoi team with at least 10 working days for providing comments and feedback. PIDG will be provided with an opportunity to comment on the draft report. The MTR Review Team will be provided with at least five working days to incorporate feedback on the draft. </w:t>
      </w:r>
    </w:p>
    <w:p w14:paraId="26D285A3" w14:textId="77777777" w:rsidR="00191821" w:rsidRPr="005C5713" w:rsidRDefault="00191821" w:rsidP="00400371">
      <w:pPr>
        <w:pStyle w:val="ListBullet"/>
        <w:ind w:left="720" w:hanging="396"/>
        <w:rPr>
          <w:rFonts w:eastAsia="Calibri Light"/>
          <w:color w:val="000000" w:themeColor="text2"/>
          <w:sz w:val="22"/>
          <w:szCs w:val="22"/>
        </w:rPr>
      </w:pPr>
      <w:r w:rsidRPr="005C5713">
        <w:rPr>
          <w:rFonts w:eastAsia="Calibri Light"/>
          <w:color w:val="000000" w:themeColor="text2"/>
          <w:sz w:val="22"/>
          <w:szCs w:val="22"/>
          <w:lang w:val="en-US"/>
        </w:rPr>
        <w:t>The allocation of days for review team members will be determined in consultation with the Team Leader during contract negotiations. </w:t>
      </w:r>
    </w:p>
    <w:p w14:paraId="755D78BB" w14:textId="77777777" w:rsidR="00191821" w:rsidRPr="005C5713" w:rsidRDefault="00191821" w:rsidP="00400371">
      <w:pPr>
        <w:rPr>
          <w:rFonts w:asciiTheme="minorHAnsi" w:hAnsiTheme="minorHAnsi" w:cstheme="minorHAnsi"/>
          <w:b/>
          <w:bCs/>
          <w:color w:val="000000" w:themeColor="text2"/>
          <w:sz w:val="22"/>
          <w:szCs w:val="22"/>
        </w:rPr>
      </w:pPr>
      <w:r w:rsidRPr="005C5713">
        <w:rPr>
          <w:rFonts w:asciiTheme="minorHAnsi" w:hAnsiTheme="minorHAnsi" w:cstheme="minorHAnsi"/>
          <w:b/>
          <w:bCs/>
          <w:color w:val="000000" w:themeColor="text2"/>
          <w:sz w:val="22"/>
          <w:szCs w:val="22"/>
        </w:rPr>
        <w:t>Roles and Responsibilities</w:t>
      </w:r>
    </w:p>
    <w:p w14:paraId="1DED98D2" w14:textId="77777777" w:rsidR="00191821" w:rsidRPr="005C5713" w:rsidRDefault="00191821" w:rsidP="00400371">
      <w:pPr>
        <w:pStyle w:val="ListBullet"/>
        <w:spacing w:after="0"/>
        <w:ind w:left="680" w:hanging="396"/>
        <w:rPr>
          <w:rFonts w:eastAsia="Calibri Light"/>
          <w:color w:val="000000" w:themeColor="text2"/>
          <w:sz w:val="22"/>
          <w:szCs w:val="22"/>
        </w:rPr>
      </w:pPr>
      <w:r w:rsidRPr="005C5713">
        <w:rPr>
          <w:rFonts w:eastAsia="Calibri Light"/>
          <w:color w:val="000000" w:themeColor="text2"/>
          <w:sz w:val="22"/>
          <w:szCs w:val="22"/>
          <w:lang w:val="en-US"/>
        </w:rPr>
        <w:t>An</w:t>
      </w:r>
      <w:r w:rsidRPr="005C5713">
        <w:rPr>
          <w:rFonts w:eastAsia="Calibri Light"/>
          <w:color w:val="000000" w:themeColor="text2"/>
          <w:sz w:val="22"/>
          <w:szCs w:val="22"/>
          <w:lang w:val="en-GB"/>
        </w:rPr>
        <w:t xml:space="preserve"> AVETP MTR</w:t>
      </w:r>
      <w:r w:rsidRPr="005C5713">
        <w:rPr>
          <w:rFonts w:eastAsia="Calibri Light"/>
          <w:color w:val="000000" w:themeColor="text2"/>
          <w:sz w:val="22"/>
          <w:szCs w:val="22"/>
          <w:lang w:val="en-US"/>
        </w:rPr>
        <w:t xml:space="preserve"> team will be contracted by CRCSU from the CRC technical panels.  These positions include:</w:t>
      </w:r>
    </w:p>
    <w:p w14:paraId="3F0C5F92" w14:textId="77777777" w:rsidR="00191821" w:rsidRPr="005C5713" w:rsidRDefault="00191821" w:rsidP="00400371">
      <w:pPr>
        <w:pStyle w:val="ListBullet"/>
        <w:ind w:left="680" w:hanging="396"/>
        <w:rPr>
          <w:rFonts w:eastAsia="Calibri Light"/>
          <w:color w:val="000000" w:themeColor="text2"/>
          <w:sz w:val="22"/>
          <w:szCs w:val="22"/>
        </w:rPr>
      </w:pPr>
      <w:r w:rsidRPr="005C5713">
        <w:rPr>
          <w:rFonts w:eastAsia="Calibri Light"/>
          <w:color w:val="000000" w:themeColor="text2"/>
          <w:sz w:val="22"/>
          <w:szCs w:val="22"/>
          <w:lang w:val="en-US"/>
        </w:rPr>
        <w:t>Team Leader</w:t>
      </w:r>
    </w:p>
    <w:p w14:paraId="58BB2F1E" w14:textId="77777777" w:rsidR="00191821" w:rsidRPr="005C5713" w:rsidRDefault="00191821" w:rsidP="00400371">
      <w:pPr>
        <w:pStyle w:val="ListBullet"/>
        <w:spacing w:line="259" w:lineRule="auto"/>
        <w:ind w:left="680" w:hanging="396"/>
        <w:rPr>
          <w:rFonts w:eastAsia="Calibri Light"/>
          <w:color w:val="000000" w:themeColor="text2"/>
          <w:sz w:val="22"/>
          <w:szCs w:val="22"/>
        </w:rPr>
      </w:pPr>
      <w:r w:rsidRPr="005C5713">
        <w:rPr>
          <w:rFonts w:eastAsia="Calibri Light"/>
          <w:color w:val="000000" w:themeColor="text2"/>
          <w:sz w:val="22"/>
          <w:szCs w:val="22"/>
          <w:lang w:val="en-US"/>
        </w:rPr>
        <w:t xml:space="preserve">Climate Change Specialist </w:t>
      </w:r>
    </w:p>
    <w:p w14:paraId="200B6BE4" w14:textId="77777777" w:rsidR="00191821" w:rsidRPr="005C5713" w:rsidRDefault="00191821" w:rsidP="00400371">
      <w:pPr>
        <w:pStyle w:val="ListBullet"/>
        <w:spacing w:line="259" w:lineRule="auto"/>
        <w:ind w:left="680" w:hanging="396"/>
        <w:rPr>
          <w:rFonts w:eastAsia="Calibri Light"/>
          <w:color w:val="000000" w:themeColor="text2"/>
          <w:sz w:val="22"/>
          <w:szCs w:val="22"/>
        </w:rPr>
      </w:pPr>
      <w:r w:rsidRPr="005C5713">
        <w:rPr>
          <w:rFonts w:eastAsia="Calibri Light"/>
          <w:color w:val="000000" w:themeColor="text2"/>
          <w:sz w:val="22"/>
          <w:szCs w:val="22"/>
          <w:lang w:val="en-US"/>
        </w:rPr>
        <w:t>GEDSI Adviser.</w:t>
      </w:r>
    </w:p>
    <w:p w14:paraId="5CE6810C" w14:textId="6B5CC765" w:rsidR="00191821" w:rsidRPr="005C5713" w:rsidRDefault="00191821" w:rsidP="00FA6C7D">
      <w:pPr>
        <w:pStyle w:val="ListParagraph"/>
        <w:ind w:left="1080"/>
        <w:rPr>
          <w:rFonts w:eastAsia="Calibri Light"/>
          <w:i/>
          <w:iCs/>
          <w:color w:val="000000" w:themeColor="text2"/>
          <w:sz w:val="22"/>
          <w:szCs w:val="22"/>
        </w:rPr>
      </w:pPr>
      <w:r w:rsidRPr="005C5713">
        <w:rPr>
          <w:rFonts w:eastAsia="Calibri Light"/>
          <w:i/>
          <w:iCs/>
          <w:color w:val="000000" w:themeColor="text2"/>
          <w:sz w:val="22"/>
          <w:szCs w:val="22"/>
        </w:rPr>
        <w:t>Note: Best endeavours will be made to contract a national consultant, supporting DFAT Locally Led Development Guidelines</w:t>
      </w:r>
      <w:r w:rsidRPr="005C5713">
        <w:rPr>
          <w:rFonts w:eastAsia="Calibri Light"/>
          <w:b/>
          <w:bCs/>
          <w:i/>
          <w:iCs/>
          <w:color w:val="000000" w:themeColor="text2"/>
          <w:sz w:val="22"/>
          <w:szCs w:val="22"/>
        </w:rPr>
        <w:t xml:space="preserve">. </w:t>
      </w:r>
    </w:p>
    <w:p w14:paraId="11F19EC6"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b/>
          <w:bCs/>
          <w:color w:val="000000" w:themeColor="text2"/>
          <w:sz w:val="22"/>
          <w:szCs w:val="22"/>
        </w:rPr>
        <w:t>Team Leader</w:t>
      </w:r>
    </w:p>
    <w:p w14:paraId="7D64DD9B" w14:textId="77777777" w:rsidR="00191821" w:rsidRPr="005C5713" w:rsidRDefault="00191821" w:rsidP="00400371">
      <w:pPr>
        <w:pStyle w:val="ListParagraph"/>
        <w:ind w:left="360"/>
        <w:rPr>
          <w:rFonts w:eastAsia="Calibri Light"/>
          <w:color w:val="000000" w:themeColor="text2"/>
          <w:sz w:val="22"/>
          <w:szCs w:val="22"/>
        </w:rPr>
      </w:pPr>
      <w:r w:rsidRPr="005C5713">
        <w:rPr>
          <w:rFonts w:eastAsia="Calibri Light"/>
          <w:color w:val="000000" w:themeColor="text2"/>
          <w:sz w:val="22"/>
          <w:szCs w:val="22"/>
          <w:lang w:val="en-US"/>
        </w:rPr>
        <w:t xml:space="preserve">The Team Leader will be </w:t>
      </w:r>
      <w:r w:rsidRPr="005C5713">
        <w:rPr>
          <w:rFonts w:eastAsia="Calibri Light"/>
          <w:color w:val="000000" w:themeColor="text2"/>
          <w:sz w:val="22"/>
          <w:szCs w:val="22"/>
        </w:rPr>
        <w:t>primarily responsible for the:</w:t>
      </w:r>
      <w:r w:rsidRPr="005C5713">
        <w:rPr>
          <w:rFonts w:eastAsia="Calibri Light"/>
          <w:color w:val="000000" w:themeColor="text2"/>
          <w:sz w:val="22"/>
          <w:szCs w:val="22"/>
          <w:lang w:val="en-US"/>
        </w:rPr>
        <w:t xml:space="preserve"> </w:t>
      </w:r>
    </w:p>
    <w:p w14:paraId="21966EAF" w14:textId="77777777" w:rsidR="00191821" w:rsidRPr="005C5713" w:rsidRDefault="00191821" w:rsidP="00400371">
      <w:pPr>
        <w:pStyle w:val="ListBullet"/>
        <w:spacing w:before="0" w:after="0" w:line="259" w:lineRule="auto"/>
        <w:ind w:left="680" w:hanging="396"/>
        <w:rPr>
          <w:rFonts w:eastAsia="Calibri Light"/>
          <w:color w:val="000000" w:themeColor="text2"/>
          <w:sz w:val="22"/>
          <w:szCs w:val="22"/>
        </w:rPr>
      </w:pPr>
      <w:r w:rsidRPr="005C5713">
        <w:rPr>
          <w:rFonts w:eastAsia="Calibri Light"/>
          <w:color w:val="000000" w:themeColor="text2"/>
          <w:sz w:val="22"/>
          <w:szCs w:val="22"/>
        </w:rPr>
        <w:t>Development and drafting of the review plan, draft report, and finalisation of the report (lead author).</w:t>
      </w:r>
    </w:p>
    <w:p w14:paraId="2320EE4B"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Co-ordination and facilitation of the MTR field mission.</w:t>
      </w:r>
    </w:p>
    <w:p w14:paraId="416267FF"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Focal point for communication with DFAT Hanoi on issues related to the development and finalisation of the deliverables.</w:t>
      </w:r>
    </w:p>
    <w:p w14:paraId="773C76AD"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lastRenderedPageBreak/>
        <w:t xml:space="preserve">Quality assurance of all deliverables in line with the scope of services (including governance and management issues), ensuring application of DFAT policies and guidance as appropriate, and the utilisation of best practice principles in aid management. </w:t>
      </w:r>
    </w:p>
    <w:p w14:paraId="65A1D144"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 xml:space="preserve">Ensure updates made based on feedback and review from the CRCSU and Post. </w:t>
      </w:r>
    </w:p>
    <w:p w14:paraId="154CE802" w14:textId="1933C97D" w:rsidR="00191821" w:rsidRPr="005C5713" w:rsidRDefault="00191821" w:rsidP="00FA6C7D">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 xml:space="preserve">Engage with the CRCSU, DFAT Climate Integration and Programming and Post for initial briefing, task oversight and direction at key points and debrief at task conclusion. </w:t>
      </w:r>
    </w:p>
    <w:p w14:paraId="426D5BAF" w14:textId="77777777" w:rsidR="00191821" w:rsidRPr="005C5713" w:rsidRDefault="00191821" w:rsidP="00400371">
      <w:pPr>
        <w:pStyle w:val="ListBullet"/>
        <w:numPr>
          <w:ilvl w:val="0"/>
          <w:numId w:val="0"/>
        </w:numPr>
        <w:ind w:left="360"/>
        <w:rPr>
          <w:rFonts w:eastAsia="Calibri Light"/>
          <w:color w:val="000000" w:themeColor="text2"/>
          <w:sz w:val="22"/>
          <w:szCs w:val="22"/>
        </w:rPr>
      </w:pPr>
      <w:r w:rsidRPr="005C5713">
        <w:rPr>
          <w:rFonts w:eastAsia="Calibri Light"/>
          <w:color w:val="000000" w:themeColor="text2"/>
          <w:sz w:val="22"/>
          <w:szCs w:val="22"/>
        </w:rPr>
        <w:t>Experience required:</w:t>
      </w:r>
    </w:p>
    <w:p w14:paraId="786322EF"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lang w:val="en-US"/>
        </w:rPr>
        <w:t>Demonstrated experience in leading evaluation teams.</w:t>
      </w:r>
    </w:p>
    <w:p w14:paraId="0E402D47"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lang w:val="en-US"/>
        </w:rPr>
        <w:t xml:space="preserve">Experience delivering and/or evaluating Australian-funded development programs. </w:t>
      </w:r>
    </w:p>
    <w:p w14:paraId="4F15B969"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lang w:val="en-US"/>
        </w:rPr>
        <w:t>Excellent writing, liaison, analytical skills.</w:t>
      </w:r>
    </w:p>
    <w:p w14:paraId="0F76C8F7"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lang w:val="en-US"/>
        </w:rPr>
        <w:t>Sound understanding and expertise in development effectiveness.</w:t>
      </w:r>
    </w:p>
    <w:p w14:paraId="5B085AB6"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 xml:space="preserve">Bachelor’s degree or higher in social sciences, development or related fields. </w:t>
      </w:r>
    </w:p>
    <w:p w14:paraId="6A8CCDAF"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At least 10 years demonstrated experience in evaluating development programs using mixed methods (quantitative and qualitative).</w:t>
      </w:r>
      <w:r w:rsidRPr="005C5713">
        <w:rPr>
          <w:rFonts w:eastAsia="Calibri Light"/>
          <w:i/>
          <w:iCs/>
          <w:color w:val="000000" w:themeColor="text2"/>
          <w:sz w:val="22"/>
          <w:szCs w:val="22"/>
        </w:rPr>
        <w:t xml:space="preserve"> </w:t>
      </w:r>
    </w:p>
    <w:p w14:paraId="36BB9D0C"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Familiarity with the socio-political and economic context of Vietnam.</w:t>
      </w:r>
    </w:p>
    <w:p w14:paraId="5684B378"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lang w:val="en-US"/>
        </w:rPr>
        <w:t>Experience in assessing development programs in Southeast Asia (ideally in Vietnam).</w:t>
      </w:r>
    </w:p>
    <w:p w14:paraId="3BE5E1D4"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Experience using and reporting to donor MEL systems and standards.</w:t>
      </w:r>
    </w:p>
    <w:p w14:paraId="7D1556AE"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Demonstrated skills and experience in applying Program logic/theory of change in a practical way that is appropriate, relevant and easily understood by stakeholders.</w:t>
      </w:r>
    </w:p>
    <w:p w14:paraId="36AB5B28"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High level communication (written and verbal) skills.</w:t>
      </w:r>
    </w:p>
    <w:p w14:paraId="66D4D071"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 xml:space="preserve">Ability and self-initiative to carry out assigned tasks in a team under minimal supervision as well as an individual on a specific assignment. </w:t>
      </w:r>
    </w:p>
    <w:p w14:paraId="0D4D60C3"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Proficiency with MS Programs and/or collaboration software.</w:t>
      </w:r>
    </w:p>
    <w:p w14:paraId="545AFD58" w14:textId="77777777" w:rsidR="00191821" w:rsidRPr="005C5713" w:rsidRDefault="00191821" w:rsidP="008F723E">
      <w:pPr>
        <w:spacing w:before="240"/>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b/>
          <w:bCs/>
          <w:color w:val="000000" w:themeColor="text2"/>
          <w:sz w:val="22"/>
          <w:szCs w:val="22"/>
        </w:rPr>
        <w:t>Climate Change Specialist</w:t>
      </w:r>
    </w:p>
    <w:p w14:paraId="41B5F295"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The Climate Change Specialist will undertake the following duties:</w:t>
      </w:r>
    </w:p>
    <w:p w14:paraId="7C282141"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Assist in the development and drafting of the Deliverables</w:t>
      </w:r>
    </w:p>
    <w:p w14:paraId="2A90C6BB"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 xml:space="preserve">Provide specialist support and inputs to the consultations, plan workshops/meetings, for the Deliverables with specific regard to Climate and Disaster risk and resilience including climate adaptation, climate mitigation and disaster risk reduction. </w:t>
      </w:r>
    </w:p>
    <w:p w14:paraId="0F24C10A"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Engage in the Australian and in-country consultations in Vietnam</w:t>
      </w:r>
    </w:p>
    <w:p w14:paraId="100E4C97"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 xml:space="preserve">Engage with the CRCSU, DFAT Climate Integration and Programming and Post for initial briefing, task oversight and direction at key points and debrief at task conclusion. </w:t>
      </w:r>
    </w:p>
    <w:p w14:paraId="142CAE00" w14:textId="0A2D54F9" w:rsidR="00191821" w:rsidRPr="005C5713" w:rsidRDefault="00191821" w:rsidP="00FA6C7D">
      <w:pPr>
        <w:pStyle w:val="ListBullet"/>
        <w:spacing w:before="0" w:after="0" w:line="259" w:lineRule="auto"/>
        <w:ind w:left="680" w:hanging="396"/>
        <w:rPr>
          <w:rFonts w:eastAsia="Calibri Light"/>
          <w:color w:val="000000" w:themeColor="text2"/>
          <w:sz w:val="22"/>
          <w:szCs w:val="22"/>
        </w:rPr>
      </w:pPr>
      <w:r w:rsidRPr="005C5713">
        <w:rPr>
          <w:rFonts w:eastAsia="Calibri Light"/>
          <w:color w:val="000000" w:themeColor="text2"/>
          <w:sz w:val="22"/>
          <w:szCs w:val="22"/>
        </w:rPr>
        <w:t xml:space="preserve">Follow the directions of the team leader in support of the Deliverables and address feedback provided by CRCSU and Post.  </w:t>
      </w:r>
    </w:p>
    <w:p w14:paraId="111BF29F" w14:textId="77777777" w:rsidR="00191821" w:rsidRPr="005C5713" w:rsidRDefault="00191821" w:rsidP="00400371">
      <w:pPr>
        <w:pStyle w:val="ListBullet"/>
        <w:numPr>
          <w:ilvl w:val="0"/>
          <w:numId w:val="0"/>
        </w:numPr>
        <w:spacing w:after="0" w:line="259" w:lineRule="auto"/>
        <w:rPr>
          <w:rFonts w:eastAsia="Calibri Light"/>
          <w:color w:val="000000" w:themeColor="text2"/>
          <w:sz w:val="22"/>
          <w:szCs w:val="22"/>
        </w:rPr>
      </w:pPr>
      <w:r w:rsidRPr="005C5713">
        <w:rPr>
          <w:rFonts w:eastAsia="Calibri Light"/>
          <w:color w:val="000000" w:themeColor="text2"/>
          <w:sz w:val="22"/>
          <w:szCs w:val="22"/>
        </w:rPr>
        <w:t>Experience required:</w:t>
      </w:r>
    </w:p>
    <w:p w14:paraId="78376F36"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 xml:space="preserve">Bachelor’s degree or higher in social sciences, development or related fields. </w:t>
      </w:r>
    </w:p>
    <w:p w14:paraId="01B26654"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 xml:space="preserve">At least 10 years demonstrated experience in climate change (adaptation and mitigation) and building climate and disaster resilience including sectoral experience in the financial sector, private sector investment, renewable energy, sustainable infrastructure. </w:t>
      </w:r>
    </w:p>
    <w:p w14:paraId="340C53CC"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lang w:val="en-GB"/>
        </w:rPr>
        <w:t>Strong knowledge, understanding of blended finance mechanisms including sectoral experience in the financial sector, private sector investment, renewable energy, sustainable infrastructure.</w:t>
      </w:r>
    </w:p>
    <w:p w14:paraId="57F78430"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Demonstrated experience in contributing to evaluating development programs using mixed methods (quantitative and qualitative).</w:t>
      </w:r>
    </w:p>
    <w:p w14:paraId="4D97166E"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Familiarity with the socio-political and economic context of Vietnam.</w:t>
      </w:r>
    </w:p>
    <w:p w14:paraId="38445081"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Experience using and reporting to donor MEL systems and standards.</w:t>
      </w:r>
    </w:p>
    <w:p w14:paraId="2FD136D6"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Demonstrated skills and experience in applying Program logic/theory of change in a practical way that is appropriate, relevant and easily understood by stakeholders.</w:t>
      </w:r>
    </w:p>
    <w:p w14:paraId="08317EA5"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High level communication (written and verbal) skills.</w:t>
      </w:r>
    </w:p>
    <w:p w14:paraId="6DD43DAE"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 xml:space="preserve">Ability and self-initiative to carry out assigned tasks in a team under minimal supervision as well as an individual on a specific assignment. </w:t>
      </w:r>
    </w:p>
    <w:p w14:paraId="024F2FD4"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Proficiency with MS Programs and/or collaboration software.</w:t>
      </w:r>
    </w:p>
    <w:p w14:paraId="6C88A057" w14:textId="77777777" w:rsidR="00191821" w:rsidRPr="005C5713" w:rsidRDefault="00191821" w:rsidP="008F723E">
      <w:pPr>
        <w:spacing w:before="240"/>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b/>
          <w:bCs/>
          <w:color w:val="000000" w:themeColor="text2"/>
          <w:sz w:val="22"/>
          <w:szCs w:val="22"/>
        </w:rPr>
        <w:t>GEDSI Specialist</w:t>
      </w:r>
    </w:p>
    <w:p w14:paraId="507C1880" w14:textId="77777777" w:rsidR="00191821" w:rsidRPr="005C5713" w:rsidRDefault="00191821" w:rsidP="00400371">
      <w:pPr>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The GEDSI Specialist will undertake the following duties:</w:t>
      </w:r>
    </w:p>
    <w:p w14:paraId="43C4B9BF"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Assist in the development and drafting of the Deliverables.</w:t>
      </w:r>
    </w:p>
    <w:p w14:paraId="6D16A6A8" w14:textId="77777777" w:rsidR="00191821" w:rsidRPr="005C5713" w:rsidRDefault="00191821" w:rsidP="00400371">
      <w:pPr>
        <w:pStyle w:val="ListBullet"/>
        <w:spacing w:before="0" w:after="0" w:line="259" w:lineRule="auto"/>
        <w:ind w:left="680" w:hanging="396"/>
        <w:rPr>
          <w:rFonts w:eastAsia="Calibri Light"/>
          <w:color w:val="000000" w:themeColor="text2"/>
          <w:sz w:val="22"/>
          <w:szCs w:val="22"/>
        </w:rPr>
      </w:pPr>
      <w:r w:rsidRPr="005C5713">
        <w:rPr>
          <w:rFonts w:eastAsia="Calibri Light"/>
          <w:color w:val="000000" w:themeColor="text2"/>
          <w:sz w:val="22"/>
          <w:szCs w:val="22"/>
        </w:rPr>
        <w:lastRenderedPageBreak/>
        <w:t>Provide specialist support and inputs to the consultations, plan workshops/meetings, for the Deliverables with specific regard to ensuring that the needs of women, men, youth and people with a disability are addressed in the report.</w:t>
      </w:r>
    </w:p>
    <w:p w14:paraId="190465CF"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Engage in the Australian and in-country consultations in Vietnam.</w:t>
      </w:r>
    </w:p>
    <w:p w14:paraId="58C26388"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Lead on the development of the GEDSI situational analysis and strategy.</w:t>
      </w:r>
    </w:p>
    <w:p w14:paraId="34712E20"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Ensure integration of GEDSI is aligned with Australian aid and the Vietnam Government’s GEDSI priorities and commitments, as well as priorities drawn out through further consultations.</w:t>
      </w:r>
    </w:p>
    <w:p w14:paraId="750353AB"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 xml:space="preserve">Engage with the CRCSU, DFAT Climate Integration and Programming and Post for initial briefing, task oversight and direction at key points and debrief at task conclusion. </w:t>
      </w:r>
    </w:p>
    <w:p w14:paraId="1BADC35B"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Follow the directions of the team leader in support of the Deliverables and address feedback provided by CRCSU and Post.</w:t>
      </w:r>
    </w:p>
    <w:p w14:paraId="5EC767D6" w14:textId="77777777" w:rsidR="00191821" w:rsidRPr="005C5713" w:rsidRDefault="00191821" w:rsidP="008F723E">
      <w:pPr>
        <w:spacing w:before="240"/>
        <w:rPr>
          <w:rFonts w:asciiTheme="minorHAnsi" w:eastAsia="Calibri Light" w:hAnsiTheme="minorHAnsi" w:cstheme="minorHAnsi"/>
          <w:color w:val="000000" w:themeColor="text2"/>
          <w:sz w:val="22"/>
          <w:szCs w:val="22"/>
        </w:rPr>
      </w:pPr>
      <w:r w:rsidRPr="005C5713">
        <w:rPr>
          <w:rFonts w:asciiTheme="minorHAnsi" w:eastAsia="Calibri Light" w:hAnsiTheme="minorHAnsi" w:cstheme="minorHAnsi"/>
          <w:color w:val="000000" w:themeColor="text2"/>
          <w:sz w:val="22"/>
          <w:szCs w:val="22"/>
        </w:rPr>
        <w:t>Experience required:</w:t>
      </w:r>
    </w:p>
    <w:p w14:paraId="22E75D7A"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 xml:space="preserve">Bachelor’s degree or higher in social sciences, development or related fields. </w:t>
      </w:r>
    </w:p>
    <w:p w14:paraId="20F9D7E8"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Recognised technical capacity and relevant professional experience in the Indo-Pacific, with previous experience in Vietnam highly beneficial.</w:t>
      </w:r>
    </w:p>
    <w:p w14:paraId="2BDC96CE"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Familiarity with the socio-political and economic context of Vietnam.</w:t>
      </w:r>
    </w:p>
    <w:p w14:paraId="4892272A"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Experience using and reporting to donor MEL systems and standards.</w:t>
      </w:r>
    </w:p>
    <w:p w14:paraId="29F5574B"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lang w:val="en-US"/>
        </w:rPr>
        <w:t>Experience in reviewing the design and formulation of GEDSI analysis and strategies for DFAT programs/investments.</w:t>
      </w:r>
    </w:p>
    <w:p w14:paraId="44229457"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Experience in gender lens investing and/or leveraging investments to advance disability equity and social inclusion.</w:t>
      </w:r>
    </w:p>
    <w:p w14:paraId="7DA19B01"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High level communication (written and verbal) skills.</w:t>
      </w:r>
    </w:p>
    <w:p w14:paraId="3BC4678E"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 xml:space="preserve">Ability and self-initiative to carry out assigned tasks in a team under minimal supervision as well as an individual on a specific assignment. </w:t>
      </w:r>
    </w:p>
    <w:p w14:paraId="78C58587" w14:textId="77777777" w:rsidR="00191821" w:rsidRPr="005C5713" w:rsidRDefault="00191821" w:rsidP="00400371">
      <w:pPr>
        <w:pStyle w:val="ListBullet"/>
        <w:spacing w:before="0" w:after="0"/>
        <w:ind w:left="680" w:hanging="396"/>
        <w:rPr>
          <w:rFonts w:eastAsia="Calibri Light"/>
          <w:color w:val="000000" w:themeColor="text2"/>
          <w:sz w:val="22"/>
          <w:szCs w:val="22"/>
        </w:rPr>
      </w:pPr>
      <w:r w:rsidRPr="005C5713">
        <w:rPr>
          <w:rFonts w:eastAsia="Calibri Light"/>
          <w:color w:val="000000" w:themeColor="text2"/>
          <w:sz w:val="22"/>
          <w:szCs w:val="22"/>
        </w:rPr>
        <w:t xml:space="preserve">Proficiency with MS Programs and/or collaboration software. </w:t>
      </w:r>
    </w:p>
    <w:p w14:paraId="4CA08F2B" w14:textId="77777777" w:rsidR="00191821" w:rsidRPr="005C5713" w:rsidRDefault="00191821" w:rsidP="00400371">
      <w:pPr>
        <w:rPr>
          <w:rFonts w:asciiTheme="minorHAnsi" w:hAnsiTheme="minorHAnsi" w:cstheme="minorHAnsi"/>
          <w:b/>
          <w:bCs/>
          <w:color w:val="000000" w:themeColor="text2"/>
          <w:sz w:val="22"/>
          <w:szCs w:val="22"/>
        </w:rPr>
      </w:pPr>
      <w:r w:rsidRPr="005C5713">
        <w:rPr>
          <w:rFonts w:asciiTheme="minorHAnsi" w:hAnsiTheme="minorHAnsi" w:cstheme="minorHAnsi"/>
          <w:b/>
          <w:bCs/>
          <w:color w:val="000000" w:themeColor="text2"/>
          <w:sz w:val="22"/>
          <w:szCs w:val="22"/>
        </w:rPr>
        <w:t>Reporting Lines and Performance Management</w:t>
      </w:r>
    </w:p>
    <w:p w14:paraId="46A13984" w14:textId="77777777" w:rsidR="00191821" w:rsidRPr="005C5713" w:rsidRDefault="00191821" w:rsidP="00400371">
      <w:pPr>
        <w:pStyle w:val="BodyText"/>
        <w:rPr>
          <w:rFonts w:eastAsia="Calibri Light"/>
          <w:color w:val="000000" w:themeColor="text2"/>
          <w:sz w:val="22"/>
          <w:szCs w:val="22"/>
        </w:rPr>
      </w:pPr>
      <w:r w:rsidRPr="005C5713">
        <w:rPr>
          <w:rFonts w:eastAsia="Calibri Light"/>
          <w:color w:val="000000" w:themeColor="text2"/>
          <w:sz w:val="22"/>
          <w:szCs w:val="22"/>
        </w:rPr>
        <w:t>The AVETP MTR team will:</w:t>
      </w:r>
    </w:p>
    <w:p w14:paraId="32284F13" w14:textId="77777777" w:rsidR="00191821" w:rsidRPr="005C5713" w:rsidRDefault="00191821" w:rsidP="00400371">
      <w:pPr>
        <w:pStyle w:val="ListBullet"/>
        <w:spacing w:after="0"/>
        <w:ind w:left="680" w:hanging="396"/>
        <w:rPr>
          <w:rFonts w:eastAsia="Calibri Light"/>
          <w:color w:val="000000" w:themeColor="text2"/>
          <w:sz w:val="22"/>
          <w:szCs w:val="22"/>
        </w:rPr>
      </w:pPr>
      <w:r w:rsidRPr="005C5713">
        <w:rPr>
          <w:rFonts w:eastAsia="Calibri Light"/>
          <w:color w:val="000000" w:themeColor="text2"/>
          <w:sz w:val="22"/>
          <w:szCs w:val="22"/>
        </w:rPr>
        <w:t>Report to the CRCSU Panel Manager for administrative management; and</w:t>
      </w:r>
    </w:p>
    <w:p w14:paraId="1E9C1C17" w14:textId="617D8516" w:rsidR="00A27F28" w:rsidRPr="005C5713" w:rsidRDefault="00191821" w:rsidP="00400371">
      <w:pPr>
        <w:pStyle w:val="ListBullet"/>
        <w:spacing w:after="0"/>
        <w:ind w:left="680" w:hanging="396"/>
        <w:rPr>
          <w:rFonts w:eastAsia="Calibri Light"/>
          <w:color w:val="000000" w:themeColor="text2"/>
          <w:sz w:val="22"/>
          <w:szCs w:val="22"/>
        </w:rPr>
      </w:pPr>
      <w:r w:rsidRPr="005C5713">
        <w:rPr>
          <w:rFonts w:eastAsia="Calibri Light"/>
          <w:color w:val="000000" w:themeColor="text2"/>
          <w:sz w:val="22"/>
          <w:szCs w:val="22"/>
        </w:rPr>
        <w:t>Report to DFAT team at Hanoi Post for program management.</w:t>
      </w:r>
    </w:p>
    <w:sectPr w:rsidR="00A27F28" w:rsidRPr="005C5713" w:rsidSect="00E65ADE">
      <w:headerReference w:type="default" r:id="rId23"/>
      <w:type w:val="continuous"/>
      <w:pgSz w:w="11901" w:h="16840"/>
      <w:pgMar w:top="360" w:right="851" w:bottom="964" w:left="851" w:header="573" w:footer="55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39907" w14:textId="77777777" w:rsidR="00B72C4A" w:rsidRPr="00696389" w:rsidRDefault="00B72C4A" w:rsidP="00B757D4">
      <w:r w:rsidRPr="00696389">
        <w:separator/>
      </w:r>
    </w:p>
    <w:p w14:paraId="0CB283DA" w14:textId="77777777" w:rsidR="00B72C4A" w:rsidRPr="00696389" w:rsidRDefault="00B72C4A" w:rsidP="00B757D4"/>
    <w:p w14:paraId="377901A9" w14:textId="77777777" w:rsidR="00B72C4A" w:rsidRPr="00696389" w:rsidRDefault="00B72C4A" w:rsidP="00B757D4"/>
    <w:p w14:paraId="38418477" w14:textId="77777777" w:rsidR="00B72C4A" w:rsidRPr="00696389" w:rsidRDefault="00B72C4A" w:rsidP="00B757D4"/>
  </w:endnote>
  <w:endnote w:type="continuationSeparator" w:id="0">
    <w:p w14:paraId="07EE8868" w14:textId="77777777" w:rsidR="00B72C4A" w:rsidRPr="00696389" w:rsidRDefault="00B72C4A" w:rsidP="00B757D4">
      <w:r w:rsidRPr="00696389">
        <w:continuationSeparator/>
      </w:r>
    </w:p>
    <w:p w14:paraId="64F3AF28" w14:textId="77777777" w:rsidR="00B72C4A" w:rsidRPr="00696389" w:rsidRDefault="00B72C4A" w:rsidP="00B757D4"/>
    <w:p w14:paraId="73938644" w14:textId="77777777" w:rsidR="00B72C4A" w:rsidRPr="00696389" w:rsidRDefault="00B72C4A" w:rsidP="00B757D4"/>
    <w:p w14:paraId="7D92DEC1" w14:textId="77777777" w:rsidR="00B72C4A" w:rsidRPr="00696389" w:rsidRDefault="00B72C4A" w:rsidP="00B757D4"/>
  </w:endnote>
  <w:endnote w:type="continuationNotice" w:id="1">
    <w:p w14:paraId="5744E531" w14:textId="77777777" w:rsidR="00B72C4A" w:rsidRPr="00696389" w:rsidRDefault="00B72C4A" w:rsidP="00B757D4"/>
    <w:p w14:paraId="09197F7E" w14:textId="77777777" w:rsidR="00B72C4A" w:rsidRPr="00696389" w:rsidRDefault="00B72C4A" w:rsidP="00B757D4"/>
    <w:p w14:paraId="323CAD76" w14:textId="77777777" w:rsidR="00B72C4A" w:rsidRPr="00696389" w:rsidRDefault="00B72C4A" w:rsidP="00B757D4"/>
    <w:p w14:paraId="5CD7538B" w14:textId="77777777" w:rsidR="00B72C4A" w:rsidRPr="00696389" w:rsidRDefault="00B72C4A" w:rsidP="00B757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ource Sans Pro Bold">
    <w:altName w:val="Source Sans Pro"/>
    <w:charset w:val="00"/>
    <w:family w:val="roman"/>
    <w:pitch w:val="default"/>
  </w:font>
  <w:font w:name="Franklin Gothic Demi">
    <w:panose1 w:val="020B0703020102020204"/>
    <w:charset w:val="00"/>
    <w:family w:val="swiss"/>
    <w:pitch w:val="variable"/>
    <w:sig w:usb0="00000287" w:usb1="00000000" w:usb2="00000000" w:usb3="00000000" w:csb0="0000009F" w:csb1="00000000"/>
  </w:font>
  <w:font w:name="MingLiU">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webkit-standard">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5522761"/>
      <w:docPartObj>
        <w:docPartGallery w:val="Page Numbers (Bottom of Page)"/>
        <w:docPartUnique/>
      </w:docPartObj>
    </w:sdtPr>
    <w:sdtContent>
      <w:p w14:paraId="74715864" w14:textId="5AECA224" w:rsidR="00FD1E22" w:rsidRDefault="00FD1E22" w:rsidP="00FD1E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C916A20" w14:textId="1C3E6B43" w:rsidR="00775D06" w:rsidRDefault="00775D06" w:rsidP="00FD1E22">
    <w:pPr>
      <w:pStyle w:val="Footer"/>
      <w:ind w:right="360"/>
    </w:pPr>
    <w:r>
      <w:rPr>
        <w:noProof/>
      </w:rPr>
      <mc:AlternateContent>
        <mc:Choice Requires="wps">
          <w:drawing>
            <wp:anchor distT="0" distB="0" distL="0" distR="0" simplePos="0" relativeHeight="251658244" behindDoc="0" locked="0" layoutInCell="1" allowOverlap="1" wp14:anchorId="21A5AE80" wp14:editId="7671B64D">
              <wp:simplePos x="635" y="635"/>
              <wp:positionH relativeFrom="page">
                <wp:align>center</wp:align>
              </wp:positionH>
              <wp:positionV relativeFrom="page">
                <wp:align>bottom</wp:align>
              </wp:positionV>
              <wp:extent cx="609600" cy="381000"/>
              <wp:effectExtent l="0" t="0" r="0" b="0"/>
              <wp:wrapNone/>
              <wp:docPr id="199206454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7789839B" w14:textId="718AD747" w:rsidR="00775D06" w:rsidRPr="00775D06" w:rsidRDefault="00775D06" w:rsidP="00775D06">
                          <w:pPr>
                            <w:rPr>
                              <w:rFonts w:ascii="Aptos" w:eastAsia="Aptos" w:hAnsi="Aptos" w:cs="Aptos"/>
                              <w:noProof/>
                              <w:color w:val="FF0000"/>
                            </w:rPr>
                          </w:pPr>
                          <w:r w:rsidRPr="00775D06">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C12C867">
            <v:shapetype id="_x0000_t202" coordsize="21600,21600" o:spt="202" path="m,l,21600r21600,l21600,xe" w14:anchorId="21A5AE80">
              <v:stroke joinstyle="miter"/>
              <v:path gradientshapeok="t" o:connecttype="rect"/>
            </v:shapetype>
            <v:shape id="Text Box 5" style="position:absolute;left:0;text-align:left;margin-left:0;margin-top:0;width:48pt;height:30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">
              <v:textbox style="mso-fit-shape-to-text:t" inset="0,0,0,15pt">
                <w:txbxContent>
                  <w:p w:rsidRPr="00775D06" w:rsidR="00775D06" w:rsidP="00775D06" w:rsidRDefault="00775D06" w14:paraId="09E77742" w14:textId="718AD747">
                    <w:pPr>
                      <w:rPr>
                        <w:rFonts w:ascii="Aptos" w:hAnsi="Aptos" w:eastAsia="Aptos" w:cs="Aptos"/>
                        <w:noProof/>
                        <w:color w:val="FF0000"/>
                      </w:rPr>
                    </w:pPr>
                    <w:r w:rsidRPr="00775D06">
                      <w:rPr>
                        <w:rFonts w:ascii="Aptos" w:hAnsi="Aptos" w:eastAsia="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0845383"/>
      <w:docPartObj>
        <w:docPartGallery w:val="Page Numbers (Bottom of Page)"/>
        <w:docPartUnique/>
      </w:docPartObj>
    </w:sdtPr>
    <w:sdtContent>
      <w:p w14:paraId="39E32074" w14:textId="18780DCA" w:rsidR="00FD1E22" w:rsidRDefault="00FD1E22" w:rsidP="00FD1E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72B861" w14:textId="2E6E19AB" w:rsidR="00A91BF6" w:rsidRDefault="00A91BF6" w:rsidP="00FD1E22">
    <w:pPr>
      <w:pStyle w:val="Footer"/>
      <w:ind w:right="360"/>
      <w:jc w:val="center"/>
      <w:rPr>
        <w:caps/>
        <w:noProof/>
        <w:color w:val="003478" w:themeColor="accent1"/>
      </w:rPr>
    </w:pPr>
  </w:p>
  <w:p w14:paraId="3A4057A7" w14:textId="7DAB29DF" w:rsidR="00CA1F63" w:rsidRPr="00696389" w:rsidRDefault="00CA1F63" w:rsidP="00CA1F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D194" w14:textId="5C7C6B91" w:rsidR="002329F8" w:rsidRPr="00FD4103" w:rsidRDefault="002329F8" w:rsidP="00B757D4">
    <w:pPr>
      <w:pStyle w:val="Footer"/>
    </w:pPr>
    <w:r w:rsidRPr="00FD4103">
      <w:fldChar w:fldCharType="begin"/>
    </w:r>
    <w:r w:rsidRPr="00FD4103">
      <w:instrText xml:space="preserve"> PAGE   \* MERGEFORMAT </w:instrText>
    </w:r>
    <w:r w:rsidRPr="00FD4103">
      <w:fldChar w:fldCharType="separate"/>
    </w:r>
    <w:r w:rsidRPr="00FD4103">
      <w:t>2</w:t>
    </w:r>
    <w:r w:rsidRPr="00FD410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627BA" w14:textId="77777777" w:rsidR="00B72C4A" w:rsidRPr="00FD4103" w:rsidRDefault="00B72C4A" w:rsidP="00B757D4">
      <w:r w:rsidRPr="00FD4103">
        <w:separator/>
      </w:r>
    </w:p>
  </w:footnote>
  <w:footnote w:type="continuationSeparator" w:id="0">
    <w:p w14:paraId="6CC906A8" w14:textId="77777777" w:rsidR="00B72C4A" w:rsidRPr="00696389" w:rsidRDefault="00B72C4A" w:rsidP="00B757D4">
      <w:r w:rsidRPr="00696389">
        <w:continuationSeparator/>
      </w:r>
    </w:p>
    <w:p w14:paraId="7711455A" w14:textId="77777777" w:rsidR="00B72C4A" w:rsidRPr="00696389" w:rsidRDefault="00B72C4A" w:rsidP="00B757D4"/>
    <w:p w14:paraId="6C9E844E" w14:textId="77777777" w:rsidR="00B72C4A" w:rsidRPr="00696389" w:rsidRDefault="00B72C4A" w:rsidP="00B757D4"/>
    <w:p w14:paraId="184692DC" w14:textId="77777777" w:rsidR="00B72C4A" w:rsidRPr="00696389" w:rsidRDefault="00B72C4A" w:rsidP="00B757D4"/>
  </w:footnote>
  <w:footnote w:type="continuationNotice" w:id="1">
    <w:p w14:paraId="58D4E0E6" w14:textId="77777777" w:rsidR="00B72C4A" w:rsidRPr="00696389" w:rsidRDefault="00B72C4A" w:rsidP="00B757D4"/>
    <w:p w14:paraId="79C4BC54" w14:textId="77777777" w:rsidR="00B72C4A" w:rsidRPr="00696389" w:rsidRDefault="00B72C4A" w:rsidP="00B757D4"/>
    <w:p w14:paraId="0B79EE7C" w14:textId="77777777" w:rsidR="00B72C4A" w:rsidRPr="00696389" w:rsidRDefault="00B72C4A" w:rsidP="00B757D4"/>
    <w:p w14:paraId="5FBECA36" w14:textId="77777777" w:rsidR="00B72C4A" w:rsidRPr="00696389" w:rsidRDefault="00B72C4A" w:rsidP="00B757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EF84F" w14:textId="127ACF49" w:rsidR="00775D06" w:rsidRDefault="00775D06">
    <w:pPr>
      <w:pStyle w:val="Header"/>
    </w:pPr>
    <w:r>
      <w:rPr>
        <w:noProof/>
      </w:rPr>
      <mc:AlternateContent>
        <mc:Choice Requires="wps">
          <w:drawing>
            <wp:anchor distT="0" distB="0" distL="0" distR="0" simplePos="0" relativeHeight="251658241" behindDoc="0" locked="0" layoutInCell="1" allowOverlap="1" wp14:anchorId="0C6ECBD6" wp14:editId="02A95206">
              <wp:simplePos x="635" y="635"/>
              <wp:positionH relativeFrom="page">
                <wp:align>center</wp:align>
              </wp:positionH>
              <wp:positionV relativeFrom="page">
                <wp:align>top</wp:align>
              </wp:positionV>
              <wp:extent cx="609600" cy="381000"/>
              <wp:effectExtent l="0" t="0" r="0" b="0"/>
              <wp:wrapNone/>
              <wp:docPr id="15840185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6910F85E" w14:textId="4B1513E7" w:rsidR="00775D06" w:rsidRPr="00775D06" w:rsidRDefault="00775D06" w:rsidP="00775D06">
                          <w:pPr>
                            <w:rPr>
                              <w:rFonts w:ascii="Aptos" w:eastAsia="Aptos" w:hAnsi="Aptos" w:cs="Aptos"/>
                              <w:noProof/>
                              <w:color w:val="FF0000"/>
                            </w:rPr>
                          </w:pPr>
                          <w:r w:rsidRPr="00775D06">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52117B9">
            <v:shapetype id="_x0000_t202" coordsize="21600,21600" o:spt="202" path="m,l,21600r21600,l21600,xe" w14:anchorId="0C6ECBD6">
              <v:stroke joinstyle="miter"/>
              <v:path gradientshapeok="t" o:connecttype="rect"/>
            </v:shapetype>
            <v:shape id="Text Box 2" style="position:absolute;margin-left:0;margin-top:0;width:48pt;height:30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oNVPoAcCAAAVBAAADgAAAAAA&#10;AAAAAAAAAAAuAgAAZHJzL2Uyb0RvYy54bWxQSwECLQAUAAYACAAAACEAknTgmNkAAAADAQAADwAA&#10;AAAAAAAAAAAAAABhBAAAZHJzL2Rvd25yZXYueG1sUEsFBgAAAAAEAAQA8wAAAGcFAAAAAA==&#10;">
              <v:textbox style="mso-fit-shape-to-text:t" inset="0,15pt,0,0">
                <w:txbxContent>
                  <w:p w:rsidRPr="00775D06" w:rsidR="00775D06" w:rsidP="00775D06" w:rsidRDefault="00775D06" w14:paraId="75F360E3" w14:textId="4B1513E7">
                    <w:pPr>
                      <w:rPr>
                        <w:rFonts w:ascii="Aptos" w:hAnsi="Aptos" w:eastAsia="Aptos" w:cs="Aptos"/>
                        <w:noProof/>
                        <w:color w:val="FF0000"/>
                      </w:rPr>
                    </w:pPr>
                    <w:r w:rsidRPr="00775D06">
                      <w:rPr>
                        <w:rFonts w:ascii="Aptos" w:hAnsi="Aptos" w:eastAsia="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67FC8" w14:textId="77777777" w:rsidR="00675467" w:rsidRDefault="00675467" w:rsidP="0026732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775F0" w14:textId="5422D165" w:rsidR="00775D06" w:rsidRDefault="00775D06">
    <w:pPr>
      <w:pStyle w:val="Header"/>
    </w:pPr>
    <w:r>
      <w:rPr>
        <w:noProof/>
      </w:rPr>
      <mc:AlternateContent>
        <mc:Choice Requires="wps">
          <w:drawing>
            <wp:anchor distT="0" distB="0" distL="0" distR="0" simplePos="0" relativeHeight="251658240" behindDoc="0" locked="0" layoutInCell="1" allowOverlap="1" wp14:anchorId="56C7FCA0" wp14:editId="18B293EE">
              <wp:simplePos x="635" y="635"/>
              <wp:positionH relativeFrom="page">
                <wp:align>center</wp:align>
              </wp:positionH>
              <wp:positionV relativeFrom="page">
                <wp:align>top</wp:align>
              </wp:positionV>
              <wp:extent cx="609600" cy="381000"/>
              <wp:effectExtent l="0" t="0" r="0" b="0"/>
              <wp:wrapNone/>
              <wp:docPr id="170469715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60DEFD3A" w14:textId="65A57CD3" w:rsidR="00775D06" w:rsidRPr="00775D06" w:rsidRDefault="00775D06" w:rsidP="00775D06">
                          <w:pPr>
                            <w:rPr>
                              <w:rFonts w:ascii="Aptos" w:eastAsia="Aptos" w:hAnsi="Aptos" w:cs="Aptos"/>
                              <w:noProof/>
                              <w:color w:val="FF0000"/>
                            </w:rPr>
                          </w:pPr>
                          <w:r w:rsidRPr="00775D06">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9DC15EF">
            <v:shapetype id="_x0000_t202" coordsize="21600,21600" o:spt="202" path="m,l,21600r21600,l21600,xe" w14:anchorId="56C7FCA0">
              <v:stroke joinstyle="miter"/>
              <v:path gradientshapeok="t" o:connecttype="rect"/>
            </v:shapetype>
            <v:shape id="Text Box 1" style="position:absolute;margin-left:0;margin-top:0;width:48pt;height:30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AyCDUkDAIAABwEAAAO&#10;AAAAAAAAAAAAAAAAAC4CAABkcnMvZTJvRG9jLnhtbFBLAQItABQABgAIAAAAIQCSdOCY2QAAAAMB&#10;AAAPAAAAAAAAAAAAAAAAAGYEAABkcnMvZG93bnJldi54bWxQSwUGAAAAAAQABADzAAAAbAUAAAAA&#10;">
              <v:textbox style="mso-fit-shape-to-text:t" inset="0,15pt,0,0">
                <w:txbxContent>
                  <w:p w:rsidRPr="00775D06" w:rsidR="00775D06" w:rsidP="00775D06" w:rsidRDefault="00775D06" w14:paraId="08CE8BEA" w14:textId="65A57CD3">
                    <w:pPr>
                      <w:rPr>
                        <w:rFonts w:ascii="Aptos" w:hAnsi="Aptos" w:eastAsia="Aptos" w:cs="Aptos"/>
                        <w:noProof/>
                        <w:color w:val="FF0000"/>
                      </w:rPr>
                    </w:pPr>
                    <w:r w:rsidRPr="00775D06">
                      <w:rPr>
                        <w:rFonts w:ascii="Aptos" w:hAnsi="Aptos" w:eastAsia="Aptos" w:cs="Aptos"/>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5DB9C" w14:textId="77777777" w:rsidR="0026732E" w:rsidRDefault="0026732E" w:rsidP="0026732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54170"/>
    <w:multiLevelType w:val="hybridMultilevel"/>
    <w:tmpl w:val="64C2DA8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D0A3A"/>
    <w:multiLevelType w:val="multilevel"/>
    <w:tmpl w:val="D06C62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ormal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1D3024"/>
    <w:multiLevelType w:val="multilevel"/>
    <w:tmpl w:val="3ABA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A258F"/>
    <w:multiLevelType w:val="hybridMultilevel"/>
    <w:tmpl w:val="2394263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6D4388"/>
    <w:multiLevelType w:val="multilevel"/>
    <w:tmpl w:val="320EC3DC"/>
    <w:lvl w:ilvl="0">
      <w:start w:val="1"/>
      <w:numFmt w:val="decimal"/>
      <w:suff w:val="nothing"/>
      <w:lvlText w:val="SCHEDULE %1: "/>
      <w:lvlJc w:val="left"/>
      <w:pPr>
        <w:ind w:left="360" w:hanging="360"/>
      </w:pPr>
      <w:rPr>
        <w:rFonts w:hint="default"/>
        <w:caps/>
        <w:sz w:val="28"/>
        <w:u w:val="single"/>
      </w:rPr>
    </w:lvl>
    <w:lvl w:ilvl="1">
      <w:start w:val="1"/>
      <w:numFmt w:val="decimal"/>
      <w:pStyle w:val="ClauseHeading"/>
      <w:lvlText w:val="%2"/>
      <w:lvlJc w:val="left"/>
      <w:pPr>
        <w:ind w:left="737" w:hanging="380"/>
      </w:pPr>
      <w:rPr>
        <w:rFonts w:hint="default"/>
        <w:b/>
        <w:i w:val="0"/>
        <w:sz w:val="24"/>
        <w:u w:val="single"/>
      </w:rPr>
    </w:lvl>
    <w:lvl w:ilvl="2">
      <w:start w:val="1"/>
      <w:numFmt w:val="decimal"/>
      <w:pStyle w:val="ClauseDetails"/>
      <w:suff w:val="space"/>
      <w:lvlText w:val="%2.%3"/>
      <w:lvlJc w:val="left"/>
      <w:pPr>
        <w:ind w:left="2905" w:hanging="494"/>
      </w:pPr>
      <w:rPr>
        <w:rFonts w:hint="default"/>
        <w:b w:val="0"/>
        <w:color w:val="auto"/>
        <w:sz w:val="22"/>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E0E8AB6"/>
    <w:multiLevelType w:val="hybridMultilevel"/>
    <w:tmpl w:val="F4808676"/>
    <w:lvl w:ilvl="0" w:tplc="D2A0E55C">
      <w:start w:val="1"/>
      <w:numFmt w:val="bullet"/>
      <w:lvlText w:val=""/>
      <w:lvlJc w:val="left"/>
      <w:pPr>
        <w:ind w:left="720" w:hanging="360"/>
      </w:pPr>
      <w:rPr>
        <w:rFonts w:ascii="Symbol" w:hAnsi="Symbol" w:hint="default"/>
      </w:rPr>
    </w:lvl>
    <w:lvl w:ilvl="1" w:tplc="93B62AC6">
      <w:start w:val="1"/>
      <w:numFmt w:val="bullet"/>
      <w:lvlText w:val="o"/>
      <w:lvlJc w:val="left"/>
      <w:pPr>
        <w:ind w:left="1440" w:hanging="360"/>
      </w:pPr>
      <w:rPr>
        <w:rFonts w:ascii="Courier New" w:hAnsi="Courier New" w:hint="default"/>
      </w:rPr>
    </w:lvl>
    <w:lvl w:ilvl="2" w:tplc="720A7D16">
      <w:start w:val="1"/>
      <w:numFmt w:val="bullet"/>
      <w:lvlText w:val=""/>
      <w:lvlJc w:val="left"/>
      <w:pPr>
        <w:ind w:left="2160" w:hanging="360"/>
      </w:pPr>
      <w:rPr>
        <w:rFonts w:ascii="Wingdings" w:hAnsi="Wingdings" w:hint="default"/>
      </w:rPr>
    </w:lvl>
    <w:lvl w:ilvl="3" w:tplc="2A5A3000">
      <w:start w:val="1"/>
      <w:numFmt w:val="bullet"/>
      <w:lvlText w:val=""/>
      <w:lvlJc w:val="left"/>
      <w:pPr>
        <w:ind w:left="2880" w:hanging="360"/>
      </w:pPr>
      <w:rPr>
        <w:rFonts w:ascii="Symbol" w:hAnsi="Symbol" w:hint="default"/>
      </w:rPr>
    </w:lvl>
    <w:lvl w:ilvl="4" w:tplc="F47E2F7A">
      <w:start w:val="1"/>
      <w:numFmt w:val="bullet"/>
      <w:lvlText w:val="o"/>
      <w:lvlJc w:val="left"/>
      <w:pPr>
        <w:ind w:left="3600" w:hanging="360"/>
      </w:pPr>
      <w:rPr>
        <w:rFonts w:ascii="Courier New" w:hAnsi="Courier New" w:hint="default"/>
      </w:rPr>
    </w:lvl>
    <w:lvl w:ilvl="5" w:tplc="A49EF46E">
      <w:start w:val="1"/>
      <w:numFmt w:val="bullet"/>
      <w:lvlText w:val=""/>
      <w:lvlJc w:val="left"/>
      <w:pPr>
        <w:ind w:left="4320" w:hanging="360"/>
      </w:pPr>
      <w:rPr>
        <w:rFonts w:ascii="Wingdings" w:hAnsi="Wingdings" w:hint="default"/>
      </w:rPr>
    </w:lvl>
    <w:lvl w:ilvl="6" w:tplc="CB94A584">
      <w:start w:val="1"/>
      <w:numFmt w:val="bullet"/>
      <w:lvlText w:val=""/>
      <w:lvlJc w:val="left"/>
      <w:pPr>
        <w:ind w:left="5040" w:hanging="360"/>
      </w:pPr>
      <w:rPr>
        <w:rFonts w:ascii="Symbol" w:hAnsi="Symbol" w:hint="default"/>
      </w:rPr>
    </w:lvl>
    <w:lvl w:ilvl="7" w:tplc="625262C8">
      <w:start w:val="1"/>
      <w:numFmt w:val="bullet"/>
      <w:lvlText w:val="o"/>
      <w:lvlJc w:val="left"/>
      <w:pPr>
        <w:ind w:left="5760" w:hanging="360"/>
      </w:pPr>
      <w:rPr>
        <w:rFonts w:ascii="Courier New" w:hAnsi="Courier New" w:hint="default"/>
      </w:rPr>
    </w:lvl>
    <w:lvl w:ilvl="8" w:tplc="167C08AC">
      <w:start w:val="1"/>
      <w:numFmt w:val="bullet"/>
      <w:lvlText w:val=""/>
      <w:lvlJc w:val="left"/>
      <w:pPr>
        <w:ind w:left="6480" w:hanging="360"/>
      </w:pPr>
      <w:rPr>
        <w:rFonts w:ascii="Wingdings" w:hAnsi="Wingdings" w:hint="default"/>
      </w:rPr>
    </w:lvl>
  </w:abstractNum>
  <w:abstractNum w:abstractNumId="6" w15:restartNumberingAfterBreak="0">
    <w:nsid w:val="2C90F62D"/>
    <w:multiLevelType w:val="hybridMultilevel"/>
    <w:tmpl w:val="C382D45C"/>
    <w:lvl w:ilvl="0" w:tplc="46BCFD9C">
      <w:start w:val="1"/>
      <w:numFmt w:val="decimal"/>
      <w:lvlText w:val="%1."/>
      <w:lvlJc w:val="left"/>
      <w:pPr>
        <w:ind w:left="644" w:hanging="360"/>
      </w:pPr>
    </w:lvl>
    <w:lvl w:ilvl="1" w:tplc="0E507E96">
      <w:start w:val="1"/>
      <w:numFmt w:val="lowerLetter"/>
      <w:lvlText w:val="%2."/>
      <w:lvlJc w:val="left"/>
      <w:pPr>
        <w:ind w:left="1440" w:hanging="360"/>
      </w:pPr>
    </w:lvl>
    <w:lvl w:ilvl="2" w:tplc="E036047A">
      <w:start w:val="1"/>
      <w:numFmt w:val="lowerRoman"/>
      <w:lvlText w:val="%3."/>
      <w:lvlJc w:val="right"/>
      <w:pPr>
        <w:ind w:left="2160" w:hanging="180"/>
      </w:pPr>
    </w:lvl>
    <w:lvl w:ilvl="3" w:tplc="30360DE6">
      <w:start w:val="1"/>
      <w:numFmt w:val="decimal"/>
      <w:lvlText w:val="%4."/>
      <w:lvlJc w:val="left"/>
      <w:pPr>
        <w:ind w:left="2880" w:hanging="360"/>
      </w:pPr>
    </w:lvl>
    <w:lvl w:ilvl="4" w:tplc="8646BF9E">
      <w:start w:val="1"/>
      <w:numFmt w:val="lowerLetter"/>
      <w:lvlText w:val="%5."/>
      <w:lvlJc w:val="left"/>
      <w:pPr>
        <w:ind w:left="3600" w:hanging="360"/>
      </w:pPr>
    </w:lvl>
    <w:lvl w:ilvl="5" w:tplc="A7CA8758">
      <w:start w:val="1"/>
      <w:numFmt w:val="lowerRoman"/>
      <w:lvlText w:val="%6."/>
      <w:lvlJc w:val="right"/>
      <w:pPr>
        <w:ind w:left="4320" w:hanging="180"/>
      </w:pPr>
    </w:lvl>
    <w:lvl w:ilvl="6" w:tplc="D02244D2">
      <w:start w:val="1"/>
      <w:numFmt w:val="decimal"/>
      <w:lvlText w:val="%7."/>
      <w:lvlJc w:val="left"/>
      <w:pPr>
        <w:ind w:left="5040" w:hanging="360"/>
      </w:pPr>
    </w:lvl>
    <w:lvl w:ilvl="7" w:tplc="9DC4EFA8">
      <w:start w:val="1"/>
      <w:numFmt w:val="lowerLetter"/>
      <w:lvlText w:val="%8."/>
      <w:lvlJc w:val="left"/>
      <w:pPr>
        <w:ind w:left="5760" w:hanging="360"/>
      </w:pPr>
    </w:lvl>
    <w:lvl w:ilvl="8" w:tplc="9D30AA7A">
      <w:start w:val="1"/>
      <w:numFmt w:val="lowerRoman"/>
      <w:lvlText w:val="%9."/>
      <w:lvlJc w:val="right"/>
      <w:pPr>
        <w:ind w:left="6480" w:hanging="180"/>
      </w:pPr>
    </w:lvl>
  </w:abstractNum>
  <w:abstractNum w:abstractNumId="7" w15:restartNumberingAfterBreak="0">
    <w:nsid w:val="31ED1335"/>
    <w:multiLevelType w:val="multilevel"/>
    <w:tmpl w:val="0B58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DD77D1"/>
    <w:multiLevelType w:val="multilevel"/>
    <w:tmpl w:val="063A2104"/>
    <w:lvl w:ilvl="0">
      <w:start w:val="1"/>
      <w:numFmt w:val="decimal"/>
      <w:pStyle w:val="List"/>
      <w:lvlText w:val="%1."/>
      <w:lvlJc w:val="left"/>
      <w:pPr>
        <w:ind w:left="357" w:hanging="357"/>
      </w:pPr>
      <w:rPr>
        <w:rFonts w:hint="default"/>
        <w:color w:val="auto"/>
        <w:sz w:val="20"/>
      </w:rPr>
    </w:lvl>
    <w:lvl w:ilvl="1">
      <w:start w:val="1"/>
      <w:numFmt w:val="lowerLetter"/>
      <w:pStyle w:val="List2"/>
      <w:lvlText w:val="(%2)"/>
      <w:lvlJc w:val="left"/>
      <w:pPr>
        <w:ind w:left="714" w:hanging="357"/>
      </w:pPr>
      <w:rPr>
        <w:rFonts w:hint="default"/>
        <w:color w:val="auto"/>
        <w:sz w:val="20"/>
      </w:rPr>
    </w:lvl>
    <w:lvl w:ilvl="2">
      <w:start w:val="1"/>
      <w:numFmt w:val="lowerRoman"/>
      <w:pStyle w:val="List3"/>
      <w:lvlText w:val="(%3)"/>
      <w:lvlJc w:val="left"/>
      <w:pPr>
        <w:ind w:left="1072" w:hanging="358"/>
      </w:pPr>
      <w:rPr>
        <w:rFonts w:hint="default"/>
        <w:color w:val="auto"/>
        <w:sz w:val="20"/>
      </w:rPr>
    </w:lvl>
    <w:lvl w:ilvl="3">
      <w:start w:val="1"/>
      <w:numFmt w:val="upperLetter"/>
      <w:pStyle w:val="List4"/>
      <w:lvlText w:val="%4."/>
      <w:lvlJc w:val="left"/>
      <w:pPr>
        <w:ind w:left="1429" w:hanging="357"/>
      </w:pPr>
      <w:rPr>
        <w:rFonts w:hint="default"/>
        <w:color w:val="auto"/>
        <w:sz w:val="20"/>
      </w:rPr>
    </w:lvl>
    <w:lvl w:ilvl="4">
      <w:start w:val="1"/>
      <w:numFmt w:val="lowerLetter"/>
      <w:lvlText w:val="%5."/>
      <w:lvlJc w:val="left"/>
      <w:pPr>
        <w:tabs>
          <w:tab w:val="num" w:pos="3687"/>
        </w:tabs>
        <w:ind w:left="3545" w:hanging="709"/>
      </w:pPr>
      <w:rPr>
        <w:rFonts w:hint="default"/>
      </w:rPr>
    </w:lvl>
    <w:lvl w:ilvl="5">
      <w:start w:val="1"/>
      <w:numFmt w:val="lowerRoman"/>
      <w:lvlText w:val="%6."/>
      <w:lvlJc w:val="left"/>
      <w:pPr>
        <w:tabs>
          <w:tab w:val="num" w:pos="4396"/>
        </w:tabs>
        <w:ind w:left="4254" w:hanging="709"/>
      </w:pPr>
      <w:rPr>
        <w:rFonts w:hint="default"/>
      </w:rPr>
    </w:lvl>
    <w:lvl w:ilvl="6">
      <w:start w:val="1"/>
      <w:numFmt w:val="decimal"/>
      <w:lvlText w:val="%7."/>
      <w:lvlJc w:val="left"/>
      <w:pPr>
        <w:tabs>
          <w:tab w:val="num" w:pos="5105"/>
        </w:tabs>
        <w:ind w:left="4963" w:hanging="709"/>
      </w:pPr>
      <w:rPr>
        <w:rFonts w:hint="default"/>
      </w:rPr>
    </w:lvl>
    <w:lvl w:ilvl="7">
      <w:start w:val="1"/>
      <w:numFmt w:val="lowerLetter"/>
      <w:lvlText w:val="%8."/>
      <w:lvlJc w:val="left"/>
      <w:pPr>
        <w:tabs>
          <w:tab w:val="num" w:pos="5814"/>
        </w:tabs>
        <w:ind w:left="5672" w:hanging="709"/>
      </w:pPr>
      <w:rPr>
        <w:rFonts w:hint="default"/>
      </w:rPr>
    </w:lvl>
    <w:lvl w:ilvl="8">
      <w:start w:val="1"/>
      <w:numFmt w:val="lowerRoman"/>
      <w:lvlText w:val="%9."/>
      <w:lvlJc w:val="left"/>
      <w:pPr>
        <w:tabs>
          <w:tab w:val="num" w:pos="6523"/>
        </w:tabs>
        <w:ind w:left="6381" w:hanging="709"/>
      </w:pPr>
      <w:rPr>
        <w:rFonts w:hint="default"/>
      </w:rPr>
    </w:lvl>
  </w:abstractNum>
  <w:abstractNum w:abstractNumId="9" w15:restartNumberingAfterBreak="0">
    <w:nsid w:val="3D4A7775"/>
    <w:multiLevelType w:val="hybridMultilevel"/>
    <w:tmpl w:val="1544575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F0857C9"/>
    <w:multiLevelType w:val="multilevel"/>
    <w:tmpl w:val="0EAC394C"/>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pStyle w:val="NumberedHeading5"/>
      <w:lvlText w:val="%1.%2.%3.%4.%5"/>
      <w:lvlJc w:val="left"/>
      <w:pPr>
        <w:ind w:left="1080" w:hanging="1080"/>
      </w:pPr>
      <w:rPr>
        <w:rFonts w:hint="default"/>
      </w:rPr>
    </w:lvl>
    <w:lvl w:ilvl="5">
      <w:start w:val="1"/>
      <w:numFmt w:val="decimal"/>
      <w:pStyle w:val="NumberedHeading5"/>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F9B51D2"/>
    <w:multiLevelType w:val="hybridMultilevel"/>
    <w:tmpl w:val="A774AAFE"/>
    <w:lvl w:ilvl="0" w:tplc="784C61D4">
      <w:start w:val="1"/>
      <w:numFmt w:val="bullet"/>
      <w:pStyle w:val="Question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0F3C2C"/>
    <w:multiLevelType w:val="multilevel"/>
    <w:tmpl w:val="C8529E82"/>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8C5F8E"/>
    <w:multiLevelType w:val="multilevel"/>
    <w:tmpl w:val="86223F1E"/>
    <w:lvl w:ilvl="0">
      <w:start w:val="1"/>
      <w:numFmt w:val="decimal"/>
      <w:pStyle w:val="Heading1"/>
      <w:lvlText w:val="%1"/>
      <w:lvlJc w:val="left"/>
      <w:pPr>
        <w:ind w:left="574" w:hanging="432"/>
      </w:pPr>
    </w:lvl>
    <w:lvl w:ilvl="1">
      <w:start w:val="1"/>
      <w:numFmt w:val="decimal"/>
      <w:pStyle w:val="Heading2"/>
      <w:lvlText w:val="%1.%2"/>
      <w:lvlJc w:val="left"/>
      <w:pPr>
        <w:ind w:left="576" w:hanging="576"/>
      </w:pPr>
    </w:lvl>
    <w:lvl w:ilvl="2">
      <w:start w:val="1"/>
      <w:numFmt w:val="decimal"/>
      <w:lvlText w:val="%3."/>
      <w:lvlJc w:val="left"/>
      <w:pPr>
        <w:ind w:left="360" w:hanging="36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9870BDA"/>
    <w:multiLevelType w:val="multilevel"/>
    <w:tmpl w:val="C8529E82"/>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F502CC"/>
    <w:multiLevelType w:val="hybridMultilevel"/>
    <w:tmpl w:val="E736B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CB55CE"/>
    <w:multiLevelType w:val="hybridMultilevel"/>
    <w:tmpl w:val="08E46B28"/>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0B0DBC"/>
    <w:multiLevelType w:val="multilevel"/>
    <w:tmpl w:val="2D2C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2D7B89"/>
    <w:multiLevelType w:val="hybridMultilevel"/>
    <w:tmpl w:val="2F5E9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27614C3"/>
    <w:multiLevelType w:val="multilevel"/>
    <w:tmpl w:val="57247862"/>
    <w:lvl w:ilvl="0">
      <w:start w:val="1"/>
      <w:numFmt w:val="decimal"/>
      <w:pStyle w:val="ListNumber"/>
      <w:lvlText w:val="%1."/>
      <w:lvlJc w:val="left"/>
      <w:pPr>
        <w:tabs>
          <w:tab w:val="num" w:pos="283"/>
        </w:tabs>
        <w:ind w:left="283" w:hanging="283"/>
      </w:pPr>
      <w:rPr>
        <w:rFonts w:ascii="Arial" w:hAnsi="Arial" w:cs="Arial" w:hint="default"/>
        <w:b w:val="0"/>
        <w:i w:val="0"/>
        <w:vanish w:val="0"/>
        <w:color w:val="auto"/>
        <w:sz w:val="22"/>
      </w:rPr>
    </w:lvl>
    <w:lvl w:ilvl="1">
      <w:start w:val="1"/>
      <w:numFmt w:val="lowerLetter"/>
      <w:pStyle w:val="ListNumber2"/>
      <w:lvlText w:val="%2)"/>
      <w:lvlJc w:val="left"/>
      <w:pPr>
        <w:tabs>
          <w:tab w:val="num" w:pos="567"/>
        </w:tabs>
        <w:ind w:left="567" w:hanging="284"/>
      </w:pPr>
      <w:rPr>
        <w:rFonts w:ascii="Arial" w:hAnsi="Arial" w:cs="Arial" w:hint="default"/>
        <w:b w:val="0"/>
        <w:i w:val="0"/>
        <w:vanish w:val="0"/>
        <w:color w:val="auto"/>
        <w:sz w:val="22"/>
      </w:rPr>
    </w:lvl>
    <w:lvl w:ilvl="2">
      <w:start w:val="1"/>
      <w:numFmt w:val="lowerRoman"/>
      <w:pStyle w:val="ListNumber3"/>
      <w:lvlText w:val="%3."/>
      <w:lvlJc w:val="left"/>
      <w:pPr>
        <w:tabs>
          <w:tab w:val="num" w:pos="850"/>
        </w:tabs>
        <w:ind w:left="850" w:hanging="283"/>
      </w:pPr>
      <w:rPr>
        <w:rFonts w:ascii="Arial" w:hAnsi="Arial" w:cs="Arial" w:hint="default"/>
        <w:b w:val="0"/>
        <w:i w:val="0"/>
        <w:vanish w:val="0"/>
        <w:color w:val="auto"/>
        <w:sz w:val="22"/>
      </w:rPr>
    </w:lvl>
    <w:lvl w:ilvl="3">
      <w:start w:val="1"/>
      <w:numFmt w:val="decimal"/>
      <w:lvlText w:val="–"/>
      <w:lvlJc w:val="left"/>
      <w:pPr>
        <w:tabs>
          <w:tab w:val="num" w:pos="1134"/>
        </w:tabs>
        <w:ind w:left="1134" w:hanging="284"/>
      </w:pPr>
      <w:rPr>
        <w:rFonts w:ascii="Arial" w:hAnsi="Arial" w:cs="Arial" w:hint="default"/>
        <w:b w:val="0"/>
        <w:i w:val="0"/>
        <w:vanish w:val="0"/>
        <w:color w:val="auto"/>
        <w:sz w:val="22"/>
      </w:rPr>
    </w:lvl>
    <w:lvl w:ilvl="4">
      <w:start w:val="1"/>
      <w:numFmt w:val="decimal"/>
      <w:lvlText w:val="–"/>
      <w:lvlJc w:val="left"/>
      <w:pPr>
        <w:tabs>
          <w:tab w:val="num" w:pos="1417"/>
        </w:tabs>
        <w:ind w:left="1417" w:hanging="283"/>
      </w:pPr>
      <w:rPr>
        <w:rFonts w:ascii="Arial" w:hAnsi="Arial" w:cs="Arial" w:hint="default"/>
        <w:b w:val="0"/>
        <w:i w:val="0"/>
        <w:vanish w:val="0"/>
        <w:color w:val="auto"/>
        <w:sz w:val="22"/>
      </w:rPr>
    </w:lvl>
    <w:lvl w:ilvl="5">
      <w:start w:val="1"/>
      <w:numFmt w:val="decimal"/>
      <w:lvlText w:val="–"/>
      <w:lvlJc w:val="left"/>
      <w:pPr>
        <w:tabs>
          <w:tab w:val="num" w:pos="1701"/>
        </w:tabs>
        <w:ind w:left="1701" w:hanging="284"/>
      </w:pPr>
      <w:rPr>
        <w:rFonts w:ascii="Arial" w:hAnsi="Arial" w:cs="Arial" w:hint="default"/>
        <w:b w:val="0"/>
        <w:i w:val="0"/>
        <w:vanish w:val="0"/>
        <w:color w:val="auto"/>
        <w:sz w:val="22"/>
      </w:rPr>
    </w:lvl>
    <w:lvl w:ilvl="6">
      <w:start w:val="1"/>
      <w:numFmt w:val="decimal"/>
      <w:lvlText w:val="–"/>
      <w:lvlJc w:val="left"/>
      <w:pPr>
        <w:tabs>
          <w:tab w:val="num" w:pos="1984"/>
        </w:tabs>
        <w:ind w:left="1984" w:hanging="283"/>
      </w:pPr>
      <w:rPr>
        <w:rFonts w:ascii="Arial" w:hAnsi="Arial" w:cs="Arial" w:hint="default"/>
        <w:b w:val="0"/>
        <w:i w:val="0"/>
        <w:vanish w:val="0"/>
        <w:color w:val="auto"/>
        <w:sz w:val="22"/>
      </w:rPr>
    </w:lvl>
    <w:lvl w:ilvl="7">
      <w:start w:val="1"/>
      <w:numFmt w:val="decimal"/>
      <w:lvlText w:val="–"/>
      <w:lvlJc w:val="left"/>
      <w:pPr>
        <w:tabs>
          <w:tab w:val="num" w:pos="2268"/>
        </w:tabs>
        <w:ind w:left="2268" w:hanging="284"/>
      </w:pPr>
      <w:rPr>
        <w:rFonts w:ascii="Arial" w:hAnsi="Arial" w:cs="Arial" w:hint="default"/>
        <w:b w:val="0"/>
        <w:i w:val="0"/>
        <w:vanish w:val="0"/>
        <w:color w:val="auto"/>
        <w:sz w:val="22"/>
      </w:rPr>
    </w:lvl>
    <w:lvl w:ilvl="8">
      <w:start w:val="1"/>
      <w:numFmt w:val="decimal"/>
      <w:lvlText w:val="–"/>
      <w:lvlJc w:val="left"/>
      <w:pPr>
        <w:tabs>
          <w:tab w:val="num" w:pos="2551"/>
        </w:tabs>
        <w:ind w:left="2551" w:hanging="283"/>
      </w:pPr>
      <w:rPr>
        <w:rFonts w:ascii="Arial" w:hAnsi="Arial" w:cs="Arial" w:hint="default"/>
        <w:b w:val="0"/>
        <w:i w:val="0"/>
        <w:vanish w:val="0"/>
        <w:color w:val="auto"/>
        <w:sz w:val="22"/>
      </w:rPr>
    </w:lvl>
  </w:abstractNum>
  <w:abstractNum w:abstractNumId="20" w15:restartNumberingAfterBreak="0">
    <w:nsid w:val="6D121D68"/>
    <w:multiLevelType w:val="multilevel"/>
    <w:tmpl w:val="D0FC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E12C95"/>
    <w:multiLevelType w:val="multilevel"/>
    <w:tmpl w:val="B85C564E"/>
    <w:lvl w:ilvl="0">
      <w:start w:val="1"/>
      <w:numFmt w:val="bullet"/>
      <w:pStyle w:val="ListBullet"/>
      <w:lvlText w:val=""/>
      <w:lvlJc w:val="left"/>
      <w:pPr>
        <w:ind w:left="357" w:hanging="357"/>
      </w:pPr>
      <w:rPr>
        <w:rFonts w:ascii="Symbol" w:hAnsi="Symbol" w:hint="default"/>
        <w:color w:val="0065BC" w:themeColor="background2"/>
      </w:rPr>
    </w:lvl>
    <w:lvl w:ilvl="1">
      <w:start w:val="1"/>
      <w:numFmt w:val="bullet"/>
      <w:pStyle w:val="ListBullet2"/>
      <w:lvlText w:val=""/>
      <w:lvlJc w:val="left"/>
      <w:pPr>
        <w:ind w:left="714" w:hanging="357"/>
      </w:pPr>
      <w:rPr>
        <w:rFonts w:ascii="Symbol" w:hAnsi="Symbol" w:hint="default"/>
        <w:color w:val="0065BC" w:themeColor="background2"/>
        <w:sz w:val="20"/>
      </w:rPr>
    </w:lvl>
    <w:lvl w:ilvl="2">
      <w:start w:val="1"/>
      <w:numFmt w:val="bullet"/>
      <w:pStyle w:val="ListBullet3"/>
      <w:lvlText w:val=""/>
      <w:lvlJc w:val="left"/>
      <w:pPr>
        <w:ind w:left="1072" w:hanging="358"/>
      </w:pPr>
      <w:rPr>
        <w:rFonts w:ascii="Wingdings" w:hAnsi="Wingdings" w:hint="default"/>
        <w:color w:val="0065BC" w:themeColor="background2"/>
        <w:sz w:val="12"/>
      </w:rPr>
    </w:lvl>
    <w:lvl w:ilvl="3">
      <w:start w:val="1"/>
      <w:numFmt w:val="bullet"/>
      <w:pStyle w:val="ListBullet4"/>
      <w:lvlText w:val="»"/>
      <w:lvlJc w:val="left"/>
      <w:pPr>
        <w:ind w:left="1429" w:hanging="357"/>
      </w:pPr>
      <w:rPr>
        <w:rFonts w:ascii="Arial" w:hAnsi="Arial" w:hint="default"/>
        <w:color w:val="0065BC" w:themeColor="background2"/>
        <w:sz w:val="12"/>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8D72143"/>
    <w:multiLevelType w:val="hybridMultilevel"/>
    <w:tmpl w:val="92CC09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0131119">
    <w:abstractNumId w:val="1"/>
  </w:num>
  <w:num w:numId="2" w16cid:durableId="1801610529">
    <w:abstractNumId w:val="10"/>
  </w:num>
  <w:num w:numId="3" w16cid:durableId="1171606680">
    <w:abstractNumId w:val="8"/>
  </w:num>
  <w:num w:numId="4" w16cid:durableId="1286890402">
    <w:abstractNumId w:val="13"/>
  </w:num>
  <w:num w:numId="5" w16cid:durableId="983704512">
    <w:abstractNumId w:val="19"/>
  </w:num>
  <w:num w:numId="6" w16cid:durableId="1687638681">
    <w:abstractNumId w:val="11"/>
  </w:num>
  <w:num w:numId="7" w16cid:durableId="581566604">
    <w:abstractNumId w:val="21"/>
  </w:num>
  <w:num w:numId="8" w16cid:durableId="615218369">
    <w:abstractNumId w:val="4"/>
  </w:num>
  <w:num w:numId="9" w16cid:durableId="813334032">
    <w:abstractNumId w:val="0"/>
  </w:num>
  <w:num w:numId="10" w16cid:durableId="1176727060">
    <w:abstractNumId w:val="16"/>
  </w:num>
  <w:num w:numId="11" w16cid:durableId="1536892510">
    <w:abstractNumId w:val="9"/>
  </w:num>
  <w:num w:numId="12" w16cid:durableId="993218595">
    <w:abstractNumId w:val="3"/>
  </w:num>
  <w:num w:numId="13" w16cid:durableId="296225161">
    <w:abstractNumId w:val="22"/>
  </w:num>
  <w:num w:numId="14" w16cid:durableId="235672180">
    <w:abstractNumId w:val="13"/>
    <w:lvlOverride w:ilvl="0">
      <w:startOverride w:val="3"/>
    </w:lvlOverride>
    <w:lvlOverride w:ilvl="1">
      <w:startOverride w:val="3"/>
    </w:lvlOverride>
  </w:num>
  <w:num w:numId="15" w16cid:durableId="878130224">
    <w:abstractNumId w:val="12"/>
  </w:num>
  <w:num w:numId="16" w16cid:durableId="2103724124">
    <w:abstractNumId w:val="5"/>
  </w:num>
  <w:num w:numId="17" w16cid:durableId="1042293589">
    <w:abstractNumId w:val="6"/>
  </w:num>
  <w:num w:numId="18" w16cid:durableId="437405688">
    <w:abstractNumId w:val="14"/>
  </w:num>
  <w:num w:numId="19" w16cid:durableId="718433353">
    <w:abstractNumId w:val="7"/>
  </w:num>
  <w:num w:numId="20" w16cid:durableId="1155220762">
    <w:abstractNumId w:val="20"/>
  </w:num>
  <w:num w:numId="21" w16cid:durableId="2091197218">
    <w:abstractNumId w:val="2"/>
  </w:num>
  <w:num w:numId="22" w16cid:durableId="652103536">
    <w:abstractNumId w:val="17"/>
  </w:num>
  <w:num w:numId="23" w16cid:durableId="764306790">
    <w:abstractNumId w:val="13"/>
    <w:lvlOverride w:ilvl="0">
      <w:startOverride w:val="1"/>
    </w:lvlOverride>
    <w:lvlOverride w:ilvl="1">
      <w:startOverride w:val="1"/>
    </w:lvlOverride>
    <w:lvlOverride w:ilvl="2">
      <w:startOverride w:val="11"/>
    </w:lvlOverride>
  </w:num>
  <w:num w:numId="24" w16cid:durableId="1135610942">
    <w:abstractNumId w:val="13"/>
    <w:lvlOverride w:ilvl="0">
      <w:startOverride w:val="11"/>
    </w:lvlOverride>
    <w:lvlOverride w:ilvl="1">
      <w:startOverride w:val="1"/>
    </w:lvlOverride>
  </w:num>
  <w:num w:numId="25" w16cid:durableId="19460399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3647148">
    <w:abstractNumId w:val="18"/>
  </w:num>
  <w:num w:numId="27" w16cid:durableId="2022123924">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formatting="1" w:enforcement="0"/>
  <w:styleLockQFSet/>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7D4"/>
    <w:rsid w:val="000002C1"/>
    <w:rsid w:val="0000047B"/>
    <w:rsid w:val="00000EAA"/>
    <w:rsid w:val="00001AFF"/>
    <w:rsid w:val="00001BA1"/>
    <w:rsid w:val="00002175"/>
    <w:rsid w:val="0000220B"/>
    <w:rsid w:val="000025A8"/>
    <w:rsid w:val="00002E06"/>
    <w:rsid w:val="00002FE3"/>
    <w:rsid w:val="0000358B"/>
    <w:rsid w:val="00003976"/>
    <w:rsid w:val="00004903"/>
    <w:rsid w:val="00005062"/>
    <w:rsid w:val="0000545D"/>
    <w:rsid w:val="000055D2"/>
    <w:rsid w:val="00006534"/>
    <w:rsid w:val="0000655B"/>
    <w:rsid w:val="00006A06"/>
    <w:rsid w:val="00006A0B"/>
    <w:rsid w:val="00006B53"/>
    <w:rsid w:val="00006CBE"/>
    <w:rsid w:val="00006D05"/>
    <w:rsid w:val="00006FE6"/>
    <w:rsid w:val="000103D1"/>
    <w:rsid w:val="0001047A"/>
    <w:rsid w:val="0001052F"/>
    <w:rsid w:val="00010567"/>
    <w:rsid w:val="0001065C"/>
    <w:rsid w:val="00010830"/>
    <w:rsid w:val="00010BE2"/>
    <w:rsid w:val="00010EC5"/>
    <w:rsid w:val="00010F68"/>
    <w:rsid w:val="0001117C"/>
    <w:rsid w:val="000113F0"/>
    <w:rsid w:val="00011A98"/>
    <w:rsid w:val="00011DF4"/>
    <w:rsid w:val="00012382"/>
    <w:rsid w:val="000123DE"/>
    <w:rsid w:val="000124AF"/>
    <w:rsid w:val="00013300"/>
    <w:rsid w:val="000137B8"/>
    <w:rsid w:val="00013917"/>
    <w:rsid w:val="000139B4"/>
    <w:rsid w:val="00013B72"/>
    <w:rsid w:val="00014214"/>
    <w:rsid w:val="0001426E"/>
    <w:rsid w:val="0001442E"/>
    <w:rsid w:val="00014CE3"/>
    <w:rsid w:val="00014F9F"/>
    <w:rsid w:val="0001515B"/>
    <w:rsid w:val="00016266"/>
    <w:rsid w:val="00016352"/>
    <w:rsid w:val="00016381"/>
    <w:rsid w:val="00016599"/>
    <w:rsid w:val="0001675C"/>
    <w:rsid w:val="0001689E"/>
    <w:rsid w:val="00016A8B"/>
    <w:rsid w:val="00016E8B"/>
    <w:rsid w:val="000177C7"/>
    <w:rsid w:val="000178D9"/>
    <w:rsid w:val="0001799C"/>
    <w:rsid w:val="00017BE3"/>
    <w:rsid w:val="00017C58"/>
    <w:rsid w:val="00017FA5"/>
    <w:rsid w:val="000200BF"/>
    <w:rsid w:val="0002019B"/>
    <w:rsid w:val="000202AD"/>
    <w:rsid w:val="00020934"/>
    <w:rsid w:val="000210D3"/>
    <w:rsid w:val="0002116C"/>
    <w:rsid w:val="0002153D"/>
    <w:rsid w:val="000216F3"/>
    <w:rsid w:val="00021A37"/>
    <w:rsid w:val="00021EA9"/>
    <w:rsid w:val="00022095"/>
    <w:rsid w:val="00022103"/>
    <w:rsid w:val="000224CB"/>
    <w:rsid w:val="000228B8"/>
    <w:rsid w:val="00022B1C"/>
    <w:rsid w:val="00022BE6"/>
    <w:rsid w:val="0002308A"/>
    <w:rsid w:val="000231C8"/>
    <w:rsid w:val="00023AE1"/>
    <w:rsid w:val="00023C25"/>
    <w:rsid w:val="00023CE7"/>
    <w:rsid w:val="0002420C"/>
    <w:rsid w:val="00024497"/>
    <w:rsid w:val="000245C0"/>
    <w:rsid w:val="00024709"/>
    <w:rsid w:val="0002591D"/>
    <w:rsid w:val="0002596C"/>
    <w:rsid w:val="00025D07"/>
    <w:rsid w:val="00025E06"/>
    <w:rsid w:val="00026151"/>
    <w:rsid w:val="0002655F"/>
    <w:rsid w:val="000265BC"/>
    <w:rsid w:val="00026757"/>
    <w:rsid w:val="0002679D"/>
    <w:rsid w:val="00026E0D"/>
    <w:rsid w:val="000271A8"/>
    <w:rsid w:val="000278C0"/>
    <w:rsid w:val="000278E2"/>
    <w:rsid w:val="00027CA2"/>
    <w:rsid w:val="00027CA4"/>
    <w:rsid w:val="000304BF"/>
    <w:rsid w:val="000308D9"/>
    <w:rsid w:val="00030BBA"/>
    <w:rsid w:val="00030DAE"/>
    <w:rsid w:val="00031176"/>
    <w:rsid w:val="00031339"/>
    <w:rsid w:val="00031D08"/>
    <w:rsid w:val="000324EB"/>
    <w:rsid w:val="000325EF"/>
    <w:rsid w:val="0003269F"/>
    <w:rsid w:val="00033402"/>
    <w:rsid w:val="00033B3C"/>
    <w:rsid w:val="00034620"/>
    <w:rsid w:val="00034855"/>
    <w:rsid w:val="00034EF7"/>
    <w:rsid w:val="00035238"/>
    <w:rsid w:val="0003533F"/>
    <w:rsid w:val="0003698C"/>
    <w:rsid w:val="000369ED"/>
    <w:rsid w:val="00036E54"/>
    <w:rsid w:val="00036FF7"/>
    <w:rsid w:val="0003785D"/>
    <w:rsid w:val="000379D2"/>
    <w:rsid w:val="00037C55"/>
    <w:rsid w:val="00037FFA"/>
    <w:rsid w:val="000402D5"/>
    <w:rsid w:val="00040946"/>
    <w:rsid w:val="000417A0"/>
    <w:rsid w:val="00041A61"/>
    <w:rsid w:val="00041B2B"/>
    <w:rsid w:val="00041F20"/>
    <w:rsid w:val="00042149"/>
    <w:rsid w:val="00042488"/>
    <w:rsid w:val="000426D9"/>
    <w:rsid w:val="00042ED0"/>
    <w:rsid w:val="00042F43"/>
    <w:rsid w:val="00043042"/>
    <w:rsid w:val="00043339"/>
    <w:rsid w:val="00043D12"/>
    <w:rsid w:val="00044364"/>
    <w:rsid w:val="000444A6"/>
    <w:rsid w:val="000445B9"/>
    <w:rsid w:val="00044A56"/>
    <w:rsid w:val="00044D75"/>
    <w:rsid w:val="000455B3"/>
    <w:rsid w:val="000456D3"/>
    <w:rsid w:val="000457CE"/>
    <w:rsid w:val="0004582F"/>
    <w:rsid w:val="000466FC"/>
    <w:rsid w:val="0004682F"/>
    <w:rsid w:val="00046F28"/>
    <w:rsid w:val="00046FA4"/>
    <w:rsid w:val="00047389"/>
    <w:rsid w:val="000478FA"/>
    <w:rsid w:val="000503BB"/>
    <w:rsid w:val="0005065B"/>
    <w:rsid w:val="00050706"/>
    <w:rsid w:val="00050985"/>
    <w:rsid w:val="00050CED"/>
    <w:rsid w:val="00050F06"/>
    <w:rsid w:val="00051100"/>
    <w:rsid w:val="0005114B"/>
    <w:rsid w:val="000511C0"/>
    <w:rsid w:val="00051575"/>
    <w:rsid w:val="00051BB5"/>
    <w:rsid w:val="00051BFB"/>
    <w:rsid w:val="0005212F"/>
    <w:rsid w:val="00052638"/>
    <w:rsid w:val="00052B6C"/>
    <w:rsid w:val="00052BC7"/>
    <w:rsid w:val="00053043"/>
    <w:rsid w:val="000531D9"/>
    <w:rsid w:val="0005349D"/>
    <w:rsid w:val="00053826"/>
    <w:rsid w:val="00053CA0"/>
    <w:rsid w:val="00053E0D"/>
    <w:rsid w:val="00054B02"/>
    <w:rsid w:val="00054B3A"/>
    <w:rsid w:val="00054E14"/>
    <w:rsid w:val="00054EF3"/>
    <w:rsid w:val="00054F01"/>
    <w:rsid w:val="000550C9"/>
    <w:rsid w:val="000553A0"/>
    <w:rsid w:val="000554C6"/>
    <w:rsid w:val="00055749"/>
    <w:rsid w:val="00055C59"/>
    <w:rsid w:val="000565B3"/>
    <w:rsid w:val="00056D80"/>
    <w:rsid w:val="00057373"/>
    <w:rsid w:val="000573D5"/>
    <w:rsid w:val="0006057A"/>
    <w:rsid w:val="00060A4E"/>
    <w:rsid w:val="00060F6D"/>
    <w:rsid w:val="00060FF1"/>
    <w:rsid w:val="00061109"/>
    <w:rsid w:val="000613E1"/>
    <w:rsid w:val="00061723"/>
    <w:rsid w:val="00061745"/>
    <w:rsid w:val="0006207E"/>
    <w:rsid w:val="000626BD"/>
    <w:rsid w:val="000627CE"/>
    <w:rsid w:val="00062C7B"/>
    <w:rsid w:val="0006312F"/>
    <w:rsid w:val="000633A7"/>
    <w:rsid w:val="0006381E"/>
    <w:rsid w:val="00063DEA"/>
    <w:rsid w:val="000641ED"/>
    <w:rsid w:val="00064472"/>
    <w:rsid w:val="0006473D"/>
    <w:rsid w:val="00064A98"/>
    <w:rsid w:val="00064F49"/>
    <w:rsid w:val="00065056"/>
    <w:rsid w:val="000657A9"/>
    <w:rsid w:val="00065848"/>
    <w:rsid w:val="00065BCE"/>
    <w:rsid w:val="00065E8A"/>
    <w:rsid w:val="00065EC7"/>
    <w:rsid w:val="00066518"/>
    <w:rsid w:val="000665BC"/>
    <w:rsid w:val="00066F76"/>
    <w:rsid w:val="0006782F"/>
    <w:rsid w:val="0006799F"/>
    <w:rsid w:val="0007049A"/>
    <w:rsid w:val="00070A00"/>
    <w:rsid w:val="000711DC"/>
    <w:rsid w:val="0007145A"/>
    <w:rsid w:val="000714ED"/>
    <w:rsid w:val="00072466"/>
    <w:rsid w:val="000725CC"/>
    <w:rsid w:val="0007298D"/>
    <w:rsid w:val="00072ABD"/>
    <w:rsid w:val="00073208"/>
    <w:rsid w:val="00074174"/>
    <w:rsid w:val="00074266"/>
    <w:rsid w:val="0007426D"/>
    <w:rsid w:val="000746EC"/>
    <w:rsid w:val="0007498B"/>
    <w:rsid w:val="000749B8"/>
    <w:rsid w:val="00074DCB"/>
    <w:rsid w:val="000755CD"/>
    <w:rsid w:val="00075601"/>
    <w:rsid w:val="00075962"/>
    <w:rsid w:val="00075BFC"/>
    <w:rsid w:val="00076293"/>
    <w:rsid w:val="00076707"/>
    <w:rsid w:val="0007673D"/>
    <w:rsid w:val="00076FCB"/>
    <w:rsid w:val="0007712A"/>
    <w:rsid w:val="000774CD"/>
    <w:rsid w:val="00077729"/>
    <w:rsid w:val="000809A8"/>
    <w:rsid w:val="00080C0B"/>
    <w:rsid w:val="00081231"/>
    <w:rsid w:val="000819B7"/>
    <w:rsid w:val="00081C77"/>
    <w:rsid w:val="0008304B"/>
    <w:rsid w:val="000838CA"/>
    <w:rsid w:val="000838D0"/>
    <w:rsid w:val="0008391B"/>
    <w:rsid w:val="000839F7"/>
    <w:rsid w:val="00083BEC"/>
    <w:rsid w:val="00083D7D"/>
    <w:rsid w:val="00084062"/>
    <w:rsid w:val="00084512"/>
    <w:rsid w:val="00084619"/>
    <w:rsid w:val="000849BE"/>
    <w:rsid w:val="00084B87"/>
    <w:rsid w:val="00084D4E"/>
    <w:rsid w:val="000851F8"/>
    <w:rsid w:val="000855A5"/>
    <w:rsid w:val="000855EB"/>
    <w:rsid w:val="0008597D"/>
    <w:rsid w:val="0008642B"/>
    <w:rsid w:val="00086440"/>
    <w:rsid w:val="00086EDD"/>
    <w:rsid w:val="00087376"/>
    <w:rsid w:val="000875BB"/>
    <w:rsid w:val="0009018A"/>
    <w:rsid w:val="00090522"/>
    <w:rsid w:val="00091205"/>
    <w:rsid w:val="00091262"/>
    <w:rsid w:val="00091352"/>
    <w:rsid w:val="0009154B"/>
    <w:rsid w:val="00091E1C"/>
    <w:rsid w:val="00092099"/>
    <w:rsid w:val="0009293B"/>
    <w:rsid w:val="00092968"/>
    <w:rsid w:val="00092BE8"/>
    <w:rsid w:val="00092F19"/>
    <w:rsid w:val="00092FD9"/>
    <w:rsid w:val="00093963"/>
    <w:rsid w:val="00093FCB"/>
    <w:rsid w:val="0009409E"/>
    <w:rsid w:val="000940E8"/>
    <w:rsid w:val="0009505F"/>
    <w:rsid w:val="00095F4B"/>
    <w:rsid w:val="00096267"/>
    <w:rsid w:val="000966FD"/>
    <w:rsid w:val="00096CFD"/>
    <w:rsid w:val="0009717C"/>
    <w:rsid w:val="000973BB"/>
    <w:rsid w:val="000979BA"/>
    <w:rsid w:val="00097AA6"/>
    <w:rsid w:val="000A01C5"/>
    <w:rsid w:val="000A06D8"/>
    <w:rsid w:val="000A0DA0"/>
    <w:rsid w:val="000A186D"/>
    <w:rsid w:val="000A1D04"/>
    <w:rsid w:val="000A1E3E"/>
    <w:rsid w:val="000A2019"/>
    <w:rsid w:val="000A21B9"/>
    <w:rsid w:val="000A281F"/>
    <w:rsid w:val="000A3767"/>
    <w:rsid w:val="000A3CC7"/>
    <w:rsid w:val="000A44DE"/>
    <w:rsid w:val="000A4774"/>
    <w:rsid w:val="000A4BD4"/>
    <w:rsid w:val="000A5187"/>
    <w:rsid w:val="000A5611"/>
    <w:rsid w:val="000A56DA"/>
    <w:rsid w:val="000A5952"/>
    <w:rsid w:val="000A61F5"/>
    <w:rsid w:val="000A6562"/>
    <w:rsid w:val="000A65CC"/>
    <w:rsid w:val="000A6A2B"/>
    <w:rsid w:val="000A6B3D"/>
    <w:rsid w:val="000A6C20"/>
    <w:rsid w:val="000A6E77"/>
    <w:rsid w:val="000A7F9B"/>
    <w:rsid w:val="000B03A2"/>
    <w:rsid w:val="000B08DD"/>
    <w:rsid w:val="000B21A9"/>
    <w:rsid w:val="000B21F2"/>
    <w:rsid w:val="000B2225"/>
    <w:rsid w:val="000B26F7"/>
    <w:rsid w:val="000B2705"/>
    <w:rsid w:val="000B2927"/>
    <w:rsid w:val="000B29A1"/>
    <w:rsid w:val="000B313E"/>
    <w:rsid w:val="000B357F"/>
    <w:rsid w:val="000B378A"/>
    <w:rsid w:val="000B4338"/>
    <w:rsid w:val="000B4A08"/>
    <w:rsid w:val="000B52AC"/>
    <w:rsid w:val="000B6037"/>
    <w:rsid w:val="000B64E9"/>
    <w:rsid w:val="000B66E0"/>
    <w:rsid w:val="000B66EC"/>
    <w:rsid w:val="000B6770"/>
    <w:rsid w:val="000B6858"/>
    <w:rsid w:val="000B798B"/>
    <w:rsid w:val="000C008B"/>
    <w:rsid w:val="000C03BA"/>
    <w:rsid w:val="000C0C4D"/>
    <w:rsid w:val="000C0DE4"/>
    <w:rsid w:val="000C0E22"/>
    <w:rsid w:val="000C128A"/>
    <w:rsid w:val="000C1418"/>
    <w:rsid w:val="000C185A"/>
    <w:rsid w:val="000C195D"/>
    <w:rsid w:val="000C1BF7"/>
    <w:rsid w:val="000C203E"/>
    <w:rsid w:val="000C2271"/>
    <w:rsid w:val="000C2342"/>
    <w:rsid w:val="000C2AE8"/>
    <w:rsid w:val="000C2C71"/>
    <w:rsid w:val="000C30FC"/>
    <w:rsid w:val="000C313A"/>
    <w:rsid w:val="000C3624"/>
    <w:rsid w:val="000C3796"/>
    <w:rsid w:val="000C3A4A"/>
    <w:rsid w:val="000C3D0E"/>
    <w:rsid w:val="000C3DFF"/>
    <w:rsid w:val="000C3FA5"/>
    <w:rsid w:val="000C3FB5"/>
    <w:rsid w:val="000C3FE0"/>
    <w:rsid w:val="000C4DB1"/>
    <w:rsid w:val="000C5352"/>
    <w:rsid w:val="000C54B8"/>
    <w:rsid w:val="000C56B3"/>
    <w:rsid w:val="000C5A7A"/>
    <w:rsid w:val="000C5C90"/>
    <w:rsid w:val="000C6B71"/>
    <w:rsid w:val="000C6BDE"/>
    <w:rsid w:val="000C6F74"/>
    <w:rsid w:val="000C724D"/>
    <w:rsid w:val="000C780C"/>
    <w:rsid w:val="000C7A95"/>
    <w:rsid w:val="000C7FFB"/>
    <w:rsid w:val="000D029F"/>
    <w:rsid w:val="000D0889"/>
    <w:rsid w:val="000D0BBB"/>
    <w:rsid w:val="000D0F92"/>
    <w:rsid w:val="000D1032"/>
    <w:rsid w:val="000D13FD"/>
    <w:rsid w:val="000D19D5"/>
    <w:rsid w:val="000D1C0A"/>
    <w:rsid w:val="000D1C65"/>
    <w:rsid w:val="000D1ECF"/>
    <w:rsid w:val="000D200B"/>
    <w:rsid w:val="000D2C3F"/>
    <w:rsid w:val="000D3349"/>
    <w:rsid w:val="000D3C09"/>
    <w:rsid w:val="000D4A70"/>
    <w:rsid w:val="000D5678"/>
    <w:rsid w:val="000D5A29"/>
    <w:rsid w:val="000D5BB2"/>
    <w:rsid w:val="000D5E0E"/>
    <w:rsid w:val="000D62C6"/>
    <w:rsid w:val="000D6306"/>
    <w:rsid w:val="000D692B"/>
    <w:rsid w:val="000D6E20"/>
    <w:rsid w:val="000D6FEC"/>
    <w:rsid w:val="000D71C5"/>
    <w:rsid w:val="000D72A7"/>
    <w:rsid w:val="000D757F"/>
    <w:rsid w:val="000D7761"/>
    <w:rsid w:val="000D79A8"/>
    <w:rsid w:val="000D7EED"/>
    <w:rsid w:val="000E0238"/>
    <w:rsid w:val="000E026A"/>
    <w:rsid w:val="000E05F3"/>
    <w:rsid w:val="000E06CF"/>
    <w:rsid w:val="000E08F7"/>
    <w:rsid w:val="000E185C"/>
    <w:rsid w:val="000E1DC5"/>
    <w:rsid w:val="000E1FFA"/>
    <w:rsid w:val="000E21C3"/>
    <w:rsid w:val="000E21F5"/>
    <w:rsid w:val="000E29D5"/>
    <w:rsid w:val="000E2CE3"/>
    <w:rsid w:val="000E2E39"/>
    <w:rsid w:val="000E30B3"/>
    <w:rsid w:val="000E3A9E"/>
    <w:rsid w:val="000E3E7A"/>
    <w:rsid w:val="000E3EA3"/>
    <w:rsid w:val="000E4027"/>
    <w:rsid w:val="000E414E"/>
    <w:rsid w:val="000E4271"/>
    <w:rsid w:val="000E429D"/>
    <w:rsid w:val="000E43DC"/>
    <w:rsid w:val="000E4431"/>
    <w:rsid w:val="000E45C4"/>
    <w:rsid w:val="000E47EA"/>
    <w:rsid w:val="000E4A84"/>
    <w:rsid w:val="000E4DE1"/>
    <w:rsid w:val="000E4F88"/>
    <w:rsid w:val="000E51AC"/>
    <w:rsid w:val="000E5528"/>
    <w:rsid w:val="000E572C"/>
    <w:rsid w:val="000E582D"/>
    <w:rsid w:val="000E58AE"/>
    <w:rsid w:val="000E59D1"/>
    <w:rsid w:val="000E5A1E"/>
    <w:rsid w:val="000E5B5F"/>
    <w:rsid w:val="000E5C59"/>
    <w:rsid w:val="000E6898"/>
    <w:rsid w:val="000E6A1C"/>
    <w:rsid w:val="000E6A27"/>
    <w:rsid w:val="000E6A65"/>
    <w:rsid w:val="000E6A68"/>
    <w:rsid w:val="000E6F62"/>
    <w:rsid w:val="000E74E5"/>
    <w:rsid w:val="000E7669"/>
    <w:rsid w:val="000E7758"/>
    <w:rsid w:val="000E78EE"/>
    <w:rsid w:val="000F0CF8"/>
    <w:rsid w:val="000F119B"/>
    <w:rsid w:val="000F12C8"/>
    <w:rsid w:val="000F15BA"/>
    <w:rsid w:val="000F1698"/>
    <w:rsid w:val="000F2B51"/>
    <w:rsid w:val="000F3B3E"/>
    <w:rsid w:val="000F3B4B"/>
    <w:rsid w:val="000F40C3"/>
    <w:rsid w:val="000F40EE"/>
    <w:rsid w:val="000F4266"/>
    <w:rsid w:val="000F4575"/>
    <w:rsid w:val="000F45F4"/>
    <w:rsid w:val="000F47CA"/>
    <w:rsid w:val="000F493A"/>
    <w:rsid w:val="000F4A0B"/>
    <w:rsid w:val="000F4BB1"/>
    <w:rsid w:val="000F4CA3"/>
    <w:rsid w:val="000F4F1D"/>
    <w:rsid w:val="000F63A5"/>
    <w:rsid w:val="000F688D"/>
    <w:rsid w:val="000F70BF"/>
    <w:rsid w:val="000F7DB7"/>
    <w:rsid w:val="001002BD"/>
    <w:rsid w:val="001007EE"/>
    <w:rsid w:val="0010082E"/>
    <w:rsid w:val="00100A4E"/>
    <w:rsid w:val="00100BC7"/>
    <w:rsid w:val="001010E0"/>
    <w:rsid w:val="00101A4C"/>
    <w:rsid w:val="00101F1A"/>
    <w:rsid w:val="001020CC"/>
    <w:rsid w:val="00102556"/>
    <w:rsid w:val="00102583"/>
    <w:rsid w:val="001025D5"/>
    <w:rsid w:val="00102DFF"/>
    <w:rsid w:val="0010327A"/>
    <w:rsid w:val="00103645"/>
    <w:rsid w:val="00103A04"/>
    <w:rsid w:val="00104414"/>
    <w:rsid w:val="00104DCB"/>
    <w:rsid w:val="001053FD"/>
    <w:rsid w:val="0010661A"/>
    <w:rsid w:val="00106E64"/>
    <w:rsid w:val="0010704B"/>
    <w:rsid w:val="0010742F"/>
    <w:rsid w:val="0010749D"/>
    <w:rsid w:val="00107A3E"/>
    <w:rsid w:val="00107B8E"/>
    <w:rsid w:val="001102E8"/>
    <w:rsid w:val="001103D8"/>
    <w:rsid w:val="0011062E"/>
    <w:rsid w:val="00110877"/>
    <w:rsid w:val="00110BC4"/>
    <w:rsid w:val="00110ECA"/>
    <w:rsid w:val="0011126C"/>
    <w:rsid w:val="001112C1"/>
    <w:rsid w:val="00111726"/>
    <w:rsid w:val="0011198E"/>
    <w:rsid w:val="00111A6D"/>
    <w:rsid w:val="00111CE6"/>
    <w:rsid w:val="00111FDB"/>
    <w:rsid w:val="00112410"/>
    <w:rsid w:val="001127CF"/>
    <w:rsid w:val="00113148"/>
    <w:rsid w:val="00113E32"/>
    <w:rsid w:val="00113FA1"/>
    <w:rsid w:val="001141D8"/>
    <w:rsid w:val="00114E55"/>
    <w:rsid w:val="0011532D"/>
    <w:rsid w:val="0011566E"/>
    <w:rsid w:val="00115880"/>
    <w:rsid w:val="0011596F"/>
    <w:rsid w:val="00115992"/>
    <w:rsid w:val="001161CF"/>
    <w:rsid w:val="001170AF"/>
    <w:rsid w:val="00117783"/>
    <w:rsid w:val="00117D3F"/>
    <w:rsid w:val="00120A65"/>
    <w:rsid w:val="00121307"/>
    <w:rsid w:val="00122B93"/>
    <w:rsid w:val="00122EA7"/>
    <w:rsid w:val="0012303A"/>
    <w:rsid w:val="00123609"/>
    <w:rsid w:val="00123AD9"/>
    <w:rsid w:val="00123BFE"/>
    <w:rsid w:val="00123E19"/>
    <w:rsid w:val="00124126"/>
    <w:rsid w:val="0012427D"/>
    <w:rsid w:val="00124469"/>
    <w:rsid w:val="001245DC"/>
    <w:rsid w:val="001247CD"/>
    <w:rsid w:val="001249A8"/>
    <w:rsid w:val="001254B8"/>
    <w:rsid w:val="0012565C"/>
    <w:rsid w:val="001262D3"/>
    <w:rsid w:val="001268C0"/>
    <w:rsid w:val="0012695B"/>
    <w:rsid w:val="00127067"/>
    <w:rsid w:val="00127327"/>
    <w:rsid w:val="001274A1"/>
    <w:rsid w:val="001277B7"/>
    <w:rsid w:val="001278A8"/>
    <w:rsid w:val="00127D3E"/>
    <w:rsid w:val="00127DAF"/>
    <w:rsid w:val="00127F69"/>
    <w:rsid w:val="00130352"/>
    <w:rsid w:val="0013067F"/>
    <w:rsid w:val="00130B90"/>
    <w:rsid w:val="00131433"/>
    <w:rsid w:val="001314FA"/>
    <w:rsid w:val="00131522"/>
    <w:rsid w:val="001317A1"/>
    <w:rsid w:val="00131D09"/>
    <w:rsid w:val="00131F57"/>
    <w:rsid w:val="00132593"/>
    <w:rsid w:val="0013289A"/>
    <w:rsid w:val="00132E99"/>
    <w:rsid w:val="00132F9C"/>
    <w:rsid w:val="001343EC"/>
    <w:rsid w:val="00134431"/>
    <w:rsid w:val="001345C9"/>
    <w:rsid w:val="001346FC"/>
    <w:rsid w:val="00134CEC"/>
    <w:rsid w:val="00134E6C"/>
    <w:rsid w:val="001350D5"/>
    <w:rsid w:val="00135127"/>
    <w:rsid w:val="0013545B"/>
    <w:rsid w:val="001358DE"/>
    <w:rsid w:val="00135EF4"/>
    <w:rsid w:val="00136255"/>
    <w:rsid w:val="00136D9B"/>
    <w:rsid w:val="00136DFA"/>
    <w:rsid w:val="0013731D"/>
    <w:rsid w:val="00137749"/>
    <w:rsid w:val="001377E7"/>
    <w:rsid w:val="0014032D"/>
    <w:rsid w:val="001404AE"/>
    <w:rsid w:val="0014072D"/>
    <w:rsid w:val="0014163F"/>
    <w:rsid w:val="00141805"/>
    <w:rsid w:val="001418E4"/>
    <w:rsid w:val="00141A4E"/>
    <w:rsid w:val="001420F1"/>
    <w:rsid w:val="001425A3"/>
    <w:rsid w:val="00142C1B"/>
    <w:rsid w:val="001430F2"/>
    <w:rsid w:val="00143260"/>
    <w:rsid w:val="001435B0"/>
    <w:rsid w:val="001436A2"/>
    <w:rsid w:val="0014388E"/>
    <w:rsid w:val="001439B5"/>
    <w:rsid w:val="001441D4"/>
    <w:rsid w:val="00144437"/>
    <w:rsid w:val="00144C84"/>
    <w:rsid w:val="001452E9"/>
    <w:rsid w:val="00145443"/>
    <w:rsid w:val="00145733"/>
    <w:rsid w:val="00145779"/>
    <w:rsid w:val="00145F53"/>
    <w:rsid w:val="00146589"/>
    <w:rsid w:val="001472C8"/>
    <w:rsid w:val="00147964"/>
    <w:rsid w:val="00147CB5"/>
    <w:rsid w:val="00150318"/>
    <w:rsid w:val="00150434"/>
    <w:rsid w:val="00150D21"/>
    <w:rsid w:val="00150E91"/>
    <w:rsid w:val="0015125E"/>
    <w:rsid w:val="00151E80"/>
    <w:rsid w:val="00152281"/>
    <w:rsid w:val="00152C76"/>
    <w:rsid w:val="0015311E"/>
    <w:rsid w:val="001533B5"/>
    <w:rsid w:val="001533CA"/>
    <w:rsid w:val="00153612"/>
    <w:rsid w:val="00153654"/>
    <w:rsid w:val="00153944"/>
    <w:rsid w:val="00153B60"/>
    <w:rsid w:val="00153C27"/>
    <w:rsid w:val="00154156"/>
    <w:rsid w:val="00155043"/>
    <w:rsid w:val="00155090"/>
    <w:rsid w:val="00155174"/>
    <w:rsid w:val="00155527"/>
    <w:rsid w:val="00155554"/>
    <w:rsid w:val="001555A0"/>
    <w:rsid w:val="001559C0"/>
    <w:rsid w:val="00155ED6"/>
    <w:rsid w:val="0015622A"/>
    <w:rsid w:val="001562C5"/>
    <w:rsid w:val="0015649C"/>
    <w:rsid w:val="00156532"/>
    <w:rsid w:val="00156F11"/>
    <w:rsid w:val="00157347"/>
    <w:rsid w:val="00157412"/>
    <w:rsid w:val="0015765F"/>
    <w:rsid w:val="00157B21"/>
    <w:rsid w:val="00157E50"/>
    <w:rsid w:val="00160079"/>
    <w:rsid w:val="00160708"/>
    <w:rsid w:val="00160755"/>
    <w:rsid w:val="001608E3"/>
    <w:rsid w:val="00161328"/>
    <w:rsid w:val="001617C6"/>
    <w:rsid w:val="00162FE1"/>
    <w:rsid w:val="001630B3"/>
    <w:rsid w:val="0016343C"/>
    <w:rsid w:val="001634A6"/>
    <w:rsid w:val="00163554"/>
    <w:rsid w:val="0016374D"/>
    <w:rsid w:val="001641BA"/>
    <w:rsid w:val="0016547A"/>
    <w:rsid w:val="0016594E"/>
    <w:rsid w:val="00165C9C"/>
    <w:rsid w:val="00165F50"/>
    <w:rsid w:val="0016632F"/>
    <w:rsid w:val="00166778"/>
    <w:rsid w:val="00166964"/>
    <w:rsid w:val="0016712B"/>
    <w:rsid w:val="001671CA"/>
    <w:rsid w:val="001672B5"/>
    <w:rsid w:val="00167626"/>
    <w:rsid w:val="00167DA3"/>
    <w:rsid w:val="00167ED5"/>
    <w:rsid w:val="00167F96"/>
    <w:rsid w:val="001703C9"/>
    <w:rsid w:val="00170CB0"/>
    <w:rsid w:val="001711CF"/>
    <w:rsid w:val="00171B68"/>
    <w:rsid w:val="00171D05"/>
    <w:rsid w:val="00171E13"/>
    <w:rsid w:val="00171EBA"/>
    <w:rsid w:val="00172000"/>
    <w:rsid w:val="00172104"/>
    <w:rsid w:val="00172814"/>
    <w:rsid w:val="001728E6"/>
    <w:rsid w:val="001729D0"/>
    <w:rsid w:val="00172A9D"/>
    <w:rsid w:val="00172C3C"/>
    <w:rsid w:val="00173433"/>
    <w:rsid w:val="001735C2"/>
    <w:rsid w:val="001739F9"/>
    <w:rsid w:val="00173C42"/>
    <w:rsid w:val="00174424"/>
    <w:rsid w:val="0017466F"/>
    <w:rsid w:val="00174756"/>
    <w:rsid w:val="0017503D"/>
    <w:rsid w:val="00175041"/>
    <w:rsid w:val="00175278"/>
    <w:rsid w:val="00175EFC"/>
    <w:rsid w:val="001760E4"/>
    <w:rsid w:val="001761CA"/>
    <w:rsid w:val="0017641F"/>
    <w:rsid w:val="0017656D"/>
    <w:rsid w:val="00176AB6"/>
    <w:rsid w:val="00176B41"/>
    <w:rsid w:val="00176B49"/>
    <w:rsid w:val="00177269"/>
    <w:rsid w:val="00177370"/>
    <w:rsid w:val="0017757E"/>
    <w:rsid w:val="00177DE3"/>
    <w:rsid w:val="001800B5"/>
    <w:rsid w:val="001800F7"/>
    <w:rsid w:val="001806A7"/>
    <w:rsid w:val="00180A47"/>
    <w:rsid w:val="00180F34"/>
    <w:rsid w:val="0018120B"/>
    <w:rsid w:val="001812F7"/>
    <w:rsid w:val="00181F4A"/>
    <w:rsid w:val="00182345"/>
    <w:rsid w:val="001824F1"/>
    <w:rsid w:val="00182A6E"/>
    <w:rsid w:val="00182A75"/>
    <w:rsid w:val="00183050"/>
    <w:rsid w:val="001838AB"/>
    <w:rsid w:val="001838E3"/>
    <w:rsid w:val="00183E67"/>
    <w:rsid w:val="00183EC7"/>
    <w:rsid w:val="001840BE"/>
    <w:rsid w:val="00184BAA"/>
    <w:rsid w:val="00184E93"/>
    <w:rsid w:val="00185073"/>
    <w:rsid w:val="0018525B"/>
    <w:rsid w:val="0018533F"/>
    <w:rsid w:val="00185380"/>
    <w:rsid w:val="001857EC"/>
    <w:rsid w:val="00185D29"/>
    <w:rsid w:val="00185E6B"/>
    <w:rsid w:val="00185F63"/>
    <w:rsid w:val="0018646F"/>
    <w:rsid w:val="001867FE"/>
    <w:rsid w:val="001869E4"/>
    <w:rsid w:val="00186FF5"/>
    <w:rsid w:val="001870CB"/>
    <w:rsid w:val="001872D7"/>
    <w:rsid w:val="00187CE2"/>
    <w:rsid w:val="00190198"/>
    <w:rsid w:val="0019055B"/>
    <w:rsid w:val="001906C7"/>
    <w:rsid w:val="00190958"/>
    <w:rsid w:val="00191679"/>
    <w:rsid w:val="00191821"/>
    <w:rsid w:val="001924C1"/>
    <w:rsid w:val="0019253A"/>
    <w:rsid w:val="00192DE0"/>
    <w:rsid w:val="00192EE9"/>
    <w:rsid w:val="001930E3"/>
    <w:rsid w:val="001931A8"/>
    <w:rsid w:val="001937D7"/>
    <w:rsid w:val="00193968"/>
    <w:rsid w:val="001939CB"/>
    <w:rsid w:val="00193B4A"/>
    <w:rsid w:val="00193CAA"/>
    <w:rsid w:val="00193D2B"/>
    <w:rsid w:val="001940FE"/>
    <w:rsid w:val="001942A7"/>
    <w:rsid w:val="00194346"/>
    <w:rsid w:val="00194CA5"/>
    <w:rsid w:val="00194E15"/>
    <w:rsid w:val="00195094"/>
    <w:rsid w:val="00195D37"/>
    <w:rsid w:val="00196023"/>
    <w:rsid w:val="00196C23"/>
    <w:rsid w:val="00197406"/>
    <w:rsid w:val="0019783C"/>
    <w:rsid w:val="001979B9"/>
    <w:rsid w:val="00197F43"/>
    <w:rsid w:val="001A05DC"/>
    <w:rsid w:val="001A0DCE"/>
    <w:rsid w:val="001A0F30"/>
    <w:rsid w:val="001A1FB2"/>
    <w:rsid w:val="001A2311"/>
    <w:rsid w:val="001A2E0B"/>
    <w:rsid w:val="001A3720"/>
    <w:rsid w:val="001A3AA0"/>
    <w:rsid w:val="001A3C1C"/>
    <w:rsid w:val="001A3CCD"/>
    <w:rsid w:val="001A3D3C"/>
    <w:rsid w:val="001A3D8A"/>
    <w:rsid w:val="001A40EA"/>
    <w:rsid w:val="001A47B6"/>
    <w:rsid w:val="001A4B64"/>
    <w:rsid w:val="001A4EDE"/>
    <w:rsid w:val="001A5376"/>
    <w:rsid w:val="001A5923"/>
    <w:rsid w:val="001A5F84"/>
    <w:rsid w:val="001A62FC"/>
    <w:rsid w:val="001A652D"/>
    <w:rsid w:val="001A6D6D"/>
    <w:rsid w:val="001A7610"/>
    <w:rsid w:val="001A7A34"/>
    <w:rsid w:val="001B056A"/>
    <w:rsid w:val="001B0B99"/>
    <w:rsid w:val="001B0F6D"/>
    <w:rsid w:val="001B10A8"/>
    <w:rsid w:val="001B114A"/>
    <w:rsid w:val="001B1314"/>
    <w:rsid w:val="001B1671"/>
    <w:rsid w:val="001B18B2"/>
    <w:rsid w:val="001B1C0B"/>
    <w:rsid w:val="001B1F36"/>
    <w:rsid w:val="001B237C"/>
    <w:rsid w:val="001B24A6"/>
    <w:rsid w:val="001B2598"/>
    <w:rsid w:val="001B2657"/>
    <w:rsid w:val="001B2781"/>
    <w:rsid w:val="001B2C66"/>
    <w:rsid w:val="001B2E5B"/>
    <w:rsid w:val="001B3001"/>
    <w:rsid w:val="001B3124"/>
    <w:rsid w:val="001B3166"/>
    <w:rsid w:val="001B391F"/>
    <w:rsid w:val="001B3D48"/>
    <w:rsid w:val="001B3F56"/>
    <w:rsid w:val="001B3FD1"/>
    <w:rsid w:val="001B41CA"/>
    <w:rsid w:val="001B541E"/>
    <w:rsid w:val="001B5AA6"/>
    <w:rsid w:val="001B6862"/>
    <w:rsid w:val="001B70D4"/>
    <w:rsid w:val="001B7759"/>
    <w:rsid w:val="001B79D7"/>
    <w:rsid w:val="001C01AE"/>
    <w:rsid w:val="001C08DD"/>
    <w:rsid w:val="001C0916"/>
    <w:rsid w:val="001C0ABE"/>
    <w:rsid w:val="001C0D88"/>
    <w:rsid w:val="001C1228"/>
    <w:rsid w:val="001C131E"/>
    <w:rsid w:val="001C273A"/>
    <w:rsid w:val="001C2996"/>
    <w:rsid w:val="001C29F5"/>
    <w:rsid w:val="001C2D44"/>
    <w:rsid w:val="001C3042"/>
    <w:rsid w:val="001C3169"/>
    <w:rsid w:val="001C325A"/>
    <w:rsid w:val="001C32BD"/>
    <w:rsid w:val="001C35A9"/>
    <w:rsid w:val="001C364E"/>
    <w:rsid w:val="001C3660"/>
    <w:rsid w:val="001C3827"/>
    <w:rsid w:val="001C3B6A"/>
    <w:rsid w:val="001C4B2E"/>
    <w:rsid w:val="001C5A66"/>
    <w:rsid w:val="001C5AD6"/>
    <w:rsid w:val="001C6C88"/>
    <w:rsid w:val="001C6FFE"/>
    <w:rsid w:val="001C7518"/>
    <w:rsid w:val="001C7554"/>
    <w:rsid w:val="001C7ADC"/>
    <w:rsid w:val="001C7D9D"/>
    <w:rsid w:val="001D01A2"/>
    <w:rsid w:val="001D068E"/>
    <w:rsid w:val="001D07CD"/>
    <w:rsid w:val="001D07FE"/>
    <w:rsid w:val="001D09B5"/>
    <w:rsid w:val="001D1139"/>
    <w:rsid w:val="001D119C"/>
    <w:rsid w:val="001D1386"/>
    <w:rsid w:val="001D1E07"/>
    <w:rsid w:val="001D1E19"/>
    <w:rsid w:val="001D1FD8"/>
    <w:rsid w:val="001D28B6"/>
    <w:rsid w:val="001D2B47"/>
    <w:rsid w:val="001D2DDF"/>
    <w:rsid w:val="001D38D5"/>
    <w:rsid w:val="001D3EFB"/>
    <w:rsid w:val="001D3F31"/>
    <w:rsid w:val="001D46FF"/>
    <w:rsid w:val="001D49CA"/>
    <w:rsid w:val="001D5C58"/>
    <w:rsid w:val="001D604E"/>
    <w:rsid w:val="001D63E3"/>
    <w:rsid w:val="001D751F"/>
    <w:rsid w:val="001D7785"/>
    <w:rsid w:val="001D7A97"/>
    <w:rsid w:val="001D7A9B"/>
    <w:rsid w:val="001D7BFE"/>
    <w:rsid w:val="001D7C3E"/>
    <w:rsid w:val="001E018D"/>
    <w:rsid w:val="001E02F2"/>
    <w:rsid w:val="001E0693"/>
    <w:rsid w:val="001E0D1C"/>
    <w:rsid w:val="001E1597"/>
    <w:rsid w:val="001E2041"/>
    <w:rsid w:val="001E2233"/>
    <w:rsid w:val="001E27C9"/>
    <w:rsid w:val="001E2833"/>
    <w:rsid w:val="001E29B2"/>
    <w:rsid w:val="001E2C5D"/>
    <w:rsid w:val="001E2CC0"/>
    <w:rsid w:val="001E3169"/>
    <w:rsid w:val="001E3933"/>
    <w:rsid w:val="001E3C2C"/>
    <w:rsid w:val="001E3C90"/>
    <w:rsid w:val="001E403E"/>
    <w:rsid w:val="001E4955"/>
    <w:rsid w:val="001E5E20"/>
    <w:rsid w:val="001E5E94"/>
    <w:rsid w:val="001E5FF3"/>
    <w:rsid w:val="001E6164"/>
    <w:rsid w:val="001E6A18"/>
    <w:rsid w:val="001E6C8B"/>
    <w:rsid w:val="001E6F66"/>
    <w:rsid w:val="001E7316"/>
    <w:rsid w:val="001E79A3"/>
    <w:rsid w:val="001E7F0F"/>
    <w:rsid w:val="001F02F8"/>
    <w:rsid w:val="001F05A4"/>
    <w:rsid w:val="001F07A1"/>
    <w:rsid w:val="001F0D35"/>
    <w:rsid w:val="001F1177"/>
    <w:rsid w:val="001F120A"/>
    <w:rsid w:val="001F145A"/>
    <w:rsid w:val="001F1710"/>
    <w:rsid w:val="001F1785"/>
    <w:rsid w:val="001F17B3"/>
    <w:rsid w:val="001F19ED"/>
    <w:rsid w:val="001F2D5E"/>
    <w:rsid w:val="001F330D"/>
    <w:rsid w:val="001F35AD"/>
    <w:rsid w:val="001F35BE"/>
    <w:rsid w:val="001F35D1"/>
    <w:rsid w:val="001F42FC"/>
    <w:rsid w:val="001F42FD"/>
    <w:rsid w:val="001F43CA"/>
    <w:rsid w:val="001F43DB"/>
    <w:rsid w:val="001F4432"/>
    <w:rsid w:val="001F45E1"/>
    <w:rsid w:val="001F475B"/>
    <w:rsid w:val="001F4D10"/>
    <w:rsid w:val="001F4FCD"/>
    <w:rsid w:val="001F50E4"/>
    <w:rsid w:val="001F584A"/>
    <w:rsid w:val="001F5C80"/>
    <w:rsid w:val="001F5E01"/>
    <w:rsid w:val="001F5E77"/>
    <w:rsid w:val="001F6173"/>
    <w:rsid w:val="001F62BA"/>
    <w:rsid w:val="001F660B"/>
    <w:rsid w:val="001F670A"/>
    <w:rsid w:val="001F67F5"/>
    <w:rsid w:val="001F68D8"/>
    <w:rsid w:val="001F693D"/>
    <w:rsid w:val="001F6C31"/>
    <w:rsid w:val="001F6CB6"/>
    <w:rsid w:val="001F7323"/>
    <w:rsid w:val="001F7393"/>
    <w:rsid w:val="001F76BB"/>
    <w:rsid w:val="001F78C6"/>
    <w:rsid w:val="001F79F3"/>
    <w:rsid w:val="0020038D"/>
    <w:rsid w:val="002006CC"/>
    <w:rsid w:val="00200DAF"/>
    <w:rsid w:val="002011B0"/>
    <w:rsid w:val="00201388"/>
    <w:rsid w:val="002020C9"/>
    <w:rsid w:val="002021A5"/>
    <w:rsid w:val="002026D8"/>
    <w:rsid w:val="00202B70"/>
    <w:rsid w:val="002032A4"/>
    <w:rsid w:val="002032B5"/>
    <w:rsid w:val="00204E53"/>
    <w:rsid w:val="00205150"/>
    <w:rsid w:val="0020515B"/>
    <w:rsid w:val="00205B19"/>
    <w:rsid w:val="0020650C"/>
    <w:rsid w:val="00206BA3"/>
    <w:rsid w:val="00206D5A"/>
    <w:rsid w:val="00206DB7"/>
    <w:rsid w:val="00206FE9"/>
    <w:rsid w:val="00207339"/>
    <w:rsid w:val="00207DEA"/>
    <w:rsid w:val="002100EB"/>
    <w:rsid w:val="00210496"/>
    <w:rsid w:val="002118CE"/>
    <w:rsid w:val="002118EC"/>
    <w:rsid w:val="00211C09"/>
    <w:rsid w:val="00212BD4"/>
    <w:rsid w:val="00212E66"/>
    <w:rsid w:val="0021321B"/>
    <w:rsid w:val="002132C1"/>
    <w:rsid w:val="0021444C"/>
    <w:rsid w:val="00214629"/>
    <w:rsid w:val="00214AA9"/>
    <w:rsid w:val="00214C3B"/>
    <w:rsid w:val="00214E48"/>
    <w:rsid w:val="00214F45"/>
    <w:rsid w:val="00215990"/>
    <w:rsid w:val="00216456"/>
    <w:rsid w:val="0021651E"/>
    <w:rsid w:val="00216711"/>
    <w:rsid w:val="0021690B"/>
    <w:rsid w:val="00217260"/>
    <w:rsid w:val="00217DC0"/>
    <w:rsid w:val="0022063D"/>
    <w:rsid w:val="00220898"/>
    <w:rsid w:val="00220ABC"/>
    <w:rsid w:val="00220C21"/>
    <w:rsid w:val="00221409"/>
    <w:rsid w:val="00221B2B"/>
    <w:rsid w:val="00221B5A"/>
    <w:rsid w:val="00221F83"/>
    <w:rsid w:val="0022204C"/>
    <w:rsid w:val="00222214"/>
    <w:rsid w:val="00222431"/>
    <w:rsid w:val="002228D5"/>
    <w:rsid w:val="002229F4"/>
    <w:rsid w:val="00222F03"/>
    <w:rsid w:val="00223470"/>
    <w:rsid w:val="00223501"/>
    <w:rsid w:val="0022364B"/>
    <w:rsid w:val="00223679"/>
    <w:rsid w:val="0022488B"/>
    <w:rsid w:val="00224BD0"/>
    <w:rsid w:val="00224FDE"/>
    <w:rsid w:val="00225199"/>
    <w:rsid w:val="002252D8"/>
    <w:rsid w:val="002257BF"/>
    <w:rsid w:val="00225AF8"/>
    <w:rsid w:val="00225EF1"/>
    <w:rsid w:val="00226499"/>
    <w:rsid w:val="0022679C"/>
    <w:rsid w:val="0022679E"/>
    <w:rsid w:val="00226B0F"/>
    <w:rsid w:val="00226B69"/>
    <w:rsid w:val="00226C6E"/>
    <w:rsid w:val="00226D6F"/>
    <w:rsid w:val="00226E18"/>
    <w:rsid w:val="00226ECB"/>
    <w:rsid w:val="002273D7"/>
    <w:rsid w:val="002273E7"/>
    <w:rsid w:val="00227956"/>
    <w:rsid w:val="00227CA9"/>
    <w:rsid w:val="00227CF9"/>
    <w:rsid w:val="00227DD4"/>
    <w:rsid w:val="00227EDF"/>
    <w:rsid w:val="002302F9"/>
    <w:rsid w:val="0023047A"/>
    <w:rsid w:val="002307C0"/>
    <w:rsid w:val="00230C52"/>
    <w:rsid w:val="002310FD"/>
    <w:rsid w:val="0023163A"/>
    <w:rsid w:val="0023164A"/>
    <w:rsid w:val="00231B48"/>
    <w:rsid w:val="0023229B"/>
    <w:rsid w:val="002325B1"/>
    <w:rsid w:val="002325E1"/>
    <w:rsid w:val="002329F8"/>
    <w:rsid w:val="00232F11"/>
    <w:rsid w:val="00234301"/>
    <w:rsid w:val="002345BC"/>
    <w:rsid w:val="002351D6"/>
    <w:rsid w:val="0023550B"/>
    <w:rsid w:val="00235547"/>
    <w:rsid w:val="0023622C"/>
    <w:rsid w:val="00236573"/>
    <w:rsid w:val="002366A9"/>
    <w:rsid w:val="002367EA"/>
    <w:rsid w:val="00236D5D"/>
    <w:rsid w:val="002370D3"/>
    <w:rsid w:val="002373C3"/>
    <w:rsid w:val="00240A85"/>
    <w:rsid w:val="00240D3B"/>
    <w:rsid w:val="00240F96"/>
    <w:rsid w:val="00241054"/>
    <w:rsid w:val="002410D2"/>
    <w:rsid w:val="002410D5"/>
    <w:rsid w:val="0024119F"/>
    <w:rsid w:val="00241B57"/>
    <w:rsid w:val="00241FBE"/>
    <w:rsid w:val="00242247"/>
    <w:rsid w:val="00242372"/>
    <w:rsid w:val="002423A5"/>
    <w:rsid w:val="00242650"/>
    <w:rsid w:val="002428EB"/>
    <w:rsid w:val="00242949"/>
    <w:rsid w:val="00242A55"/>
    <w:rsid w:val="00242A56"/>
    <w:rsid w:val="00242B7A"/>
    <w:rsid w:val="00242C1B"/>
    <w:rsid w:val="00242FCF"/>
    <w:rsid w:val="0024313A"/>
    <w:rsid w:val="002433E7"/>
    <w:rsid w:val="002441BE"/>
    <w:rsid w:val="002443A0"/>
    <w:rsid w:val="0024455D"/>
    <w:rsid w:val="00244DF7"/>
    <w:rsid w:val="00245601"/>
    <w:rsid w:val="00245E11"/>
    <w:rsid w:val="00246152"/>
    <w:rsid w:val="002468C9"/>
    <w:rsid w:val="00246E2A"/>
    <w:rsid w:val="00247378"/>
    <w:rsid w:val="00247C7E"/>
    <w:rsid w:val="0025007C"/>
    <w:rsid w:val="002507FB"/>
    <w:rsid w:val="00250D58"/>
    <w:rsid w:val="00251426"/>
    <w:rsid w:val="00251631"/>
    <w:rsid w:val="002519BF"/>
    <w:rsid w:val="00251A41"/>
    <w:rsid w:val="00251BA7"/>
    <w:rsid w:val="00251C2E"/>
    <w:rsid w:val="00251CCE"/>
    <w:rsid w:val="002522D1"/>
    <w:rsid w:val="0025287C"/>
    <w:rsid w:val="00253083"/>
    <w:rsid w:val="00254579"/>
    <w:rsid w:val="002548D1"/>
    <w:rsid w:val="00254B50"/>
    <w:rsid w:val="00254E08"/>
    <w:rsid w:val="00255052"/>
    <w:rsid w:val="002552BF"/>
    <w:rsid w:val="0025553D"/>
    <w:rsid w:val="00255ADB"/>
    <w:rsid w:val="00255D22"/>
    <w:rsid w:val="002567A6"/>
    <w:rsid w:val="0025689C"/>
    <w:rsid w:val="002568BE"/>
    <w:rsid w:val="00256A4D"/>
    <w:rsid w:val="00256B3B"/>
    <w:rsid w:val="00256FF4"/>
    <w:rsid w:val="00257398"/>
    <w:rsid w:val="00257878"/>
    <w:rsid w:val="00257EE0"/>
    <w:rsid w:val="0026007C"/>
    <w:rsid w:val="00260133"/>
    <w:rsid w:val="00261141"/>
    <w:rsid w:val="00261991"/>
    <w:rsid w:val="00261B94"/>
    <w:rsid w:val="00261E19"/>
    <w:rsid w:val="00262877"/>
    <w:rsid w:val="002629E3"/>
    <w:rsid w:val="00262DC6"/>
    <w:rsid w:val="00262E81"/>
    <w:rsid w:val="00263360"/>
    <w:rsid w:val="00263672"/>
    <w:rsid w:val="002636B9"/>
    <w:rsid w:val="00263ED9"/>
    <w:rsid w:val="002640D6"/>
    <w:rsid w:val="002643BF"/>
    <w:rsid w:val="00264616"/>
    <w:rsid w:val="0026471E"/>
    <w:rsid w:val="00264958"/>
    <w:rsid w:val="0026561E"/>
    <w:rsid w:val="00265809"/>
    <w:rsid w:val="00265930"/>
    <w:rsid w:val="0026596A"/>
    <w:rsid w:val="00265D88"/>
    <w:rsid w:val="00265F69"/>
    <w:rsid w:val="00265FF1"/>
    <w:rsid w:val="0026635E"/>
    <w:rsid w:val="00266636"/>
    <w:rsid w:val="002666B8"/>
    <w:rsid w:val="00266ED1"/>
    <w:rsid w:val="0026732E"/>
    <w:rsid w:val="002674EA"/>
    <w:rsid w:val="00267A3D"/>
    <w:rsid w:val="00267D14"/>
    <w:rsid w:val="00267EC0"/>
    <w:rsid w:val="00270154"/>
    <w:rsid w:val="00270432"/>
    <w:rsid w:val="0027070A"/>
    <w:rsid w:val="00270B46"/>
    <w:rsid w:val="00270F31"/>
    <w:rsid w:val="0027121C"/>
    <w:rsid w:val="00271626"/>
    <w:rsid w:val="002722E5"/>
    <w:rsid w:val="00272425"/>
    <w:rsid w:val="00272441"/>
    <w:rsid w:val="0027283C"/>
    <w:rsid w:val="00272D27"/>
    <w:rsid w:val="002732CC"/>
    <w:rsid w:val="0027333B"/>
    <w:rsid w:val="00273390"/>
    <w:rsid w:val="00273A93"/>
    <w:rsid w:val="002744F4"/>
    <w:rsid w:val="0027462F"/>
    <w:rsid w:val="00274B5A"/>
    <w:rsid w:val="0027511F"/>
    <w:rsid w:val="002752CE"/>
    <w:rsid w:val="002756E6"/>
    <w:rsid w:val="00275A0A"/>
    <w:rsid w:val="00275B1C"/>
    <w:rsid w:val="00275BE6"/>
    <w:rsid w:val="00275EB3"/>
    <w:rsid w:val="0027608C"/>
    <w:rsid w:val="002764C1"/>
    <w:rsid w:val="0027656E"/>
    <w:rsid w:val="002765D7"/>
    <w:rsid w:val="00276C65"/>
    <w:rsid w:val="002775BE"/>
    <w:rsid w:val="002775DA"/>
    <w:rsid w:val="00277658"/>
    <w:rsid w:val="00277E79"/>
    <w:rsid w:val="0028009A"/>
    <w:rsid w:val="00280A7B"/>
    <w:rsid w:val="00280BD4"/>
    <w:rsid w:val="00280D8F"/>
    <w:rsid w:val="00280EA2"/>
    <w:rsid w:val="00280EA8"/>
    <w:rsid w:val="00281368"/>
    <w:rsid w:val="00281402"/>
    <w:rsid w:val="00281407"/>
    <w:rsid w:val="0028146F"/>
    <w:rsid w:val="00281BEC"/>
    <w:rsid w:val="0028209F"/>
    <w:rsid w:val="00282268"/>
    <w:rsid w:val="00283076"/>
    <w:rsid w:val="00283481"/>
    <w:rsid w:val="002839B8"/>
    <w:rsid w:val="00284B3B"/>
    <w:rsid w:val="0028587D"/>
    <w:rsid w:val="0028592C"/>
    <w:rsid w:val="00286041"/>
    <w:rsid w:val="002861DB"/>
    <w:rsid w:val="002864D5"/>
    <w:rsid w:val="002866E8"/>
    <w:rsid w:val="00286992"/>
    <w:rsid w:val="00286A7E"/>
    <w:rsid w:val="00286DA8"/>
    <w:rsid w:val="00286E50"/>
    <w:rsid w:val="00286ECA"/>
    <w:rsid w:val="00287295"/>
    <w:rsid w:val="00287304"/>
    <w:rsid w:val="0028766B"/>
    <w:rsid w:val="00287B5B"/>
    <w:rsid w:val="00290058"/>
    <w:rsid w:val="00290374"/>
    <w:rsid w:val="00290AB8"/>
    <w:rsid w:val="00290E0A"/>
    <w:rsid w:val="00290F1E"/>
    <w:rsid w:val="0029170B"/>
    <w:rsid w:val="0029171C"/>
    <w:rsid w:val="00291782"/>
    <w:rsid w:val="00291A4A"/>
    <w:rsid w:val="00291F58"/>
    <w:rsid w:val="00292636"/>
    <w:rsid w:val="0029315C"/>
    <w:rsid w:val="0029318B"/>
    <w:rsid w:val="00293270"/>
    <w:rsid w:val="002933F8"/>
    <w:rsid w:val="00293484"/>
    <w:rsid w:val="002935DE"/>
    <w:rsid w:val="00293607"/>
    <w:rsid w:val="0029371A"/>
    <w:rsid w:val="00293CF3"/>
    <w:rsid w:val="00293D35"/>
    <w:rsid w:val="002941E1"/>
    <w:rsid w:val="002943E1"/>
    <w:rsid w:val="002946B7"/>
    <w:rsid w:val="00295A24"/>
    <w:rsid w:val="00295FF3"/>
    <w:rsid w:val="002963D4"/>
    <w:rsid w:val="00296838"/>
    <w:rsid w:val="002969C4"/>
    <w:rsid w:val="00296DFC"/>
    <w:rsid w:val="0029776A"/>
    <w:rsid w:val="002A02B8"/>
    <w:rsid w:val="002A0C69"/>
    <w:rsid w:val="002A14A4"/>
    <w:rsid w:val="002A17B1"/>
    <w:rsid w:val="002A17E2"/>
    <w:rsid w:val="002A28F8"/>
    <w:rsid w:val="002A29FC"/>
    <w:rsid w:val="002A3150"/>
    <w:rsid w:val="002A3A82"/>
    <w:rsid w:val="002A3D1B"/>
    <w:rsid w:val="002A41EF"/>
    <w:rsid w:val="002A43EB"/>
    <w:rsid w:val="002A440B"/>
    <w:rsid w:val="002A47CB"/>
    <w:rsid w:val="002A4FE7"/>
    <w:rsid w:val="002A5194"/>
    <w:rsid w:val="002A5232"/>
    <w:rsid w:val="002A52B5"/>
    <w:rsid w:val="002A572B"/>
    <w:rsid w:val="002A6D5D"/>
    <w:rsid w:val="002A6D69"/>
    <w:rsid w:val="002A6FCF"/>
    <w:rsid w:val="002A6FD7"/>
    <w:rsid w:val="002A72CE"/>
    <w:rsid w:val="002A78A4"/>
    <w:rsid w:val="002B13AC"/>
    <w:rsid w:val="002B1D9F"/>
    <w:rsid w:val="002B1F67"/>
    <w:rsid w:val="002B2594"/>
    <w:rsid w:val="002B267F"/>
    <w:rsid w:val="002B2782"/>
    <w:rsid w:val="002B2EDF"/>
    <w:rsid w:val="002B301C"/>
    <w:rsid w:val="002B330E"/>
    <w:rsid w:val="002B38A1"/>
    <w:rsid w:val="002B3D97"/>
    <w:rsid w:val="002B3F91"/>
    <w:rsid w:val="002B44B6"/>
    <w:rsid w:val="002B46FB"/>
    <w:rsid w:val="002B4AFE"/>
    <w:rsid w:val="002B51DE"/>
    <w:rsid w:val="002B5341"/>
    <w:rsid w:val="002B54BA"/>
    <w:rsid w:val="002B5BE8"/>
    <w:rsid w:val="002B607C"/>
    <w:rsid w:val="002B61EF"/>
    <w:rsid w:val="002B62E5"/>
    <w:rsid w:val="002B6AA5"/>
    <w:rsid w:val="002B6DAB"/>
    <w:rsid w:val="002B7252"/>
    <w:rsid w:val="002B77F6"/>
    <w:rsid w:val="002C0494"/>
    <w:rsid w:val="002C057C"/>
    <w:rsid w:val="002C0ABA"/>
    <w:rsid w:val="002C0D75"/>
    <w:rsid w:val="002C1054"/>
    <w:rsid w:val="002C10C6"/>
    <w:rsid w:val="002C136B"/>
    <w:rsid w:val="002C1B67"/>
    <w:rsid w:val="002C1D3F"/>
    <w:rsid w:val="002C2049"/>
    <w:rsid w:val="002C2081"/>
    <w:rsid w:val="002C23F2"/>
    <w:rsid w:val="002C23F8"/>
    <w:rsid w:val="002C240C"/>
    <w:rsid w:val="002C243A"/>
    <w:rsid w:val="002C2523"/>
    <w:rsid w:val="002C285F"/>
    <w:rsid w:val="002C2A63"/>
    <w:rsid w:val="002C2D2D"/>
    <w:rsid w:val="002C2F51"/>
    <w:rsid w:val="002C3055"/>
    <w:rsid w:val="002C3298"/>
    <w:rsid w:val="002C3767"/>
    <w:rsid w:val="002C37FB"/>
    <w:rsid w:val="002C3ADB"/>
    <w:rsid w:val="002C3B97"/>
    <w:rsid w:val="002C3BE0"/>
    <w:rsid w:val="002C3D29"/>
    <w:rsid w:val="002C408D"/>
    <w:rsid w:val="002C454A"/>
    <w:rsid w:val="002C4616"/>
    <w:rsid w:val="002C53F3"/>
    <w:rsid w:val="002C5608"/>
    <w:rsid w:val="002C5EB8"/>
    <w:rsid w:val="002C6073"/>
    <w:rsid w:val="002C621B"/>
    <w:rsid w:val="002C6378"/>
    <w:rsid w:val="002C6446"/>
    <w:rsid w:val="002C6600"/>
    <w:rsid w:val="002C6668"/>
    <w:rsid w:val="002C669D"/>
    <w:rsid w:val="002C686D"/>
    <w:rsid w:val="002C6AFD"/>
    <w:rsid w:val="002C6C13"/>
    <w:rsid w:val="002C6C61"/>
    <w:rsid w:val="002C6CDB"/>
    <w:rsid w:val="002C6E97"/>
    <w:rsid w:val="002C6F97"/>
    <w:rsid w:val="002C77A9"/>
    <w:rsid w:val="002C7D6F"/>
    <w:rsid w:val="002D0331"/>
    <w:rsid w:val="002D08D0"/>
    <w:rsid w:val="002D0BF9"/>
    <w:rsid w:val="002D15D5"/>
    <w:rsid w:val="002D17E7"/>
    <w:rsid w:val="002D28E4"/>
    <w:rsid w:val="002D2A71"/>
    <w:rsid w:val="002D2AD5"/>
    <w:rsid w:val="002D3312"/>
    <w:rsid w:val="002D3399"/>
    <w:rsid w:val="002D3455"/>
    <w:rsid w:val="002D34D2"/>
    <w:rsid w:val="002D3716"/>
    <w:rsid w:val="002D3FA7"/>
    <w:rsid w:val="002D414D"/>
    <w:rsid w:val="002D4B8F"/>
    <w:rsid w:val="002D519A"/>
    <w:rsid w:val="002D550E"/>
    <w:rsid w:val="002D59AD"/>
    <w:rsid w:val="002D5CB0"/>
    <w:rsid w:val="002D672B"/>
    <w:rsid w:val="002D6C03"/>
    <w:rsid w:val="002D6C99"/>
    <w:rsid w:val="002D6DFB"/>
    <w:rsid w:val="002D705C"/>
    <w:rsid w:val="002D70E2"/>
    <w:rsid w:val="002D7127"/>
    <w:rsid w:val="002D71BD"/>
    <w:rsid w:val="002D772C"/>
    <w:rsid w:val="002D7967"/>
    <w:rsid w:val="002D79FA"/>
    <w:rsid w:val="002D7BA2"/>
    <w:rsid w:val="002D7BF0"/>
    <w:rsid w:val="002E02FA"/>
    <w:rsid w:val="002E0AD1"/>
    <w:rsid w:val="002E0D73"/>
    <w:rsid w:val="002E13AE"/>
    <w:rsid w:val="002E13BA"/>
    <w:rsid w:val="002E1664"/>
    <w:rsid w:val="002E1992"/>
    <w:rsid w:val="002E1FBE"/>
    <w:rsid w:val="002E303B"/>
    <w:rsid w:val="002E352D"/>
    <w:rsid w:val="002E3890"/>
    <w:rsid w:val="002E3A8E"/>
    <w:rsid w:val="002E3D35"/>
    <w:rsid w:val="002E417C"/>
    <w:rsid w:val="002E4267"/>
    <w:rsid w:val="002E474E"/>
    <w:rsid w:val="002E4E2D"/>
    <w:rsid w:val="002E4ED3"/>
    <w:rsid w:val="002E4F27"/>
    <w:rsid w:val="002E51FE"/>
    <w:rsid w:val="002E5A0D"/>
    <w:rsid w:val="002E5BC0"/>
    <w:rsid w:val="002E615D"/>
    <w:rsid w:val="002E6202"/>
    <w:rsid w:val="002E66C0"/>
    <w:rsid w:val="002E6942"/>
    <w:rsid w:val="002E6A3F"/>
    <w:rsid w:val="002E6F58"/>
    <w:rsid w:val="002E71AF"/>
    <w:rsid w:val="002E75CB"/>
    <w:rsid w:val="002E79E2"/>
    <w:rsid w:val="002E7EFA"/>
    <w:rsid w:val="002F012B"/>
    <w:rsid w:val="002F0644"/>
    <w:rsid w:val="002F10C8"/>
    <w:rsid w:val="002F1282"/>
    <w:rsid w:val="002F1577"/>
    <w:rsid w:val="002F173D"/>
    <w:rsid w:val="002F18FE"/>
    <w:rsid w:val="002F1A4C"/>
    <w:rsid w:val="002F1D9D"/>
    <w:rsid w:val="002F1EA5"/>
    <w:rsid w:val="002F209B"/>
    <w:rsid w:val="002F2472"/>
    <w:rsid w:val="002F25E7"/>
    <w:rsid w:val="002F2B76"/>
    <w:rsid w:val="002F3C6B"/>
    <w:rsid w:val="002F3CEC"/>
    <w:rsid w:val="002F3D53"/>
    <w:rsid w:val="002F407B"/>
    <w:rsid w:val="002F42FB"/>
    <w:rsid w:val="002F4353"/>
    <w:rsid w:val="002F437C"/>
    <w:rsid w:val="002F4824"/>
    <w:rsid w:val="002F4A65"/>
    <w:rsid w:val="002F5012"/>
    <w:rsid w:val="002F572F"/>
    <w:rsid w:val="002F57A6"/>
    <w:rsid w:val="002F5A6C"/>
    <w:rsid w:val="002F5B47"/>
    <w:rsid w:val="002F5E13"/>
    <w:rsid w:val="002F5F26"/>
    <w:rsid w:val="002F648A"/>
    <w:rsid w:val="002F64D1"/>
    <w:rsid w:val="002F664B"/>
    <w:rsid w:val="002F6671"/>
    <w:rsid w:val="002F6730"/>
    <w:rsid w:val="002F6811"/>
    <w:rsid w:val="002F69D1"/>
    <w:rsid w:val="002F6B49"/>
    <w:rsid w:val="002F6F53"/>
    <w:rsid w:val="002F770A"/>
    <w:rsid w:val="002F7A59"/>
    <w:rsid w:val="002F7B39"/>
    <w:rsid w:val="002F7C06"/>
    <w:rsid w:val="002F7C50"/>
    <w:rsid w:val="00300093"/>
    <w:rsid w:val="003006D0"/>
    <w:rsid w:val="00300B0B"/>
    <w:rsid w:val="003011E6"/>
    <w:rsid w:val="003018DD"/>
    <w:rsid w:val="00301AD8"/>
    <w:rsid w:val="00301B9D"/>
    <w:rsid w:val="00301DC4"/>
    <w:rsid w:val="0030283E"/>
    <w:rsid w:val="0030297B"/>
    <w:rsid w:val="00302B0A"/>
    <w:rsid w:val="00303174"/>
    <w:rsid w:val="0030353E"/>
    <w:rsid w:val="00303565"/>
    <w:rsid w:val="00303D1A"/>
    <w:rsid w:val="00303EF5"/>
    <w:rsid w:val="00303F84"/>
    <w:rsid w:val="00304461"/>
    <w:rsid w:val="003046B4"/>
    <w:rsid w:val="00305084"/>
    <w:rsid w:val="003055FB"/>
    <w:rsid w:val="003059C4"/>
    <w:rsid w:val="00305A29"/>
    <w:rsid w:val="0030616B"/>
    <w:rsid w:val="00306887"/>
    <w:rsid w:val="00306A62"/>
    <w:rsid w:val="00306CDC"/>
    <w:rsid w:val="00306FDE"/>
    <w:rsid w:val="00307745"/>
    <w:rsid w:val="0030787F"/>
    <w:rsid w:val="003105D2"/>
    <w:rsid w:val="0031092F"/>
    <w:rsid w:val="00310AD0"/>
    <w:rsid w:val="00310C13"/>
    <w:rsid w:val="00311043"/>
    <w:rsid w:val="003110C8"/>
    <w:rsid w:val="00311643"/>
    <w:rsid w:val="0031170C"/>
    <w:rsid w:val="003122FB"/>
    <w:rsid w:val="00312345"/>
    <w:rsid w:val="003124DC"/>
    <w:rsid w:val="00312536"/>
    <w:rsid w:val="00312B34"/>
    <w:rsid w:val="00312EC9"/>
    <w:rsid w:val="0031339E"/>
    <w:rsid w:val="00313A27"/>
    <w:rsid w:val="00313E5A"/>
    <w:rsid w:val="00314470"/>
    <w:rsid w:val="00314783"/>
    <w:rsid w:val="00314873"/>
    <w:rsid w:val="00314BCA"/>
    <w:rsid w:val="00315B0E"/>
    <w:rsid w:val="00315E60"/>
    <w:rsid w:val="00315F9E"/>
    <w:rsid w:val="00316436"/>
    <w:rsid w:val="00316683"/>
    <w:rsid w:val="00316A24"/>
    <w:rsid w:val="003172FA"/>
    <w:rsid w:val="00317636"/>
    <w:rsid w:val="003176BD"/>
    <w:rsid w:val="00317A83"/>
    <w:rsid w:val="00317C02"/>
    <w:rsid w:val="00317CED"/>
    <w:rsid w:val="00317FD6"/>
    <w:rsid w:val="003206A4"/>
    <w:rsid w:val="003207B8"/>
    <w:rsid w:val="00320AED"/>
    <w:rsid w:val="003213FA"/>
    <w:rsid w:val="00322029"/>
    <w:rsid w:val="0032214C"/>
    <w:rsid w:val="00322CD0"/>
    <w:rsid w:val="003232C4"/>
    <w:rsid w:val="00323E51"/>
    <w:rsid w:val="00324127"/>
    <w:rsid w:val="00324132"/>
    <w:rsid w:val="003244D4"/>
    <w:rsid w:val="003245D2"/>
    <w:rsid w:val="00324B13"/>
    <w:rsid w:val="00324B31"/>
    <w:rsid w:val="00324D96"/>
    <w:rsid w:val="00325876"/>
    <w:rsid w:val="00325C0F"/>
    <w:rsid w:val="00325C7C"/>
    <w:rsid w:val="00325DEE"/>
    <w:rsid w:val="00325FA6"/>
    <w:rsid w:val="00325FD9"/>
    <w:rsid w:val="00326737"/>
    <w:rsid w:val="003267CB"/>
    <w:rsid w:val="003267D0"/>
    <w:rsid w:val="00326DDE"/>
    <w:rsid w:val="0032730E"/>
    <w:rsid w:val="0032755E"/>
    <w:rsid w:val="00327798"/>
    <w:rsid w:val="00327CD5"/>
    <w:rsid w:val="00327EC3"/>
    <w:rsid w:val="0033018B"/>
    <w:rsid w:val="0033059F"/>
    <w:rsid w:val="0033086C"/>
    <w:rsid w:val="003308BD"/>
    <w:rsid w:val="00331318"/>
    <w:rsid w:val="003314E9"/>
    <w:rsid w:val="00331505"/>
    <w:rsid w:val="00331A10"/>
    <w:rsid w:val="00331D37"/>
    <w:rsid w:val="00332255"/>
    <w:rsid w:val="00332409"/>
    <w:rsid w:val="0033263E"/>
    <w:rsid w:val="00332813"/>
    <w:rsid w:val="00332B2D"/>
    <w:rsid w:val="00332B68"/>
    <w:rsid w:val="0033366B"/>
    <w:rsid w:val="00333A32"/>
    <w:rsid w:val="00333AFF"/>
    <w:rsid w:val="00333CC2"/>
    <w:rsid w:val="003342D4"/>
    <w:rsid w:val="00334FE9"/>
    <w:rsid w:val="00335221"/>
    <w:rsid w:val="003352B6"/>
    <w:rsid w:val="003357E1"/>
    <w:rsid w:val="0033610F"/>
    <w:rsid w:val="00336662"/>
    <w:rsid w:val="003369DB"/>
    <w:rsid w:val="00336C89"/>
    <w:rsid w:val="00336DE7"/>
    <w:rsid w:val="00337854"/>
    <w:rsid w:val="00337AF4"/>
    <w:rsid w:val="00337C0C"/>
    <w:rsid w:val="00337C6C"/>
    <w:rsid w:val="00337C82"/>
    <w:rsid w:val="00340B00"/>
    <w:rsid w:val="003418D4"/>
    <w:rsid w:val="00341957"/>
    <w:rsid w:val="00341D13"/>
    <w:rsid w:val="00341E69"/>
    <w:rsid w:val="00342D58"/>
    <w:rsid w:val="00342D77"/>
    <w:rsid w:val="00342E3C"/>
    <w:rsid w:val="00343237"/>
    <w:rsid w:val="00343441"/>
    <w:rsid w:val="00343599"/>
    <w:rsid w:val="0034387D"/>
    <w:rsid w:val="00344255"/>
    <w:rsid w:val="003446EE"/>
    <w:rsid w:val="00345478"/>
    <w:rsid w:val="0034583A"/>
    <w:rsid w:val="00345B25"/>
    <w:rsid w:val="00345C7B"/>
    <w:rsid w:val="00346A34"/>
    <w:rsid w:val="00346EF5"/>
    <w:rsid w:val="003471DA"/>
    <w:rsid w:val="003475BA"/>
    <w:rsid w:val="003475F2"/>
    <w:rsid w:val="003477A1"/>
    <w:rsid w:val="00347999"/>
    <w:rsid w:val="00347A3C"/>
    <w:rsid w:val="00347A55"/>
    <w:rsid w:val="00347B83"/>
    <w:rsid w:val="00347E67"/>
    <w:rsid w:val="00350840"/>
    <w:rsid w:val="003514CA"/>
    <w:rsid w:val="0035177B"/>
    <w:rsid w:val="00351A68"/>
    <w:rsid w:val="00351BEF"/>
    <w:rsid w:val="00351F98"/>
    <w:rsid w:val="003524CC"/>
    <w:rsid w:val="003525D0"/>
    <w:rsid w:val="00352744"/>
    <w:rsid w:val="0035289E"/>
    <w:rsid w:val="0035338D"/>
    <w:rsid w:val="003533EC"/>
    <w:rsid w:val="00353E56"/>
    <w:rsid w:val="00354526"/>
    <w:rsid w:val="00354954"/>
    <w:rsid w:val="00355014"/>
    <w:rsid w:val="0035501E"/>
    <w:rsid w:val="00355214"/>
    <w:rsid w:val="003552F8"/>
    <w:rsid w:val="003555EB"/>
    <w:rsid w:val="0035565D"/>
    <w:rsid w:val="003556A4"/>
    <w:rsid w:val="00355930"/>
    <w:rsid w:val="003559A5"/>
    <w:rsid w:val="00356459"/>
    <w:rsid w:val="00356591"/>
    <w:rsid w:val="00356AE4"/>
    <w:rsid w:val="0035787A"/>
    <w:rsid w:val="00357E0A"/>
    <w:rsid w:val="00360094"/>
    <w:rsid w:val="00360354"/>
    <w:rsid w:val="00360462"/>
    <w:rsid w:val="003606C9"/>
    <w:rsid w:val="00360F36"/>
    <w:rsid w:val="00360FC8"/>
    <w:rsid w:val="003611C0"/>
    <w:rsid w:val="00361F65"/>
    <w:rsid w:val="00362BA9"/>
    <w:rsid w:val="00362F90"/>
    <w:rsid w:val="0036312C"/>
    <w:rsid w:val="00363153"/>
    <w:rsid w:val="003635B9"/>
    <w:rsid w:val="00363DAF"/>
    <w:rsid w:val="00364013"/>
    <w:rsid w:val="00364246"/>
    <w:rsid w:val="003642DD"/>
    <w:rsid w:val="0036463C"/>
    <w:rsid w:val="00364DC2"/>
    <w:rsid w:val="00364DFD"/>
    <w:rsid w:val="00364E52"/>
    <w:rsid w:val="003657AF"/>
    <w:rsid w:val="00365A56"/>
    <w:rsid w:val="00365DEA"/>
    <w:rsid w:val="00366102"/>
    <w:rsid w:val="003663BA"/>
    <w:rsid w:val="00366887"/>
    <w:rsid w:val="00366A1D"/>
    <w:rsid w:val="00366CC2"/>
    <w:rsid w:val="00366D82"/>
    <w:rsid w:val="00366E0D"/>
    <w:rsid w:val="00366E54"/>
    <w:rsid w:val="00367655"/>
    <w:rsid w:val="00367748"/>
    <w:rsid w:val="003677F5"/>
    <w:rsid w:val="00367C67"/>
    <w:rsid w:val="00367DEE"/>
    <w:rsid w:val="00367ECD"/>
    <w:rsid w:val="00367EDE"/>
    <w:rsid w:val="00367F03"/>
    <w:rsid w:val="003707A2"/>
    <w:rsid w:val="003709A8"/>
    <w:rsid w:val="00371EAD"/>
    <w:rsid w:val="00371FC1"/>
    <w:rsid w:val="003725AE"/>
    <w:rsid w:val="003726B3"/>
    <w:rsid w:val="00372942"/>
    <w:rsid w:val="00372E15"/>
    <w:rsid w:val="00372E71"/>
    <w:rsid w:val="0037341F"/>
    <w:rsid w:val="0037385E"/>
    <w:rsid w:val="0037399F"/>
    <w:rsid w:val="0037430C"/>
    <w:rsid w:val="0037453F"/>
    <w:rsid w:val="00374BAD"/>
    <w:rsid w:val="00375D8C"/>
    <w:rsid w:val="00376CB3"/>
    <w:rsid w:val="00376EB6"/>
    <w:rsid w:val="00376EE3"/>
    <w:rsid w:val="00376EE4"/>
    <w:rsid w:val="00376F19"/>
    <w:rsid w:val="00377434"/>
    <w:rsid w:val="0037784D"/>
    <w:rsid w:val="00377FF1"/>
    <w:rsid w:val="003800E1"/>
    <w:rsid w:val="003804B2"/>
    <w:rsid w:val="00381318"/>
    <w:rsid w:val="003814DE"/>
    <w:rsid w:val="003817C6"/>
    <w:rsid w:val="00381B06"/>
    <w:rsid w:val="00381C4D"/>
    <w:rsid w:val="00381F58"/>
    <w:rsid w:val="00382016"/>
    <w:rsid w:val="00382662"/>
    <w:rsid w:val="00382873"/>
    <w:rsid w:val="0038362C"/>
    <w:rsid w:val="0038382B"/>
    <w:rsid w:val="00383A41"/>
    <w:rsid w:val="00384398"/>
    <w:rsid w:val="003850D5"/>
    <w:rsid w:val="003854F7"/>
    <w:rsid w:val="003859F2"/>
    <w:rsid w:val="00385D95"/>
    <w:rsid w:val="00386135"/>
    <w:rsid w:val="003866B3"/>
    <w:rsid w:val="003868B2"/>
    <w:rsid w:val="00386D97"/>
    <w:rsid w:val="0038712A"/>
    <w:rsid w:val="0038772F"/>
    <w:rsid w:val="003878F6"/>
    <w:rsid w:val="00390370"/>
    <w:rsid w:val="0039051A"/>
    <w:rsid w:val="00390658"/>
    <w:rsid w:val="00390CBE"/>
    <w:rsid w:val="00390D89"/>
    <w:rsid w:val="00390DDF"/>
    <w:rsid w:val="00390F7F"/>
    <w:rsid w:val="0039107B"/>
    <w:rsid w:val="0039186B"/>
    <w:rsid w:val="00391923"/>
    <w:rsid w:val="00391D2A"/>
    <w:rsid w:val="00391EA9"/>
    <w:rsid w:val="003923ED"/>
    <w:rsid w:val="003928A2"/>
    <w:rsid w:val="003931F8"/>
    <w:rsid w:val="0039330F"/>
    <w:rsid w:val="00393836"/>
    <w:rsid w:val="003940C2"/>
    <w:rsid w:val="003941EB"/>
    <w:rsid w:val="003942DF"/>
    <w:rsid w:val="00394813"/>
    <w:rsid w:val="00394E62"/>
    <w:rsid w:val="003950A6"/>
    <w:rsid w:val="003950C5"/>
    <w:rsid w:val="00395259"/>
    <w:rsid w:val="003961AB"/>
    <w:rsid w:val="0039659F"/>
    <w:rsid w:val="003968FF"/>
    <w:rsid w:val="00396A62"/>
    <w:rsid w:val="00396A69"/>
    <w:rsid w:val="00396BBB"/>
    <w:rsid w:val="00396D8C"/>
    <w:rsid w:val="003972BA"/>
    <w:rsid w:val="003975BB"/>
    <w:rsid w:val="00397981"/>
    <w:rsid w:val="003979EF"/>
    <w:rsid w:val="003A0054"/>
    <w:rsid w:val="003A037F"/>
    <w:rsid w:val="003A0754"/>
    <w:rsid w:val="003A0880"/>
    <w:rsid w:val="003A09C8"/>
    <w:rsid w:val="003A0A07"/>
    <w:rsid w:val="003A0CBB"/>
    <w:rsid w:val="003A116B"/>
    <w:rsid w:val="003A13BD"/>
    <w:rsid w:val="003A14FE"/>
    <w:rsid w:val="003A25E6"/>
    <w:rsid w:val="003A2AFC"/>
    <w:rsid w:val="003A2C6B"/>
    <w:rsid w:val="003A2ED1"/>
    <w:rsid w:val="003A31A8"/>
    <w:rsid w:val="003A3C08"/>
    <w:rsid w:val="003A3F9D"/>
    <w:rsid w:val="003A42CF"/>
    <w:rsid w:val="003A4505"/>
    <w:rsid w:val="003A4512"/>
    <w:rsid w:val="003A4792"/>
    <w:rsid w:val="003A4DA0"/>
    <w:rsid w:val="003A57CD"/>
    <w:rsid w:val="003A5B4F"/>
    <w:rsid w:val="003A5B7D"/>
    <w:rsid w:val="003A62DB"/>
    <w:rsid w:val="003A6404"/>
    <w:rsid w:val="003A6C0F"/>
    <w:rsid w:val="003A742F"/>
    <w:rsid w:val="003A7710"/>
    <w:rsid w:val="003A7789"/>
    <w:rsid w:val="003B076D"/>
    <w:rsid w:val="003B0D2B"/>
    <w:rsid w:val="003B14C9"/>
    <w:rsid w:val="003B16F7"/>
    <w:rsid w:val="003B1BC1"/>
    <w:rsid w:val="003B1CAC"/>
    <w:rsid w:val="003B1D57"/>
    <w:rsid w:val="003B20ED"/>
    <w:rsid w:val="003B2106"/>
    <w:rsid w:val="003B249E"/>
    <w:rsid w:val="003B2541"/>
    <w:rsid w:val="003B2819"/>
    <w:rsid w:val="003B2AF4"/>
    <w:rsid w:val="003B3091"/>
    <w:rsid w:val="003B38F5"/>
    <w:rsid w:val="003B3C03"/>
    <w:rsid w:val="003B3C9D"/>
    <w:rsid w:val="003B3EB1"/>
    <w:rsid w:val="003B3F9F"/>
    <w:rsid w:val="003B4335"/>
    <w:rsid w:val="003B449E"/>
    <w:rsid w:val="003B47E6"/>
    <w:rsid w:val="003B48C5"/>
    <w:rsid w:val="003B4C55"/>
    <w:rsid w:val="003B4C94"/>
    <w:rsid w:val="003B5516"/>
    <w:rsid w:val="003B552D"/>
    <w:rsid w:val="003B5ABC"/>
    <w:rsid w:val="003B5B0B"/>
    <w:rsid w:val="003B6B6C"/>
    <w:rsid w:val="003B6F9D"/>
    <w:rsid w:val="003B709A"/>
    <w:rsid w:val="003B710B"/>
    <w:rsid w:val="003B740A"/>
    <w:rsid w:val="003B7539"/>
    <w:rsid w:val="003B7746"/>
    <w:rsid w:val="003B77DA"/>
    <w:rsid w:val="003B77FC"/>
    <w:rsid w:val="003B7CDD"/>
    <w:rsid w:val="003C044C"/>
    <w:rsid w:val="003C053F"/>
    <w:rsid w:val="003C05B9"/>
    <w:rsid w:val="003C0BF2"/>
    <w:rsid w:val="003C0C56"/>
    <w:rsid w:val="003C0CB6"/>
    <w:rsid w:val="003C0DFF"/>
    <w:rsid w:val="003C1101"/>
    <w:rsid w:val="003C117E"/>
    <w:rsid w:val="003C1A12"/>
    <w:rsid w:val="003C4340"/>
    <w:rsid w:val="003C4E05"/>
    <w:rsid w:val="003C50AE"/>
    <w:rsid w:val="003C58AC"/>
    <w:rsid w:val="003C5C4B"/>
    <w:rsid w:val="003C5CC7"/>
    <w:rsid w:val="003C5D04"/>
    <w:rsid w:val="003C60A6"/>
    <w:rsid w:val="003C6374"/>
    <w:rsid w:val="003C7070"/>
    <w:rsid w:val="003C7384"/>
    <w:rsid w:val="003C7569"/>
    <w:rsid w:val="003C7EA0"/>
    <w:rsid w:val="003D037C"/>
    <w:rsid w:val="003D03FE"/>
    <w:rsid w:val="003D06D6"/>
    <w:rsid w:val="003D07D4"/>
    <w:rsid w:val="003D1184"/>
    <w:rsid w:val="003D1464"/>
    <w:rsid w:val="003D1A57"/>
    <w:rsid w:val="003D1FB9"/>
    <w:rsid w:val="003D226F"/>
    <w:rsid w:val="003D231F"/>
    <w:rsid w:val="003D2600"/>
    <w:rsid w:val="003D2CB8"/>
    <w:rsid w:val="003D2DAA"/>
    <w:rsid w:val="003D2E19"/>
    <w:rsid w:val="003D2F39"/>
    <w:rsid w:val="003D362A"/>
    <w:rsid w:val="003D3A1F"/>
    <w:rsid w:val="003D423F"/>
    <w:rsid w:val="003D5043"/>
    <w:rsid w:val="003D5168"/>
    <w:rsid w:val="003D537C"/>
    <w:rsid w:val="003D556A"/>
    <w:rsid w:val="003D5A0B"/>
    <w:rsid w:val="003D5F0E"/>
    <w:rsid w:val="003D6251"/>
    <w:rsid w:val="003D6338"/>
    <w:rsid w:val="003D6601"/>
    <w:rsid w:val="003D66EB"/>
    <w:rsid w:val="003D6929"/>
    <w:rsid w:val="003D6D58"/>
    <w:rsid w:val="003D70B0"/>
    <w:rsid w:val="003D79F9"/>
    <w:rsid w:val="003E01C1"/>
    <w:rsid w:val="003E01E6"/>
    <w:rsid w:val="003E07AF"/>
    <w:rsid w:val="003E0A65"/>
    <w:rsid w:val="003E0DE3"/>
    <w:rsid w:val="003E0E0F"/>
    <w:rsid w:val="003E10A3"/>
    <w:rsid w:val="003E1199"/>
    <w:rsid w:val="003E1223"/>
    <w:rsid w:val="003E140B"/>
    <w:rsid w:val="003E16F9"/>
    <w:rsid w:val="003E217E"/>
    <w:rsid w:val="003E23A9"/>
    <w:rsid w:val="003E2768"/>
    <w:rsid w:val="003E2C0A"/>
    <w:rsid w:val="003E2F1B"/>
    <w:rsid w:val="003E3D41"/>
    <w:rsid w:val="003E532D"/>
    <w:rsid w:val="003E55E1"/>
    <w:rsid w:val="003E55FD"/>
    <w:rsid w:val="003E58E9"/>
    <w:rsid w:val="003E61B5"/>
    <w:rsid w:val="003E6D0A"/>
    <w:rsid w:val="003E706B"/>
    <w:rsid w:val="003E745C"/>
    <w:rsid w:val="003E74F3"/>
    <w:rsid w:val="003E7925"/>
    <w:rsid w:val="003F098A"/>
    <w:rsid w:val="003F0BEF"/>
    <w:rsid w:val="003F0E0D"/>
    <w:rsid w:val="003F117E"/>
    <w:rsid w:val="003F16DB"/>
    <w:rsid w:val="003F1777"/>
    <w:rsid w:val="003F1AB8"/>
    <w:rsid w:val="003F1EA5"/>
    <w:rsid w:val="003F1EBF"/>
    <w:rsid w:val="003F1F78"/>
    <w:rsid w:val="003F23AF"/>
    <w:rsid w:val="003F2617"/>
    <w:rsid w:val="003F264A"/>
    <w:rsid w:val="003F281E"/>
    <w:rsid w:val="003F2B8F"/>
    <w:rsid w:val="003F2C6C"/>
    <w:rsid w:val="003F2DC9"/>
    <w:rsid w:val="003F309A"/>
    <w:rsid w:val="003F3276"/>
    <w:rsid w:val="003F35A2"/>
    <w:rsid w:val="003F3665"/>
    <w:rsid w:val="003F3872"/>
    <w:rsid w:val="003F4418"/>
    <w:rsid w:val="003F4461"/>
    <w:rsid w:val="003F4CA6"/>
    <w:rsid w:val="003F4F83"/>
    <w:rsid w:val="003F4FA0"/>
    <w:rsid w:val="003F55D9"/>
    <w:rsid w:val="003F5747"/>
    <w:rsid w:val="003F576F"/>
    <w:rsid w:val="003F5997"/>
    <w:rsid w:val="003F6821"/>
    <w:rsid w:val="003F6AE8"/>
    <w:rsid w:val="003F6EFF"/>
    <w:rsid w:val="003F6FA6"/>
    <w:rsid w:val="003F704F"/>
    <w:rsid w:val="003F74DC"/>
    <w:rsid w:val="003F76A8"/>
    <w:rsid w:val="003F76D4"/>
    <w:rsid w:val="003F77EC"/>
    <w:rsid w:val="003F7921"/>
    <w:rsid w:val="003F79DB"/>
    <w:rsid w:val="003F7C5F"/>
    <w:rsid w:val="003F7E22"/>
    <w:rsid w:val="003F7EC0"/>
    <w:rsid w:val="00400371"/>
    <w:rsid w:val="00400572"/>
    <w:rsid w:val="004006F2"/>
    <w:rsid w:val="00400823"/>
    <w:rsid w:val="004008B1"/>
    <w:rsid w:val="004008C4"/>
    <w:rsid w:val="004009E2"/>
    <w:rsid w:val="00401A62"/>
    <w:rsid w:val="00401DA1"/>
    <w:rsid w:val="00401E3B"/>
    <w:rsid w:val="00401F00"/>
    <w:rsid w:val="0040238F"/>
    <w:rsid w:val="0040259E"/>
    <w:rsid w:val="004028CD"/>
    <w:rsid w:val="004034AA"/>
    <w:rsid w:val="004037C1"/>
    <w:rsid w:val="00403CD3"/>
    <w:rsid w:val="004048C5"/>
    <w:rsid w:val="00404C6B"/>
    <w:rsid w:val="00404DEC"/>
    <w:rsid w:val="00405018"/>
    <w:rsid w:val="0040567D"/>
    <w:rsid w:val="00405A08"/>
    <w:rsid w:val="00406152"/>
    <w:rsid w:val="004064B9"/>
    <w:rsid w:val="004068AC"/>
    <w:rsid w:val="00406AE8"/>
    <w:rsid w:val="00406F98"/>
    <w:rsid w:val="0040703E"/>
    <w:rsid w:val="004073AE"/>
    <w:rsid w:val="0041028F"/>
    <w:rsid w:val="004105C5"/>
    <w:rsid w:val="00410A02"/>
    <w:rsid w:val="00410A81"/>
    <w:rsid w:val="0041168C"/>
    <w:rsid w:val="0041187B"/>
    <w:rsid w:val="004119CB"/>
    <w:rsid w:val="00412420"/>
    <w:rsid w:val="00412588"/>
    <w:rsid w:val="00412A86"/>
    <w:rsid w:val="00412C37"/>
    <w:rsid w:val="00412F8C"/>
    <w:rsid w:val="004140D2"/>
    <w:rsid w:val="00414917"/>
    <w:rsid w:val="00414F59"/>
    <w:rsid w:val="004153F1"/>
    <w:rsid w:val="004156BF"/>
    <w:rsid w:val="004157E8"/>
    <w:rsid w:val="00415FF1"/>
    <w:rsid w:val="004170D6"/>
    <w:rsid w:val="004171CC"/>
    <w:rsid w:val="004175CC"/>
    <w:rsid w:val="00417C89"/>
    <w:rsid w:val="00420003"/>
    <w:rsid w:val="004207DE"/>
    <w:rsid w:val="00420914"/>
    <w:rsid w:val="00420E6E"/>
    <w:rsid w:val="00420F16"/>
    <w:rsid w:val="004210B9"/>
    <w:rsid w:val="00421170"/>
    <w:rsid w:val="0042152D"/>
    <w:rsid w:val="00421BAB"/>
    <w:rsid w:val="00421E5A"/>
    <w:rsid w:val="00422444"/>
    <w:rsid w:val="0042293C"/>
    <w:rsid w:val="0042343E"/>
    <w:rsid w:val="00423A47"/>
    <w:rsid w:val="00423F95"/>
    <w:rsid w:val="00424F60"/>
    <w:rsid w:val="00425167"/>
    <w:rsid w:val="004252A0"/>
    <w:rsid w:val="00425558"/>
    <w:rsid w:val="004257F6"/>
    <w:rsid w:val="00426122"/>
    <w:rsid w:val="00426519"/>
    <w:rsid w:val="00426D09"/>
    <w:rsid w:val="00426E84"/>
    <w:rsid w:val="00427091"/>
    <w:rsid w:val="004275D9"/>
    <w:rsid w:val="00427D3D"/>
    <w:rsid w:val="0043013D"/>
    <w:rsid w:val="0043086A"/>
    <w:rsid w:val="004317CC"/>
    <w:rsid w:val="00431854"/>
    <w:rsid w:val="00431A78"/>
    <w:rsid w:val="00431AF7"/>
    <w:rsid w:val="00431D93"/>
    <w:rsid w:val="00431E0D"/>
    <w:rsid w:val="00431F97"/>
    <w:rsid w:val="004322DF"/>
    <w:rsid w:val="004328A1"/>
    <w:rsid w:val="00432960"/>
    <w:rsid w:val="004329A7"/>
    <w:rsid w:val="00432D30"/>
    <w:rsid w:val="00432FD4"/>
    <w:rsid w:val="00433855"/>
    <w:rsid w:val="00433CC9"/>
    <w:rsid w:val="004340F2"/>
    <w:rsid w:val="00434111"/>
    <w:rsid w:val="0043421C"/>
    <w:rsid w:val="00434F9A"/>
    <w:rsid w:val="00435010"/>
    <w:rsid w:val="0043554F"/>
    <w:rsid w:val="004355C7"/>
    <w:rsid w:val="00435AB7"/>
    <w:rsid w:val="00435C12"/>
    <w:rsid w:val="00435C16"/>
    <w:rsid w:val="00436156"/>
    <w:rsid w:val="0043645F"/>
    <w:rsid w:val="00436952"/>
    <w:rsid w:val="00436CEB"/>
    <w:rsid w:val="00437541"/>
    <w:rsid w:val="00437611"/>
    <w:rsid w:val="00437BCD"/>
    <w:rsid w:val="00437BE2"/>
    <w:rsid w:val="004406D9"/>
    <w:rsid w:val="00440750"/>
    <w:rsid w:val="00440796"/>
    <w:rsid w:val="004418BA"/>
    <w:rsid w:val="004419F8"/>
    <w:rsid w:val="00441AC3"/>
    <w:rsid w:val="00441ACC"/>
    <w:rsid w:val="00441BD4"/>
    <w:rsid w:val="00441D4B"/>
    <w:rsid w:val="00442101"/>
    <w:rsid w:val="004428F8"/>
    <w:rsid w:val="00442C29"/>
    <w:rsid w:val="0044309A"/>
    <w:rsid w:val="0044312F"/>
    <w:rsid w:val="00443A28"/>
    <w:rsid w:val="00443DEE"/>
    <w:rsid w:val="00444342"/>
    <w:rsid w:val="004443CA"/>
    <w:rsid w:val="00444860"/>
    <w:rsid w:val="00444B3D"/>
    <w:rsid w:val="004450C1"/>
    <w:rsid w:val="0044593B"/>
    <w:rsid w:val="00445B35"/>
    <w:rsid w:val="00445E6D"/>
    <w:rsid w:val="004464B9"/>
    <w:rsid w:val="00446FE5"/>
    <w:rsid w:val="00447145"/>
    <w:rsid w:val="004471F4"/>
    <w:rsid w:val="00447323"/>
    <w:rsid w:val="00447ABA"/>
    <w:rsid w:val="00447FCD"/>
    <w:rsid w:val="00450046"/>
    <w:rsid w:val="00450073"/>
    <w:rsid w:val="004501F0"/>
    <w:rsid w:val="0045036D"/>
    <w:rsid w:val="00450799"/>
    <w:rsid w:val="0045111C"/>
    <w:rsid w:val="00452315"/>
    <w:rsid w:val="00452481"/>
    <w:rsid w:val="004525D4"/>
    <w:rsid w:val="00452E9F"/>
    <w:rsid w:val="00453307"/>
    <w:rsid w:val="00453546"/>
    <w:rsid w:val="00453ABC"/>
    <w:rsid w:val="00453F12"/>
    <w:rsid w:val="0045478B"/>
    <w:rsid w:val="00454817"/>
    <w:rsid w:val="0045497B"/>
    <w:rsid w:val="00454AD6"/>
    <w:rsid w:val="00455539"/>
    <w:rsid w:val="0045609F"/>
    <w:rsid w:val="00456296"/>
    <w:rsid w:val="004563FA"/>
    <w:rsid w:val="0045693E"/>
    <w:rsid w:val="00456A2C"/>
    <w:rsid w:val="00456A74"/>
    <w:rsid w:val="00456C74"/>
    <w:rsid w:val="00456E86"/>
    <w:rsid w:val="00456EAE"/>
    <w:rsid w:val="004571AD"/>
    <w:rsid w:val="004571F8"/>
    <w:rsid w:val="00457893"/>
    <w:rsid w:val="00457C87"/>
    <w:rsid w:val="00457DC4"/>
    <w:rsid w:val="00457F03"/>
    <w:rsid w:val="004602BE"/>
    <w:rsid w:val="00460BC6"/>
    <w:rsid w:val="00460CB1"/>
    <w:rsid w:val="00460CED"/>
    <w:rsid w:val="004611FB"/>
    <w:rsid w:val="004622FF"/>
    <w:rsid w:val="00462509"/>
    <w:rsid w:val="00462BC9"/>
    <w:rsid w:val="00463135"/>
    <w:rsid w:val="004631F3"/>
    <w:rsid w:val="004635BF"/>
    <w:rsid w:val="0046383C"/>
    <w:rsid w:val="00463BAA"/>
    <w:rsid w:val="0046414C"/>
    <w:rsid w:val="0046459D"/>
    <w:rsid w:val="004645EA"/>
    <w:rsid w:val="00464EF5"/>
    <w:rsid w:val="0046585F"/>
    <w:rsid w:val="00465B39"/>
    <w:rsid w:val="00466101"/>
    <w:rsid w:val="004663BF"/>
    <w:rsid w:val="0046670B"/>
    <w:rsid w:val="00466902"/>
    <w:rsid w:val="00466C95"/>
    <w:rsid w:val="004673A4"/>
    <w:rsid w:val="0046742C"/>
    <w:rsid w:val="00467697"/>
    <w:rsid w:val="00470187"/>
    <w:rsid w:val="00470573"/>
    <w:rsid w:val="004709C6"/>
    <w:rsid w:val="004709E8"/>
    <w:rsid w:val="00470CDD"/>
    <w:rsid w:val="00470DEF"/>
    <w:rsid w:val="004716F1"/>
    <w:rsid w:val="004717C3"/>
    <w:rsid w:val="00471905"/>
    <w:rsid w:val="00471A58"/>
    <w:rsid w:val="00472FC5"/>
    <w:rsid w:val="00473E23"/>
    <w:rsid w:val="00473F58"/>
    <w:rsid w:val="0047442D"/>
    <w:rsid w:val="004748FB"/>
    <w:rsid w:val="00474A85"/>
    <w:rsid w:val="00474C9C"/>
    <w:rsid w:val="00475242"/>
    <w:rsid w:val="004757C0"/>
    <w:rsid w:val="0047585F"/>
    <w:rsid w:val="0047596E"/>
    <w:rsid w:val="004760E7"/>
    <w:rsid w:val="0047674F"/>
    <w:rsid w:val="00476CE3"/>
    <w:rsid w:val="0047718F"/>
    <w:rsid w:val="0047748A"/>
    <w:rsid w:val="00477669"/>
    <w:rsid w:val="004806F4"/>
    <w:rsid w:val="00481493"/>
    <w:rsid w:val="00481BED"/>
    <w:rsid w:val="00481F38"/>
    <w:rsid w:val="004826B6"/>
    <w:rsid w:val="00482B13"/>
    <w:rsid w:val="0048313F"/>
    <w:rsid w:val="004834DD"/>
    <w:rsid w:val="00483834"/>
    <w:rsid w:val="00483D8A"/>
    <w:rsid w:val="0048448E"/>
    <w:rsid w:val="0048453E"/>
    <w:rsid w:val="00484797"/>
    <w:rsid w:val="004847DC"/>
    <w:rsid w:val="0048482E"/>
    <w:rsid w:val="00484AC7"/>
    <w:rsid w:val="00484C41"/>
    <w:rsid w:val="00485943"/>
    <w:rsid w:val="00485A3F"/>
    <w:rsid w:val="00485AB2"/>
    <w:rsid w:val="00485BCE"/>
    <w:rsid w:val="00485C16"/>
    <w:rsid w:val="0048625F"/>
    <w:rsid w:val="00486872"/>
    <w:rsid w:val="004869B5"/>
    <w:rsid w:val="004869E7"/>
    <w:rsid w:val="00486F8D"/>
    <w:rsid w:val="00487A3E"/>
    <w:rsid w:val="00487C4D"/>
    <w:rsid w:val="00487FBF"/>
    <w:rsid w:val="00490031"/>
    <w:rsid w:val="004901DB"/>
    <w:rsid w:val="004903DE"/>
    <w:rsid w:val="00490F80"/>
    <w:rsid w:val="00492444"/>
    <w:rsid w:val="0049254A"/>
    <w:rsid w:val="00492757"/>
    <w:rsid w:val="00492861"/>
    <w:rsid w:val="00492E97"/>
    <w:rsid w:val="00493D67"/>
    <w:rsid w:val="00493DAF"/>
    <w:rsid w:val="00493FDF"/>
    <w:rsid w:val="004945E6"/>
    <w:rsid w:val="0049472F"/>
    <w:rsid w:val="004948DD"/>
    <w:rsid w:val="00494A6A"/>
    <w:rsid w:val="0049505A"/>
    <w:rsid w:val="00495193"/>
    <w:rsid w:val="0049521F"/>
    <w:rsid w:val="00495671"/>
    <w:rsid w:val="00495B82"/>
    <w:rsid w:val="00495BB6"/>
    <w:rsid w:val="00495E8B"/>
    <w:rsid w:val="00496D93"/>
    <w:rsid w:val="00497046"/>
    <w:rsid w:val="0049728A"/>
    <w:rsid w:val="00497EDC"/>
    <w:rsid w:val="004A0266"/>
    <w:rsid w:val="004A030B"/>
    <w:rsid w:val="004A062D"/>
    <w:rsid w:val="004A0AC8"/>
    <w:rsid w:val="004A0BA7"/>
    <w:rsid w:val="004A0F9E"/>
    <w:rsid w:val="004A136C"/>
    <w:rsid w:val="004A1565"/>
    <w:rsid w:val="004A1828"/>
    <w:rsid w:val="004A1A3B"/>
    <w:rsid w:val="004A1C19"/>
    <w:rsid w:val="004A1DB0"/>
    <w:rsid w:val="004A2621"/>
    <w:rsid w:val="004A27EC"/>
    <w:rsid w:val="004A285E"/>
    <w:rsid w:val="004A2DF8"/>
    <w:rsid w:val="004A304D"/>
    <w:rsid w:val="004A32FD"/>
    <w:rsid w:val="004A3558"/>
    <w:rsid w:val="004A409B"/>
    <w:rsid w:val="004A4298"/>
    <w:rsid w:val="004A455F"/>
    <w:rsid w:val="004A498D"/>
    <w:rsid w:val="004A4A05"/>
    <w:rsid w:val="004A4C25"/>
    <w:rsid w:val="004A4FF9"/>
    <w:rsid w:val="004A54DF"/>
    <w:rsid w:val="004A58B5"/>
    <w:rsid w:val="004A5C5D"/>
    <w:rsid w:val="004A5C65"/>
    <w:rsid w:val="004A5D9C"/>
    <w:rsid w:val="004A621F"/>
    <w:rsid w:val="004A7364"/>
    <w:rsid w:val="004A74DC"/>
    <w:rsid w:val="004A7574"/>
    <w:rsid w:val="004B0439"/>
    <w:rsid w:val="004B06C1"/>
    <w:rsid w:val="004B0BE4"/>
    <w:rsid w:val="004B0D80"/>
    <w:rsid w:val="004B0E34"/>
    <w:rsid w:val="004B0F18"/>
    <w:rsid w:val="004B1AFE"/>
    <w:rsid w:val="004B2405"/>
    <w:rsid w:val="004B2A0B"/>
    <w:rsid w:val="004B2D9F"/>
    <w:rsid w:val="004B3A45"/>
    <w:rsid w:val="004B3B23"/>
    <w:rsid w:val="004B3BB1"/>
    <w:rsid w:val="004B3E91"/>
    <w:rsid w:val="004B3FF5"/>
    <w:rsid w:val="004B404B"/>
    <w:rsid w:val="004B40D9"/>
    <w:rsid w:val="004B49EE"/>
    <w:rsid w:val="004B4E3A"/>
    <w:rsid w:val="004B4FFA"/>
    <w:rsid w:val="004B512A"/>
    <w:rsid w:val="004B5155"/>
    <w:rsid w:val="004B56E0"/>
    <w:rsid w:val="004B63CF"/>
    <w:rsid w:val="004B63FA"/>
    <w:rsid w:val="004B64ED"/>
    <w:rsid w:val="004B6F54"/>
    <w:rsid w:val="004B7190"/>
    <w:rsid w:val="004B72F4"/>
    <w:rsid w:val="004B733C"/>
    <w:rsid w:val="004B7964"/>
    <w:rsid w:val="004B7A93"/>
    <w:rsid w:val="004B7B79"/>
    <w:rsid w:val="004B7E40"/>
    <w:rsid w:val="004C03BF"/>
    <w:rsid w:val="004C03DE"/>
    <w:rsid w:val="004C0A3A"/>
    <w:rsid w:val="004C0A95"/>
    <w:rsid w:val="004C0CC6"/>
    <w:rsid w:val="004C0D01"/>
    <w:rsid w:val="004C13BF"/>
    <w:rsid w:val="004C149E"/>
    <w:rsid w:val="004C1957"/>
    <w:rsid w:val="004C199B"/>
    <w:rsid w:val="004C1C9D"/>
    <w:rsid w:val="004C1F61"/>
    <w:rsid w:val="004C2058"/>
    <w:rsid w:val="004C25CA"/>
    <w:rsid w:val="004C2E5C"/>
    <w:rsid w:val="004C2FED"/>
    <w:rsid w:val="004C33BB"/>
    <w:rsid w:val="004C3530"/>
    <w:rsid w:val="004C3F78"/>
    <w:rsid w:val="004C4895"/>
    <w:rsid w:val="004C48D3"/>
    <w:rsid w:val="004C4BF0"/>
    <w:rsid w:val="004C5249"/>
    <w:rsid w:val="004C5853"/>
    <w:rsid w:val="004C5E0B"/>
    <w:rsid w:val="004C5FA7"/>
    <w:rsid w:val="004C6237"/>
    <w:rsid w:val="004C6562"/>
    <w:rsid w:val="004C676A"/>
    <w:rsid w:val="004C69BE"/>
    <w:rsid w:val="004C6E20"/>
    <w:rsid w:val="004C7362"/>
    <w:rsid w:val="004C7655"/>
    <w:rsid w:val="004D0368"/>
    <w:rsid w:val="004D0827"/>
    <w:rsid w:val="004D0915"/>
    <w:rsid w:val="004D0E86"/>
    <w:rsid w:val="004D1199"/>
    <w:rsid w:val="004D1E96"/>
    <w:rsid w:val="004D2528"/>
    <w:rsid w:val="004D2925"/>
    <w:rsid w:val="004D2999"/>
    <w:rsid w:val="004D3519"/>
    <w:rsid w:val="004D358A"/>
    <w:rsid w:val="004D35C6"/>
    <w:rsid w:val="004D4319"/>
    <w:rsid w:val="004D434E"/>
    <w:rsid w:val="004D44D1"/>
    <w:rsid w:val="004D4557"/>
    <w:rsid w:val="004D4762"/>
    <w:rsid w:val="004D5126"/>
    <w:rsid w:val="004D5481"/>
    <w:rsid w:val="004D54AF"/>
    <w:rsid w:val="004D557D"/>
    <w:rsid w:val="004D5C65"/>
    <w:rsid w:val="004D5CC4"/>
    <w:rsid w:val="004D6145"/>
    <w:rsid w:val="004D6439"/>
    <w:rsid w:val="004D64CE"/>
    <w:rsid w:val="004D6AB3"/>
    <w:rsid w:val="004D72B7"/>
    <w:rsid w:val="004D744F"/>
    <w:rsid w:val="004D7860"/>
    <w:rsid w:val="004D78B6"/>
    <w:rsid w:val="004D79CE"/>
    <w:rsid w:val="004E0AB9"/>
    <w:rsid w:val="004E0B0C"/>
    <w:rsid w:val="004E0C5B"/>
    <w:rsid w:val="004E0D92"/>
    <w:rsid w:val="004E1081"/>
    <w:rsid w:val="004E12A5"/>
    <w:rsid w:val="004E193D"/>
    <w:rsid w:val="004E1DE3"/>
    <w:rsid w:val="004E1DE6"/>
    <w:rsid w:val="004E1FAA"/>
    <w:rsid w:val="004E2247"/>
    <w:rsid w:val="004E252D"/>
    <w:rsid w:val="004E26B9"/>
    <w:rsid w:val="004E28AC"/>
    <w:rsid w:val="004E2905"/>
    <w:rsid w:val="004E2932"/>
    <w:rsid w:val="004E34A7"/>
    <w:rsid w:val="004E371B"/>
    <w:rsid w:val="004E38CE"/>
    <w:rsid w:val="004E3A13"/>
    <w:rsid w:val="004E3D02"/>
    <w:rsid w:val="004E4686"/>
    <w:rsid w:val="004E474F"/>
    <w:rsid w:val="004E47E9"/>
    <w:rsid w:val="004E4ACA"/>
    <w:rsid w:val="004E5395"/>
    <w:rsid w:val="004E5B2D"/>
    <w:rsid w:val="004E6AC5"/>
    <w:rsid w:val="004E7078"/>
    <w:rsid w:val="004E7673"/>
    <w:rsid w:val="004E7A19"/>
    <w:rsid w:val="004E7D75"/>
    <w:rsid w:val="004F0A05"/>
    <w:rsid w:val="004F0FF0"/>
    <w:rsid w:val="004F152A"/>
    <w:rsid w:val="004F1BBA"/>
    <w:rsid w:val="004F2356"/>
    <w:rsid w:val="004F2469"/>
    <w:rsid w:val="004F2555"/>
    <w:rsid w:val="004F2EC2"/>
    <w:rsid w:val="004F310C"/>
    <w:rsid w:val="004F3133"/>
    <w:rsid w:val="004F35CE"/>
    <w:rsid w:val="004F3E05"/>
    <w:rsid w:val="004F44C0"/>
    <w:rsid w:val="004F4675"/>
    <w:rsid w:val="004F4820"/>
    <w:rsid w:val="004F54EC"/>
    <w:rsid w:val="004F5552"/>
    <w:rsid w:val="004F5773"/>
    <w:rsid w:val="004F59B4"/>
    <w:rsid w:val="004F60B1"/>
    <w:rsid w:val="004F6D1F"/>
    <w:rsid w:val="004F71B1"/>
    <w:rsid w:val="004F7873"/>
    <w:rsid w:val="0050016A"/>
    <w:rsid w:val="005003FA"/>
    <w:rsid w:val="00500413"/>
    <w:rsid w:val="005005BB"/>
    <w:rsid w:val="00500739"/>
    <w:rsid w:val="00500F7D"/>
    <w:rsid w:val="00501A75"/>
    <w:rsid w:val="00501ED8"/>
    <w:rsid w:val="00501FAA"/>
    <w:rsid w:val="005022DA"/>
    <w:rsid w:val="005023B1"/>
    <w:rsid w:val="00502587"/>
    <w:rsid w:val="00502862"/>
    <w:rsid w:val="00502B27"/>
    <w:rsid w:val="005036BF"/>
    <w:rsid w:val="005036DF"/>
    <w:rsid w:val="00503A52"/>
    <w:rsid w:val="00504078"/>
    <w:rsid w:val="00504466"/>
    <w:rsid w:val="00504F5B"/>
    <w:rsid w:val="00504FC6"/>
    <w:rsid w:val="00505241"/>
    <w:rsid w:val="00505A67"/>
    <w:rsid w:val="005067C8"/>
    <w:rsid w:val="00506839"/>
    <w:rsid w:val="00507156"/>
    <w:rsid w:val="0050726B"/>
    <w:rsid w:val="00507888"/>
    <w:rsid w:val="00507EB4"/>
    <w:rsid w:val="0051001C"/>
    <w:rsid w:val="005100F6"/>
    <w:rsid w:val="005103D6"/>
    <w:rsid w:val="00510665"/>
    <w:rsid w:val="00510B86"/>
    <w:rsid w:val="00510B87"/>
    <w:rsid w:val="0051114D"/>
    <w:rsid w:val="005114EB"/>
    <w:rsid w:val="00511AD2"/>
    <w:rsid w:val="00511DBD"/>
    <w:rsid w:val="0051211B"/>
    <w:rsid w:val="00512200"/>
    <w:rsid w:val="005123FC"/>
    <w:rsid w:val="00512771"/>
    <w:rsid w:val="00512C19"/>
    <w:rsid w:val="0051307F"/>
    <w:rsid w:val="005130DF"/>
    <w:rsid w:val="005138AE"/>
    <w:rsid w:val="005147D3"/>
    <w:rsid w:val="00515084"/>
    <w:rsid w:val="005155E9"/>
    <w:rsid w:val="005156FE"/>
    <w:rsid w:val="005168E2"/>
    <w:rsid w:val="00516DDE"/>
    <w:rsid w:val="0051703B"/>
    <w:rsid w:val="00517431"/>
    <w:rsid w:val="0051779E"/>
    <w:rsid w:val="005179D9"/>
    <w:rsid w:val="00517DA9"/>
    <w:rsid w:val="0052059E"/>
    <w:rsid w:val="005208CB"/>
    <w:rsid w:val="00520A1B"/>
    <w:rsid w:val="00520C56"/>
    <w:rsid w:val="0052133F"/>
    <w:rsid w:val="0052182C"/>
    <w:rsid w:val="005223A6"/>
    <w:rsid w:val="0052253F"/>
    <w:rsid w:val="00522559"/>
    <w:rsid w:val="00522F82"/>
    <w:rsid w:val="0052387D"/>
    <w:rsid w:val="00523E06"/>
    <w:rsid w:val="00524344"/>
    <w:rsid w:val="005243B8"/>
    <w:rsid w:val="00524805"/>
    <w:rsid w:val="00524B3D"/>
    <w:rsid w:val="00524B70"/>
    <w:rsid w:val="00525C62"/>
    <w:rsid w:val="00525D0C"/>
    <w:rsid w:val="00525D8C"/>
    <w:rsid w:val="00526702"/>
    <w:rsid w:val="00526B39"/>
    <w:rsid w:val="00527DD3"/>
    <w:rsid w:val="00530255"/>
    <w:rsid w:val="0053041F"/>
    <w:rsid w:val="0053118B"/>
    <w:rsid w:val="00531270"/>
    <w:rsid w:val="00531B69"/>
    <w:rsid w:val="00531BD4"/>
    <w:rsid w:val="005329C5"/>
    <w:rsid w:val="00532AEF"/>
    <w:rsid w:val="005332A8"/>
    <w:rsid w:val="00533733"/>
    <w:rsid w:val="005338C3"/>
    <w:rsid w:val="00533DE7"/>
    <w:rsid w:val="00534316"/>
    <w:rsid w:val="005346FA"/>
    <w:rsid w:val="00534FA7"/>
    <w:rsid w:val="00535892"/>
    <w:rsid w:val="00535B78"/>
    <w:rsid w:val="0053635C"/>
    <w:rsid w:val="0053669C"/>
    <w:rsid w:val="00536B7A"/>
    <w:rsid w:val="00536C5E"/>
    <w:rsid w:val="005370D2"/>
    <w:rsid w:val="005372F9"/>
    <w:rsid w:val="005379E2"/>
    <w:rsid w:val="00537E01"/>
    <w:rsid w:val="00537FDC"/>
    <w:rsid w:val="005401AA"/>
    <w:rsid w:val="00540521"/>
    <w:rsid w:val="00540B46"/>
    <w:rsid w:val="00540F95"/>
    <w:rsid w:val="005412DE"/>
    <w:rsid w:val="005414F6"/>
    <w:rsid w:val="00541602"/>
    <w:rsid w:val="005418AC"/>
    <w:rsid w:val="00541C53"/>
    <w:rsid w:val="00541CFE"/>
    <w:rsid w:val="00541DA0"/>
    <w:rsid w:val="00541DBB"/>
    <w:rsid w:val="00542047"/>
    <w:rsid w:val="0054216C"/>
    <w:rsid w:val="00542473"/>
    <w:rsid w:val="00542669"/>
    <w:rsid w:val="00542F5C"/>
    <w:rsid w:val="005436A8"/>
    <w:rsid w:val="00543EC4"/>
    <w:rsid w:val="00544285"/>
    <w:rsid w:val="005445BE"/>
    <w:rsid w:val="00544DFA"/>
    <w:rsid w:val="005453FF"/>
    <w:rsid w:val="00545576"/>
    <w:rsid w:val="00545ADB"/>
    <w:rsid w:val="00545BC7"/>
    <w:rsid w:val="00545C0A"/>
    <w:rsid w:val="00545CA5"/>
    <w:rsid w:val="00545CFD"/>
    <w:rsid w:val="00545EDD"/>
    <w:rsid w:val="005462DB"/>
    <w:rsid w:val="0054637F"/>
    <w:rsid w:val="005469F8"/>
    <w:rsid w:val="00546D1E"/>
    <w:rsid w:val="00546D82"/>
    <w:rsid w:val="00546FFD"/>
    <w:rsid w:val="0054705C"/>
    <w:rsid w:val="005477A6"/>
    <w:rsid w:val="00547969"/>
    <w:rsid w:val="00547C9A"/>
    <w:rsid w:val="00550486"/>
    <w:rsid w:val="00551030"/>
    <w:rsid w:val="00551352"/>
    <w:rsid w:val="005514AF"/>
    <w:rsid w:val="005516B0"/>
    <w:rsid w:val="005518F1"/>
    <w:rsid w:val="005519D5"/>
    <w:rsid w:val="00551DC8"/>
    <w:rsid w:val="00552153"/>
    <w:rsid w:val="005521F2"/>
    <w:rsid w:val="00552222"/>
    <w:rsid w:val="00552905"/>
    <w:rsid w:val="00552C4E"/>
    <w:rsid w:val="00552C58"/>
    <w:rsid w:val="00552E9D"/>
    <w:rsid w:val="00553010"/>
    <w:rsid w:val="00554D6A"/>
    <w:rsid w:val="0055578E"/>
    <w:rsid w:val="00555CD9"/>
    <w:rsid w:val="00555E24"/>
    <w:rsid w:val="0055624E"/>
    <w:rsid w:val="005568D0"/>
    <w:rsid w:val="005570FA"/>
    <w:rsid w:val="0055754B"/>
    <w:rsid w:val="00557C9F"/>
    <w:rsid w:val="00557CEB"/>
    <w:rsid w:val="00560059"/>
    <w:rsid w:val="00560169"/>
    <w:rsid w:val="00560204"/>
    <w:rsid w:val="00560B1C"/>
    <w:rsid w:val="00560F30"/>
    <w:rsid w:val="00561069"/>
    <w:rsid w:val="0056137E"/>
    <w:rsid w:val="005617D0"/>
    <w:rsid w:val="005619C7"/>
    <w:rsid w:val="00561FA8"/>
    <w:rsid w:val="00562106"/>
    <w:rsid w:val="005621E7"/>
    <w:rsid w:val="00562A6B"/>
    <w:rsid w:val="00562AE3"/>
    <w:rsid w:val="00562EA8"/>
    <w:rsid w:val="00563269"/>
    <w:rsid w:val="0056347B"/>
    <w:rsid w:val="00563A7A"/>
    <w:rsid w:val="00563DE5"/>
    <w:rsid w:val="0056411A"/>
    <w:rsid w:val="005641C9"/>
    <w:rsid w:val="00564696"/>
    <w:rsid w:val="00564697"/>
    <w:rsid w:val="00564911"/>
    <w:rsid w:val="005649FC"/>
    <w:rsid w:val="005653BE"/>
    <w:rsid w:val="005654AE"/>
    <w:rsid w:val="005661FF"/>
    <w:rsid w:val="0056649B"/>
    <w:rsid w:val="00566758"/>
    <w:rsid w:val="0056687A"/>
    <w:rsid w:val="005668BA"/>
    <w:rsid w:val="00566C86"/>
    <w:rsid w:val="00566F3B"/>
    <w:rsid w:val="00567037"/>
    <w:rsid w:val="00567AF7"/>
    <w:rsid w:val="00567DD9"/>
    <w:rsid w:val="00570B9A"/>
    <w:rsid w:val="005715DD"/>
    <w:rsid w:val="00571A29"/>
    <w:rsid w:val="00571A3D"/>
    <w:rsid w:val="00571ADC"/>
    <w:rsid w:val="00571B3C"/>
    <w:rsid w:val="00571BD4"/>
    <w:rsid w:val="005721F9"/>
    <w:rsid w:val="0057234F"/>
    <w:rsid w:val="00572C7D"/>
    <w:rsid w:val="00573685"/>
    <w:rsid w:val="005746A8"/>
    <w:rsid w:val="00574B79"/>
    <w:rsid w:val="00574F98"/>
    <w:rsid w:val="005755FD"/>
    <w:rsid w:val="005759C5"/>
    <w:rsid w:val="005759C6"/>
    <w:rsid w:val="005769B6"/>
    <w:rsid w:val="00576AD7"/>
    <w:rsid w:val="00576CBE"/>
    <w:rsid w:val="00577AA0"/>
    <w:rsid w:val="00577D44"/>
    <w:rsid w:val="00577F77"/>
    <w:rsid w:val="00580896"/>
    <w:rsid w:val="00580EEB"/>
    <w:rsid w:val="00580F2B"/>
    <w:rsid w:val="00581153"/>
    <w:rsid w:val="00581667"/>
    <w:rsid w:val="00581870"/>
    <w:rsid w:val="005818CA"/>
    <w:rsid w:val="0058192D"/>
    <w:rsid w:val="00582046"/>
    <w:rsid w:val="00582451"/>
    <w:rsid w:val="005826A0"/>
    <w:rsid w:val="00582B8D"/>
    <w:rsid w:val="00582C83"/>
    <w:rsid w:val="0058307B"/>
    <w:rsid w:val="0058316E"/>
    <w:rsid w:val="0058316F"/>
    <w:rsid w:val="00583257"/>
    <w:rsid w:val="0058341C"/>
    <w:rsid w:val="00583518"/>
    <w:rsid w:val="005836BA"/>
    <w:rsid w:val="00584338"/>
    <w:rsid w:val="00584736"/>
    <w:rsid w:val="005853E7"/>
    <w:rsid w:val="00585E8C"/>
    <w:rsid w:val="00585ED6"/>
    <w:rsid w:val="00586313"/>
    <w:rsid w:val="005863D0"/>
    <w:rsid w:val="005864AB"/>
    <w:rsid w:val="005865CB"/>
    <w:rsid w:val="005866A8"/>
    <w:rsid w:val="00586834"/>
    <w:rsid w:val="00586AD0"/>
    <w:rsid w:val="00586AEA"/>
    <w:rsid w:val="00587079"/>
    <w:rsid w:val="0058708F"/>
    <w:rsid w:val="005873E8"/>
    <w:rsid w:val="00587755"/>
    <w:rsid w:val="00587AB6"/>
    <w:rsid w:val="00587DE0"/>
    <w:rsid w:val="00587EB1"/>
    <w:rsid w:val="00587EBB"/>
    <w:rsid w:val="005912A7"/>
    <w:rsid w:val="0059155D"/>
    <w:rsid w:val="00591994"/>
    <w:rsid w:val="00591BAC"/>
    <w:rsid w:val="00591C1E"/>
    <w:rsid w:val="00591CF6"/>
    <w:rsid w:val="00591F7B"/>
    <w:rsid w:val="005921D4"/>
    <w:rsid w:val="00592515"/>
    <w:rsid w:val="00592C76"/>
    <w:rsid w:val="00592D16"/>
    <w:rsid w:val="00592E5F"/>
    <w:rsid w:val="005937AA"/>
    <w:rsid w:val="0059445A"/>
    <w:rsid w:val="00594549"/>
    <w:rsid w:val="00594684"/>
    <w:rsid w:val="00594892"/>
    <w:rsid w:val="005953D1"/>
    <w:rsid w:val="005958C8"/>
    <w:rsid w:val="00595E27"/>
    <w:rsid w:val="00595EDA"/>
    <w:rsid w:val="00596450"/>
    <w:rsid w:val="0059653B"/>
    <w:rsid w:val="0059679A"/>
    <w:rsid w:val="00596AA7"/>
    <w:rsid w:val="00596BC3"/>
    <w:rsid w:val="00596FF0"/>
    <w:rsid w:val="00597043"/>
    <w:rsid w:val="00597049"/>
    <w:rsid w:val="00597CEA"/>
    <w:rsid w:val="00597E63"/>
    <w:rsid w:val="005A003E"/>
    <w:rsid w:val="005A0B40"/>
    <w:rsid w:val="005A0E38"/>
    <w:rsid w:val="005A185F"/>
    <w:rsid w:val="005A1DD1"/>
    <w:rsid w:val="005A1E1E"/>
    <w:rsid w:val="005A2191"/>
    <w:rsid w:val="005A23D8"/>
    <w:rsid w:val="005A2961"/>
    <w:rsid w:val="005A29C5"/>
    <w:rsid w:val="005A29E0"/>
    <w:rsid w:val="005A3CE4"/>
    <w:rsid w:val="005A4206"/>
    <w:rsid w:val="005A4C86"/>
    <w:rsid w:val="005A4F28"/>
    <w:rsid w:val="005A5BBB"/>
    <w:rsid w:val="005A5D0F"/>
    <w:rsid w:val="005A64FC"/>
    <w:rsid w:val="005A6915"/>
    <w:rsid w:val="005A79D6"/>
    <w:rsid w:val="005A7CA8"/>
    <w:rsid w:val="005B15E0"/>
    <w:rsid w:val="005B18BA"/>
    <w:rsid w:val="005B1975"/>
    <w:rsid w:val="005B1D27"/>
    <w:rsid w:val="005B233C"/>
    <w:rsid w:val="005B23B2"/>
    <w:rsid w:val="005B2D24"/>
    <w:rsid w:val="005B3693"/>
    <w:rsid w:val="005B36A8"/>
    <w:rsid w:val="005B36CA"/>
    <w:rsid w:val="005B40A8"/>
    <w:rsid w:val="005B4194"/>
    <w:rsid w:val="005B4B30"/>
    <w:rsid w:val="005B4BAD"/>
    <w:rsid w:val="005B50D4"/>
    <w:rsid w:val="005B577F"/>
    <w:rsid w:val="005B57AC"/>
    <w:rsid w:val="005B5D08"/>
    <w:rsid w:val="005B60EA"/>
    <w:rsid w:val="005B6307"/>
    <w:rsid w:val="005B6374"/>
    <w:rsid w:val="005B6716"/>
    <w:rsid w:val="005B68F6"/>
    <w:rsid w:val="005B6D16"/>
    <w:rsid w:val="005B6F86"/>
    <w:rsid w:val="005B7212"/>
    <w:rsid w:val="005B729F"/>
    <w:rsid w:val="005B7D77"/>
    <w:rsid w:val="005C0397"/>
    <w:rsid w:val="005C0564"/>
    <w:rsid w:val="005C05DF"/>
    <w:rsid w:val="005C061D"/>
    <w:rsid w:val="005C0665"/>
    <w:rsid w:val="005C097A"/>
    <w:rsid w:val="005C0B9F"/>
    <w:rsid w:val="005C0BA3"/>
    <w:rsid w:val="005C0DC8"/>
    <w:rsid w:val="005C17CE"/>
    <w:rsid w:val="005C1BCA"/>
    <w:rsid w:val="005C2749"/>
    <w:rsid w:val="005C2A3E"/>
    <w:rsid w:val="005C2D6E"/>
    <w:rsid w:val="005C2F29"/>
    <w:rsid w:val="005C3104"/>
    <w:rsid w:val="005C32D6"/>
    <w:rsid w:val="005C3677"/>
    <w:rsid w:val="005C3995"/>
    <w:rsid w:val="005C3A03"/>
    <w:rsid w:val="005C3EAE"/>
    <w:rsid w:val="005C3F7D"/>
    <w:rsid w:val="005C50ED"/>
    <w:rsid w:val="005C53B1"/>
    <w:rsid w:val="005C54D2"/>
    <w:rsid w:val="005C5713"/>
    <w:rsid w:val="005C58A3"/>
    <w:rsid w:val="005C5CD9"/>
    <w:rsid w:val="005C670A"/>
    <w:rsid w:val="005C68BE"/>
    <w:rsid w:val="005D002D"/>
    <w:rsid w:val="005D0841"/>
    <w:rsid w:val="005D0859"/>
    <w:rsid w:val="005D1409"/>
    <w:rsid w:val="005D1B01"/>
    <w:rsid w:val="005D247A"/>
    <w:rsid w:val="005D289E"/>
    <w:rsid w:val="005D2E74"/>
    <w:rsid w:val="005D30A1"/>
    <w:rsid w:val="005D329C"/>
    <w:rsid w:val="005D3483"/>
    <w:rsid w:val="005D3514"/>
    <w:rsid w:val="005D3F10"/>
    <w:rsid w:val="005D3F16"/>
    <w:rsid w:val="005D429B"/>
    <w:rsid w:val="005D4779"/>
    <w:rsid w:val="005D4B6F"/>
    <w:rsid w:val="005D5544"/>
    <w:rsid w:val="005D57CC"/>
    <w:rsid w:val="005D6370"/>
    <w:rsid w:val="005D6538"/>
    <w:rsid w:val="005D68F4"/>
    <w:rsid w:val="005D69A8"/>
    <w:rsid w:val="005D73E8"/>
    <w:rsid w:val="005D76CC"/>
    <w:rsid w:val="005D7C9A"/>
    <w:rsid w:val="005E0003"/>
    <w:rsid w:val="005E0309"/>
    <w:rsid w:val="005E0487"/>
    <w:rsid w:val="005E0924"/>
    <w:rsid w:val="005E0C66"/>
    <w:rsid w:val="005E1578"/>
    <w:rsid w:val="005E1B6E"/>
    <w:rsid w:val="005E1CC9"/>
    <w:rsid w:val="005E1E7D"/>
    <w:rsid w:val="005E2345"/>
    <w:rsid w:val="005E23D5"/>
    <w:rsid w:val="005E2599"/>
    <w:rsid w:val="005E2968"/>
    <w:rsid w:val="005E31C0"/>
    <w:rsid w:val="005E37FA"/>
    <w:rsid w:val="005E39E7"/>
    <w:rsid w:val="005E3DAB"/>
    <w:rsid w:val="005E3DFD"/>
    <w:rsid w:val="005E404D"/>
    <w:rsid w:val="005E4934"/>
    <w:rsid w:val="005E4BFD"/>
    <w:rsid w:val="005E5340"/>
    <w:rsid w:val="005E5639"/>
    <w:rsid w:val="005E5F40"/>
    <w:rsid w:val="005E6231"/>
    <w:rsid w:val="005E62E2"/>
    <w:rsid w:val="005E63BB"/>
    <w:rsid w:val="005E6592"/>
    <w:rsid w:val="005E66D1"/>
    <w:rsid w:val="005E6718"/>
    <w:rsid w:val="005E7D00"/>
    <w:rsid w:val="005E7DF1"/>
    <w:rsid w:val="005F0320"/>
    <w:rsid w:val="005F035E"/>
    <w:rsid w:val="005F040B"/>
    <w:rsid w:val="005F0AFD"/>
    <w:rsid w:val="005F0D4F"/>
    <w:rsid w:val="005F134A"/>
    <w:rsid w:val="005F1A0B"/>
    <w:rsid w:val="005F1D7A"/>
    <w:rsid w:val="005F1E52"/>
    <w:rsid w:val="005F28FE"/>
    <w:rsid w:val="005F2C09"/>
    <w:rsid w:val="005F3315"/>
    <w:rsid w:val="005F36E1"/>
    <w:rsid w:val="005F3E3B"/>
    <w:rsid w:val="005F41C2"/>
    <w:rsid w:val="005F4914"/>
    <w:rsid w:val="005F4D54"/>
    <w:rsid w:val="005F5911"/>
    <w:rsid w:val="005F6B97"/>
    <w:rsid w:val="005F6F7A"/>
    <w:rsid w:val="005F73DB"/>
    <w:rsid w:val="005F74D5"/>
    <w:rsid w:val="005F75FB"/>
    <w:rsid w:val="005F7956"/>
    <w:rsid w:val="005F7C95"/>
    <w:rsid w:val="005F7D0B"/>
    <w:rsid w:val="006000F1"/>
    <w:rsid w:val="00600222"/>
    <w:rsid w:val="00600419"/>
    <w:rsid w:val="006006A5"/>
    <w:rsid w:val="006008E4"/>
    <w:rsid w:val="00600C14"/>
    <w:rsid w:val="00601D17"/>
    <w:rsid w:val="00601D22"/>
    <w:rsid w:val="00602119"/>
    <w:rsid w:val="00602250"/>
    <w:rsid w:val="006024B7"/>
    <w:rsid w:val="00602534"/>
    <w:rsid w:val="006025D1"/>
    <w:rsid w:val="0060308D"/>
    <w:rsid w:val="006030B5"/>
    <w:rsid w:val="0060391E"/>
    <w:rsid w:val="006046D3"/>
    <w:rsid w:val="00604981"/>
    <w:rsid w:val="00605362"/>
    <w:rsid w:val="00605671"/>
    <w:rsid w:val="00606132"/>
    <w:rsid w:val="006062FD"/>
    <w:rsid w:val="00606998"/>
    <w:rsid w:val="00607169"/>
    <w:rsid w:val="00607266"/>
    <w:rsid w:val="00607509"/>
    <w:rsid w:val="00610006"/>
    <w:rsid w:val="00610256"/>
    <w:rsid w:val="0061038C"/>
    <w:rsid w:val="00610391"/>
    <w:rsid w:val="00610CCE"/>
    <w:rsid w:val="00611162"/>
    <w:rsid w:val="006115B6"/>
    <w:rsid w:val="00611677"/>
    <w:rsid w:val="006118E6"/>
    <w:rsid w:val="00611AD2"/>
    <w:rsid w:val="00611AF6"/>
    <w:rsid w:val="006121CA"/>
    <w:rsid w:val="006123DE"/>
    <w:rsid w:val="00612A68"/>
    <w:rsid w:val="00612CE7"/>
    <w:rsid w:val="00612CFE"/>
    <w:rsid w:val="00613208"/>
    <w:rsid w:val="006132D5"/>
    <w:rsid w:val="00613866"/>
    <w:rsid w:val="00613E81"/>
    <w:rsid w:val="00613F1C"/>
    <w:rsid w:val="00613F86"/>
    <w:rsid w:val="00614396"/>
    <w:rsid w:val="0061440C"/>
    <w:rsid w:val="00615094"/>
    <w:rsid w:val="0061509D"/>
    <w:rsid w:val="0061514C"/>
    <w:rsid w:val="00615386"/>
    <w:rsid w:val="00615AFE"/>
    <w:rsid w:val="00615B23"/>
    <w:rsid w:val="00615F49"/>
    <w:rsid w:val="00615F7E"/>
    <w:rsid w:val="00616192"/>
    <w:rsid w:val="00616634"/>
    <w:rsid w:val="00616997"/>
    <w:rsid w:val="00617059"/>
    <w:rsid w:val="00617338"/>
    <w:rsid w:val="0061737E"/>
    <w:rsid w:val="00617C5F"/>
    <w:rsid w:val="00617F8E"/>
    <w:rsid w:val="006204E2"/>
    <w:rsid w:val="00620534"/>
    <w:rsid w:val="00620A27"/>
    <w:rsid w:val="00621092"/>
    <w:rsid w:val="0062118E"/>
    <w:rsid w:val="00621304"/>
    <w:rsid w:val="0062159E"/>
    <w:rsid w:val="0062187B"/>
    <w:rsid w:val="006219C1"/>
    <w:rsid w:val="00621B24"/>
    <w:rsid w:val="00621D37"/>
    <w:rsid w:val="0062275F"/>
    <w:rsid w:val="00622C2C"/>
    <w:rsid w:val="00622EBE"/>
    <w:rsid w:val="00622F21"/>
    <w:rsid w:val="006232EA"/>
    <w:rsid w:val="00623886"/>
    <w:rsid w:val="00623890"/>
    <w:rsid w:val="00623B31"/>
    <w:rsid w:val="00623CFA"/>
    <w:rsid w:val="00623D1C"/>
    <w:rsid w:val="00623DB3"/>
    <w:rsid w:val="00624074"/>
    <w:rsid w:val="00624A33"/>
    <w:rsid w:val="00624B69"/>
    <w:rsid w:val="00624B86"/>
    <w:rsid w:val="00625241"/>
    <w:rsid w:val="0062533F"/>
    <w:rsid w:val="00625B40"/>
    <w:rsid w:val="00626089"/>
    <w:rsid w:val="0062609F"/>
    <w:rsid w:val="00626967"/>
    <w:rsid w:val="006269E4"/>
    <w:rsid w:val="00626FC8"/>
    <w:rsid w:val="00627696"/>
    <w:rsid w:val="00627BD6"/>
    <w:rsid w:val="00627BDC"/>
    <w:rsid w:val="0063024D"/>
    <w:rsid w:val="006306AD"/>
    <w:rsid w:val="00630F89"/>
    <w:rsid w:val="0063129A"/>
    <w:rsid w:val="00631CD3"/>
    <w:rsid w:val="00631F6D"/>
    <w:rsid w:val="00632A99"/>
    <w:rsid w:val="00633256"/>
    <w:rsid w:val="00633FCB"/>
    <w:rsid w:val="00634403"/>
    <w:rsid w:val="00634D2B"/>
    <w:rsid w:val="006350B6"/>
    <w:rsid w:val="006350E3"/>
    <w:rsid w:val="006355A0"/>
    <w:rsid w:val="00635A0B"/>
    <w:rsid w:val="00635E2A"/>
    <w:rsid w:val="0063616C"/>
    <w:rsid w:val="006368CE"/>
    <w:rsid w:val="0063700D"/>
    <w:rsid w:val="00637464"/>
    <w:rsid w:val="006377B0"/>
    <w:rsid w:val="006379B3"/>
    <w:rsid w:val="00637C20"/>
    <w:rsid w:val="00637C8A"/>
    <w:rsid w:val="00637D91"/>
    <w:rsid w:val="00637F67"/>
    <w:rsid w:val="00637FBE"/>
    <w:rsid w:val="0064025F"/>
    <w:rsid w:val="006405EB"/>
    <w:rsid w:val="00640AF1"/>
    <w:rsid w:val="00641107"/>
    <w:rsid w:val="0064144E"/>
    <w:rsid w:val="006416A7"/>
    <w:rsid w:val="00641AA3"/>
    <w:rsid w:val="00641B76"/>
    <w:rsid w:val="00641EEC"/>
    <w:rsid w:val="00641F60"/>
    <w:rsid w:val="0064309D"/>
    <w:rsid w:val="0064365B"/>
    <w:rsid w:val="00643E74"/>
    <w:rsid w:val="0064400C"/>
    <w:rsid w:val="00644463"/>
    <w:rsid w:val="006444C0"/>
    <w:rsid w:val="0064533E"/>
    <w:rsid w:val="00645BC3"/>
    <w:rsid w:val="00645E1C"/>
    <w:rsid w:val="00645E36"/>
    <w:rsid w:val="00646037"/>
    <w:rsid w:val="00646C2D"/>
    <w:rsid w:val="00646C82"/>
    <w:rsid w:val="006474C2"/>
    <w:rsid w:val="00647513"/>
    <w:rsid w:val="00647F52"/>
    <w:rsid w:val="00650470"/>
    <w:rsid w:val="006508B0"/>
    <w:rsid w:val="00650969"/>
    <w:rsid w:val="006509CA"/>
    <w:rsid w:val="00650AB1"/>
    <w:rsid w:val="00650F6C"/>
    <w:rsid w:val="0065133E"/>
    <w:rsid w:val="0065158F"/>
    <w:rsid w:val="00651907"/>
    <w:rsid w:val="006523CA"/>
    <w:rsid w:val="00652F12"/>
    <w:rsid w:val="00653197"/>
    <w:rsid w:val="006533A7"/>
    <w:rsid w:val="00653C76"/>
    <w:rsid w:val="00653D8E"/>
    <w:rsid w:val="00654060"/>
    <w:rsid w:val="00654274"/>
    <w:rsid w:val="006549A5"/>
    <w:rsid w:val="00654A10"/>
    <w:rsid w:val="00655634"/>
    <w:rsid w:val="00655764"/>
    <w:rsid w:val="00655825"/>
    <w:rsid w:val="00655DF6"/>
    <w:rsid w:val="006562F5"/>
    <w:rsid w:val="00656465"/>
    <w:rsid w:val="006565FE"/>
    <w:rsid w:val="006567E9"/>
    <w:rsid w:val="00656BBF"/>
    <w:rsid w:val="00656CFC"/>
    <w:rsid w:val="00656FB3"/>
    <w:rsid w:val="006572E7"/>
    <w:rsid w:val="00657435"/>
    <w:rsid w:val="006574D3"/>
    <w:rsid w:val="00657BFC"/>
    <w:rsid w:val="0066020D"/>
    <w:rsid w:val="00660216"/>
    <w:rsid w:val="0066104A"/>
    <w:rsid w:val="00661469"/>
    <w:rsid w:val="006619E0"/>
    <w:rsid w:val="00661FF3"/>
    <w:rsid w:val="0066249C"/>
    <w:rsid w:val="00662581"/>
    <w:rsid w:val="00662FB0"/>
    <w:rsid w:val="006630D6"/>
    <w:rsid w:val="0066406F"/>
    <w:rsid w:val="00664AC7"/>
    <w:rsid w:val="00664DA1"/>
    <w:rsid w:val="006650CF"/>
    <w:rsid w:val="0066642E"/>
    <w:rsid w:val="006664C1"/>
    <w:rsid w:val="00666D4B"/>
    <w:rsid w:val="006675F0"/>
    <w:rsid w:val="00667726"/>
    <w:rsid w:val="00667928"/>
    <w:rsid w:val="00667B5F"/>
    <w:rsid w:val="00670275"/>
    <w:rsid w:val="0067061C"/>
    <w:rsid w:val="00670C88"/>
    <w:rsid w:val="00670E5F"/>
    <w:rsid w:val="00671255"/>
    <w:rsid w:val="0067149D"/>
    <w:rsid w:val="00671BF8"/>
    <w:rsid w:val="00672656"/>
    <w:rsid w:val="00672E29"/>
    <w:rsid w:val="00672E60"/>
    <w:rsid w:val="006731B9"/>
    <w:rsid w:val="006735E9"/>
    <w:rsid w:val="00673D24"/>
    <w:rsid w:val="00674430"/>
    <w:rsid w:val="00674A77"/>
    <w:rsid w:val="0067528B"/>
    <w:rsid w:val="0067532B"/>
    <w:rsid w:val="00675467"/>
    <w:rsid w:val="006756D2"/>
    <w:rsid w:val="00675770"/>
    <w:rsid w:val="00675B72"/>
    <w:rsid w:val="00675C68"/>
    <w:rsid w:val="00676115"/>
    <w:rsid w:val="00676181"/>
    <w:rsid w:val="00676794"/>
    <w:rsid w:val="006768B6"/>
    <w:rsid w:val="006769F8"/>
    <w:rsid w:val="00676E7F"/>
    <w:rsid w:val="0067709A"/>
    <w:rsid w:val="006771EE"/>
    <w:rsid w:val="0068017E"/>
    <w:rsid w:val="00680F1D"/>
    <w:rsid w:val="006813AD"/>
    <w:rsid w:val="00681615"/>
    <w:rsid w:val="0068167E"/>
    <w:rsid w:val="006820C7"/>
    <w:rsid w:val="0068212E"/>
    <w:rsid w:val="006821DC"/>
    <w:rsid w:val="00682215"/>
    <w:rsid w:val="006823F8"/>
    <w:rsid w:val="00682837"/>
    <w:rsid w:val="006828A3"/>
    <w:rsid w:val="00682E17"/>
    <w:rsid w:val="00682EFA"/>
    <w:rsid w:val="00682FBD"/>
    <w:rsid w:val="00683173"/>
    <w:rsid w:val="006832D9"/>
    <w:rsid w:val="006835EF"/>
    <w:rsid w:val="00683C36"/>
    <w:rsid w:val="00683D02"/>
    <w:rsid w:val="00683D06"/>
    <w:rsid w:val="00683FC5"/>
    <w:rsid w:val="006843F2"/>
    <w:rsid w:val="00684509"/>
    <w:rsid w:val="00684B49"/>
    <w:rsid w:val="00685493"/>
    <w:rsid w:val="0068563F"/>
    <w:rsid w:val="0068568C"/>
    <w:rsid w:val="00685C70"/>
    <w:rsid w:val="00685CBC"/>
    <w:rsid w:val="0068657A"/>
    <w:rsid w:val="00686B64"/>
    <w:rsid w:val="00687718"/>
    <w:rsid w:val="00687CE6"/>
    <w:rsid w:val="00687E5F"/>
    <w:rsid w:val="00690263"/>
    <w:rsid w:val="006904D6"/>
    <w:rsid w:val="0069113E"/>
    <w:rsid w:val="00691214"/>
    <w:rsid w:val="0069186F"/>
    <w:rsid w:val="00691893"/>
    <w:rsid w:val="006922A7"/>
    <w:rsid w:val="006927BB"/>
    <w:rsid w:val="00692850"/>
    <w:rsid w:val="0069294D"/>
    <w:rsid w:val="00692AFE"/>
    <w:rsid w:val="00692C3F"/>
    <w:rsid w:val="00692DFA"/>
    <w:rsid w:val="00693530"/>
    <w:rsid w:val="00693A5A"/>
    <w:rsid w:val="00693DAA"/>
    <w:rsid w:val="00694745"/>
    <w:rsid w:val="006951DE"/>
    <w:rsid w:val="006955CA"/>
    <w:rsid w:val="006956CE"/>
    <w:rsid w:val="0069635D"/>
    <w:rsid w:val="00696389"/>
    <w:rsid w:val="0069659A"/>
    <w:rsid w:val="0069662E"/>
    <w:rsid w:val="00696C2A"/>
    <w:rsid w:val="00696C6E"/>
    <w:rsid w:val="00696CC0"/>
    <w:rsid w:val="00696DE6"/>
    <w:rsid w:val="006975DB"/>
    <w:rsid w:val="00697B27"/>
    <w:rsid w:val="00697C31"/>
    <w:rsid w:val="006A0041"/>
    <w:rsid w:val="006A0215"/>
    <w:rsid w:val="006A05E7"/>
    <w:rsid w:val="006A0787"/>
    <w:rsid w:val="006A0AE4"/>
    <w:rsid w:val="006A0D1E"/>
    <w:rsid w:val="006A0D84"/>
    <w:rsid w:val="006A17DF"/>
    <w:rsid w:val="006A1922"/>
    <w:rsid w:val="006A1D08"/>
    <w:rsid w:val="006A21E0"/>
    <w:rsid w:val="006A2200"/>
    <w:rsid w:val="006A23DB"/>
    <w:rsid w:val="006A25F2"/>
    <w:rsid w:val="006A29BD"/>
    <w:rsid w:val="006A2D23"/>
    <w:rsid w:val="006A3030"/>
    <w:rsid w:val="006A3094"/>
    <w:rsid w:val="006A350C"/>
    <w:rsid w:val="006A38A0"/>
    <w:rsid w:val="006A39B2"/>
    <w:rsid w:val="006A3CD6"/>
    <w:rsid w:val="006A3F1D"/>
    <w:rsid w:val="006A42FF"/>
    <w:rsid w:val="006A4769"/>
    <w:rsid w:val="006A4854"/>
    <w:rsid w:val="006A4867"/>
    <w:rsid w:val="006A5458"/>
    <w:rsid w:val="006A56BE"/>
    <w:rsid w:val="006A5976"/>
    <w:rsid w:val="006A5AAD"/>
    <w:rsid w:val="006A5B02"/>
    <w:rsid w:val="006A5DEC"/>
    <w:rsid w:val="006A61E4"/>
    <w:rsid w:val="006A79B8"/>
    <w:rsid w:val="006B0834"/>
    <w:rsid w:val="006B0BFE"/>
    <w:rsid w:val="006B1261"/>
    <w:rsid w:val="006B134E"/>
    <w:rsid w:val="006B144B"/>
    <w:rsid w:val="006B1730"/>
    <w:rsid w:val="006B1F61"/>
    <w:rsid w:val="006B2406"/>
    <w:rsid w:val="006B286E"/>
    <w:rsid w:val="006B29D5"/>
    <w:rsid w:val="006B2E8C"/>
    <w:rsid w:val="006B33E9"/>
    <w:rsid w:val="006B3436"/>
    <w:rsid w:val="006B3698"/>
    <w:rsid w:val="006B3882"/>
    <w:rsid w:val="006B3A00"/>
    <w:rsid w:val="006B3B38"/>
    <w:rsid w:val="006B3DBA"/>
    <w:rsid w:val="006B3E42"/>
    <w:rsid w:val="006B4260"/>
    <w:rsid w:val="006B427F"/>
    <w:rsid w:val="006B4A3D"/>
    <w:rsid w:val="006B534D"/>
    <w:rsid w:val="006B5355"/>
    <w:rsid w:val="006B54A1"/>
    <w:rsid w:val="006B5D76"/>
    <w:rsid w:val="006B6140"/>
    <w:rsid w:val="006B6285"/>
    <w:rsid w:val="006B6360"/>
    <w:rsid w:val="006B6557"/>
    <w:rsid w:val="006B6AC6"/>
    <w:rsid w:val="006B6B5A"/>
    <w:rsid w:val="006B6D0F"/>
    <w:rsid w:val="006B73BA"/>
    <w:rsid w:val="006B790D"/>
    <w:rsid w:val="006B7F48"/>
    <w:rsid w:val="006C040F"/>
    <w:rsid w:val="006C068E"/>
    <w:rsid w:val="006C0698"/>
    <w:rsid w:val="006C0F1D"/>
    <w:rsid w:val="006C137B"/>
    <w:rsid w:val="006C14D3"/>
    <w:rsid w:val="006C1B7B"/>
    <w:rsid w:val="006C1C01"/>
    <w:rsid w:val="006C224B"/>
    <w:rsid w:val="006C2937"/>
    <w:rsid w:val="006C3212"/>
    <w:rsid w:val="006C3A1B"/>
    <w:rsid w:val="006C3FA3"/>
    <w:rsid w:val="006C5619"/>
    <w:rsid w:val="006C58A0"/>
    <w:rsid w:val="006C64AC"/>
    <w:rsid w:val="006C65AE"/>
    <w:rsid w:val="006C65FD"/>
    <w:rsid w:val="006C6CA9"/>
    <w:rsid w:val="006C75E8"/>
    <w:rsid w:val="006C7DD7"/>
    <w:rsid w:val="006C7E0E"/>
    <w:rsid w:val="006D052B"/>
    <w:rsid w:val="006D06CB"/>
    <w:rsid w:val="006D0701"/>
    <w:rsid w:val="006D1506"/>
    <w:rsid w:val="006D175E"/>
    <w:rsid w:val="006D1A38"/>
    <w:rsid w:val="006D20EA"/>
    <w:rsid w:val="006D2F1E"/>
    <w:rsid w:val="006D3427"/>
    <w:rsid w:val="006D3575"/>
    <w:rsid w:val="006D361F"/>
    <w:rsid w:val="006D36F3"/>
    <w:rsid w:val="006D3DA5"/>
    <w:rsid w:val="006D3EAA"/>
    <w:rsid w:val="006D412C"/>
    <w:rsid w:val="006D437F"/>
    <w:rsid w:val="006D4457"/>
    <w:rsid w:val="006D4964"/>
    <w:rsid w:val="006D4DF1"/>
    <w:rsid w:val="006D5547"/>
    <w:rsid w:val="006D5CD8"/>
    <w:rsid w:val="006D60B6"/>
    <w:rsid w:val="006D6E28"/>
    <w:rsid w:val="006D71B7"/>
    <w:rsid w:val="006D720E"/>
    <w:rsid w:val="006D74FD"/>
    <w:rsid w:val="006E00A4"/>
    <w:rsid w:val="006E0159"/>
    <w:rsid w:val="006E0570"/>
    <w:rsid w:val="006E0646"/>
    <w:rsid w:val="006E071B"/>
    <w:rsid w:val="006E0802"/>
    <w:rsid w:val="006E1345"/>
    <w:rsid w:val="006E1419"/>
    <w:rsid w:val="006E1643"/>
    <w:rsid w:val="006E1D94"/>
    <w:rsid w:val="006E2034"/>
    <w:rsid w:val="006E23B6"/>
    <w:rsid w:val="006E25F5"/>
    <w:rsid w:val="006E2B61"/>
    <w:rsid w:val="006E2F31"/>
    <w:rsid w:val="006E2F44"/>
    <w:rsid w:val="006E34D1"/>
    <w:rsid w:val="006E3512"/>
    <w:rsid w:val="006E3FFA"/>
    <w:rsid w:val="006E443E"/>
    <w:rsid w:val="006E48C1"/>
    <w:rsid w:val="006E5443"/>
    <w:rsid w:val="006E5EE0"/>
    <w:rsid w:val="006E639F"/>
    <w:rsid w:val="006E6574"/>
    <w:rsid w:val="006E6C2B"/>
    <w:rsid w:val="006E6F85"/>
    <w:rsid w:val="006E73F0"/>
    <w:rsid w:val="006E7ABC"/>
    <w:rsid w:val="006E7BA6"/>
    <w:rsid w:val="006E7C2F"/>
    <w:rsid w:val="006E7E50"/>
    <w:rsid w:val="006F024A"/>
    <w:rsid w:val="006F05CA"/>
    <w:rsid w:val="006F07A1"/>
    <w:rsid w:val="006F0EDC"/>
    <w:rsid w:val="006F0F12"/>
    <w:rsid w:val="006F131C"/>
    <w:rsid w:val="006F24F0"/>
    <w:rsid w:val="006F2BB0"/>
    <w:rsid w:val="006F39C6"/>
    <w:rsid w:val="006F3A6C"/>
    <w:rsid w:val="006F3B81"/>
    <w:rsid w:val="006F3C65"/>
    <w:rsid w:val="006F3F78"/>
    <w:rsid w:val="006F4F0A"/>
    <w:rsid w:val="006F52F4"/>
    <w:rsid w:val="006F540F"/>
    <w:rsid w:val="006F543B"/>
    <w:rsid w:val="006F55C1"/>
    <w:rsid w:val="006F55ED"/>
    <w:rsid w:val="006F5F0B"/>
    <w:rsid w:val="006F5FC8"/>
    <w:rsid w:val="006F6017"/>
    <w:rsid w:val="006F613E"/>
    <w:rsid w:val="006F64AC"/>
    <w:rsid w:val="006F6870"/>
    <w:rsid w:val="006F706C"/>
    <w:rsid w:val="006F7304"/>
    <w:rsid w:val="006F738F"/>
    <w:rsid w:val="006F7FD3"/>
    <w:rsid w:val="007000A1"/>
    <w:rsid w:val="007001A8"/>
    <w:rsid w:val="00700B7B"/>
    <w:rsid w:val="00700CB5"/>
    <w:rsid w:val="00700FE7"/>
    <w:rsid w:val="0070141C"/>
    <w:rsid w:val="00701825"/>
    <w:rsid w:val="0070197B"/>
    <w:rsid w:val="00701A24"/>
    <w:rsid w:val="00701AE5"/>
    <w:rsid w:val="00701BE2"/>
    <w:rsid w:val="007022D2"/>
    <w:rsid w:val="0070290A"/>
    <w:rsid w:val="00702A24"/>
    <w:rsid w:val="00702C57"/>
    <w:rsid w:val="00702DFA"/>
    <w:rsid w:val="00702E1A"/>
    <w:rsid w:val="0070316C"/>
    <w:rsid w:val="0070332D"/>
    <w:rsid w:val="0070366F"/>
    <w:rsid w:val="00703760"/>
    <w:rsid w:val="00703B16"/>
    <w:rsid w:val="00703C7D"/>
    <w:rsid w:val="00703D48"/>
    <w:rsid w:val="007047F8"/>
    <w:rsid w:val="00704888"/>
    <w:rsid w:val="007048BD"/>
    <w:rsid w:val="00704A00"/>
    <w:rsid w:val="00704A76"/>
    <w:rsid w:val="00704D15"/>
    <w:rsid w:val="00704EC2"/>
    <w:rsid w:val="007051DB"/>
    <w:rsid w:val="007054C5"/>
    <w:rsid w:val="007057E3"/>
    <w:rsid w:val="00705AA6"/>
    <w:rsid w:val="00705ACC"/>
    <w:rsid w:val="00705B19"/>
    <w:rsid w:val="007060A6"/>
    <w:rsid w:val="00706D1C"/>
    <w:rsid w:val="00706EF8"/>
    <w:rsid w:val="00707148"/>
    <w:rsid w:val="007072DA"/>
    <w:rsid w:val="00707C28"/>
    <w:rsid w:val="00707DA3"/>
    <w:rsid w:val="00707FDC"/>
    <w:rsid w:val="00707FE7"/>
    <w:rsid w:val="007104D0"/>
    <w:rsid w:val="00710544"/>
    <w:rsid w:val="007105C0"/>
    <w:rsid w:val="0071068B"/>
    <w:rsid w:val="0071080F"/>
    <w:rsid w:val="0071081D"/>
    <w:rsid w:val="00710C1D"/>
    <w:rsid w:val="00710E34"/>
    <w:rsid w:val="00710F9B"/>
    <w:rsid w:val="00711200"/>
    <w:rsid w:val="00711688"/>
    <w:rsid w:val="00711A03"/>
    <w:rsid w:val="00712818"/>
    <w:rsid w:val="0071286F"/>
    <w:rsid w:val="00712874"/>
    <w:rsid w:val="007128BD"/>
    <w:rsid w:val="00712995"/>
    <w:rsid w:val="00712BD9"/>
    <w:rsid w:val="00713CB5"/>
    <w:rsid w:val="00714228"/>
    <w:rsid w:val="007152A4"/>
    <w:rsid w:val="0071545E"/>
    <w:rsid w:val="0071557B"/>
    <w:rsid w:val="00715AC7"/>
    <w:rsid w:val="00715C83"/>
    <w:rsid w:val="0071636C"/>
    <w:rsid w:val="00716426"/>
    <w:rsid w:val="00716B81"/>
    <w:rsid w:val="00716C96"/>
    <w:rsid w:val="00716CA5"/>
    <w:rsid w:val="00716E64"/>
    <w:rsid w:val="007173BE"/>
    <w:rsid w:val="00720024"/>
    <w:rsid w:val="007206A2"/>
    <w:rsid w:val="00720709"/>
    <w:rsid w:val="00721191"/>
    <w:rsid w:val="007218F4"/>
    <w:rsid w:val="00721F7D"/>
    <w:rsid w:val="00722018"/>
    <w:rsid w:val="0072202B"/>
    <w:rsid w:val="00722049"/>
    <w:rsid w:val="0072232E"/>
    <w:rsid w:val="00722D21"/>
    <w:rsid w:val="007233B8"/>
    <w:rsid w:val="00723411"/>
    <w:rsid w:val="0072360A"/>
    <w:rsid w:val="0072363B"/>
    <w:rsid w:val="007238CF"/>
    <w:rsid w:val="00723A25"/>
    <w:rsid w:val="00723D50"/>
    <w:rsid w:val="007245D1"/>
    <w:rsid w:val="0072474F"/>
    <w:rsid w:val="00724E8A"/>
    <w:rsid w:val="007251C4"/>
    <w:rsid w:val="007254A2"/>
    <w:rsid w:val="0072595C"/>
    <w:rsid w:val="00725989"/>
    <w:rsid w:val="00725E6E"/>
    <w:rsid w:val="00726165"/>
    <w:rsid w:val="00726AEC"/>
    <w:rsid w:val="0072747A"/>
    <w:rsid w:val="00727719"/>
    <w:rsid w:val="00727CD0"/>
    <w:rsid w:val="007304E0"/>
    <w:rsid w:val="00730615"/>
    <w:rsid w:val="00730766"/>
    <w:rsid w:val="00730CB0"/>
    <w:rsid w:val="0073152A"/>
    <w:rsid w:val="00731718"/>
    <w:rsid w:val="00731B7E"/>
    <w:rsid w:val="00731D72"/>
    <w:rsid w:val="00731EF3"/>
    <w:rsid w:val="007323E4"/>
    <w:rsid w:val="0073316A"/>
    <w:rsid w:val="007333C5"/>
    <w:rsid w:val="0073358E"/>
    <w:rsid w:val="0073361A"/>
    <w:rsid w:val="007338D4"/>
    <w:rsid w:val="00733C65"/>
    <w:rsid w:val="00733D05"/>
    <w:rsid w:val="00733F61"/>
    <w:rsid w:val="007342B3"/>
    <w:rsid w:val="007342E7"/>
    <w:rsid w:val="0073480B"/>
    <w:rsid w:val="00734CB4"/>
    <w:rsid w:val="0073514D"/>
    <w:rsid w:val="007351D3"/>
    <w:rsid w:val="007357C0"/>
    <w:rsid w:val="00735CDF"/>
    <w:rsid w:val="00735D5F"/>
    <w:rsid w:val="00736161"/>
    <w:rsid w:val="0073647E"/>
    <w:rsid w:val="007369D7"/>
    <w:rsid w:val="00736F4E"/>
    <w:rsid w:val="007371DC"/>
    <w:rsid w:val="00737401"/>
    <w:rsid w:val="00740129"/>
    <w:rsid w:val="007401C9"/>
    <w:rsid w:val="00740248"/>
    <w:rsid w:val="0074051F"/>
    <w:rsid w:val="00740899"/>
    <w:rsid w:val="007412BD"/>
    <w:rsid w:val="00741580"/>
    <w:rsid w:val="00741746"/>
    <w:rsid w:val="00741F87"/>
    <w:rsid w:val="0074215A"/>
    <w:rsid w:val="007422F6"/>
    <w:rsid w:val="00742ADD"/>
    <w:rsid w:val="00742F2F"/>
    <w:rsid w:val="0074342D"/>
    <w:rsid w:val="00743D70"/>
    <w:rsid w:val="00743E31"/>
    <w:rsid w:val="007442B1"/>
    <w:rsid w:val="0074514E"/>
    <w:rsid w:val="0074534A"/>
    <w:rsid w:val="00745515"/>
    <w:rsid w:val="00746064"/>
    <w:rsid w:val="0074620C"/>
    <w:rsid w:val="00746262"/>
    <w:rsid w:val="00746C62"/>
    <w:rsid w:val="00746F54"/>
    <w:rsid w:val="007479AC"/>
    <w:rsid w:val="00747BAF"/>
    <w:rsid w:val="00747BBB"/>
    <w:rsid w:val="00747CA1"/>
    <w:rsid w:val="00747D8C"/>
    <w:rsid w:val="00747E33"/>
    <w:rsid w:val="0075022A"/>
    <w:rsid w:val="00750D4D"/>
    <w:rsid w:val="0075143C"/>
    <w:rsid w:val="0075190A"/>
    <w:rsid w:val="00751B6F"/>
    <w:rsid w:val="00751D38"/>
    <w:rsid w:val="00751E6F"/>
    <w:rsid w:val="00751ED1"/>
    <w:rsid w:val="00752238"/>
    <w:rsid w:val="00752330"/>
    <w:rsid w:val="00752530"/>
    <w:rsid w:val="007525C3"/>
    <w:rsid w:val="00752645"/>
    <w:rsid w:val="0075316B"/>
    <w:rsid w:val="00753E5C"/>
    <w:rsid w:val="007549F1"/>
    <w:rsid w:val="00754E35"/>
    <w:rsid w:val="00755678"/>
    <w:rsid w:val="00755769"/>
    <w:rsid w:val="00755B81"/>
    <w:rsid w:val="00755D2B"/>
    <w:rsid w:val="00755FE4"/>
    <w:rsid w:val="00756041"/>
    <w:rsid w:val="00756097"/>
    <w:rsid w:val="00756144"/>
    <w:rsid w:val="00756902"/>
    <w:rsid w:val="00756FE1"/>
    <w:rsid w:val="007571F7"/>
    <w:rsid w:val="00757330"/>
    <w:rsid w:val="00757366"/>
    <w:rsid w:val="0075757D"/>
    <w:rsid w:val="00757DF3"/>
    <w:rsid w:val="007603F5"/>
    <w:rsid w:val="0076098B"/>
    <w:rsid w:val="007609D4"/>
    <w:rsid w:val="00760CD0"/>
    <w:rsid w:val="00760E7C"/>
    <w:rsid w:val="007611BC"/>
    <w:rsid w:val="00761268"/>
    <w:rsid w:val="00761489"/>
    <w:rsid w:val="00761651"/>
    <w:rsid w:val="00762006"/>
    <w:rsid w:val="007620D8"/>
    <w:rsid w:val="0076224B"/>
    <w:rsid w:val="007625B6"/>
    <w:rsid w:val="00762BA7"/>
    <w:rsid w:val="00763042"/>
    <w:rsid w:val="00763256"/>
    <w:rsid w:val="007635BA"/>
    <w:rsid w:val="0076370B"/>
    <w:rsid w:val="007637EA"/>
    <w:rsid w:val="00763809"/>
    <w:rsid w:val="00763E84"/>
    <w:rsid w:val="007640B5"/>
    <w:rsid w:val="00764409"/>
    <w:rsid w:val="00764F64"/>
    <w:rsid w:val="00764FA6"/>
    <w:rsid w:val="00765275"/>
    <w:rsid w:val="00765718"/>
    <w:rsid w:val="0076587F"/>
    <w:rsid w:val="00765DAF"/>
    <w:rsid w:val="00766405"/>
    <w:rsid w:val="00766518"/>
    <w:rsid w:val="00766894"/>
    <w:rsid w:val="00766A9D"/>
    <w:rsid w:val="00766AEE"/>
    <w:rsid w:val="00766BE2"/>
    <w:rsid w:val="0076775E"/>
    <w:rsid w:val="0076787E"/>
    <w:rsid w:val="0077066B"/>
    <w:rsid w:val="00770764"/>
    <w:rsid w:val="007708F7"/>
    <w:rsid w:val="007715EC"/>
    <w:rsid w:val="007719F5"/>
    <w:rsid w:val="00772248"/>
    <w:rsid w:val="00772395"/>
    <w:rsid w:val="00772EC0"/>
    <w:rsid w:val="00772F1F"/>
    <w:rsid w:val="00772F9C"/>
    <w:rsid w:val="00773F43"/>
    <w:rsid w:val="007741D1"/>
    <w:rsid w:val="0077456E"/>
    <w:rsid w:val="00774635"/>
    <w:rsid w:val="0077537B"/>
    <w:rsid w:val="007753D8"/>
    <w:rsid w:val="00775603"/>
    <w:rsid w:val="007758FB"/>
    <w:rsid w:val="00775D06"/>
    <w:rsid w:val="00775F45"/>
    <w:rsid w:val="007760E8"/>
    <w:rsid w:val="0077635E"/>
    <w:rsid w:val="007763CF"/>
    <w:rsid w:val="0077665B"/>
    <w:rsid w:val="00776757"/>
    <w:rsid w:val="0077688B"/>
    <w:rsid w:val="00777061"/>
    <w:rsid w:val="0077764D"/>
    <w:rsid w:val="00777DE0"/>
    <w:rsid w:val="007803BB"/>
    <w:rsid w:val="0078068D"/>
    <w:rsid w:val="00780751"/>
    <w:rsid w:val="00780B7D"/>
    <w:rsid w:val="00780C1B"/>
    <w:rsid w:val="00781302"/>
    <w:rsid w:val="007816D0"/>
    <w:rsid w:val="00782348"/>
    <w:rsid w:val="007823C3"/>
    <w:rsid w:val="00782821"/>
    <w:rsid w:val="00782898"/>
    <w:rsid w:val="00782ACD"/>
    <w:rsid w:val="00782B4C"/>
    <w:rsid w:val="00782B98"/>
    <w:rsid w:val="00782E5C"/>
    <w:rsid w:val="00782F9A"/>
    <w:rsid w:val="00783570"/>
    <w:rsid w:val="00783911"/>
    <w:rsid w:val="007839C9"/>
    <w:rsid w:val="00783AA3"/>
    <w:rsid w:val="00783CDC"/>
    <w:rsid w:val="00783FDE"/>
    <w:rsid w:val="00784709"/>
    <w:rsid w:val="00784A67"/>
    <w:rsid w:val="00784C06"/>
    <w:rsid w:val="0078522B"/>
    <w:rsid w:val="00786199"/>
    <w:rsid w:val="007861FF"/>
    <w:rsid w:val="007862EE"/>
    <w:rsid w:val="0078688A"/>
    <w:rsid w:val="00786AF5"/>
    <w:rsid w:val="00787269"/>
    <w:rsid w:val="00787612"/>
    <w:rsid w:val="007877D8"/>
    <w:rsid w:val="00787B9E"/>
    <w:rsid w:val="0079080F"/>
    <w:rsid w:val="00790AA8"/>
    <w:rsid w:val="00790DE8"/>
    <w:rsid w:val="007910C2"/>
    <w:rsid w:val="00791D3C"/>
    <w:rsid w:val="00792400"/>
    <w:rsid w:val="00792463"/>
    <w:rsid w:val="00792C5C"/>
    <w:rsid w:val="00792DD9"/>
    <w:rsid w:val="0079432E"/>
    <w:rsid w:val="0079434A"/>
    <w:rsid w:val="00794CE1"/>
    <w:rsid w:val="0079534D"/>
    <w:rsid w:val="007954C8"/>
    <w:rsid w:val="00795C1D"/>
    <w:rsid w:val="00795F0D"/>
    <w:rsid w:val="00796065"/>
    <w:rsid w:val="00796827"/>
    <w:rsid w:val="00796906"/>
    <w:rsid w:val="00796CC6"/>
    <w:rsid w:val="00796DE0"/>
    <w:rsid w:val="0079783A"/>
    <w:rsid w:val="0079785C"/>
    <w:rsid w:val="00797963"/>
    <w:rsid w:val="00797A8A"/>
    <w:rsid w:val="007A0251"/>
    <w:rsid w:val="007A0498"/>
    <w:rsid w:val="007A04DC"/>
    <w:rsid w:val="007A1686"/>
    <w:rsid w:val="007A18E8"/>
    <w:rsid w:val="007A1BEF"/>
    <w:rsid w:val="007A2EC1"/>
    <w:rsid w:val="007A3502"/>
    <w:rsid w:val="007A3CC1"/>
    <w:rsid w:val="007A41B7"/>
    <w:rsid w:val="007A47EF"/>
    <w:rsid w:val="007A4BE5"/>
    <w:rsid w:val="007A5009"/>
    <w:rsid w:val="007A5C73"/>
    <w:rsid w:val="007A5CD2"/>
    <w:rsid w:val="007A5E34"/>
    <w:rsid w:val="007A6538"/>
    <w:rsid w:val="007A6567"/>
    <w:rsid w:val="007A7690"/>
    <w:rsid w:val="007A78A4"/>
    <w:rsid w:val="007A7D87"/>
    <w:rsid w:val="007A7D9B"/>
    <w:rsid w:val="007B027C"/>
    <w:rsid w:val="007B058B"/>
    <w:rsid w:val="007B06D9"/>
    <w:rsid w:val="007B1142"/>
    <w:rsid w:val="007B263E"/>
    <w:rsid w:val="007B2C32"/>
    <w:rsid w:val="007B34F2"/>
    <w:rsid w:val="007B3B61"/>
    <w:rsid w:val="007B3C0D"/>
    <w:rsid w:val="007B3C8D"/>
    <w:rsid w:val="007B3EBD"/>
    <w:rsid w:val="007B410C"/>
    <w:rsid w:val="007B410E"/>
    <w:rsid w:val="007B455E"/>
    <w:rsid w:val="007B4A47"/>
    <w:rsid w:val="007B4B75"/>
    <w:rsid w:val="007B526C"/>
    <w:rsid w:val="007B56DE"/>
    <w:rsid w:val="007B57CD"/>
    <w:rsid w:val="007B5842"/>
    <w:rsid w:val="007B5B35"/>
    <w:rsid w:val="007B5C34"/>
    <w:rsid w:val="007B5DD4"/>
    <w:rsid w:val="007B6327"/>
    <w:rsid w:val="007B6800"/>
    <w:rsid w:val="007B7046"/>
    <w:rsid w:val="007B706C"/>
    <w:rsid w:val="007C0148"/>
    <w:rsid w:val="007C05F5"/>
    <w:rsid w:val="007C0ABE"/>
    <w:rsid w:val="007C0C45"/>
    <w:rsid w:val="007C0E2B"/>
    <w:rsid w:val="007C0E3F"/>
    <w:rsid w:val="007C17ED"/>
    <w:rsid w:val="007C1E8B"/>
    <w:rsid w:val="007C2049"/>
    <w:rsid w:val="007C24CC"/>
    <w:rsid w:val="007C24D5"/>
    <w:rsid w:val="007C282A"/>
    <w:rsid w:val="007C31C1"/>
    <w:rsid w:val="007C32AB"/>
    <w:rsid w:val="007C3364"/>
    <w:rsid w:val="007C3456"/>
    <w:rsid w:val="007C37F4"/>
    <w:rsid w:val="007C3B8D"/>
    <w:rsid w:val="007C3D6A"/>
    <w:rsid w:val="007C42DE"/>
    <w:rsid w:val="007C45F3"/>
    <w:rsid w:val="007C47EE"/>
    <w:rsid w:val="007C4989"/>
    <w:rsid w:val="007C4B7E"/>
    <w:rsid w:val="007C4F12"/>
    <w:rsid w:val="007C52CF"/>
    <w:rsid w:val="007C5568"/>
    <w:rsid w:val="007C57B4"/>
    <w:rsid w:val="007C5DFC"/>
    <w:rsid w:val="007C66E2"/>
    <w:rsid w:val="007C6955"/>
    <w:rsid w:val="007C6B71"/>
    <w:rsid w:val="007C7767"/>
    <w:rsid w:val="007C790B"/>
    <w:rsid w:val="007D0417"/>
    <w:rsid w:val="007D0C07"/>
    <w:rsid w:val="007D0ED9"/>
    <w:rsid w:val="007D114E"/>
    <w:rsid w:val="007D1771"/>
    <w:rsid w:val="007D1B59"/>
    <w:rsid w:val="007D1B8B"/>
    <w:rsid w:val="007D1CF6"/>
    <w:rsid w:val="007D2EAC"/>
    <w:rsid w:val="007D2F00"/>
    <w:rsid w:val="007D38F8"/>
    <w:rsid w:val="007D4061"/>
    <w:rsid w:val="007D4ACD"/>
    <w:rsid w:val="007D4CD4"/>
    <w:rsid w:val="007D5007"/>
    <w:rsid w:val="007D51F3"/>
    <w:rsid w:val="007D55B8"/>
    <w:rsid w:val="007D6556"/>
    <w:rsid w:val="007D662F"/>
    <w:rsid w:val="007D6B16"/>
    <w:rsid w:val="007D6F3C"/>
    <w:rsid w:val="007D7002"/>
    <w:rsid w:val="007D71F2"/>
    <w:rsid w:val="007D74C7"/>
    <w:rsid w:val="007D7AEF"/>
    <w:rsid w:val="007D7C00"/>
    <w:rsid w:val="007D7D09"/>
    <w:rsid w:val="007D7F5F"/>
    <w:rsid w:val="007E048D"/>
    <w:rsid w:val="007E0642"/>
    <w:rsid w:val="007E0B41"/>
    <w:rsid w:val="007E1251"/>
    <w:rsid w:val="007E1271"/>
    <w:rsid w:val="007E1B40"/>
    <w:rsid w:val="007E1BA9"/>
    <w:rsid w:val="007E1DAF"/>
    <w:rsid w:val="007E22F2"/>
    <w:rsid w:val="007E2330"/>
    <w:rsid w:val="007E29D5"/>
    <w:rsid w:val="007E2EB0"/>
    <w:rsid w:val="007E2F1A"/>
    <w:rsid w:val="007E3040"/>
    <w:rsid w:val="007E3129"/>
    <w:rsid w:val="007E33A2"/>
    <w:rsid w:val="007E3509"/>
    <w:rsid w:val="007E3BEE"/>
    <w:rsid w:val="007E421D"/>
    <w:rsid w:val="007E4275"/>
    <w:rsid w:val="007E4492"/>
    <w:rsid w:val="007E44A6"/>
    <w:rsid w:val="007E459E"/>
    <w:rsid w:val="007E48A6"/>
    <w:rsid w:val="007E5541"/>
    <w:rsid w:val="007E5993"/>
    <w:rsid w:val="007E5CDB"/>
    <w:rsid w:val="007E5D55"/>
    <w:rsid w:val="007E5EC9"/>
    <w:rsid w:val="007E623B"/>
    <w:rsid w:val="007E68D1"/>
    <w:rsid w:val="007E68FA"/>
    <w:rsid w:val="007E696E"/>
    <w:rsid w:val="007E6A59"/>
    <w:rsid w:val="007E71D9"/>
    <w:rsid w:val="007E75D2"/>
    <w:rsid w:val="007E766B"/>
    <w:rsid w:val="007E7DB5"/>
    <w:rsid w:val="007E7F66"/>
    <w:rsid w:val="007F0242"/>
    <w:rsid w:val="007F10BA"/>
    <w:rsid w:val="007F1110"/>
    <w:rsid w:val="007F17A8"/>
    <w:rsid w:val="007F1902"/>
    <w:rsid w:val="007F1B67"/>
    <w:rsid w:val="007F1E00"/>
    <w:rsid w:val="007F1EB8"/>
    <w:rsid w:val="007F1EFB"/>
    <w:rsid w:val="007F1FEC"/>
    <w:rsid w:val="007F2B30"/>
    <w:rsid w:val="007F2B92"/>
    <w:rsid w:val="007F2BA9"/>
    <w:rsid w:val="007F3207"/>
    <w:rsid w:val="007F3243"/>
    <w:rsid w:val="007F33BA"/>
    <w:rsid w:val="007F34E9"/>
    <w:rsid w:val="007F40E6"/>
    <w:rsid w:val="007F459D"/>
    <w:rsid w:val="007F4603"/>
    <w:rsid w:val="007F4A48"/>
    <w:rsid w:val="007F50A7"/>
    <w:rsid w:val="007F514D"/>
    <w:rsid w:val="007F5318"/>
    <w:rsid w:val="007F552D"/>
    <w:rsid w:val="007F55B7"/>
    <w:rsid w:val="007F588C"/>
    <w:rsid w:val="007F5CF2"/>
    <w:rsid w:val="007F5D72"/>
    <w:rsid w:val="007F5FED"/>
    <w:rsid w:val="007F653D"/>
    <w:rsid w:val="007F6E50"/>
    <w:rsid w:val="007F778F"/>
    <w:rsid w:val="007F77BA"/>
    <w:rsid w:val="007F79A6"/>
    <w:rsid w:val="0080026E"/>
    <w:rsid w:val="00800381"/>
    <w:rsid w:val="0080113E"/>
    <w:rsid w:val="00801615"/>
    <w:rsid w:val="00801AF2"/>
    <w:rsid w:val="00801F2E"/>
    <w:rsid w:val="00802198"/>
    <w:rsid w:val="00802644"/>
    <w:rsid w:val="00803353"/>
    <w:rsid w:val="00803AE3"/>
    <w:rsid w:val="00804871"/>
    <w:rsid w:val="00804F3F"/>
    <w:rsid w:val="00805115"/>
    <w:rsid w:val="008052C8"/>
    <w:rsid w:val="0080567D"/>
    <w:rsid w:val="00805B02"/>
    <w:rsid w:val="00806A01"/>
    <w:rsid w:val="00806E18"/>
    <w:rsid w:val="00806EA2"/>
    <w:rsid w:val="00807225"/>
    <w:rsid w:val="00807C65"/>
    <w:rsid w:val="008100B7"/>
    <w:rsid w:val="00810186"/>
    <w:rsid w:val="00810731"/>
    <w:rsid w:val="00810EE5"/>
    <w:rsid w:val="008114A8"/>
    <w:rsid w:val="008114F4"/>
    <w:rsid w:val="008115EE"/>
    <w:rsid w:val="00811886"/>
    <w:rsid w:val="00812251"/>
    <w:rsid w:val="008125CA"/>
    <w:rsid w:val="00812666"/>
    <w:rsid w:val="008126C9"/>
    <w:rsid w:val="008126EF"/>
    <w:rsid w:val="00812A6F"/>
    <w:rsid w:val="00814E0F"/>
    <w:rsid w:val="00814F63"/>
    <w:rsid w:val="008150AF"/>
    <w:rsid w:val="00815186"/>
    <w:rsid w:val="008153F6"/>
    <w:rsid w:val="00815468"/>
    <w:rsid w:val="00816407"/>
    <w:rsid w:val="008167E3"/>
    <w:rsid w:val="0081691A"/>
    <w:rsid w:val="00816A6D"/>
    <w:rsid w:val="00816B7D"/>
    <w:rsid w:val="00817470"/>
    <w:rsid w:val="008177BB"/>
    <w:rsid w:val="00817A48"/>
    <w:rsid w:val="00817B33"/>
    <w:rsid w:val="00817CE5"/>
    <w:rsid w:val="00817E2F"/>
    <w:rsid w:val="00820628"/>
    <w:rsid w:val="00820982"/>
    <w:rsid w:val="00820A0E"/>
    <w:rsid w:val="00820A6B"/>
    <w:rsid w:val="00820C56"/>
    <w:rsid w:val="00820FB4"/>
    <w:rsid w:val="008212F6"/>
    <w:rsid w:val="0082130F"/>
    <w:rsid w:val="008213D0"/>
    <w:rsid w:val="008215BA"/>
    <w:rsid w:val="00821A62"/>
    <w:rsid w:val="00821BB5"/>
    <w:rsid w:val="00821D34"/>
    <w:rsid w:val="008222B4"/>
    <w:rsid w:val="00822913"/>
    <w:rsid w:val="0082310F"/>
    <w:rsid w:val="008233A9"/>
    <w:rsid w:val="008236A3"/>
    <w:rsid w:val="00823D1F"/>
    <w:rsid w:val="00823E97"/>
    <w:rsid w:val="00824064"/>
    <w:rsid w:val="008240B0"/>
    <w:rsid w:val="008242D4"/>
    <w:rsid w:val="008246A6"/>
    <w:rsid w:val="0082524C"/>
    <w:rsid w:val="008256E8"/>
    <w:rsid w:val="00825736"/>
    <w:rsid w:val="008263A2"/>
    <w:rsid w:val="008264FA"/>
    <w:rsid w:val="00826E37"/>
    <w:rsid w:val="008273ED"/>
    <w:rsid w:val="0082776B"/>
    <w:rsid w:val="00827A23"/>
    <w:rsid w:val="00827A76"/>
    <w:rsid w:val="00827C3B"/>
    <w:rsid w:val="008303EF"/>
    <w:rsid w:val="008306B7"/>
    <w:rsid w:val="00831148"/>
    <w:rsid w:val="00831607"/>
    <w:rsid w:val="008320AD"/>
    <w:rsid w:val="008321A7"/>
    <w:rsid w:val="00832200"/>
    <w:rsid w:val="0083225E"/>
    <w:rsid w:val="008324FF"/>
    <w:rsid w:val="008326AB"/>
    <w:rsid w:val="008328DB"/>
    <w:rsid w:val="00832A47"/>
    <w:rsid w:val="00832AC7"/>
    <w:rsid w:val="00832ACC"/>
    <w:rsid w:val="00832EB1"/>
    <w:rsid w:val="00833238"/>
    <w:rsid w:val="008339C0"/>
    <w:rsid w:val="00834C46"/>
    <w:rsid w:val="00834E7F"/>
    <w:rsid w:val="0083548A"/>
    <w:rsid w:val="00835A2F"/>
    <w:rsid w:val="00835C6A"/>
    <w:rsid w:val="008360C7"/>
    <w:rsid w:val="00836495"/>
    <w:rsid w:val="00836A80"/>
    <w:rsid w:val="00836A8D"/>
    <w:rsid w:val="00836AE3"/>
    <w:rsid w:val="008375D1"/>
    <w:rsid w:val="00837856"/>
    <w:rsid w:val="00837920"/>
    <w:rsid w:val="0084012C"/>
    <w:rsid w:val="008402E7"/>
    <w:rsid w:val="00840937"/>
    <w:rsid w:val="00840A7A"/>
    <w:rsid w:val="00840EF1"/>
    <w:rsid w:val="00841918"/>
    <w:rsid w:val="00841E78"/>
    <w:rsid w:val="00841FB3"/>
    <w:rsid w:val="00842312"/>
    <w:rsid w:val="00842399"/>
    <w:rsid w:val="008423A1"/>
    <w:rsid w:val="00842A12"/>
    <w:rsid w:val="00842AD9"/>
    <w:rsid w:val="00842D79"/>
    <w:rsid w:val="00843597"/>
    <w:rsid w:val="00843E95"/>
    <w:rsid w:val="00844220"/>
    <w:rsid w:val="00845334"/>
    <w:rsid w:val="00845644"/>
    <w:rsid w:val="00845704"/>
    <w:rsid w:val="00845808"/>
    <w:rsid w:val="00845FB9"/>
    <w:rsid w:val="0084623E"/>
    <w:rsid w:val="008466E2"/>
    <w:rsid w:val="00847865"/>
    <w:rsid w:val="00847AD1"/>
    <w:rsid w:val="00847EA0"/>
    <w:rsid w:val="00850CDF"/>
    <w:rsid w:val="00850E51"/>
    <w:rsid w:val="0085103A"/>
    <w:rsid w:val="008516BC"/>
    <w:rsid w:val="0085189B"/>
    <w:rsid w:val="00851F11"/>
    <w:rsid w:val="008523D9"/>
    <w:rsid w:val="0085255C"/>
    <w:rsid w:val="008526B0"/>
    <w:rsid w:val="00852976"/>
    <w:rsid w:val="0085298F"/>
    <w:rsid w:val="00852E24"/>
    <w:rsid w:val="00852F81"/>
    <w:rsid w:val="0085384D"/>
    <w:rsid w:val="00853D43"/>
    <w:rsid w:val="00853DC5"/>
    <w:rsid w:val="008540F1"/>
    <w:rsid w:val="00854146"/>
    <w:rsid w:val="008544D1"/>
    <w:rsid w:val="00854856"/>
    <w:rsid w:val="00854C8D"/>
    <w:rsid w:val="008554F2"/>
    <w:rsid w:val="00855AB2"/>
    <w:rsid w:val="00855B38"/>
    <w:rsid w:val="00855D7F"/>
    <w:rsid w:val="00856207"/>
    <w:rsid w:val="0085667C"/>
    <w:rsid w:val="0085680B"/>
    <w:rsid w:val="00856914"/>
    <w:rsid w:val="00857105"/>
    <w:rsid w:val="008571CD"/>
    <w:rsid w:val="00857314"/>
    <w:rsid w:val="00857696"/>
    <w:rsid w:val="00857D37"/>
    <w:rsid w:val="00857F1B"/>
    <w:rsid w:val="00857F32"/>
    <w:rsid w:val="00860167"/>
    <w:rsid w:val="0086023D"/>
    <w:rsid w:val="0086051F"/>
    <w:rsid w:val="00861777"/>
    <w:rsid w:val="00861792"/>
    <w:rsid w:val="0086185F"/>
    <w:rsid w:val="008618CF"/>
    <w:rsid w:val="00861BDC"/>
    <w:rsid w:val="00862A36"/>
    <w:rsid w:val="008630BF"/>
    <w:rsid w:val="0086393B"/>
    <w:rsid w:val="0086393F"/>
    <w:rsid w:val="00863A5D"/>
    <w:rsid w:val="008640E2"/>
    <w:rsid w:val="008641FF"/>
    <w:rsid w:val="00865015"/>
    <w:rsid w:val="00865732"/>
    <w:rsid w:val="00865BB9"/>
    <w:rsid w:val="008669A8"/>
    <w:rsid w:val="00866A49"/>
    <w:rsid w:val="0086708C"/>
    <w:rsid w:val="008671C9"/>
    <w:rsid w:val="00867265"/>
    <w:rsid w:val="00870157"/>
    <w:rsid w:val="00870549"/>
    <w:rsid w:val="0087056C"/>
    <w:rsid w:val="00870DB7"/>
    <w:rsid w:val="00870ED0"/>
    <w:rsid w:val="00871DA5"/>
    <w:rsid w:val="008721F3"/>
    <w:rsid w:val="008721FC"/>
    <w:rsid w:val="00872B0C"/>
    <w:rsid w:val="00872CFC"/>
    <w:rsid w:val="00873145"/>
    <w:rsid w:val="00873455"/>
    <w:rsid w:val="00873C54"/>
    <w:rsid w:val="00873EF2"/>
    <w:rsid w:val="00874140"/>
    <w:rsid w:val="0087474F"/>
    <w:rsid w:val="008747B7"/>
    <w:rsid w:val="00874EB8"/>
    <w:rsid w:val="00874FF3"/>
    <w:rsid w:val="008750C0"/>
    <w:rsid w:val="008752DF"/>
    <w:rsid w:val="0087547A"/>
    <w:rsid w:val="0087613E"/>
    <w:rsid w:val="0087666A"/>
    <w:rsid w:val="00876E9E"/>
    <w:rsid w:val="00876F4C"/>
    <w:rsid w:val="00876F89"/>
    <w:rsid w:val="00877287"/>
    <w:rsid w:val="00877598"/>
    <w:rsid w:val="0088029D"/>
    <w:rsid w:val="0088056A"/>
    <w:rsid w:val="008807FA"/>
    <w:rsid w:val="00880AFA"/>
    <w:rsid w:val="00880F9A"/>
    <w:rsid w:val="008812D1"/>
    <w:rsid w:val="00881912"/>
    <w:rsid w:val="008819FC"/>
    <w:rsid w:val="00882E76"/>
    <w:rsid w:val="0088344D"/>
    <w:rsid w:val="0088351E"/>
    <w:rsid w:val="00883B23"/>
    <w:rsid w:val="00883D41"/>
    <w:rsid w:val="00884329"/>
    <w:rsid w:val="008852C5"/>
    <w:rsid w:val="0088532B"/>
    <w:rsid w:val="00885824"/>
    <w:rsid w:val="00885E3E"/>
    <w:rsid w:val="00886003"/>
    <w:rsid w:val="008860C9"/>
    <w:rsid w:val="0088619A"/>
    <w:rsid w:val="008865C7"/>
    <w:rsid w:val="0088676F"/>
    <w:rsid w:val="0088747E"/>
    <w:rsid w:val="008875CF"/>
    <w:rsid w:val="008876B3"/>
    <w:rsid w:val="00887EEE"/>
    <w:rsid w:val="008900C1"/>
    <w:rsid w:val="0089046E"/>
    <w:rsid w:val="00890895"/>
    <w:rsid w:val="00890A6A"/>
    <w:rsid w:val="00890AD2"/>
    <w:rsid w:val="00890EC0"/>
    <w:rsid w:val="008911EA"/>
    <w:rsid w:val="00891904"/>
    <w:rsid w:val="0089238B"/>
    <w:rsid w:val="008927A2"/>
    <w:rsid w:val="00892861"/>
    <w:rsid w:val="00892C23"/>
    <w:rsid w:val="00892F97"/>
    <w:rsid w:val="0089386A"/>
    <w:rsid w:val="00894921"/>
    <w:rsid w:val="00894E68"/>
    <w:rsid w:val="00894EE7"/>
    <w:rsid w:val="0089578A"/>
    <w:rsid w:val="00895AAA"/>
    <w:rsid w:val="00896A0B"/>
    <w:rsid w:val="00896AF7"/>
    <w:rsid w:val="00896E17"/>
    <w:rsid w:val="0089709C"/>
    <w:rsid w:val="00897387"/>
    <w:rsid w:val="008974E7"/>
    <w:rsid w:val="00897B72"/>
    <w:rsid w:val="008A0FA1"/>
    <w:rsid w:val="008A1075"/>
    <w:rsid w:val="008A1B6E"/>
    <w:rsid w:val="008A2D30"/>
    <w:rsid w:val="008A3E23"/>
    <w:rsid w:val="008A4207"/>
    <w:rsid w:val="008A445D"/>
    <w:rsid w:val="008A4BE9"/>
    <w:rsid w:val="008A4CC4"/>
    <w:rsid w:val="008A51E3"/>
    <w:rsid w:val="008A56AE"/>
    <w:rsid w:val="008A5AA4"/>
    <w:rsid w:val="008A699E"/>
    <w:rsid w:val="008A6B02"/>
    <w:rsid w:val="008A71E5"/>
    <w:rsid w:val="008A733D"/>
    <w:rsid w:val="008A7AFE"/>
    <w:rsid w:val="008A7F97"/>
    <w:rsid w:val="008B0688"/>
    <w:rsid w:val="008B0699"/>
    <w:rsid w:val="008B09BF"/>
    <w:rsid w:val="008B0F17"/>
    <w:rsid w:val="008B14D4"/>
    <w:rsid w:val="008B1705"/>
    <w:rsid w:val="008B190E"/>
    <w:rsid w:val="008B1F9F"/>
    <w:rsid w:val="008B28E6"/>
    <w:rsid w:val="008B29EC"/>
    <w:rsid w:val="008B314E"/>
    <w:rsid w:val="008B4237"/>
    <w:rsid w:val="008B4596"/>
    <w:rsid w:val="008B4BEC"/>
    <w:rsid w:val="008B4E0E"/>
    <w:rsid w:val="008B4FC9"/>
    <w:rsid w:val="008B515D"/>
    <w:rsid w:val="008B57B9"/>
    <w:rsid w:val="008B590B"/>
    <w:rsid w:val="008B597C"/>
    <w:rsid w:val="008B5D42"/>
    <w:rsid w:val="008B5F9A"/>
    <w:rsid w:val="008B606A"/>
    <w:rsid w:val="008B61DD"/>
    <w:rsid w:val="008B6D5A"/>
    <w:rsid w:val="008B7680"/>
    <w:rsid w:val="008B78E0"/>
    <w:rsid w:val="008B7AC0"/>
    <w:rsid w:val="008B7EAA"/>
    <w:rsid w:val="008B7EB7"/>
    <w:rsid w:val="008C0044"/>
    <w:rsid w:val="008C052D"/>
    <w:rsid w:val="008C0B95"/>
    <w:rsid w:val="008C2292"/>
    <w:rsid w:val="008C2425"/>
    <w:rsid w:val="008C2CCC"/>
    <w:rsid w:val="008C2DCE"/>
    <w:rsid w:val="008C31BE"/>
    <w:rsid w:val="008C3396"/>
    <w:rsid w:val="008C343B"/>
    <w:rsid w:val="008C3C2F"/>
    <w:rsid w:val="008C422E"/>
    <w:rsid w:val="008C4753"/>
    <w:rsid w:val="008C4CAF"/>
    <w:rsid w:val="008C566D"/>
    <w:rsid w:val="008C57C9"/>
    <w:rsid w:val="008C59DD"/>
    <w:rsid w:val="008C5B09"/>
    <w:rsid w:val="008C5F15"/>
    <w:rsid w:val="008C65DE"/>
    <w:rsid w:val="008C6821"/>
    <w:rsid w:val="008C74AC"/>
    <w:rsid w:val="008C7541"/>
    <w:rsid w:val="008C767E"/>
    <w:rsid w:val="008C79E0"/>
    <w:rsid w:val="008C7F02"/>
    <w:rsid w:val="008D0488"/>
    <w:rsid w:val="008D0791"/>
    <w:rsid w:val="008D0912"/>
    <w:rsid w:val="008D0DE9"/>
    <w:rsid w:val="008D0E0A"/>
    <w:rsid w:val="008D10A2"/>
    <w:rsid w:val="008D1642"/>
    <w:rsid w:val="008D18CE"/>
    <w:rsid w:val="008D1A2D"/>
    <w:rsid w:val="008D21C1"/>
    <w:rsid w:val="008D2BBA"/>
    <w:rsid w:val="008D2CC9"/>
    <w:rsid w:val="008D2E5E"/>
    <w:rsid w:val="008D33A5"/>
    <w:rsid w:val="008D3EEA"/>
    <w:rsid w:val="008D3F87"/>
    <w:rsid w:val="008D4748"/>
    <w:rsid w:val="008D4B65"/>
    <w:rsid w:val="008D4BE4"/>
    <w:rsid w:val="008D666C"/>
    <w:rsid w:val="008D687C"/>
    <w:rsid w:val="008D6BBE"/>
    <w:rsid w:val="008D6D33"/>
    <w:rsid w:val="008D7491"/>
    <w:rsid w:val="008D7504"/>
    <w:rsid w:val="008D7649"/>
    <w:rsid w:val="008D78BB"/>
    <w:rsid w:val="008D7A71"/>
    <w:rsid w:val="008D7C8C"/>
    <w:rsid w:val="008D7EB9"/>
    <w:rsid w:val="008E071B"/>
    <w:rsid w:val="008E08A8"/>
    <w:rsid w:val="008E1524"/>
    <w:rsid w:val="008E1580"/>
    <w:rsid w:val="008E16F0"/>
    <w:rsid w:val="008E22F0"/>
    <w:rsid w:val="008E23A8"/>
    <w:rsid w:val="008E2916"/>
    <w:rsid w:val="008E29BC"/>
    <w:rsid w:val="008E2ACF"/>
    <w:rsid w:val="008E2D41"/>
    <w:rsid w:val="008E3A43"/>
    <w:rsid w:val="008E3D08"/>
    <w:rsid w:val="008E3EE3"/>
    <w:rsid w:val="008E3FA3"/>
    <w:rsid w:val="008E4104"/>
    <w:rsid w:val="008E4441"/>
    <w:rsid w:val="008E47E6"/>
    <w:rsid w:val="008E493D"/>
    <w:rsid w:val="008E4A41"/>
    <w:rsid w:val="008E4C85"/>
    <w:rsid w:val="008E4F4F"/>
    <w:rsid w:val="008E4F5A"/>
    <w:rsid w:val="008E50AE"/>
    <w:rsid w:val="008E5DCE"/>
    <w:rsid w:val="008E6C80"/>
    <w:rsid w:val="008E6D2C"/>
    <w:rsid w:val="008E6FD4"/>
    <w:rsid w:val="008E7A03"/>
    <w:rsid w:val="008F01CD"/>
    <w:rsid w:val="008F04AA"/>
    <w:rsid w:val="008F07D0"/>
    <w:rsid w:val="008F091B"/>
    <w:rsid w:val="008F0D47"/>
    <w:rsid w:val="008F0F7B"/>
    <w:rsid w:val="008F1071"/>
    <w:rsid w:val="008F144B"/>
    <w:rsid w:val="008F1BBC"/>
    <w:rsid w:val="008F220E"/>
    <w:rsid w:val="008F243C"/>
    <w:rsid w:val="008F244F"/>
    <w:rsid w:val="008F2527"/>
    <w:rsid w:val="008F257A"/>
    <w:rsid w:val="008F2903"/>
    <w:rsid w:val="008F3151"/>
    <w:rsid w:val="008F3234"/>
    <w:rsid w:val="008F33E5"/>
    <w:rsid w:val="008F34F9"/>
    <w:rsid w:val="008F35FD"/>
    <w:rsid w:val="008F39BB"/>
    <w:rsid w:val="008F47BA"/>
    <w:rsid w:val="008F4A9F"/>
    <w:rsid w:val="008F4AE0"/>
    <w:rsid w:val="008F4B26"/>
    <w:rsid w:val="008F4E71"/>
    <w:rsid w:val="008F4E8E"/>
    <w:rsid w:val="008F576D"/>
    <w:rsid w:val="008F6685"/>
    <w:rsid w:val="008F66B1"/>
    <w:rsid w:val="008F723E"/>
    <w:rsid w:val="008F76F4"/>
    <w:rsid w:val="009001A0"/>
    <w:rsid w:val="009002D5"/>
    <w:rsid w:val="009003BA"/>
    <w:rsid w:val="0090129D"/>
    <w:rsid w:val="0090134A"/>
    <w:rsid w:val="00901667"/>
    <w:rsid w:val="00901A7A"/>
    <w:rsid w:val="00901C7C"/>
    <w:rsid w:val="00901D44"/>
    <w:rsid w:val="00901E01"/>
    <w:rsid w:val="00902358"/>
    <w:rsid w:val="0090250E"/>
    <w:rsid w:val="00902B31"/>
    <w:rsid w:val="00902E9C"/>
    <w:rsid w:val="00903457"/>
    <w:rsid w:val="009037BB"/>
    <w:rsid w:val="00904110"/>
    <w:rsid w:val="00904211"/>
    <w:rsid w:val="00904628"/>
    <w:rsid w:val="0090518C"/>
    <w:rsid w:val="00905993"/>
    <w:rsid w:val="009059AF"/>
    <w:rsid w:val="00905C02"/>
    <w:rsid w:val="00906346"/>
    <w:rsid w:val="009070B6"/>
    <w:rsid w:val="009078FD"/>
    <w:rsid w:val="00907A8E"/>
    <w:rsid w:val="00907F5F"/>
    <w:rsid w:val="00907FE2"/>
    <w:rsid w:val="00910E67"/>
    <w:rsid w:val="00911A90"/>
    <w:rsid w:val="00911AC7"/>
    <w:rsid w:val="00911D16"/>
    <w:rsid w:val="00911D3B"/>
    <w:rsid w:val="00911D4E"/>
    <w:rsid w:val="0091207C"/>
    <w:rsid w:val="0091234F"/>
    <w:rsid w:val="00912B08"/>
    <w:rsid w:val="00913AD1"/>
    <w:rsid w:val="00913D4A"/>
    <w:rsid w:val="00914218"/>
    <w:rsid w:val="009147F7"/>
    <w:rsid w:val="00914D16"/>
    <w:rsid w:val="00914FDA"/>
    <w:rsid w:val="009153EA"/>
    <w:rsid w:val="009162FA"/>
    <w:rsid w:val="00916391"/>
    <w:rsid w:val="0091651A"/>
    <w:rsid w:val="00916D23"/>
    <w:rsid w:val="00916D3A"/>
    <w:rsid w:val="00917203"/>
    <w:rsid w:val="0091722F"/>
    <w:rsid w:val="009173D3"/>
    <w:rsid w:val="00917430"/>
    <w:rsid w:val="00917B0B"/>
    <w:rsid w:val="00917B6D"/>
    <w:rsid w:val="00920017"/>
    <w:rsid w:val="009203C9"/>
    <w:rsid w:val="0092085A"/>
    <w:rsid w:val="00920A1E"/>
    <w:rsid w:val="00920BC5"/>
    <w:rsid w:val="009211D9"/>
    <w:rsid w:val="00921981"/>
    <w:rsid w:val="009225AD"/>
    <w:rsid w:val="009228D5"/>
    <w:rsid w:val="009229A2"/>
    <w:rsid w:val="00922A5F"/>
    <w:rsid w:val="0092329B"/>
    <w:rsid w:val="00923DEA"/>
    <w:rsid w:val="00923F47"/>
    <w:rsid w:val="0092402C"/>
    <w:rsid w:val="009244E3"/>
    <w:rsid w:val="009245E0"/>
    <w:rsid w:val="00925057"/>
    <w:rsid w:val="009251A8"/>
    <w:rsid w:val="009251C4"/>
    <w:rsid w:val="0092524A"/>
    <w:rsid w:val="0092539A"/>
    <w:rsid w:val="009253C0"/>
    <w:rsid w:val="0092595F"/>
    <w:rsid w:val="00925CD1"/>
    <w:rsid w:val="00925FAB"/>
    <w:rsid w:val="0092676A"/>
    <w:rsid w:val="00926A0A"/>
    <w:rsid w:val="00926B0E"/>
    <w:rsid w:val="009273A7"/>
    <w:rsid w:val="009277FD"/>
    <w:rsid w:val="0092788B"/>
    <w:rsid w:val="00927949"/>
    <w:rsid w:val="00930153"/>
    <w:rsid w:val="00930754"/>
    <w:rsid w:val="0093085D"/>
    <w:rsid w:val="00930D4E"/>
    <w:rsid w:val="00930F41"/>
    <w:rsid w:val="00931044"/>
    <w:rsid w:val="009310C6"/>
    <w:rsid w:val="0093143F"/>
    <w:rsid w:val="00931A1E"/>
    <w:rsid w:val="00932479"/>
    <w:rsid w:val="00932696"/>
    <w:rsid w:val="00932797"/>
    <w:rsid w:val="00932869"/>
    <w:rsid w:val="00932906"/>
    <w:rsid w:val="00932D0E"/>
    <w:rsid w:val="0093309F"/>
    <w:rsid w:val="00933193"/>
    <w:rsid w:val="009335AE"/>
    <w:rsid w:val="009338CA"/>
    <w:rsid w:val="0093420F"/>
    <w:rsid w:val="009344C0"/>
    <w:rsid w:val="00934976"/>
    <w:rsid w:val="00934A07"/>
    <w:rsid w:val="00934F63"/>
    <w:rsid w:val="0093524B"/>
    <w:rsid w:val="00935FDF"/>
    <w:rsid w:val="009360CB"/>
    <w:rsid w:val="0093663A"/>
    <w:rsid w:val="00936757"/>
    <w:rsid w:val="00936A55"/>
    <w:rsid w:val="00936E34"/>
    <w:rsid w:val="00936EDA"/>
    <w:rsid w:val="0093708D"/>
    <w:rsid w:val="0093721C"/>
    <w:rsid w:val="0093727A"/>
    <w:rsid w:val="009372E0"/>
    <w:rsid w:val="0093757C"/>
    <w:rsid w:val="00937CC0"/>
    <w:rsid w:val="00940126"/>
    <w:rsid w:val="009401F2"/>
    <w:rsid w:val="009404DC"/>
    <w:rsid w:val="0094062E"/>
    <w:rsid w:val="0094097F"/>
    <w:rsid w:val="00940B64"/>
    <w:rsid w:val="00940C26"/>
    <w:rsid w:val="00940EFA"/>
    <w:rsid w:val="0094111C"/>
    <w:rsid w:val="00941258"/>
    <w:rsid w:val="00941742"/>
    <w:rsid w:val="009418E6"/>
    <w:rsid w:val="00941C37"/>
    <w:rsid w:val="00941CA8"/>
    <w:rsid w:val="00941EEC"/>
    <w:rsid w:val="0094206F"/>
    <w:rsid w:val="009431C0"/>
    <w:rsid w:val="009432F9"/>
    <w:rsid w:val="00943EB8"/>
    <w:rsid w:val="009442D0"/>
    <w:rsid w:val="00945092"/>
    <w:rsid w:val="00945567"/>
    <w:rsid w:val="0094564D"/>
    <w:rsid w:val="00945CD1"/>
    <w:rsid w:val="00946A26"/>
    <w:rsid w:val="00946C04"/>
    <w:rsid w:val="00946CF6"/>
    <w:rsid w:val="00946E32"/>
    <w:rsid w:val="00946ECC"/>
    <w:rsid w:val="00947257"/>
    <w:rsid w:val="0094774C"/>
    <w:rsid w:val="009478D6"/>
    <w:rsid w:val="009478EB"/>
    <w:rsid w:val="00950196"/>
    <w:rsid w:val="009501FD"/>
    <w:rsid w:val="009504A0"/>
    <w:rsid w:val="00950AF1"/>
    <w:rsid w:val="00950C56"/>
    <w:rsid w:val="00951213"/>
    <w:rsid w:val="00951224"/>
    <w:rsid w:val="009514E9"/>
    <w:rsid w:val="009517D8"/>
    <w:rsid w:val="00951E6E"/>
    <w:rsid w:val="00952736"/>
    <w:rsid w:val="009527F0"/>
    <w:rsid w:val="00952829"/>
    <w:rsid w:val="00952E8D"/>
    <w:rsid w:val="00952EA8"/>
    <w:rsid w:val="0095324A"/>
    <w:rsid w:val="009539B8"/>
    <w:rsid w:val="00953AB8"/>
    <w:rsid w:val="00953FA2"/>
    <w:rsid w:val="00954497"/>
    <w:rsid w:val="00954918"/>
    <w:rsid w:val="009549D2"/>
    <w:rsid w:val="00954C95"/>
    <w:rsid w:val="00954F69"/>
    <w:rsid w:val="00955B1F"/>
    <w:rsid w:val="00955D6F"/>
    <w:rsid w:val="0095606E"/>
    <w:rsid w:val="009560D2"/>
    <w:rsid w:val="00956C43"/>
    <w:rsid w:val="00956E37"/>
    <w:rsid w:val="00957054"/>
    <w:rsid w:val="009577A8"/>
    <w:rsid w:val="009578DD"/>
    <w:rsid w:val="009579FA"/>
    <w:rsid w:val="00957A04"/>
    <w:rsid w:val="00957A55"/>
    <w:rsid w:val="0096013A"/>
    <w:rsid w:val="009601C2"/>
    <w:rsid w:val="00960393"/>
    <w:rsid w:val="009609BC"/>
    <w:rsid w:val="00960B32"/>
    <w:rsid w:val="00960BBA"/>
    <w:rsid w:val="00960E9F"/>
    <w:rsid w:val="009616E3"/>
    <w:rsid w:val="009618BA"/>
    <w:rsid w:val="0096245B"/>
    <w:rsid w:val="00962849"/>
    <w:rsid w:val="00962DEA"/>
    <w:rsid w:val="00962E91"/>
    <w:rsid w:val="00962FD7"/>
    <w:rsid w:val="00963379"/>
    <w:rsid w:val="00963722"/>
    <w:rsid w:val="00963F98"/>
    <w:rsid w:val="009645ED"/>
    <w:rsid w:val="00964895"/>
    <w:rsid w:val="0096492A"/>
    <w:rsid w:val="00964B02"/>
    <w:rsid w:val="00964C5C"/>
    <w:rsid w:val="009653F4"/>
    <w:rsid w:val="00965873"/>
    <w:rsid w:val="00965942"/>
    <w:rsid w:val="00965A29"/>
    <w:rsid w:val="00965C1C"/>
    <w:rsid w:val="00965CF5"/>
    <w:rsid w:val="00965F55"/>
    <w:rsid w:val="00966606"/>
    <w:rsid w:val="009669EC"/>
    <w:rsid w:val="00966AE9"/>
    <w:rsid w:val="00966D98"/>
    <w:rsid w:val="009674EF"/>
    <w:rsid w:val="0096771B"/>
    <w:rsid w:val="0096799C"/>
    <w:rsid w:val="00967EA2"/>
    <w:rsid w:val="00967EBE"/>
    <w:rsid w:val="009700D3"/>
    <w:rsid w:val="009708B0"/>
    <w:rsid w:val="00970977"/>
    <w:rsid w:val="00970D7D"/>
    <w:rsid w:val="00970E47"/>
    <w:rsid w:val="00971638"/>
    <w:rsid w:val="0097199F"/>
    <w:rsid w:val="0097218D"/>
    <w:rsid w:val="00972233"/>
    <w:rsid w:val="00972CAF"/>
    <w:rsid w:val="00973289"/>
    <w:rsid w:val="00973514"/>
    <w:rsid w:val="00973832"/>
    <w:rsid w:val="009740A8"/>
    <w:rsid w:val="00974585"/>
    <w:rsid w:val="00974A18"/>
    <w:rsid w:val="00974B3B"/>
    <w:rsid w:val="00974EBE"/>
    <w:rsid w:val="00975505"/>
    <w:rsid w:val="0097595C"/>
    <w:rsid w:val="00976096"/>
    <w:rsid w:val="00976488"/>
    <w:rsid w:val="00976A52"/>
    <w:rsid w:val="00976D53"/>
    <w:rsid w:val="00976E1B"/>
    <w:rsid w:val="00976E96"/>
    <w:rsid w:val="0097763A"/>
    <w:rsid w:val="009778B7"/>
    <w:rsid w:val="009778BF"/>
    <w:rsid w:val="0097792B"/>
    <w:rsid w:val="00977ACB"/>
    <w:rsid w:val="00980AE0"/>
    <w:rsid w:val="009811E1"/>
    <w:rsid w:val="009817A7"/>
    <w:rsid w:val="00981D61"/>
    <w:rsid w:val="00981E26"/>
    <w:rsid w:val="00982442"/>
    <w:rsid w:val="00982841"/>
    <w:rsid w:val="00982EEB"/>
    <w:rsid w:val="00983528"/>
    <w:rsid w:val="009835BB"/>
    <w:rsid w:val="00983692"/>
    <w:rsid w:val="00983EE4"/>
    <w:rsid w:val="009840B5"/>
    <w:rsid w:val="00984274"/>
    <w:rsid w:val="00984464"/>
    <w:rsid w:val="009844FE"/>
    <w:rsid w:val="00984676"/>
    <w:rsid w:val="00984F53"/>
    <w:rsid w:val="00985288"/>
    <w:rsid w:val="009856FD"/>
    <w:rsid w:val="00985E0E"/>
    <w:rsid w:val="00986085"/>
    <w:rsid w:val="009861CC"/>
    <w:rsid w:val="009862FD"/>
    <w:rsid w:val="009866AC"/>
    <w:rsid w:val="00986AB2"/>
    <w:rsid w:val="0098721C"/>
    <w:rsid w:val="009878C2"/>
    <w:rsid w:val="009879B0"/>
    <w:rsid w:val="00987B16"/>
    <w:rsid w:val="00987BC1"/>
    <w:rsid w:val="00987BFA"/>
    <w:rsid w:val="00987E35"/>
    <w:rsid w:val="00987F6A"/>
    <w:rsid w:val="00987F92"/>
    <w:rsid w:val="0099013F"/>
    <w:rsid w:val="00990816"/>
    <w:rsid w:val="00990F47"/>
    <w:rsid w:val="00990FB1"/>
    <w:rsid w:val="0099186F"/>
    <w:rsid w:val="009921E9"/>
    <w:rsid w:val="00992248"/>
    <w:rsid w:val="00992312"/>
    <w:rsid w:val="00992466"/>
    <w:rsid w:val="009924BA"/>
    <w:rsid w:val="00992816"/>
    <w:rsid w:val="00992916"/>
    <w:rsid w:val="00992B29"/>
    <w:rsid w:val="00992D15"/>
    <w:rsid w:val="00993184"/>
    <w:rsid w:val="0099346C"/>
    <w:rsid w:val="00993684"/>
    <w:rsid w:val="0099382F"/>
    <w:rsid w:val="00993D86"/>
    <w:rsid w:val="00994351"/>
    <w:rsid w:val="00994700"/>
    <w:rsid w:val="009949B6"/>
    <w:rsid w:val="00994D6F"/>
    <w:rsid w:val="009959D9"/>
    <w:rsid w:val="009961A3"/>
    <w:rsid w:val="00996742"/>
    <w:rsid w:val="009969D2"/>
    <w:rsid w:val="00996E79"/>
    <w:rsid w:val="009974A1"/>
    <w:rsid w:val="00997995"/>
    <w:rsid w:val="00997D88"/>
    <w:rsid w:val="009A0267"/>
    <w:rsid w:val="009A0DC4"/>
    <w:rsid w:val="009A119C"/>
    <w:rsid w:val="009A1898"/>
    <w:rsid w:val="009A1CF5"/>
    <w:rsid w:val="009A25DD"/>
    <w:rsid w:val="009A291C"/>
    <w:rsid w:val="009A2A2F"/>
    <w:rsid w:val="009A2A3F"/>
    <w:rsid w:val="009A33DC"/>
    <w:rsid w:val="009A3A2C"/>
    <w:rsid w:val="009A3E01"/>
    <w:rsid w:val="009A3EFA"/>
    <w:rsid w:val="009A4F03"/>
    <w:rsid w:val="009A50B3"/>
    <w:rsid w:val="009A59B9"/>
    <w:rsid w:val="009A5D33"/>
    <w:rsid w:val="009A61B0"/>
    <w:rsid w:val="009A6253"/>
    <w:rsid w:val="009A671A"/>
    <w:rsid w:val="009A71DD"/>
    <w:rsid w:val="009A71FF"/>
    <w:rsid w:val="009A7405"/>
    <w:rsid w:val="009A75A1"/>
    <w:rsid w:val="009A7724"/>
    <w:rsid w:val="009A7931"/>
    <w:rsid w:val="009A79CF"/>
    <w:rsid w:val="009A7A23"/>
    <w:rsid w:val="009A7FAD"/>
    <w:rsid w:val="009B033B"/>
    <w:rsid w:val="009B051D"/>
    <w:rsid w:val="009B0C28"/>
    <w:rsid w:val="009B0D04"/>
    <w:rsid w:val="009B0D42"/>
    <w:rsid w:val="009B0E5C"/>
    <w:rsid w:val="009B0F59"/>
    <w:rsid w:val="009B1859"/>
    <w:rsid w:val="009B1ABB"/>
    <w:rsid w:val="009B208F"/>
    <w:rsid w:val="009B26DD"/>
    <w:rsid w:val="009B306B"/>
    <w:rsid w:val="009B30E0"/>
    <w:rsid w:val="009B3272"/>
    <w:rsid w:val="009B36D3"/>
    <w:rsid w:val="009B3B16"/>
    <w:rsid w:val="009B43C0"/>
    <w:rsid w:val="009B4797"/>
    <w:rsid w:val="009B4BA8"/>
    <w:rsid w:val="009B519A"/>
    <w:rsid w:val="009B5557"/>
    <w:rsid w:val="009B557D"/>
    <w:rsid w:val="009B5C4C"/>
    <w:rsid w:val="009B6208"/>
    <w:rsid w:val="009B6788"/>
    <w:rsid w:val="009B6BB7"/>
    <w:rsid w:val="009B6DD3"/>
    <w:rsid w:val="009B73A1"/>
    <w:rsid w:val="009B7665"/>
    <w:rsid w:val="009B7694"/>
    <w:rsid w:val="009C04A0"/>
    <w:rsid w:val="009C062F"/>
    <w:rsid w:val="009C07F0"/>
    <w:rsid w:val="009C0AE7"/>
    <w:rsid w:val="009C0B8F"/>
    <w:rsid w:val="009C0CD3"/>
    <w:rsid w:val="009C0EE3"/>
    <w:rsid w:val="009C132E"/>
    <w:rsid w:val="009C229B"/>
    <w:rsid w:val="009C25F7"/>
    <w:rsid w:val="009C2782"/>
    <w:rsid w:val="009C2C11"/>
    <w:rsid w:val="009C2F50"/>
    <w:rsid w:val="009C32A0"/>
    <w:rsid w:val="009C3945"/>
    <w:rsid w:val="009C3961"/>
    <w:rsid w:val="009C3D76"/>
    <w:rsid w:val="009C3F1F"/>
    <w:rsid w:val="009C3F64"/>
    <w:rsid w:val="009C4767"/>
    <w:rsid w:val="009C528D"/>
    <w:rsid w:val="009C5421"/>
    <w:rsid w:val="009C5DA7"/>
    <w:rsid w:val="009C5E0B"/>
    <w:rsid w:val="009C5E55"/>
    <w:rsid w:val="009C616E"/>
    <w:rsid w:val="009C6B29"/>
    <w:rsid w:val="009C7303"/>
    <w:rsid w:val="009C789F"/>
    <w:rsid w:val="009C7CDB"/>
    <w:rsid w:val="009D06C0"/>
    <w:rsid w:val="009D1202"/>
    <w:rsid w:val="009D13ED"/>
    <w:rsid w:val="009D1961"/>
    <w:rsid w:val="009D1A43"/>
    <w:rsid w:val="009D1AD8"/>
    <w:rsid w:val="009D1C8F"/>
    <w:rsid w:val="009D1CDE"/>
    <w:rsid w:val="009D1E88"/>
    <w:rsid w:val="009D25C9"/>
    <w:rsid w:val="009D303B"/>
    <w:rsid w:val="009D307E"/>
    <w:rsid w:val="009D3325"/>
    <w:rsid w:val="009D3366"/>
    <w:rsid w:val="009D338D"/>
    <w:rsid w:val="009D3759"/>
    <w:rsid w:val="009D3791"/>
    <w:rsid w:val="009D3DCF"/>
    <w:rsid w:val="009D3E19"/>
    <w:rsid w:val="009D3FE9"/>
    <w:rsid w:val="009D4A1F"/>
    <w:rsid w:val="009D4F2C"/>
    <w:rsid w:val="009D4F76"/>
    <w:rsid w:val="009D501A"/>
    <w:rsid w:val="009D5438"/>
    <w:rsid w:val="009D5844"/>
    <w:rsid w:val="009D69BE"/>
    <w:rsid w:val="009D6BCA"/>
    <w:rsid w:val="009D6D76"/>
    <w:rsid w:val="009D7317"/>
    <w:rsid w:val="009E0098"/>
    <w:rsid w:val="009E0D8D"/>
    <w:rsid w:val="009E0E68"/>
    <w:rsid w:val="009E1081"/>
    <w:rsid w:val="009E115B"/>
    <w:rsid w:val="009E1627"/>
    <w:rsid w:val="009E1955"/>
    <w:rsid w:val="009E1D5E"/>
    <w:rsid w:val="009E2575"/>
    <w:rsid w:val="009E2C91"/>
    <w:rsid w:val="009E3FB2"/>
    <w:rsid w:val="009E44DC"/>
    <w:rsid w:val="009E47AC"/>
    <w:rsid w:val="009E4A6C"/>
    <w:rsid w:val="009E4C1A"/>
    <w:rsid w:val="009E561D"/>
    <w:rsid w:val="009E5EC7"/>
    <w:rsid w:val="009E61C2"/>
    <w:rsid w:val="009E63E6"/>
    <w:rsid w:val="009E6FF8"/>
    <w:rsid w:val="009E7134"/>
    <w:rsid w:val="009E7181"/>
    <w:rsid w:val="009E75B5"/>
    <w:rsid w:val="009E7801"/>
    <w:rsid w:val="009E7C58"/>
    <w:rsid w:val="009E7D70"/>
    <w:rsid w:val="009F004B"/>
    <w:rsid w:val="009F007E"/>
    <w:rsid w:val="009F0158"/>
    <w:rsid w:val="009F057E"/>
    <w:rsid w:val="009F08F8"/>
    <w:rsid w:val="009F0B23"/>
    <w:rsid w:val="009F0F3E"/>
    <w:rsid w:val="009F1446"/>
    <w:rsid w:val="009F1B66"/>
    <w:rsid w:val="009F1DFE"/>
    <w:rsid w:val="009F2142"/>
    <w:rsid w:val="009F2A82"/>
    <w:rsid w:val="009F2BA4"/>
    <w:rsid w:val="009F2E8E"/>
    <w:rsid w:val="009F313A"/>
    <w:rsid w:val="009F3188"/>
    <w:rsid w:val="009F3233"/>
    <w:rsid w:val="009F3341"/>
    <w:rsid w:val="009F3D2F"/>
    <w:rsid w:val="009F41D9"/>
    <w:rsid w:val="009F4585"/>
    <w:rsid w:val="009F4C97"/>
    <w:rsid w:val="009F5527"/>
    <w:rsid w:val="009F5846"/>
    <w:rsid w:val="009F6203"/>
    <w:rsid w:val="009F6494"/>
    <w:rsid w:val="009F691D"/>
    <w:rsid w:val="009F6A98"/>
    <w:rsid w:val="009F6ED1"/>
    <w:rsid w:val="009F7122"/>
    <w:rsid w:val="009F7B33"/>
    <w:rsid w:val="009F7FF1"/>
    <w:rsid w:val="00A00170"/>
    <w:rsid w:val="00A00301"/>
    <w:rsid w:val="00A004C2"/>
    <w:rsid w:val="00A005B1"/>
    <w:rsid w:val="00A008FA"/>
    <w:rsid w:val="00A01050"/>
    <w:rsid w:val="00A01252"/>
    <w:rsid w:val="00A01877"/>
    <w:rsid w:val="00A01F70"/>
    <w:rsid w:val="00A03038"/>
    <w:rsid w:val="00A0334B"/>
    <w:rsid w:val="00A03CDA"/>
    <w:rsid w:val="00A04555"/>
    <w:rsid w:val="00A04939"/>
    <w:rsid w:val="00A04F72"/>
    <w:rsid w:val="00A05101"/>
    <w:rsid w:val="00A05484"/>
    <w:rsid w:val="00A05579"/>
    <w:rsid w:val="00A055F2"/>
    <w:rsid w:val="00A058E2"/>
    <w:rsid w:val="00A05A89"/>
    <w:rsid w:val="00A06474"/>
    <w:rsid w:val="00A06E30"/>
    <w:rsid w:val="00A06F8E"/>
    <w:rsid w:val="00A07AAD"/>
    <w:rsid w:val="00A07B70"/>
    <w:rsid w:val="00A07CD8"/>
    <w:rsid w:val="00A07D0F"/>
    <w:rsid w:val="00A1020C"/>
    <w:rsid w:val="00A10B2E"/>
    <w:rsid w:val="00A10F9C"/>
    <w:rsid w:val="00A123EE"/>
    <w:rsid w:val="00A12534"/>
    <w:rsid w:val="00A1285F"/>
    <w:rsid w:val="00A12B85"/>
    <w:rsid w:val="00A13146"/>
    <w:rsid w:val="00A131ED"/>
    <w:rsid w:val="00A133E1"/>
    <w:rsid w:val="00A13FF8"/>
    <w:rsid w:val="00A140BF"/>
    <w:rsid w:val="00A143F8"/>
    <w:rsid w:val="00A14498"/>
    <w:rsid w:val="00A1492D"/>
    <w:rsid w:val="00A14B6F"/>
    <w:rsid w:val="00A152D5"/>
    <w:rsid w:val="00A154A6"/>
    <w:rsid w:val="00A15663"/>
    <w:rsid w:val="00A15AE4"/>
    <w:rsid w:val="00A15C4A"/>
    <w:rsid w:val="00A1627C"/>
    <w:rsid w:val="00A16361"/>
    <w:rsid w:val="00A16558"/>
    <w:rsid w:val="00A166AB"/>
    <w:rsid w:val="00A168D9"/>
    <w:rsid w:val="00A16CD2"/>
    <w:rsid w:val="00A16E45"/>
    <w:rsid w:val="00A17313"/>
    <w:rsid w:val="00A17A30"/>
    <w:rsid w:val="00A20AD9"/>
    <w:rsid w:val="00A20F85"/>
    <w:rsid w:val="00A212E5"/>
    <w:rsid w:val="00A2160B"/>
    <w:rsid w:val="00A21D4D"/>
    <w:rsid w:val="00A2221E"/>
    <w:rsid w:val="00A22933"/>
    <w:rsid w:val="00A22C46"/>
    <w:rsid w:val="00A22E68"/>
    <w:rsid w:val="00A23280"/>
    <w:rsid w:val="00A23524"/>
    <w:rsid w:val="00A23ED0"/>
    <w:rsid w:val="00A242A6"/>
    <w:rsid w:val="00A24663"/>
    <w:rsid w:val="00A24892"/>
    <w:rsid w:val="00A24B18"/>
    <w:rsid w:val="00A24EBD"/>
    <w:rsid w:val="00A24EFE"/>
    <w:rsid w:val="00A2558E"/>
    <w:rsid w:val="00A2579B"/>
    <w:rsid w:val="00A25826"/>
    <w:rsid w:val="00A25BFA"/>
    <w:rsid w:val="00A25D5B"/>
    <w:rsid w:val="00A26433"/>
    <w:rsid w:val="00A2646E"/>
    <w:rsid w:val="00A26B8D"/>
    <w:rsid w:val="00A2758A"/>
    <w:rsid w:val="00A27914"/>
    <w:rsid w:val="00A2797E"/>
    <w:rsid w:val="00A27AA7"/>
    <w:rsid w:val="00A27ADB"/>
    <w:rsid w:val="00A27BA6"/>
    <w:rsid w:val="00A27F28"/>
    <w:rsid w:val="00A3015E"/>
    <w:rsid w:val="00A30206"/>
    <w:rsid w:val="00A304EF"/>
    <w:rsid w:val="00A30867"/>
    <w:rsid w:val="00A31066"/>
    <w:rsid w:val="00A3119B"/>
    <w:rsid w:val="00A311C0"/>
    <w:rsid w:val="00A313BA"/>
    <w:rsid w:val="00A31EC5"/>
    <w:rsid w:val="00A322AB"/>
    <w:rsid w:val="00A32D58"/>
    <w:rsid w:val="00A33294"/>
    <w:rsid w:val="00A333E2"/>
    <w:rsid w:val="00A3382A"/>
    <w:rsid w:val="00A33B38"/>
    <w:rsid w:val="00A3403B"/>
    <w:rsid w:val="00A348E0"/>
    <w:rsid w:val="00A34A6D"/>
    <w:rsid w:val="00A35C23"/>
    <w:rsid w:val="00A35DA5"/>
    <w:rsid w:val="00A36846"/>
    <w:rsid w:val="00A37271"/>
    <w:rsid w:val="00A37374"/>
    <w:rsid w:val="00A37500"/>
    <w:rsid w:val="00A376A4"/>
    <w:rsid w:val="00A37E32"/>
    <w:rsid w:val="00A403AA"/>
    <w:rsid w:val="00A40D3D"/>
    <w:rsid w:val="00A41149"/>
    <w:rsid w:val="00A41991"/>
    <w:rsid w:val="00A41AB1"/>
    <w:rsid w:val="00A41B2A"/>
    <w:rsid w:val="00A41DF8"/>
    <w:rsid w:val="00A42205"/>
    <w:rsid w:val="00A4258A"/>
    <w:rsid w:val="00A4274B"/>
    <w:rsid w:val="00A42A7F"/>
    <w:rsid w:val="00A42AA5"/>
    <w:rsid w:val="00A42EF1"/>
    <w:rsid w:val="00A434B0"/>
    <w:rsid w:val="00A4361C"/>
    <w:rsid w:val="00A4377E"/>
    <w:rsid w:val="00A43847"/>
    <w:rsid w:val="00A447A7"/>
    <w:rsid w:val="00A44936"/>
    <w:rsid w:val="00A44E8E"/>
    <w:rsid w:val="00A44F4C"/>
    <w:rsid w:val="00A44F82"/>
    <w:rsid w:val="00A44FBE"/>
    <w:rsid w:val="00A458E8"/>
    <w:rsid w:val="00A45F13"/>
    <w:rsid w:val="00A4645B"/>
    <w:rsid w:val="00A46B91"/>
    <w:rsid w:val="00A46CBE"/>
    <w:rsid w:val="00A47526"/>
    <w:rsid w:val="00A479E7"/>
    <w:rsid w:val="00A501E4"/>
    <w:rsid w:val="00A5047F"/>
    <w:rsid w:val="00A5081B"/>
    <w:rsid w:val="00A50A21"/>
    <w:rsid w:val="00A50C93"/>
    <w:rsid w:val="00A50D10"/>
    <w:rsid w:val="00A50DB9"/>
    <w:rsid w:val="00A510D5"/>
    <w:rsid w:val="00A51306"/>
    <w:rsid w:val="00A51334"/>
    <w:rsid w:val="00A5190D"/>
    <w:rsid w:val="00A51C4E"/>
    <w:rsid w:val="00A51FC0"/>
    <w:rsid w:val="00A52444"/>
    <w:rsid w:val="00A5299C"/>
    <w:rsid w:val="00A52D6E"/>
    <w:rsid w:val="00A535C8"/>
    <w:rsid w:val="00A53631"/>
    <w:rsid w:val="00A53770"/>
    <w:rsid w:val="00A53AC1"/>
    <w:rsid w:val="00A53AD8"/>
    <w:rsid w:val="00A53C4E"/>
    <w:rsid w:val="00A53F31"/>
    <w:rsid w:val="00A546B8"/>
    <w:rsid w:val="00A54C24"/>
    <w:rsid w:val="00A553F5"/>
    <w:rsid w:val="00A55A1B"/>
    <w:rsid w:val="00A55D2D"/>
    <w:rsid w:val="00A55FD8"/>
    <w:rsid w:val="00A560D0"/>
    <w:rsid w:val="00A56A73"/>
    <w:rsid w:val="00A56AA0"/>
    <w:rsid w:val="00A571E2"/>
    <w:rsid w:val="00A57947"/>
    <w:rsid w:val="00A6010C"/>
    <w:rsid w:val="00A60993"/>
    <w:rsid w:val="00A60D9A"/>
    <w:rsid w:val="00A60F54"/>
    <w:rsid w:val="00A61C6C"/>
    <w:rsid w:val="00A6231C"/>
    <w:rsid w:val="00A6243D"/>
    <w:rsid w:val="00A624D3"/>
    <w:rsid w:val="00A62A1E"/>
    <w:rsid w:val="00A631E7"/>
    <w:rsid w:val="00A633F3"/>
    <w:rsid w:val="00A63882"/>
    <w:rsid w:val="00A6398D"/>
    <w:rsid w:val="00A64FCC"/>
    <w:rsid w:val="00A6546D"/>
    <w:rsid w:val="00A6554F"/>
    <w:rsid w:val="00A65DBF"/>
    <w:rsid w:val="00A6609F"/>
    <w:rsid w:val="00A667CA"/>
    <w:rsid w:val="00A66993"/>
    <w:rsid w:val="00A66C50"/>
    <w:rsid w:val="00A66CC5"/>
    <w:rsid w:val="00A66DED"/>
    <w:rsid w:val="00A672EB"/>
    <w:rsid w:val="00A673A0"/>
    <w:rsid w:val="00A67AF3"/>
    <w:rsid w:val="00A7088A"/>
    <w:rsid w:val="00A70B9C"/>
    <w:rsid w:val="00A70FB1"/>
    <w:rsid w:val="00A71119"/>
    <w:rsid w:val="00A712FD"/>
    <w:rsid w:val="00A715B1"/>
    <w:rsid w:val="00A71C7D"/>
    <w:rsid w:val="00A71D8D"/>
    <w:rsid w:val="00A72521"/>
    <w:rsid w:val="00A72C85"/>
    <w:rsid w:val="00A72E62"/>
    <w:rsid w:val="00A7313B"/>
    <w:rsid w:val="00A736C1"/>
    <w:rsid w:val="00A73700"/>
    <w:rsid w:val="00A737C5"/>
    <w:rsid w:val="00A73AF9"/>
    <w:rsid w:val="00A73CFC"/>
    <w:rsid w:val="00A73DB7"/>
    <w:rsid w:val="00A745FD"/>
    <w:rsid w:val="00A74637"/>
    <w:rsid w:val="00A7568A"/>
    <w:rsid w:val="00A75C01"/>
    <w:rsid w:val="00A75DB8"/>
    <w:rsid w:val="00A75F41"/>
    <w:rsid w:val="00A76C0B"/>
    <w:rsid w:val="00A77FD3"/>
    <w:rsid w:val="00A80061"/>
    <w:rsid w:val="00A8056B"/>
    <w:rsid w:val="00A808B8"/>
    <w:rsid w:val="00A80C2C"/>
    <w:rsid w:val="00A80D08"/>
    <w:rsid w:val="00A80EA5"/>
    <w:rsid w:val="00A814C8"/>
    <w:rsid w:val="00A81546"/>
    <w:rsid w:val="00A81D4A"/>
    <w:rsid w:val="00A81FED"/>
    <w:rsid w:val="00A82719"/>
    <w:rsid w:val="00A82BC9"/>
    <w:rsid w:val="00A82DE3"/>
    <w:rsid w:val="00A82FD2"/>
    <w:rsid w:val="00A830B2"/>
    <w:rsid w:val="00A835C3"/>
    <w:rsid w:val="00A8376D"/>
    <w:rsid w:val="00A83961"/>
    <w:rsid w:val="00A839E8"/>
    <w:rsid w:val="00A83AEC"/>
    <w:rsid w:val="00A83C3C"/>
    <w:rsid w:val="00A840B3"/>
    <w:rsid w:val="00A84360"/>
    <w:rsid w:val="00A84D93"/>
    <w:rsid w:val="00A8554F"/>
    <w:rsid w:val="00A858A3"/>
    <w:rsid w:val="00A85EA4"/>
    <w:rsid w:val="00A864E0"/>
    <w:rsid w:val="00A866D5"/>
    <w:rsid w:val="00A86C1F"/>
    <w:rsid w:val="00A86E3F"/>
    <w:rsid w:val="00A874FC"/>
    <w:rsid w:val="00A8772B"/>
    <w:rsid w:val="00A877F9"/>
    <w:rsid w:val="00A87873"/>
    <w:rsid w:val="00A87AC2"/>
    <w:rsid w:val="00A90102"/>
    <w:rsid w:val="00A90322"/>
    <w:rsid w:val="00A9043D"/>
    <w:rsid w:val="00A90474"/>
    <w:rsid w:val="00A90769"/>
    <w:rsid w:val="00A90A45"/>
    <w:rsid w:val="00A90FC6"/>
    <w:rsid w:val="00A912C8"/>
    <w:rsid w:val="00A91AA3"/>
    <w:rsid w:val="00A91BF6"/>
    <w:rsid w:val="00A91E0E"/>
    <w:rsid w:val="00A9222C"/>
    <w:rsid w:val="00A9253D"/>
    <w:rsid w:val="00A92759"/>
    <w:rsid w:val="00A929D3"/>
    <w:rsid w:val="00A934F0"/>
    <w:rsid w:val="00A93765"/>
    <w:rsid w:val="00A939A8"/>
    <w:rsid w:val="00A93B27"/>
    <w:rsid w:val="00A93B35"/>
    <w:rsid w:val="00A93BE8"/>
    <w:rsid w:val="00A93C66"/>
    <w:rsid w:val="00A93CE2"/>
    <w:rsid w:val="00A94731"/>
    <w:rsid w:val="00A94C56"/>
    <w:rsid w:val="00A94D28"/>
    <w:rsid w:val="00A94FE3"/>
    <w:rsid w:val="00A95C1A"/>
    <w:rsid w:val="00A96047"/>
    <w:rsid w:val="00A9609A"/>
    <w:rsid w:val="00A961FA"/>
    <w:rsid w:val="00A965D1"/>
    <w:rsid w:val="00A9678C"/>
    <w:rsid w:val="00A96D6D"/>
    <w:rsid w:val="00A972B2"/>
    <w:rsid w:val="00A977C9"/>
    <w:rsid w:val="00A97D72"/>
    <w:rsid w:val="00AA037C"/>
    <w:rsid w:val="00AA03D1"/>
    <w:rsid w:val="00AA051E"/>
    <w:rsid w:val="00AA06C5"/>
    <w:rsid w:val="00AA0B34"/>
    <w:rsid w:val="00AA0E62"/>
    <w:rsid w:val="00AA1335"/>
    <w:rsid w:val="00AA19E1"/>
    <w:rsid w:val="00AA21DA"/>
    <w:rsid w:val="00AA27A0"/>
    <w:rsid w:val="00AA2C1C"/>
    <w:rsid w:val="00AA2EAA"/>
    <w:rsid w:val="00AA2F8F"/>
    <w:rsid w:val="00AA2FC4"/>
    <w:rsid w:val="00AA3200"/>
    <w:rsid w:val="00AA32F9"/>
    <w:rsid w:val="00AA3D85"/>
    <w:rsid w:val="00AA4334"/>
    <w:rsid w:val="00AA48DF"/>
    <w:rsid w:val="00AA4D7D"/>
    <w:rsid w:val="00AA4E86"/>
    <w:rsid w:val="00AA554C"/>
    <w:rsid w:val="00AA57B2"/>
    <w:rsid w:val="00AA6152"/>
    <w:rsid w:val="00AA6441"/>
    <w:rsid w:val="00AA6719"/>
    <w:rsid w:val="00AA69BA"/>
    <w:rsid w:val="00AA6B25"/>
    <w:rsid w:val="00AA6D4B"/>
    <w:rsid w:val="00AA71C9"/>
    <w:rsid w:val="00AA7628"/>
    <w:rsid w:val="00AA76C9"/>
    <w:rsid w:val="00AA7DC1"/>
    <w:rsid w:val="00AB020C"/>
    <w:rsid w:val="00AB03B2"/>
    <w:rsid w:val="00AB0B68"/>
    <w:rsid w:val="00AB0EA1"/>
    <w:rsid w:val="00AB1094"/>
    <w:rsid w:val="00AB12CD"/>
    <w:rsid w:val="00AB154C"/>
    <w:rsid w:val="00AB21F6"/>
    <w:rsid w:val="00AB27C5"/>
    <w:rsid w:val="00AB2FAB"/>
    <w:rsid w:val="00AB31B7"/>
    <w:rsid w:val="00AB32C3"/>
    <w:rsid w:val="00AB33DA"/>
    <w:rsid w:val="00AB33E5"/>
    <w:rsid w:val="00AB3ADB"/>
    <w:rsid w:val="00AB4355"/>
    <w:rsid w:val="00AB4490"/>
    <w:rsid w:val="00AB4494"/>
    <w:rsid w:val="00AB4947"/>
    <w:rsid w:val="00AB5CAA"/>
    <w:rsid w:val="00AB6067"/>
    <w:rsid w:val="00AB6938"/>
    <w:rsid w:val="00AB7187"/>
    <w:rsid w:val="00AB72A3"/>
    <w:rsid w:val="00AB746F"/>
    <w:rsid w:val="00AC016C"/>
    <w:rsid w:val="00AC03A4"/>
    <w:rsid w:val="00AC058E"/>
    <w:rsid w:val="00AC07B7"/>
    <w:rsid w:val="00AC113D"/>
    <w:rsid w:val="00AC1281"/>
    <w:rsid w:val="00AC16A0"/>
    <w:rsid w:val="00AC1751"/>
    <w:rsid w:val="00AC1E86"/>
    <w:rsid w:val="00AC2044"/>
    <w:rsid w:val="00AC20D6"/>
    <w:rsid w:val="00AC2110"/>
    <w:rsid w:val="00AC268F"/>
    <w:rsid w:val="00AC383E"/>
    <w:rsid w:val="00AC3CAE"/>
    <w:rsid w:val="00AC449C"/>
    <w:rsid w:val="00AC4789"/>
    <w:rsid w:val="00AC4DB2"/>
    <w:rsid w:val="00AC4FF3"/>
    <w:rsid w:val="00AC54D5"/>
    <w:rsid w:val="00AC56CB"/>
    <w:rsid w:val="00AC6403"/>
    <w:rsid w:val="00AC6954"/>
    <w:rsid w:val="00AC6A57"/>
    <w:rsid w:val="00AC6AD5"/>
    <w:rsid w:val="00AC707B"/>
    <w:rsid w:val="00AC7ACC"/>
    <w:rsid w:val="00AC7E01"/>
    <w:rsid w:val="00AD09A1"/>
    <w:rsid w:val="00AD0A5C"/>
    <w:rsid w:val="00AD0B95"/>
    <w:rsid w:val="00AD1131"/>
    <w:rsid w:val="00AD18AF"/>
    <w:rsid w:val="00AD1F5F"/>
    <w:rsid w:val="00AD2833"/>
    <w:rsid w:val="00AD3266"/>
    <w:rsid w:val="00AD3693"/>
    <w:rsid w:val="00AD36ED"/>
    <w:rsid w:val="00AD3803"/>
    <w:rsid w:val="00AD3CB0"/>
    <w:rsid w:val="00AD3D44"/>
    <w:rsid w:val="00AD4780"/>
    <w:rsid w:val="00AD4846"/>
    <w:rsid w:val="00AD4963"/>
    <w:rsid w:val="00AD49E4"/>
    <w:rsid w:val="00AD50AA"/>
    <w:rsid w:val="00AD5C55"/>
    <w:rsid w:val="00AD5D91"/>
    <w:rsid w:val="00AD62EA"/>
    <w:rsid w:val="00AD69D8"/>
    <w:rsid w:val="00AD69DB"/>
    <w:rsid w:val="00AD7413"/>
    <w:rsid w:val="00AD7770"/>
    <w:rsid w:val="00AD7BE0"/>
    <w:rsid w:val="00AE0643"/>
    <w:rsid w:val="00AE08C7"/>
    <w:rsid w:val="00AE0A17"/>
    <w:rsid w:val="00AE0FFC"/>
    <w:rsid w:val="00AE1506"/>
    <w:rsid w:val="00AE1B6B"/>
    <w:rsid w:val="00AE1DF0"/>
    <w:rsid w:val="00AE1E70"/>
    <w:rsid w:val="00AE2358"/>
    <w:rsid w:val="00AE279D"/>
    <w:rsid w:val="00AE2F63"/>
    <w:rsid w:val="00AE2FC3"/>
    <w:rsid w:val="00AE3972"/>
    <w:rsid w:val="00AE3B55"/>
    <w:rsid w:val="00AE4039"/>
    <w:rsid w:val="00AE4156"/>
    <w:rsid w:val="00AE45AB"/>
    <w:rsid w:val="00AE4EF3"/>
    <w:rsid w:val="00AE5360"/>
    <w:rsid w:val="00AE537E"/>
    <w:rsid w:val="00AE546A"/>
    <w:rsid w:val="00AE5FC5"/>
    <w:rsid w:val="00AE6476"/>
    <w:rsid w:val="00AE689B"/>
    <w:rsid w:val="00AE6EFF"/>
    <w:rsid w:val="00AE7105"/>
    <w:rsid w:val="00AE76EE"/>
    <w:rsid w:val="00AE7A42"/>
    <w:rsid w:val="00AF035F"/>
    <w:rsid w:val="00AF0589"/>
    <w:rsid w:val="00AF11AB"/>
    <w:rsid w:val="00AF132D"/>
    <w:rsid w:val="00AF1549"/>
    <w:rsid w:val="00AF17AC"/>
    <w:rsid w:val="00AF18CE"/>
    <w:rsid w:val="00AF1B52"/>
    <w:rsid w:val="00AF1E0D"/>
    <w:rsid w:val="00AF1E3F"/>
    <w:rsid w:val="00AF2008"/>
    <w:rsid w:val="00AF2587"/>
    <w:rsid w:val="00AF27E8"/>
    <w:rsid w:val="00AF2F33"/>
    <w:rsid w:val="00AF2FE8"/>
    <w:rsid w:val="00AF33EB"/>
    <w:rsid w:val="00AF3B79"/>
    <w:rsid w:val="00AF3D93"/>
    <w:rsid w:val="00AF3EE2"/>
    <w:rsid w:val="00AF3FD5"/>
    <w:rsid w:val="00AF40B5"/>
    <w:rsid w:val="00AF44BE"/>
    <w:rsid w:val="00AF4B12"/>
    <w:rsid w:val="00AF4C44"/>
    <w:rsid w:val="00AF4E61"/>
    <w:rsid w:val="00AF53D8"/>
    <w:rsid w:val="00AF549D"/>
    <w:rsid w:val="00AF5570"/>
    <w:rsid w:val="00AF6047"/>
    <w:rsid w:val="00AF6052"/>
    <w:rsid w:val="00AF637F"/>
    <w:rsid w:val="00AF6771"/>
    <w:rsid w:val="00AF67A4"/>
    <w:rsid w:val="00AF6C6D"/>
    <w:rsid w:val="00AF70FA"/>
    <w:rsid w:val="00AF7707"/>
    <w:rsid w:val="00B004DE"/>
    <w:rsid w:val="00B015C9"/>
    <w:rsid w:val="00B022E7"/>
    <w:rsid w:val="00B023A2"/>
    <w:rsid w:val="00B0243B"/>
    <w:rsid w:val="00B024D4"/>
    <w:rsid w:val="00B02596"/>
    <w:rsid w:val="00B02B59"/>
    <w:rsid w:val="00B02ECA"/>
    <w:rsid w:val="00B03136"/>
    <w:rsid w:val="00B03211"/>
    <w:rsid w:val="00B03263"/>
    <w:rsid w:val="00B034E1"/>
    <w:rsid w:val="00B0388F"/>
    <w:rsid w:val="00B041A5"/>
    <w:rsid w:val="00B04201"/>
    <w:rsid w:val="00B042F1"/>
    <w:rsid w:val="00B046DA"/>
    <w:rsid w:val="00B04822"/>
    <w:rsid w:val="00B04A92"/>
    <w:rsid w:val="00B04C6C"/>
    <w:rsid w:val="00B04CAF"/>
    <w:rsid w:val="00B05642"/>
    <w:rsid w:val="00B057AF"/>
    <w:rsid w:val="00B05AFC"/>
    <w:rsid w:val="00B05BDB"/>
    <w:rsid w:val="00B05FAD"/>
    <w:rsid w:val="00B05FF2"/>
    <w:rsid w:val="00B06024"/>
    <w:rsid w:val="00B069F0"/>
    <w:rsid w:val="00B06A43"/>
    <w:rsid w:val="00B06D79"/>
    <w:rsid w:val="00B06E7B"/>
    <w:rsid w:val="00B07EE8"/>
    <w:rsid w:val="00B10487"/>
    <w:rsid w:val="00B106EC"/>
    <w:rsid w:val="00B10C32"/>
    <w:rsid w:val="00B11175"/>
    <w:rsid w:val="00B11369"/>
    <w:rsid w:val="00B11795"/>
    <w:rsid w:val="00B118B7"/>
    <w:rsid w:val="00B11E6B"/>
    <w:rsid w:val="00B11E78"/>
    <w:rsid w:val="00B12039"/>
    <w:rsid w:val="00B12078"/>
    <w:rsid w:val="00B12A26"/>
    <w:rsid w:val="00B12DEB"/>
    <w:rsid w:val="00B13651"/>
    <w:rsid w:val="00B139A1"/>
    <w:rsid w:val="00B13C7B"/>
    <w:rsid w:val="00B13D12"/>
    <w:rsid w:val="00B14E04"/>
    <w:rsid w:val="00B152F1"/>
    <w:rsid w:val="00B15E69"/>
    <w:rsid w:val="00B16074"/>
    <w:rsid w:val="00B16172"/>
    <w:rsid w:val="00B16AF2"/>
    <w:rsid w:val="00B16D30"/>
    <w:rsid w:val="00B16EAC"/>
    <w:rsid w:val="00B16F3B"/>
    <w:rsid w:val="00B174E0"/>
    <w:rsid w:val="00B17786"/>
    <w:rsid w:val="00B17990"/>
    <w:rsid w:val="00B2097B"/>
    <w:rsid w:val="00B20A35"/>
    <w:rsid w:val="00B20BB8"/>
    <w:rsid w:val="00B20CFC"/>
    <w:rsid w:val="00B211BD"/>
    <w:rsid w:val="00B21395"/>
    <w:rsid w:val="00B21515"/>
    <w:rsid w:val="00B21ACD"/>
    <w:rsid w:val="00B21DD6"/>
    <w:rsid w:val="00B22203"/>
    <w:rsid w:val="00B22321"/>
    <w:rsid w:val="00B22D68"/>
    <w:rsid w:val="00B23536"/>
    <w:rsid w:val="00B2400A"/>
    <w:rsid w:val="00B2437D"/>
    <w:rsid w:val="00B24553"/>
    <w:rsid w:val="00B24C00"/>
    <w:rsid w:val="00B24EB3"/>
    <w:rsid w:val="00B2550D"/>
    <w:rsid w:val="00B25959"/>
    <w:rsid w:val="00B26002"/>
    <w:rsid w:val="00B26158"/>
    <w:rsid w:val="00B26345"/>
    <w:rsid w:val="00B267B7"/>
    <w:rsid w:val="00B26E61"/>
    <w:rsid w:val="00B27978"/>
    <w:rsid w:val="00B27A54"/>
    <w:rsid w:val="00B27CEA"/>
    <w:rsid w:val="00B30066"/>
    <w:rsid w:val="00B30201"/>
    <w:rsid w:val="00B3030C"/>
    <w:rsid w:val="00B306E0"/>
    <w:rsid w:val="00B30809"/>
    <w:rsid w:val="00B30F59"/>
    <w:rsid w:val="00B31006"/>
    <w:rsid w:val="00B311F8"/>
    <w:rsid w:val="00B3138B"/>
    <w:rsid w:val="00B31E6B"/>
    <w:rsid w:val="00B32031"/>
    <w:rsid w:val="00B323B0"/>
    <w:rsid w:val="00B32777"/>
    <w:rsid w:val="00B32871"/>
    <w:rsid w:val="00B328E2"/>
    <w:rsid w:val="00B32CAA"/>
    <w:rsid w:val="00B32CD1"/>
    <w:rsid w:val="00B32FE4"/>
    <w:rsid w:val="00B33532"/>
    <w:rsid w:val="00B33B36"/>
    <w:rsid w:val="00B33CA9"/>
    <w:rsid w:val="00B34CFE"/>
    <w:rsid w:val="00B34DC1"/>
    <w:rsid w:val="00B3545B"/>
    <w:rsid w:val="00B35728"/>
    <w:rsid w:val="00B35839"/>
    <w:rsid w:val="00B36404"/>
    <w:rsid w:val="00B3675A"/>
    <w:rsid w:val="00B36CB8"/>
    <w:rsid w:val="00B36CC0"/>
    <w:rsid w:val="00B372C0"/>
    <w:rsid w:val="00B37777"/>
    <w:rsid w:val="00B37C64"/>
    <w:rsid w:val="00B37E9D"/>
    <w:rsid w:val="00B40602"/>
    <w:rsid w:val="00B408E7"/>
    <w:rsid w:val="00B408F1"/>
    <w:rsid w:val="00B40CAC"/>
    <w:rsid w:val="00B410FE"/>
    <w:rsid w:val="00B411DF"/>
    <w:rsid w:val="00B41246"/>
    <w:rsid w:val="00B413DE"/>
    <w:rsid w:val="00B41845"/>
    <w:rsid w:val="00B419A4"/>
    <w:rsid w:val="00B41A13"/>
    <w:rsid w:val="00B41A48"/>
    <w:rsid w:val="00B4241A"/>
    <w:rsid w:val="00B42466"/>
    <w:rsid w:val="00B426AA"/>
    <w:rsid w:val="00B42FD9"/>
    <w:rsid w:val="00B43A06"/>
    <w:rsid w:val="00B43B33"/>
    <w:rsid w:val="00B43E8C"/>
    <w:rsid w:val="00B43EBA"/>
    <w:rsid w:val="00B440D4"/>
    <w:rsid w:val="00B456EC"/>
    <w:rsid w:val="00B45888"/>
    <w:rsid w:val="00B45CDD"/>
    <w:rsid w:val="00B462E3"/>
    <w:rsid w:val="00B46395"/>
    <w:rsid w:val="00B46505"/>
    <w:rsid w:val="00B4685B"/>
    <w:rsid w:val="00B46E12"/>
    <w:rsid w:val="00B472DC"/>
    <w:rsid w:val="00B47521"/>
    <w:rsid w:val="00B47636"/>
    <w:rsid w:val="00B5021D"/>
    <w:rsid w:val="00B50297"/>
    <w:rsid w:val="00B502AF"/>
    <w:rsid w:val="00B50306"/>
    <w:rsid w:val="00B50378"/>
    <w:rsid w:val="00B50EEF"/>
    <w:rsid w:val="00B51AC0"/>
    <w:rsid w:val="00B51D18"/>
    <w:rsid w:val="00B51FED"/>
    <w:rsid w:val="00B5252C"/>
    <w:rsid w:val="00B5285D"/>
    <w:rsid w:val="00B52897"/>
    <w:rsid w:val="00B52EA2"/>
    <w:rsid w:val="00B52EF7"/>
    <w:rsid w:val="00B52FEA"/>
    <w:rsid w:val="00B5392A"/>
    <w:rsid w:val="00B53DAE"/>
    <w:rsid w:val="00B53E25"/>
    <w:rsid w:val="00B54A85"/>
    <w:rsid w:val="00B54AC5"/>
    <w:rsid w:val="00B54C09"/>
    <w:rsid w:val="00B55228"/>
    <w:rsid w:val="00B5532F"/>
    <w:rsid w:val="00B556A1"/>
    <w:rsid w:val="00B5578A"/>
    <w:rsid w:val="00B55E60"/>
    <w:rsid w:val="00B566B0"/>
    <w:rsid w:val="00B5676C"/>
    <w:rsid w:val="00B57116"/>
    <w:rsid w:val="00B571AD"/>
    <w:rsid w:val="00B5744F"/>
    <w:rsid w:val="00B57B47"/>
    <w:rsid w:val="00B60AF6"/>
    <w:rsid w:val="00B60C95"/>
    <w:rsid w:val="00B60F7D"/>
    <w:rsid w:val="00B6103A"/>
    <w:rsid w:val="00B612AC"/>
    <w:rsid w:val="00B61372"/>
    <w:rsid w:val="00B61839"/>
    <w:rsid w:val="00B61A0F"/>
    <w:rsid w:val="00B61EB4"/>
    <w:rsid w:val="00B61EBC"/>
    <w:rsid w:val="00B62A83"/>
    <w:rsid w:val="00B6328C"/>
    <w:rsid w:val="00B63642"/>
    <w:rsid w:val="00B63672"/>
    <w:rsid w:val="00B6376C"/>
    <w:rsid w:val="00B63BC8"/>
    <w:rsid w:val="00B63D59"/>
    <w:rsid w:val="00B63DBE"/>
    <w:rsid w:val="00B6456F"/>
    <w:rsid w:val="00B64625"/>
    <w:rsid w:val="00B64878"/>
    <w:rsid w:val="00B64E20"/>
    <w:rsid w:val="00B64E51"/>
    <w:rsid w:val="00B64EAC"/>
    <w:rsid w:val="00B64F02"/>
    <w:rsid w:val="00B6548B"/>
    <w:rsid w:val="00B65952"/>
    <w:rsid w:val="00B659FE"/>
    <w:rsid w:val="00B662E5"/>
    <w:rsid w:val="00B66700"/>
    <w:rsid w:val="00B66752"/>
    <w:rsid w:val="00B6692C"/>
    <w:rsid w:val="00B66980"/>
    <w:rsid w:val="00B66C21"/>
    <w:rsid w:val="00B6761F"/>
    <w:rsid w:val="00B706F0"/>
    <w:rsid w:val="00B70B0D"/>
    <w:rsid w:val="00B714E0"/>
    <w:rsid w:val="00B7183E"/>
    <w:rsid w:val="00B71B38"/>
    <w:rsid w:val="00B71EA6"/>
    <w:rsid w:val="00B72828"/>
    <w:rsid w:val="00B72BD7"/>
    <w:rsid w:val="00B72C4A"/>
    <w:rsid w:val="00B72CD5"/>
    <w:rsid w:val="00B72DCE"/>
    <w:rsid w:val="00B7375B"/>
    <w:rsid w:val="00B745E4"/>
    <w:rsid w:val="00B747A0"/>
    <w:rsid w:val="00B7495D"/>
    <w:rsid w:val="00B75143"/>
    <w:rsid w:val="00B753A7"/>
    <w:rsid w:val="00B755E3"/>
    <w:rsid w:val="00B75602"/>
    <w:rsid w:val="00B757D4"/>
    <w:rsid w:val="00B75A20"/>
    <w:rsid w:val="00B75BF0"/>
    <w:rsid w:val="00B75EA1"/>
    <w:rsid w:val="00B75FB2"/>
    <w:rsid w:val="00B765CE"/>
    <w:rsid w:val="00B771D3"/>
    <w:rsid w:val="00B777AB"/>
    <w:rsid w:val="00B778BA"/>
    <w:rsid w:val="00B7793F"/>
    <w:rsid w:val="00B77B48"/>
    <w:rsid w:val="00B77B49"/>
    <w:rsid w:val="00B77BFA"/>
    <w:rsid w:val="00B81031"/>
    <w:rsid w:val="00B81CF1"/>
    <w:rsid w:val="00B81F10"/>
    <w:rsid w:val="00B81F69"/>
    <w:rsid w:val="00B81F93"/>
    <w:rsid w:val="00B824D0"/>
    <w:rsid w:val="00B82AD0"/>
    <w:rsid w:val="00B82E15"/>
    <w:rsid w:val="00B833BE"/>
    <w:rsid w:val="00B8341A"/>
    <w:rsid w:val="00B83690"/>
    <w:rsid w:val="00B838E6"/>
    <w:rsid w:val="00B8393A"/>
    <w:rsid w:val="00B83A0D"/>
    <w:rsid w:val="00B83BE0"/>
    <w:rsid w:val="00B83BE8"/>
    <w:rsid w:val="00B8477A"/>
    <w:rsid w:val="00B84CC0"/>
    <w:rsid w:val="00B85370"/>
    <w:rsid w:val="00B85387"/>
    <w:rsid w:val="00B853BC"/>
    <w:rsid w:val="00B86178"/>
    <w:rsid w:val="00B86294"/>
    <w:rsid w:val="00B863BC"/>
    <w:rsid w:val="00B8646B"/>
    <w:rsid w:val="00B8752F"/>
    <w:rsid w:val="00B87775"/>
    <w:rsid w:val="00B878B3"/>
    <w:rsid w:val="00B8796F"/>
    <w:rsid w:val="00B87C28"/>
    <w:rsid w:val="00B900FD"/>
    <w:rsid w:val="00B9014D"/>
    <w:rsid w:val="00B90585"/>
    <w:rsid w:val="00B910F0"/>
    <w:rsid w:val="00B91E7E"/>
    <w:rsid w:val="00B9228B"/>
    <w:rsid w:val="00B92336"/>
    <w:rsid w:val="00B92978"/>
    <w:rsid w:val="00B930ED"/>
    <w:rsid w:val="00B931C3"/>
    <w:rsid w:val="00B93669"/>
    <w:rsid w:val="00B93DD8"/>
    <w:rsid w:val="00B94902"/>
    <w:rsid w:val="00B94B01"/>
    <w:rsid w:val="00B94C3E"/>
    <w:rsid w:val="00B94D24"/>
    <w:rsid w:val="00B95098"/>
    <w:rsid w:val="00B950D5"/>
    <w:rsid w:val="00B95731"/>
    <w:rsid w:val="00B958EB"/>
    <w:rsid w:val="00B9613C"/>
    <w:rsid w:val="00B961F7"/>
    <w:rsid w:val="00B9649F"/>
    <w:rsid w:val="00B965A2"/>
    <w:rsid w:val="00B96B09"/>
    <w:rsid w:val="00B97046"/>
    <w:rsid w:val="00B9716F"/>
    <w:rsid w:val="00B97252"/>
    <w:rsid w:val="00B97394"/>
    <w:rsid w:val="00BA008C"/>
    <w:rsid w:val="00BA0927"/>
    <w:rsid w:val="00BA0BA3"/>
    <w:rsid w:val="00BA1318"/>
    <w:rsid w:val="00BA159F"/>
    <w:rsid w:val="00BA160B"/>
    <w:rsid w:val="00BA17BF"/>
    <w:rsid w:val="00BA1B62"/>
    <w:rsid w:val="00BA1D88"/>
    <w:rsid w:val="00BA209F"/>
    <w:rsid w:val="00BA25CD"/>
    <w:rsid w:val="00BA28AA"/>
    <w:rsid w:val="00BA2945"/>
    <w:rsid w:val="00BA2CB6"/>
    <w:rsid w:val="00BA35AB"/>
    <w:rsid w:val="00BA3BC8"/>
    <w:rsid w:val="00BA3D8D"/>
    <w:rsid w:val="00BA3E03"/>
    <w:rsid w:val="00BA435C"/>
    <w:rsid w:val="00BA4D49"/>
    <w:rsid w:val="00BA542C"/>
    <w:rsid w:val="00BA5B11"/>
    <w:rsid w:val="00BA5D0F"/>
    <w:rsid w:val="00BA6BCF"/>
    <w:rsid w:val="00BA7071"/>
    <w:rsid w:val="00BA793A"/>
    <w:rsid w:val="00BA7C35"/>
    <w:rsid w:val="00BA7F33"/>
    <w:rsid w:val="00BB0439"/>
    <w:rsid w:val="00BB0728"/>
    <w:rsid w:val="00BB0BA3"/>
    <w:rsid w:val="00BB0BDE"/>
    <w:rsid w:val="00BB0E02"/>
    <w:rsid w:val="00BB0F77"/>
    <w:rsid w:val="00BB1015"/>
    <w:rsid w:val="00BB114D"/>
    <w:rsid w:val="00BB11EA"/>
    <w:rsid w:val="00BB1253"/>
    <w:rsid w:val="00BB18FE"/>
    <w:rsid w:val="00BB1F1C"/>
    <w:rsid w:val="00BB2231"/>
    <w:rsid w:val="00BB23EB"/>
    <w:rsid w:val="00BB2668"/>
    <w:rsid w:val="00BB28EE"/>
    <w:rsid w:val="00BB3381"/>
    <w:rsid w:val="00BB34A3"/>
    <w:rsid w:val="00BB386E"/>
    <w:rsid w:val="00BB388F"/>
    <w:rsid w:val="00BB397B"/>
    <w:rsid w:val="00BB3C6B"/>
    <w:rsid w:val="00BB3D84"/>
    <w:rsid w:val="00BB43F9"/>
    <w:rsid w:val="00BB4A3C"/>
    <w:rsid w:val="00BB5101"/>
    <w:rsid w:val="00BB5DAE"/>
    <w:rsid w:val="00BB5F67"/>
    <w:rsid w:val="00BB6128"/>
    <w:rsid w:val="00BB67B7"/>
    <w:rsid w:val="00BB6AD8"/>
    <w:rsid w:val="00BB6BC6"/>
    <w:rsid w:val="00BB6DD3"/>
    <w:rsid w:val="00BB714B"/>
    <w:rsid w:val="00BB73E3"/>
    <w:rsid w:val="00BB75BB"/>
    <w:rsid w:val="00BB7A40"/>
    <w:rsid w:val="00BB7D56"/>
    <w:rsid w:val="00BC18AF"/>
    <w:rsid w:val="00BC1A06"/>
    <w:rsid w:val="00BC215F"/>
    <w:rsid w:val="00BC27A1"/>
    <w:rsid w:val="00BC2A48"/>
    <w:rsid w:val="00BC2AAD"/>
    <w:rsid w:val="00BC3176"/>
    <w:rsid w:val="00BC37EB"/>
    <w:rsid w:val="00BC382C"/>
    <w:rsid w:val="00BC3D95"/>
    <w:rsid w:val="00BC46AA"/>
    <w:rsid w:val="00BC4C26"/>
    <w:rsid w:val="00BC5080"/>
    <w:rsid w:val="00BC5632"/>
    <w:rsid w:val="00BC583F"/>
    <w:rsid w:val="00BC5B82"/>
    <w:rsid w:val="00BC5D4C"/>
    <w:rsid w:val="00BC5F27"/>
    <w:rsid w:val="00BC6111"/>
    <w:rsid w:val="00BC63D9"/>
    <w:rsid w:val="00BC6750"/>
    <w:rsid w:val="00BC6A64"/>
    <w:rsid w:val="00BC6AD7"/>
    <w:rsid w:val="00BC6E5E"/>
    <w:rsid w:val="00BC70F9"/>
    <w:rsid w:val="00BC73D4"/>
    <w:rsid w:val="00BC7702"/>
    <w:rsid w:val="00BC79B0"/>
    <w:rsid w:val="00BC7C2D"/>
    <w:rsid w:val="00BC7F11"/>
    <w:rsid w:val="00BD01A1"/>
    <w:rsid w:val="00BD045B"/>
    <w:rsid w:val="00BD21A9"/>
    <w:rsid w:val="00BD21C4"/>
    <w:rsid w:val="00BD2AE0"/>
    <w:rsid w:val="00BD2DC7"/>
    <w:rsid w:val="00BD32F2"/>
    <w:rsid w:val="00BD3580"/>
    <w:rsid w:val="00BD39C1"/>
    <w:rsid w:val="00BD39FD"/>
    <w:rsid w:val="00BD3CA3"/>
    <w:rsid w:val="00BD3F37"/>
    <w:rsid w:val="00BD446C"/>
    <w:rsid w:val="00BD4601"/>
    <w:rsid w:val="00BD4652"/>
    <w:rsid w:val="00BD4869"/>
    <w:rsid w:val="00BD4DFF"/>
    <w:rsid w:val="00BD5534"/>
    <w:rsid w:val="00BD59C0"/>
    <w:rsid w:val="00BD5B39"/>
    <w:rsid w:val="00BD5F9C"/>
    <w:rsid w:val="00BD60DC"/>
    <w:rsid w:val="00BD60E1"/>
    <w:rsid w:val="00BD60F7"/>
    <w:rsid w:val="00BD63EB"/>
    <w:rsid w:val="00BD64EF"/>
    <w:rsid w:val="00BD6516"/>
    <w:rsid w:val="00BD663B"/>
    <w:rsid w:val="00BD6838"/>
    <w:rsid w:val="00BD74AB"/>
    <w:rsid w:val="00BD78BD"/>
    <w:rsid w:val="00BD7941"/>
    <w:rsid w:val="00BD7A9F"/>
    <w:rsid w:val="00BE0351"/>
    <w:rsid w:val="00BE08F6"/>
    <w:rsid w:val="00BE0E71"/>
    <w:rsid w:val="00BE1322"/>
    <w:rsid w:val="00BE1676"/>
    <w:rsid w:val="00BE1ADA"/>
    <w:rsid w:val="00BE28A0"/>
    <w:rsid w:val="00BE28BF"/>
    <w:rsid w:val="00BE2923"/>
    <w:rsid w:val="00BE29A9"/>
    <w:rsid w:val="00BE2C01"/>
    <w:rsid w:val="00BE2D16"/>
    <w:rsid w:val="00BE2E0C"/>
    <w:rsid w:val="00BE2E26"/>
    <w:rsid w:val="00BE2EFC"/>
    <w:rsid w:val="00BE325B"/>
    <w:rsid w:val="00BE32E1"/>
    <w:rsid w:val="00BE372D"/>
    <w:rsid w:val="00BE39DA"/>
    <w:rsid w:val="00BE3B57"/>
    <w:rsid w:val="00BE3FF5"/>
    <w:rsid w:val="00BE40BE"/>
    <w:rsid w:val="00BE410C"/>
    <w:rsid w:val="00BE4199"/>
    <w:rsid w:val="00BE4338"/>
    <w:rsid w:val="00BE512C"/>
    <w:rsid w:val="00BE53EA"/>
    <w:rsid w:val="00BE5A9E"/>
    <w:rsid w:val="00BE5E91"/>
    <w:rsid w:val="00BE6165"/>
    <w:rsid w:val="00BE65FE"/>
    <w:rsid w:val="00BE6A4F"/>
    <w:rsid w:val="00BE6AF2"/>
    <w:rsid w:val="00BE6B2D"/>
    <w:rsid w:val="00BE7196"/>
    <w:rsid w:val="00BE71A5"/>
    <w:rsid w:val="00BE7519"/>
    <w:rsid w:val="00BE7F3F"/>
    <w:rsid w:val="00BF04A1"/>
    <w:rsid w:val="00BF0CAD"/>
    <w:rsid w:val="00BF0CFD"/>
    <w:rsid w:val="00BF0F35"/>
    <w:rsid w:val="00BF1244"/>
    <w:rsid w:val="00BF1281"/>
    <w:rsid w:val="00BF15A5"/>
    <w:rsid w:val="00BF19ED"/>
    <w:rsid w:val="00BF1E82"/>
    <w:rsid w:val="00BF1EFB"/>
    <w:rsid w:val="00BF2985"/>
    <w:rsid w:val="00BF31F2"/>
    <w:rsid w:val="00BF3521"/>
    <w:rsid w:val="00BF36F4"/>
    <w:rsid w:val="00BF3CD1"/>
    <w:rsid w:val="00BF3CF3"/>
    <w:rsid w:val="00BF3D1E"/>
    <w:rsid w:val="00BF421C"/>
    <w:rsid w:val="00BF438E"/>
    <w:rsid w:val="00BF49AF"/>
    <w:rsid w:val="00BF4CA5"/>
    <w:rsid w:val="00BF4EFA"/>
    <w:rsid w:val="00BF4F5A"/>
    <w:rsid w:val="00BF5077"/>
    <w:rsid w:val="00BF5B12"/>
    <w:rsid w:val="00BF6212"/>
    <w:rsid w:val="00BF6489"/>
    <w:rsid w:val="00BF6526"/>
    <w:rsid w:val="00BF6C47"/>
    <w:rsid w:val="00BF6EA6"/>
    <w:rsid w:val="00BF76D0"/>
    <w:rsid w:val="00BF783A"/>
    <w:rsid w:val="00C00672"/>
    <w:rsid w:val="00C00700"/>
    <w:rsid w:val="00C0070A"/>
    <w:rsid w:val="00C00774"/>
    <w:rsid w:val="00C00B28"/>
    <w:rsid w:val="00C01388"/>
    <w:rsid w:val="00C01573"/>
    <w:rsid w:val="00C01B63"/>
    <w:rsid w:val="00C01ECC"/>
    <w:rsid w:val="00C0261D"/>
    <w:rsid w:val="00C02789"/>
    <w:rsid w:val="00C02DD4"/>
    <w:rsid w:val="00C02EFD"/>
    <w:rsid w:val="00C02FF9"/>
    <w:rsid w:val="00C03F2B"/>
    <w:rsid w:val="00C04008"/>
    <w:rsid w:val="00C0436A"/>
    <w:rsid w:val="00C04BA4"/>
    <w:rsid w:val="00C05709"/>
    <w:rsid w:val="00C05EC2"/>
    <w:rsid w:val="00C064DB"/>
    <w:rsid w:val="00C066BC"/>
    <w:rsid w:val="00C06BC5"/>
    <w:rsid w:val="00C07218"/>
    <w:rsid w:val="00C0779F"/>
    <w:rsid w:val="00C07964"/>
    <w:rsid w:val="00C106D0"/>
    <w:rsid w:val="00C10AC8"/>
    <w:rsid w:val="00C1116C"/>
    <w:rsid w:val="00C1119D"/>
    <w:rsid w:val="00C113C7"/>
    <w:rsid w:val="00C116CA"/>
    <w:rsid w:val="00C11AB5"/>
    <w:rsid w:val="00C11D08"/>
    <w:rsid w:val="00C11F65"/>
    <w:rsid w:val="00C12393"/>
    <w:rsid w:val="00C1256C"/>
    <w:rsid w:val="00C132DC"/>
    <w:rsid w:val="00C13554"/>
    <w:rsid w:val="00C136E6"/>
    <w:rsid w:val="00C13A1B"/>
    <w:rsid w:val="00C13AF1"/>
    <w:rsid w:val="00C13E07"/>
    <w:rsid w:val="00C152EC"/>
    <w:rsid w:val="00C157D5"/>
    <w:rsid w:val="00C158BD"/>
    <w:rsid w:val="00C15EC8"/>
    <w:rsid w:val="00C16339"/>
    <w:rsid w:val="00C16868"/>
    <w:rsid w:val="00C16B66"/>
    <w:rsid w:val="00C171C2"/>
    <w:rsid w:val="00C175D2"/>
    <w:rsid w:val="00C1762B"/>
    <w:rsid w:val="00C2023C"/>
    <w:rsid w:val="00C205CC"/>
    <w:rsid w:val="00C2063E"/>
    <w:rsid w:val="00C2092D"/>
    <w:rsid w:val="00C20C14"/>
    <w:rsid w:val="00C20EEA"/>
    <w:rsid w:val="00C2130B"/>
    <w:rsid w:val="00C217F6"/>
    <w:rsid w:val="00C217FD"/>
    <w:rsid w:val="00C21890"/>
    <w:rsid w:val="00C218E6"/>
    <w:rsid w:val="00C218EE"/>
    <w:rsid w:val="00C221AD"/>
    <w:rsid w:val="00C22364"/>
    <w:rsid w:val="00C227C0"/>
    <w:rsid w:val="00C2292B"/>
    <w:rsid w:val="00C2326F"/>
    <w:rsid w:val="00C232DE"/>
    <w:rsid w:val="00C2396D"/>
    <w:rsid w:val="00C23A84"/>
    <w:rsid w:val="00C24A68"/>
    <w:rsid w:val="00C24A86"/>
    <w:rsid w:val="00C24AA0"/>
    <w:rsid w:val="00C24FD1"/>
    <w:rsid w:val="00C2530B"/>
    <w:rsid w:val="00C255F6"/>
    <w:rsid w:val="00C2560F"/>
    <w:rsid w:val="00C25908"/>
    <w:rsid w:val="00C25B06"/>
    <w:rsid w:val="00C25BDF"/>
    <w:rsid w:val="00C26A55"/>
    <w:rsid w:val="00C26E38"/>
    <w:rsid w:val="00C27073"/>
    <w:rsid w:val="00C273AD"/>
    <w:rsid w:val="00C2781D"/>
    <w:rsid w:val="00C27B63"/>
    <w:rsid w:val="00C300E8"/>
    <w:rsid w:val="00C30635"/>
    <w:rsid w:val="00C306FF"/>
    <w:rsid w:val="00C30C13"/>
    <w:rsid w:val="00C30F6B"/>
    <w:rsid w:val="00C313BF"/>
    <w:rsid w:val="00C31492"/>
    <w:rsid w:val="00C31514"/>
    <w:rsid w:val="00C31E8B"/>
    <w:rsid w:val="00C322AB"/>
    <w:rsid w:val="00C32803"/>
    <w:rsid w:val="00C3285C"/>
    <w:rsid w:val="00C32EC2"/>
    <w:rsid w:val="00C333CC"/>
    <w:rsid w:val="00C33481"/>
    <w:rsid w:val="00C33819"/>
    <w:rsid w:val="00C3392E"/>
    <w:rsid w:val="00C33CC4"/>
    <w:rsid w:val="00C346E2"/>
    <w:rsid w:val="00C34938"/>
    <w:rsid w:val="00C34A33"/>
    <w:rsid w:val="00C3528C"/>
    <w:rsid w:val="00C35347"/>
    <w:rsid w:val="00C358D3"/>
    <w:rsid w:val="00C35A1B"/>
    <w:rsid w:val="00C37068"/>
    <w:rsid w:val="00C3718E"/>
    <w:rsid w:val="00C3759D"/>
    <w:rsid w:val="00C376B6"/>
    <w:rsid w:val="00C378AB"/>
    <w:rsid w:val="00C37D68"/>
    <w:rsid w:val="00C37E2D"/>
    <w:rsid w:val="00C4009E"/>
    <w:rsid w:val="00C40668"/>
    <w:rsid w:val="00C4098D"/>
    <w:rsid w:val="00C40A48"/>
    <w:rsid w:val="00C40F2E"/>
    <w:rsid w:val="00C410BB"/>
    <w:rsid w:val="00C4185E"/>
    <w:rsid w:val="00C421AC"/>
    <w:rsid w:val="00C426F7"/>
    <w:rsid w:val="00C4286F"/>
    <w:rsid w:val="00C428B3"/>
    <w:rsid w:val="00C42CFE"/>
    <w:rsid w:val="00C42DA9"/>
    <w:rsid w:val="00C43ACB"/>
    <w:rsid w:val="00C43B73"/>
    <w:rsid w:val="00C43CD2"/>
    <w:rsid w:val="00C44498"/>
    <w:rsid w:val="00C45070"/>
    <w:rsid w:val="00C45332"/>
    <w:rsid w:val="00C458E9"/>
    <w:rsid w:val="00C45A7C"/>
    <w:rsid w:val="00C45B1F"/>
    <w:rsid w:val="00C45F7D"/>
    <w:rsid w:val="00C46111"/>
    <w:rsid w:val="00C462C0"/>
    <w:rsid w:val="00C46F1C"/>
    <w:rsid w:val="00C4753C"/>
    <w:rsid w:val="00C479C4"/>
    <w:rsid w:val="00C5135F"/>
    <w:rsid w:val="00C52328"/>
    <w:rsid w:val="00C52B5B"/>
    <w:rsid w:val="00C52DB0"/>
    <w:rsid w:val="00C52E49"/>
    <w:rsid w:val="00C52F94"/>
    <w:rsid w:val="00C52FE5"/>
    <w:rsid w:val="00C5343E"/>
    <w:rsid w:val="00C53989"/>
    <w:rsid w:val="00C541B7"/>
    <w:rsid w:val="00C546E9"/>
    <w:rsid w:val="00C54881"/>
    <w:rsid w:val="00C54AF2"/>
    <w:rsid w:val="00C55143"/>
    <w:rsid w:val="00C55622"/>
    <w:rsid w:val="00C5585D"/>
    <w:rsid w:val="00C55B1D"/>
    <w:rsid w:val="00C55BB8"/>
    <w:rsid w:val="00C55D76"/>
    <w:rsid w:val="00C5617F"/>
    <w:rsid w:val="00C5660B"/>
    <w:rsid w:val="00C56BF9"/>
    <w:rsid w:val="00C56D8D"/>
    <w:rsid w:val="00C570AF"/>
    <w:rsid w:val="00C5777F"/>
    <w:rsid w:val="00C579C4"/>
    <w:rsid w:val="00C57C9E"/>
    <w:rsid w:val="00C57DAC"/>
    <w:rsid w:val="00C57E88"/>
    <w:rsid w:val="00C6057C"/>
    <w:rsid w:val="00C60883"/>
    <w:rsid w:val="00C60B55"/>
    <w:rsid w:val="00C60C68"/>
    <w:rsid w:val="00C60EA4"/>
    <w:rsid w:val="00C613BE"/>
    <w:rsid w:val="00C6194E"/>
    <w:rsid w:val="00C61AE8"/>
    <w:rsid w:val="00C61EF0"/>
    <w:rsid w:val="00C62186"/>
    <w:rsid w:val="00C627AC"/>
    <w:rsid w:val="00C635C1"/>
    <w:rsid w:val="00C63DAF"/>
    <w:rsid w:val="00C63DF4"/>
    <w:rsid w:val="00C63E5E"/>
    <w:rsid w:val="00C64038"/>
    <w:rsid w:val="00C64132"/>
    <w:rsid w:val="00C64795"/>
    <w:rsid w:val="00C64C4E"/>
    <w:rsid w:val="00C65011"/>
    <w:rsid w:val="00C652BD"/>
    <w:rsid w:val="00C65577"/>
    <w:rsid w:val="00C659CB"/>
    <w:rsid w:val="00C661AA"/>
    <w:rsid w:val="00C66308"/>
    <w:rsid w:val="00C665F2"/>
    <w:rsid w:val="00C66EB0"/>
    <w:rsid w:val="00C6730E"/>
    <w:rsid w:val="00C67D44"/>
    <w:rsid w:val="00C67F8E"/>
    <w:rsid w:val="00C701D0"/>
    <w:rsid w:val="00C70375"/>
    <w:rsid w:val="00C70536"/>
    <w:rsid w:val="00C7207B"/>
    <w:rsid w:val="00C7212A"/>
    <w:rsid w:val="00C7259E"/>
    <w:rsid w:val="00C730BC"/>
    <w:rsid w:val="00C739F6"/>
    <w:rsid w:val="00C73EAC"/>
    <w:rsid w:val="00C74153"/>
    <w:rsid w:val="00C74613"/>
    <w:rsid w:val="00C74683"/>
    <w:rsid w:val="00C7473B"/>
    <w:rsid w:val="00C74FF0"/>
    <w:rsid w:val="00C75CF5"/>
    <w:rsid w:val="00C75E0D"/>
    <w:rsid w:val="00C75F70"/>
    <w:rsid w:val="00C76157"/>
    <w:rsid w:val="00C76D18"/>
    <w:rsid w:val="00C76D7D"/>
    <w:rsid w:val="00C773B3"/>
    <w:rsid w:val="00C77747"/>
    <w:rsid w:val="00C8002C"/>
    <w:rsid w:val="00C80267"/>
    <w:rsid w:val="00C802FA"/>
    <w:rsid w:val="00C803A7"/>
    <w:rsid w:val="00C80AA3"/>
    <w:rsid w:val="00C80D92"/>
    <w:rsid w:val="00C8100F"/>
    <w:rsid w:val="00C810B9"/>
    <w:rsid w:val="00C8112F"/>
    <w:rsid w:val="00C816ED"/>
    <w:rsid w:val="00C82642"/>
    <w:rsid w:val="00C82ABC"/>
    <w:rsid w:val="00C83096"/>
    <w:rsid w:val="00C83FE2"/>
    <w:rsid w:val="00C84312"/>
    <w:rsid w:val="00C84328"/>
    <w:rsid w:val="00C84336"/>
    <w:rsid w:val="00C84424"/>
    <w:rsid w:val="00C84506"/>
    <w:rsid w:val="00C851A0"/>
    <w:rsid w:val="00C85328"/>
    <w:rsid w:val="00C8576D"/>
    <w:rsid w:val="00C8597C"/>
    <w:rsid w:val="00C86009"/>
    <w:rsid w:val="00C860A6"/>
    <w:rsid w:val="00C8653C"/>
    <w:rsid w:val="00C86A0D"/>
    <w:rsid w:val="00C86C39"/>
    <w:rsid w:val="00C86EAE"/>
    <w:rsid w:val="00C86F74"/>
    <w:rsid w:val="00C8710A"/>
    <w:rsid w:val="00C874D6"/>
    <w:rsid w:val="00C875D0"/>
    <w:rsid w:val="00C87BA5"/>
    <w:rsid w:val="00C90D06"/>
    <w:rsid w:val="00C9163E"/>
    <w:rsid w:val="00C91F4D"/>
    <w:rsid w:val="00C92078"/>
    <w:rsid w:val="00C9264C"/>
    <w:rsid w:val="00C929A2"/>
    <w:rsid w:val="00C92A37"/>
    <w:rsid w:val="00C9300E"/>
    <w:rsid w:val="00C935BE"/>
    <w:rsid w:val="00C9398E"/>
    <w:rsid w:val="00C93A73"/>
    <w:rsid w:val="00C93B04"/>
    <w:rsid w:val="00C94137"/>
    <w:rsid w:val="00C9440A"/>
    <w:rsid w:val="00C9468D"/>
    <w:rsid w:val="00C9482C"/>
    <w:rsid w:val="00C948CE"/>
    <w:rsid w:val="00C94DD9"/>
    <w:rsid w:val="00C95139"/>
    <w:rsid w:val="00C95283"/>
    <w:rsid w:val="00C955AC"/>
    <w:rsid w:val="00C955EF"/>
    <w:rsid w:val="00C956A3"/>
    <w:rsid w:val="00C956AB"/>
    <w:rsid w:val="00C95A42"/>
    <w:rsid w:val="00C95E6A"/>
    <w:rsid w:val="00C95E98"/>
    <w:rsid w:val="00C9662E"/>
    <w:rsid w:val="00C96B18"/>
    <w:rsid w:val="00C96D72"/>
    <w:rsid w:val="00C96D73"/>
    <w:rsid w:val="00C97CAC"/>
    <w:rsid w:val="00C97CF0"/>
    <w:rsid w:val="00CA097A"/>
    <w:rsid w:val="00CA0D01"/>
    <w:rsid w:val="00CA16B7"/>
    <w:rsid w:val="00CA18D0"/>
    <w:rsid w:val="00CA1F63"/>
    <w:rsid w:val="00CA2464"/>
    <w:rsid w:val="00CA25C8"/>
    <w:rsid w:val="00CA2BAA"/>
    <w:rsid w:val="00CA303B"/>
    <w:rsid w:val="00CA3AEC"/>
    <w:rsid w:val="00CA3ED4"/>
    <w:rsid w:val="00CA4095"/>
    <w:rsid w:val="00CA40D6"/>
    <w:rsid w:val="00CA4CF6"/>
    <w:rsid w:val="00CA5BFA"/>
    <w:rsid w:val="00CA5D2D"/>
    <w:rsid w:val="00CA6123"/>
    <w:rsid w:val="00CA6298"/>
    <w:rsid w:val="00CA64DF"/>
    <w:rsid w:val="00CA6AAB"/>
    <w:rsid w:val="00CA6B7A"/>
    <w:rsid w:val="00CB03EC"/>
    <w:rsid w:val="00CB055D"/>
    <w:rsid w:val="00CB0944"/>
    <w:rsid w:val="00CB094D"/>
    <w:rsid w:val="00CB0D04"/>
    <w:rsid w:val="00CB17E9"/>
    <w:rsid w:val="00CB19BA"/>
    <w:rsid w:val="00CB1CB2"/>
    <w:rsid w:val="00CB1DB1"/>
    <w:rsid w:val="00CB23A7"/>
    <w:rsid w:val="00CB2A60"/>
    <w:rsid w:val="00CB2AC6"/>
    <w:rsid w:val="00CB2FE3"/>
    <w:rsid w:val="00CB4020"/>
    <w:rsid w:val="00CB4275"/>
    <w:rsid w:val="00CB51D9"/>
    <w:rsid w:val="00CB52EA"/>
    <w:rsid w:val="00CB5392"/>
    <w:rsid w:val="00CB5ACB"/>
    <w:rsid w:val="00CB5B00"/>
    <w:rsid w:val="00CB5F3B"/>
    <w:rsid w:val="00CB5FD6"/>
    <w:rsid w:val="00CB61DC"/>
    <w:rsid w:val="00CB62BF"/>
    <w:rsid w:val="00CB68AB"/>
    <w:rsid w:val="00CB76C9"/>
    <w:rsid w:val="00CB77D8"/>
    <w:rsid w:val="00CC00FC"/>
    <w:rsid w:val="00CC0340"/>
    <w:rsid w:val="00CC07E6"/>
    <w:rsid w:val="00CC08EC"/>
    <w:rsid w:val="00CC0B2B"/>
    <w:rsid w:val="00CC11D6"/>
    <w:rsid w:val="00CC13C6"/>
    <w:rsid w:val="00CC22EA"/>
    <w:rsid w:val="00CC2477"/>
    <w:rsid w:val="00CC2588"/>
    <w:rsid w:val="00CC266D"/>
    <w:rsid w:val="00CC2A75"/>
    <w:rsid w:val="00CC3701"/>
    <w:rsid w:val="00CC372F"/>
    <w:rsid w:val="00CC3D63"/>
    <w:rsid w:val="00CC494B"/>
    <w:rsid w:val="00CC4AFD"/>
    <w:rsid w:val="00CC4BE0"/>
    <w:rsid w:val="00CC4FB7"/>
    <w:rsid w:val="00CC4FC5"/>
    <w:rsid w:val="00CC55B0"/>
    <w:rsid w:val="00CC599A"/>
    <w:rsid w:val="00CC5BD5"/>
    <w:rsid w:val="00CC5D83"/>
    <w:rsid w:val="00CC5FF1"/>
    <w:rsid w:val="00CC6340"/>
    <w:rsid w:val="00CC648D"/>
    <w:rsid w:val="00CC6DBC"/>
    <w:rsid w:val="00CC6E40"/>
    <w:rsid w:val="00CC6ED0"/>
    <w:rsid w:val="00CC7291"/>
    <w:rsid w:val="00CC780C"/>
    <w:rsid w:val="00CC7D73"/>
    <w:rsid w:val="00CD06E0"/>
    <w:rsid w:val="00CD0B18"/>
    <w:rsid w:val="00CD0EB8"/>
    <w:rsid w:val="00CD1062"/>
    <w:rsid w:val="00CD19BF"/>
    <w:rsid w:val="00CD19CF"/>
    <w:rsid w:val="00CD1B1A"/>
    <w:rsid w:val="00CD1BA9"/>
    <w:rsid w:val="00CD20BB"/>
    <w:rsid w:val="00CD265D"/>
    <w:rsid w:val="00CD3B1C"/>
    <w:rsid w:val="00CD40A5"/>
    <w:rsid w:val="00CD4582"/>
    <w:rsid w:val="00CD4730"/>
    <w:rsid w:val="00CD536E"/>
    <w:rsid w:val="00CD5706"/>
    <w:rsid w:val="00CD58B2"/>
    <w:rsid w:val="00CD5CD9"/>
    <w:rsid w:val="00CD5F75"/>
    <w:rsid w:val="00CD6062"/>
    <w:rsid w:val="00CD62CF"/>
    <w:rsid w:val="00CD6E18"/>
    <w:rsid w:val="00CD6FC1"/>
    <w:rsid w:val="00CD7288"/>
    <w:rsid w:val="00CD748E"/>
    <w:rsid w:val="00CD76E9"/>
    <w:rsid w:val="00CD7D09"/>
    <w:rsid w:val="00CE03EE"/>
    <w:rsid w:val="00CE05CA"/>
    <w:rsid w:val="00CE0707"/>
    <w:rsid w:val="00CE078B"/>
    <w:rsid w:val="00CE07DF"/>
    <w:rsid w:val="00CE17F8"/>
    <w:rsid w:val="00CE1D3A"/>
    <w:rsid w:val="00CE1E39"/>
    <w:rsid w:val="00CE1F19"/>
    <w:rsid w:val="00CE1F32"/>
    <w:rsid w:val="00CE2DF4"/>
    <w:rsid w:val="00CE2F89"/>
    <w:rsid w:val="00CE3039"/>
    <w:rsid w:val="00CE32DA"/>
    <w:rsid w:val="00CE3517"/>
    <w:rsid w:val="00CE38A2"/>
    <w:rsid w:val="00CE39D7"/>
    <w:rsid w:val="00CE43C6"/>
    <w:rsid w:val="00CE4483"/>
    <w:rsid w:val="00CE4485"/>
    <w:rsid w:val="00CE4653"/>
    <w:rsid w:val="00CE4FF9"/>
    <w:rsid w:val="00CE501B"/>
    <w:rsid w:val="00CE5126"/>
    <w:rsid w:val="00CE5208"/>
    <w:rsid w:val="00CE57EA"/>
    <w:rsid w:val="00CE5A32"/>
    <w:rsid w:val="00CE5A59"/>
    <w:rsid w:val="00CE6483"/>
    <w:rsid w:val="00CE6C8C"/>
    <w:rsid w:val="00CE6F04"/>
    <w:rsid w:val="00CE71EF"/>
    <w:rsid w:val="00CE7A6B"/>
    <w:rsid w:val="00CF02EC"/>
    <w:rsid w:val="00CF074C"/>
    <w:rsid w:val="00CF086E"/>
    <w:rsid w:val="00CF0994"/>
    <w:rsid w:val="00CF0DF2"/>
    <w:rsid w:val="00CF0FE4"/>
    <w:rsid w:val="00CF10DF"/>
    <w:rsid w:val="00CF13BA"/>
    <w:rsid w:val="00CF16F0"/>
    <w:rsid w:val="00CF246A"/>
    <w:rsid w:val="00CF2840"/>
    <w:rsid w:val="00CF2A2A"/>
    <w:rsid w:val="00CF4818"/>
    <w:rsid w:val="00CF4C2A"/>
    <w:rsid w:val="00CF4DBE"/>
    <w:rsid w:val="00CF52FE"/>
    <w:rsid w:val="00CF5A41"/>
    <w:rsid w:val="00CF5BE5"/>
    <w:rsid w:val="00CF5E37"/>
    <w:rsid w:val="00CF5FF4"/>
    <w:rsid w:val="00CF6116"/>
    <w:rsid w:val="00CF68DF"/>
    <w:rsid w:val="00CF699D"/>
    <w:rsid w:val="00CF69A2"/>
    <w:rsid w:val="00CF708F"/>
    <w:rsid w:val="00CF7415"/>
    <w:rsid w:val="00CF7608"/>
    <w:rsid w:val="00CF7AC9"/>
    <w:rsid w:val="00CF7BC8"/>
    <w:rsid w:val="00D00329"/>
    <w:rsid w:val="00D0059C"/>
    <w:rsid w:val="00D00C68"/>
    <w:rsid w:val="00D010AE"/>
    <w:rsid w:val="00D011C1"/>
    <w:rsid w:val="00D01546"/>
    <w:rsid w:val="00D016E1"/>
    <w:rsid w:val="00D01D4C"/>
    <w:rsid w:val="00D01F32"/>
    <w:rsid w:val="00D02C7D"/>
    <w:rsid w:val="00D02E6E"/>
    <w:rsid w:val="00D0320B"/>
    <w:rsid w:val="00D034E8"/>
    <w:rsid w:val="00D03639"/>
    <w:rsid w:val="00D038B6"/>
    <w:rsid w:val="00D0394B"/>
    <w:rsid w:val="00D03C8B"/>
    <w:rsid w:val="00D04039"/>
    <w:rsid w:val="00D0424E"/>
    <w:rsid w:val="00D04665"/>
    <w:rsid w:val="00D046F7"/>
    <w:rsid w:val="00D05198"/>
    <w:rsid w:val="00D053B5"/>
    <w:rsid w:val="00D05B43"/>
    <w:rsid w:val="00D05BD2"/>
    <w:rsid w:val="00D061CA"/>
    <w:rsid w:val="00D0627C"/>
    <w:rsid w:val="00D06960"/>
    <w:rsid w:val="00D06C88"/>
    <w:rsid w:val="00D07351"/>
    <w:rsid w:val="00D07429"/>
    <w:rsid w:val="00D075C3"/>
    <w:rsid w:val="00D075F5"/>
    <w:rsid w:val="00D07A0E"/>
    <w:rsid w:val="00D07DEF"/>
    <w:rsid w:val="00D07F39"/>
    <w:rsid w:val="00D101A7"/>
    <w:rsid w:val="00D10740"/>
    <w:rsid w:val="00D10C2F"/>
    <w:rsid w:val="00D10DDF"/>
    <w:rsid w:val="00D11917"/>
    <w:rsid w:val="00D11C43"/>
    <w:rsid w:val="00D11D16"/>
    <w:rsid w:val="00D11F20"/>
    <w:rsid w:val="00D11F60"/>
    <w:rsid w:val="00D1215E"/>
    <w:rsid w:val="00D1277F"/>
    <w:rsid w:val="00D12B22"/>
    <w:rsid w:val="00D13431"/>
    <w:rsid w:val="00D13919"/>
    <w:rsid w:val="00D13ACE"/>
    <w:rsid w:val="00D14215"/>
    <w:rsid w:val="00D14725"/>
    <w:rsid w:val="00D14727"/>
    <w:rsid w:val="00D14735"/>
    <w:rsid w:val="00D147F1"/>
    <w:rsid w:val="00D14B36"/>
    <w:rsid w:val="00D14C0D"/>
    <w:rsid w:val="00D14DF5"/>
    <w:rsid w:val="00D14E45"/>
    <w:rsid w:val="00D14E81"/>
    <w:rsid w:val="00D15AA7"/>
    <w:rsid w:val="00D15E30"/>
    <w:rsid w:val="00D16191"/>
    <w:rsid w:val="00D16B1F"/>
    <w:rsid w:val="00D16B58"/>
    <w:rsid w:val="00D16BA3"/>
    <w:rsid w:val="00D16EBF"/>
    <w:rsid w:val="00D17DD9"/>
    <w:rsid w:val="00D20152"/>
    <w:rsid w:val="00D2053E"/>
    <w:rsid w:val="00D20609"/>
    <w:rsid w:val="00D20D7C"/>
    <w:rsid w:val="00D20F57"/>
    <w:rsid w:val="00D2118F"/>
    <w:rsid w:val="00D21257"/>
    <w:rsid w:val="00D22A4A"/>
    <w:rsid w:val="00D22ABA"/>
    <w:rsid w:val="00D235A1"/>
    <w:rsid w:val="00D235C3"/>
    <w:rsid w:val="00D2370A"/>
    <w:rsid w:val="00D242DF"/>
    <w:rsid w:val="00D24715"/>
    <w:rsid w:val="00D256C0"/>
    <w:rsid w:val="00D25EC9"/>
    <w:rsid w:val="00D26242"/>
    <w:rsid w:val="00D263DF"/>
    <w:rsid w:val="00D266CF"/>
    <w:rsid w:val="00D26B5B"/>
    <w:rsid w:val="00D26CA1"/>
    <w:rsid w:val="00D273AC"/>
    <w:rsid w:val="00D303DF"/>
    <w:rsid w:val="00D30A36"/>
    <w:rsid w:val="00D30FAC"/>
    <w:rsid w:val="00D311AB"/>
    <w:rsid w:val="00D32018"/>
    <w:rsid w:val="00D32437"/>
    <w:rsid w:val="00D32651"/>
    <w:rsid w:val="00D32A6B"/>
    <w:rsid w:val="00D32BB0"/>
    <w:rsid w:val="00D33606"/>
    <w:rsid w:val="00D339D4"/>
    <w:rsid w:val="00D33D8B"/>
    <w:rsid w:val="00D33FE4"/>
    <w:rsid w:val="00D3403F"/>
    <w:rsid w:val="00D3482F"/>
    <w:rsid w:val="00D34931"/>
    <w:rsid w:val="00D34BC7"/>
    <w:rsid w:val="00D34CB5"/>
    <w:rsid w:val="00D3504F"/>
    <w:rsid w:val="00D355EA"/>
    <w:rsid w:val="00D35A55"/>
    <w:rsid w:val="00D35C5C"/>
    <w:rsid w:val="00D3712C"/>
    <w:rsid w:val="00D37164"/>
    <w:rsid w:val="00D3755C"/>
    <w:rsid w:val="00D37D90"/>
    <w:rsid w:val="00D37EC8"/>
    <w:rsid w:val="00D40555"/>
    <w:rsid w:val="00D407C7"/>
    <w:rsid w:val="00D40B59"/>
    <w:rsid w:val="00D40E79"/>
    <w:rsid w:val="00D4109A"/>
    <w:rsid w:val="00D41112"/>
    <w:rsid w:val="00D422A2"/>
    <w:rsid w:val="00D4246A"/>
    <w:rsid w:val="00D43384"/>
    <w:rsid w:val="00D43575"/>
    <w:rsid w:val="00D43E1B"/>
    <w:rsid w:val="00D43F68"/>
    <w:rsid w:val="00D43F6B"/>
    <w:rsid w:val="00D44BC1"/>
    <w:rsid w:val="00D464DA"/>
    <w:rsid w:val="00D46757"/>
    <w:rsid w:val="00D46AD9"/>
    <w:rsid w:val="00D46B2A"/>
    <w:rsid w:val="00D46D01"/>
    <w:rsid w:val="00D46EF5"/>
    <w:rsid w:val="00D4721B"/>
    <w:rsid w:val="00D472F9"/>
    <w:rsid w:val="00D47338"/>
    <w:rsid w:val="00D47925"/>
    <w:rsid w:val="00D50854"/>
    <w:rsid w:val="00D510E0"/>
    <w:rsid w:val="00D51A85"/>
    <w:rsid w:val="00D51E4A"/>
    <w:rsid w:val="00D5234C"/>
    <w:rsid w:val="00D5257B"/>
    <w:rsid w:val="00D52E15"/>
    <w:rsid w:val="00D534A5"/>
    <w:rsid w:val="00D5493C"/>
    <w:rsid w:val="00D54EEA"/>
    <w:rsid w:val="00D555C1"/>
    <w:rsid w:val="00D55D25"/>
    <w:rsid w:val="00D56151"/>
    <w:rsid w:val="00D5626A"/>
    <w:rsid w:val="00D562B9"/>
    <w:rsid w:val="00D56410"/>
    <w:rsid w:val="00D56905"/>
    <w:rsid w:val="00D56A40"/>
    <w:rsid w:val="00D56B11"/>
    <w:rsid w:val="00D56B43"/>
    <w:rsid w:val="00D56CA3"/>
    <w:rsid w:val="00D56EF1"/>
    <w:rsid w:val="00D57394"/>
    <w:rsid w:val="00D57782"/>
    <w:rsid w:val="00D57905"/>
    <w:rsid w:val="00D57A66"/>
    <w:rsid w:val="00D57B42"/>
    <w:rsid w:val="00D57DE7"/>
    <w:rsid w:val="00D603F5"/>
    <w:rsid w:val="00D60550"/>
    <w:rsid w:val="00D60559"/>
    <w:rsid w:val="00D606E2"/>
    <w:rsid w:val="00D60FA4"/>
    <w:rsid w:val="00D61368"/>
    <w:rsid w:val="00D61457"/>
    <w:rsid w:val="00D617AB"/>
    <w:rsid w:val="00D61BC7"/>
    <w:rsid w:val="00D61C54"/>
    <w:rsid w:val="00D61EA4"/>
    <w:rsid w:val="00D61F6A"/>
    <w:rsid w:val="00D61F90"/>
    <w:rsid w:val="00D6222D"/>
    <w:rsid w:val="00D62495"/>
    <w:rsid w:val="00D62725"/>
    <w:rsid w:val="00D62780"/>
    <w:rsid w:val="00D629C0"/>
    <w:rsid w:val="00D633C0"/>
    <w:rsid w:val="00D63ADF"/>
    <w:rsid w:val="00D6488D"/>
    <w:rsid w:val="00D64893"/>
    <w:rsid w:val="00D64B89"/>
    <w:rsid w:val="00D64ED0"/>
    <w:rsid w:val="00D65701"/>
    <w:rsid w:val="00D65A4B"/>
    <w:rsid w:val="00D65F08"/>
    <w:rsid w:val="00D662B5"/>
    <w:rsid w:val="00D6650A"/>
    <w:rsid w:val="00D67554"/>
    <w:rsid w:val="00D67C9F"/>
    <w:rsid w:val="00D67F5C"/>
    <w:rsid w:val="00D701BA"/>
    <w:rsid w:val="00D70516"/>
    <w:rsid w:val="00D707EA"/>
    <w:rsid w:val="00D70D49"/>
    <w:rsid w:val="00D710A1"/>
    <w:rsid w:val="00D711E1"/>
    <w:rsid w:val="00D719A1"/>
    <w:rsid w:val="00D71A7E"/>
    <w:rsid w:val="00D71F30"/>
    <w:rsid w:val="00D722BA"/>
    <w:rsid w:val="00D726F2"/>
    <w:rsid w:val="00D728AE"/>
    <w:rsid w:val="00D72B06"/>
    <w:rsid w:val="00D72C2C"/>
    <w:rsid w:val="00D730E2"/>
    <w:rsid w:val="00D73566"/>
    <w:rsid w:val="00D735F3"/>
    <w:rsid w:val="00D73BDB"/>
    <w:rsid w:val="00D74A2B"/>
    <w:rsid w:val="00D74A4D"/>
    <w:rsid w:val="00D74A6F"/>
    <w:rsid w:val="00D74C94"/>
    <w:rsid w:val="00D74DBE"/>
    <w:rsid w:val="00D74FE1"/>
    <w:rsid w:val="00D7531B"/>
    <w:rsid w:val="00D755E9"/>
    <w:rsid w:val="00D7560D"/>
    <w:rsid w:val="00D756CD"/>
    <w:rsid w:val="00D7595A"/>
    <w:rsid w:val="00D75B70"/>
    <w:rsid w:val="00D76D14"/>
    <w:rsid w:val="00D76D5B"/>
    <w:rsid w:val="00D77993"/>
    <w:rsid w:val="00D77D3A"/>
    <w:rsid w:val="00D8020F"/>
    <w:rsid w:val="00D807A3"/>
    <w:rsid w:val="00D808CC"/>
    <w:rsid w:val="00D80E84"/>
    <w:rsid w:val="00D812A3"/>
    <w:rsid w:val="00D81C14"/>
    <w:rsid w:val="00D828BA"/>
    <w:rsid w:val="00D828CF"/>
    <w:rsid w:val="00D82A44"/>
    <w:rsid w:val="00D82F43"/>
    <w:rsid w:val="00D83747"/>
    <w:rsid w:val="00D843C9"/>
    <w:rsid w:val="00D8476C"/>
    <w:rsid w:val="00D847F4"/>
    <w:rsid w:val="00D848BC"/>
    <w:rsid w:val="00D84F21"/>
    <w:rsid w:val="00D852DA"/>
    <w:rsid w:val="00D85AD3"/>
    <w:rsid w:val="00D8620A"/>
    <w:rsid w:val="00D8623B"/>
    <w:rsid w:val="00D868A1"/>
    <w:rsid w:val="00D869BE"/>
    <w:rsid w:val="00D86EB7"/>
    <w:rsid w:val="00D86ECB"/>
    <w:rsid w:val="00D8724F"/>
    <w:rsid w:val="00D87DFB"/>
    <w:rsid w:val="00D90E0D"/>
    <w:rsid w:val="00D911A4"/>
    <w:rsid w:val="00D913BD"/>
    <w:rsid w:val="00D917C2"/>
    <w:rsid w:val="00D919A3"/>
    <w:rsid w:val="00D91A5B"/>
    <w:rsid w:val="00D91BE9"/>
    <w:rsid w:val="00D91FD9"/>
    <w:rsid w:val="00D92173"/>
    <w:rsid w:val="00D92427"/>
    <w:rsid w:val="00D92949"/>
    <w:rsid w:val="00D92B0A"/>
    <w:rsid w:val="00D92CE4"/>
    <w:rsid w:val="00D92FF7"/>
    <w:rsid w:val="00D93C35"/>
    <w:rsid w:val="00D940C4"/>
    <w:rsid w:val="00D9410F"/>
    <w:rsid w:val="00D9461E"/>
    <w:rsid w:val="00D94B2C"/>
    <w:rsid w:val="00D94BC6"/>
    <w:rsid w:val="00D95DEF"/>
    <w:rsid w:val="00D9673A"/>
    <w:rsid w:val="00D968AC"/>
    <w:rsid w:val="00D96E58"/>
    <w:rsid w:val="00D9700E"/>
    <w:rsid w:val="00D974D4"/>
    <w:rsid w:val="00D97BC3"/>
    <w:rsid w:val="00DA0156"/>
    <w:rsid w:val="00DA07AA"/>
    <w:rsid w:val="00DA09DA"/>
    <w:rsid w:val="00DA0B32"/>
    <w:rsid w:val="00DA0EB3"/>
    <w:rsid w:val="00DA0F6B"/>
    <w:rsid w:val="00DA1292"/>
    <w:rsid w:val="00DA1606"/>
    <w:rsid w:val="00DA1969"/>
    <w:rsid w:val="00DA1E84"/>
    <w:rsid w:val="00DA1F3C"/>
    <w:rsid w:val="00DA1FF5"/>
    <w:rsid w:val="00DA20E6"/>
    <w:rsid w:val="00DA260F"/>
    <w:rsid w:val="00DA2F5F"/>
    <w:rsid w:val="00DA321D"/>
    <w:rsid w:val="00DA3765"/>
    <w:rsid w:val="00DA41F7"/>
    <w:rsid w:val="00DA4569"/>
    <w:rsid w:val="00DA45C7"/>
    <w:rsid w:val="00DA4A9A"/>
    <w:rsid w:val="00DA4B53"/>
    <w:rsid w:val="00DA4E76"/>
    <w:rsid w:val="00DA4FD3"/>
    <w:rsid w:val="00DA572D"/>
    <w:rsid w:val="00DA5C06"/>
    <w:rsid w:val="00DA5D66"/>
    <w:rsid w:val="00DA6357"/>
    <w:rsid w:val="00DA65D2"/>
    <w:rsid w:val="00DA6F8A"/>
    <w:rsid w:val="00DA7393"/>
    <w:rsid w:val="00DA7638"/>
    <w:rsid w:val="00DA77D0"/>
    <w:rsid w:val="00DB0528"/>
    <w:rsid w:val="00DB06A7"/>
    <w:rsid w:val="00DB0D4E"/>
    <w:rsid w:val="00DB0E30"/>
    <w:rsid w:val="00DB10CF"/>
    <w:rsid w:val="00DB126C"/>
    <w:rsid w:val="00DB165A"/>
    <w:rsid w:val="00DB2149"/>
    <w:rsid w:val="00DB22DE"/>
    <w:rsid w:val="00DB285C"/>
    <w:rsid w:val="00DB2939"/>
    <w:rsid w:val="00DB3AB2"/>
    <w:rsid w:val="00DB405B"/>
    <w:rsid w:val="00DB430D"/>
    <w:rsid w:val="00DB456C"/>
    <w:rsid w:val="00DB4942"/>
    <w:rsid w:val="00DB501A"/>
    <w:rsid w:val="00DB63FE"/>
    <w:rsid w:val="00DB641D"/>
    <w:rsid w:val="00DB6CD1"/>
    <w:rsid w:val="00DB773D"/>
    <w:rsid w:val="00DB789A"/>
    <w:rsid w:val="00DB7918"/>
    <w:rsid w:val="00DB79C3"/>
    <w:rsid w:val="00DB7E3D"/>
    <w:rsid w:val="00DC029A"/>
    <w:rsid w:val="00DC0421"/>
    <w:rsid w:val="00DC0B19"/>
    <w:rsid w:val="00DC0BAC"/>
    <w:rsid w:val="00DC0C86"/>
    <w:rsid w:val="00DC0E79"/>
    <w:rsid w:val="00DC1343"/>
    <w:rsid w:val="00DC1539"/>
    <w:rsid w:val="00DC22E1"/>
    <w:rsid w:val="00DC2F9A"/>
    <w:rsid w:val="00DC304B"/>
    <w:rsid w:val="00DC3460"/>
    <w:rsid w:val="00DC4772"/>
    <w:rsid w:val="00DC534B"/>
    <w:rsid w:val="00DC5781"/>
    <w:rsid w:val="00DC5B52"/>
    <w:rsid w:val="00DC5FA1"/>
    <w:rsid w:val="00DC6AD1"/>
    <w:rsid w:val="00DC6E4C"/>
    <w:rsid w:val="00DC7373"/>
    <w:rsid w:val="00DC7AEF"/>
    <w:rsid w:val="00DD0147"/>
    <w:rsid w:val="00DD015F"/>
    <w:rsid w:val="00DD0877"/>
    <w:rsid w:val="00DD0B84"/>
    <w:rsid w:val="00DD0E47"/>
    <w:rsid w:val="00DD2154"/>
    <w:rsid w:val="00DD2683"/>
    <w:rsid w:val="00DD26BB"/>
    <w:rsid w:val="00DD2763"/>
    <w:rsid w:val="00DD2951"/>
    <w:rsid w:val="00DD29DA"/>
    <w:rsid w:val="00DD2D58"/>
    <w:rsid w:val="00DD2D8C"/>
    <w:rsid w:val="00DD3049"/>
    <w:rsid w:val="00DD3675"/>
    <w:rsid w:val="00DD37D3"/>
    <w:rsid w:val="00DD3B31"/>
    <w:rsid w:val="00DD3CD8"/>
    <w:rsid w:val="00DD3FC0"/>
    <w:rsid w:val="00DD4454"/>
    <w:rsid w:val="00DD4571"/>
    <w:rsid w:val="00DD4725"/>
    <w:rsid w:val="00DD4747"/>
    <w:rsid w:val="00DD4E70"/>
    <w:rsid w:val="00DD4F6B"/>
    <w:rsid w:val="00DD5E46"/>
    <w:rsid w:val="00DD614E"/>
    <w:rsid w:val="00DD61E0"/>
    <w:rsid w:val="00DD691C"/>
    <w:rsid w:val="00DD6AB1"/>
    <w:rsid w:val="00DD707F"/>
    <w:rsid w:val="00DD72DD"/>
    <w:rsid w:val="00DD7540"/>
    <w:rsid w:val="00DD7836"/>
    <w:rsid w:val="00DD7AA7"/>
    <w:rsid w:val="00DE0457"/>
    <w:rsid w:val="00DE0524"/>
    <w:rsid w:val="00DE0D95"/>
    <w:rsid w:val="00DE11F8"/>
    <w:rsid w:val="00DE1676"/>
    <w:rsid w:val="00DE16F2"/>
    <w:rsid w:val="00DE21D8"/>
    <w:rsid w:val="00DE2A3C"/>
    <w:rsid w:val="00DE2B16"/>
    <w:rsid w:val="00DE2FF4"/>
    <w:rsid w:val="00DE30AB"/>
    <w:rsid w:val="00DE385C"/>
    <w:rsid w:val="00DE39BD"/>
    <w:rsid w:val="00DE3C41"/>
    <w:rsid w:val="00DE3C68"/>
    <w:rsid w:val="00DE477F"/>
    <w:rsid w:val="00DE4958"/>
    <w:rsid w:val="00DE4F84"/>
    <w:rsid w:val="00DE5055"/>
    <w:rsid w:val="00DE50D8"/>
    <w:rsid w:val="00DE5659"/>
    <w:rsid w:val="00DE5806"/>
    <w:rsid w:val="00DE5D3A"/>
    <w:rsid w:val="00DE6152"/>
    <w:rsid w:val="00DE64CA"/>
    <w:rsid w:val="00DE66D8"/>
    <w:rsid w:val="00DE6D8D"/>
    <w:rsid w:val="00DE7527"/>
    <w:rsid w:val="00DE77CC"/>
    <w:rsid w:val="00DE78D0"/>
    <w:rsid w:val="00DE7A23"/>
    <w:rsid w:val="00DF0016"/>
    <w:rsid w:val="00DF03A3"/>
    <w:rsid w:val="00DF12B9"/>
    <w:rsid w:val="00DF1337"/>
    <w:rsid w:val="00DF1CEE"/>
    <w:rsid w:val="00DF1D27"/>
    <w:rsid w:val="00DF1E8C"/>
    <w:rsid w:val="00DF1F45"/>
    <w:rsid w:val="00DF229D"/>
    <w:rsid w:val="00DF252A"/>
    <w:rsid w:val="00DF25CC"/>
    <w:rsid w:val="00DF2F22"/>
    <w:rsid w:val="00DF3076"/>
    <w:rsid w:val="00DF311E"/>
    <w:rsid w:val="00DF37D9"/>
    <w:rsid w:val="00DF3890"/>
    <w:rsid w:val="00DF3D22"/>
    <w:rsid w:val="00DF3E7C"/>
    <w:rsid w:val="00DF40EA"/>
    <w:rsid w:val="00DF40F2"/>
    <w:rsid w:val="00DF42EC"/>
    <w:rsid w:val="00DF463C"/>
    <w:rsid w:val="00DF48ED"/>
    <w:rsid w:val="00DF4A37"/>
    <w:rsid w:val="00DF50C4"/>
    <w:rsid w:val="00DF529A"/>
    <w:rsid w:val="00DF596A"/>
    <w:rsid w:val="00DF59C0"/>
    <w:rsid w:val="00DF59C1"/>
    <w:rsid w:val="00DF62FE"/>
    <w:rsid w:val="00DF6475"/>
    <w:rsid w:val="00DF656B"/>
    <w:rsid w:val="00DF65B2"/>
    <w:rsid w:val="00DF6A01"/>
    <w:rsid w:val="00DF6A6D"/>
    <w:rsid w:val="00DF6A8C"/>
    <w:rsid w:val="00DF716C"/>
    <w:rsid w:val="00DF7273"/>
    <w:rsid w:val="00DF779F"/>
    <w:rsid w:val="00DF7F71"/>
    <w:rsid w:val="00E000C1"/>
    <w:rsid w:val="00E00795"/>
    <w:rsid w:val="00E00987"/>
    <w:rsid w:val="00E00E5F"/>
    <w:rsid w:val="00E01843"/>
    <w:rsid w:val="00E01B4F"/>
    <w:rsid w:val="00E01C39"/>
    <w:rsid w:val="00E01CBA"/>
    <w:rsid w:val="00E01FE0"/>
    <w:rsid w:val="00E029F8"/>
    <w:rsid w:val="00E02B60"/>
    <w:rsid w:val="00E02DFA"/>
    <w:rsid w:val="00E0300E"/>
    <w:rsid w:val="00E03ABD"/>
    <w:rsid w:val="00E03B68"/>
    <w:rsid w:val="00E03E5C"/>
    <w:rsid w:val="00E0448F"/>
    <w:rsid w:val="00E04498"/>
    <w:rsid w:val="00E046B3"/>
    <w:rsid w:val="00E04704"/>
    <w:rsid w:val="00E04AB4"/>
    <w:rsid w:val="00E057F0"/>
    <w:rsid w:val="00E0581A"/>
    <w:rsid w:val="00E05EE0"/>
    <w:rsid w:val="00E06135"/>
    <w:rsid w:val="00E066AF"/>
    <w:rsid w:val="00E06F0B"/>
    <w:rsid w:val="00E07012"/>
    <w:rsid w:val="00E0747B"/>
    <w:rsid w:val="00E074A3"/>
    <w:rsid w:val="00E077C2"/>
    <w:rsid w:val="00E07FE9"/>
    <w:rsid w:val="00E1004A"/>
    <w:rsid w:val="00E106D1"/>
    <w:rsid w:val="00E10AA1"/>
    <w:rsid w:val="00E10D2D"/>
    <w:rsid w:val="00E10E8B"/>
    <w:rsid w:val="00E10ED4"/>
    <w:rsid w:val="00E10FBD"/>
    <w:rsid w:val="00E11275"/>
    <w:rsid w:val="00E112D0"/>
    <w:rsid w:val="00E11DD1"/>
    <w:rsid w:val="00E1209D"/>
    <w:rsid w:val="00E122C0"/>
    <w:rsid w:val="00E125AD"/>
    <w:rsid w:val="00E128C3"/>
    <w:rsid w:val="00E12BBA"/>
    <w:rsid w:val="00E12D43"/>
    <w:rsid w:val="00E12FDF"/>
    <w:rsid w:val="00E12FFE"/>
    <w:rsid w:val="00E131E9"/>
    <w:rsid w:val="00E133CA"/>
    <w:rsid w:val="00E134FF"/>
    <w:rsid w:val="00E136F0"/>
    <w:rsid w:val="00E1391F"/>
    <w:rsid w:val="00E13C07"/>
    <w:rsid w:val="00E13E98"/>
    <w:rsid w:val="00E13FFC"/>
    <w:rsid w:val="00E144CB"/>
    <w:rsid w:val="00E1487E"/>
    <w:rsid w:val="00E14FA1"/>
    <w:rsid w:val="00E15805"/>
    <w:rsid w:val="00E15A95"/>
    <w:rsid w:val="00E15A99"/>
    <w:rsid w:val="00E15D1D"/>
    <w:rsid w:val="00E16F56"/>
    <w:rsid w:val="00E1721C"/>
    <w:rsid w:val="00E1736B"/>
    <w:rsid w:val="00E20052"/>
    <w:rsid w:val="00E200CB"/>
    <w:rsid w:val="00E20397"/>
    <w:rsid w:val="00E20934"/>
    <w:rsid w:val="00E20956"/>
    <w:rsid w:val="00E212F7"/>
    <w:rsid w:val="00E213D6"/>
    <w:rsid w:val="00E2201A"/>
    <w:rsid w:val="00E222D5"/>
    <w:rsid w:val="00E222F0"/>
    <w:rsid w:val="00E2258D"/>
    <w:rsid w:val="00E22F8C"/>
    <w:rsid w:val="00E2305C"/>
    <w:rsid w:val="00E231F4"/>
    <w:rsid w:val="00E234AF"/>
    <w:rsid w:val="00E2368A"/>
    <w:rsid w:val="00E23BF8"/>
    <w:rsid w:val="00E245DA"/>
    <w:rsid w:val="00E24735"/>
    <w:rsid w:val="00E2503C"/>
    <w:rsid w:val="00E25405"/>
    <w:rsid w:val="00E256A4"/>
    <w:rsid w:val="00E25C21"/>
    <w:rsid w:val="00E260B5"/>
    <w:rsid w:val="00E261C8"/>
    <w:rsid w:val="00E264DB"/>
    <w:rsid w:val="00E26934"/>
    <w:rsid w:val="00E26AB1"/>
    <w:rsid w:val="00E26FC3"/>
    <w:rsid w:val="00E27001"/>
    <w:rsid w:val="00E271CC"/>
    <w:rsid w:val="00E27970"/>
    <w:rsid w:val="00E27D24"/>
    <w:rsid w:val="00E27EEB"/>
    <w:rsid w:val="00E300E8"/>
    <w:rsid w:val="00E302CD"/>
    <w:rsid w:val="00E303A0"/>
    <w:rsid w:val="00E30426"/>
    <w:rsid w:val="00E30999"/>
    <w:rsid w:val="00E30B7C"/>
    <w:rsid w:val="00E30E24"/>
    <w:rsid w:val="00E3153F"/>
    <w:rsid w:val="00E315F2"/>
    <w:rsid w:val="00E315F5"/>
    <w:rsid w:val="00E3177B"/>
    <w:rsid w:val="00E319C0"/>
    <w:rsid w:val="00E321AD"/>
    <w:rsid w:val="00E32470"/>
    <w:rsid w:val="00E32773"/>
    <w:rsid w:val="00E32D77"/>
    <w:rsid w:val="00E32DA2"/>
    <w:rsid w:val="00E32DE1"/>
    <w:rsid w:val="00E32EF2"/>
    <w:rsid w:val="00E338ED"/>
    <w:rsid w:val="00E339C4"/>
    <w:rsid w:val="00E34210"/>
    <w:rsid w:val="00E34386"/>
    <w:rsid w:val="00E3450D"/>
    <w:rsid w:val="00E3482D"/>
    <w:rsid w:val="00E34AFD"/>
    <w:rsid w:val="00E34C5E"/>
    <w:rsid w:val="00E35069"/>
    <w:rsid w:val="00E350F4"/>
    <w:rsid w:val="00E3513A"/>
    <w:rsid w:val="00E3540F"/>
    <w:rsid w:val="00E35558"/>
    <w:rsid w:val="00E356C0"/>
    <w:rsid w:val="00E35841"/>
    <w:rsid w:val="00E359BE"/>
    <w:rsid w:val="00E35A8B"/>
    <w:rsid w:val="00E35C04"/>
    <w:rsid w:val="00E35DED"/>
    <w:rsid w:val="00E36056"/>
    <w:rsid w:val="00E36A5E"/>
    <w:rsid w:val="00E36BBC"/>
    <w:rsid w:val="00E37294"/>
    <w:rsid w:val="00E373FA"/>
    <w:rsid w:val="00E37C68"/>
    <w:rsid w:val="00E37EDD"/>
    <w:rsid w:val="00E40DAE"/>
    <w:rsid w:val="00E40F48"/>
    <w:rsid w:val="00E4109E"/>
    <w:rsid w:val="00E413FF"/>
    <w:rsid w:val="00E41B50"/>
    <w:rsid w:val="00E41C21"/>
    <w:rsid w:val="00E41CD5"/>
    <w:rsid w:val="00E425FC"/>
    <w:rsid w:val="00E425FD"/>
    <w:rsid w:val="00E4281F"/>
    <w:rsid w:val="00E42A6E"/>
    <w:rsid w:val="00E42B20"/>
    <w:rsid w:val="00E430B9"/>
    <w:rsid w:val="00E430EA"/>
    <w:rsid w:val="00E430F1"/>
    <w:rsid w:val="00E43240"/>
    <w:rsid w:val="00E4361A"/>
    <w:rsid w:val="00E43766"/>
    <w:rsid w:val="00E43D21"/>
    <w:rsid w:val="00E44527"/>
    <w:rsid w:val="00E4490E"/>
    <w:rsid w:val="00E44E09"/>
    <w:rsid w:val="00E45585"/>
    <w:rsid w:val="00E45B8C"/>
    <w:rsid w:val="00E45E29"/>
    <w:rsid w:val="00E46202"/>
    <w:rsid w:val="00E46636"/>
    <w:rsid w:val="00E46A7E"/>
    <w:rsid w:val="00E46FF0"/>
    <w:rsid w:val="00E4715D"/>
    <w:rsid w:val="00E47736"/>
    <w:rsid w:val="00E47745"/>
    <w:rsid w:val="00E504DD"/>
    <w:rsid w:val="00E50555"/>
    <w:rsid w:val="00E50654"/>
    <w:rsid w:val="00E5121C"/>
    <w:rsid w:val="00E5134F"/>
    <w:rsid w:val="00E514E3"/>
    <w:rsid w:val="00E515BF"/>
    <w:rsid w:val="00E51F6A"/>
    <w:rsid w:val="00E524BA"/>
    <w:rsid w:val="00E530BF"/>
    <w:rsid w:val="00E531E2"/>
    <w:rsid w:val="00E53520"/>
    <w:rsid w:val="00E53725"/>
    <w:rsid w:val="00E53E9B"/>
    <w:rsid w:val="00E54175"/>
    <w:rsid w:val="00E542A2"/>
    <w:rsid w:val="00E543D3"/>
    <w:rsid w:val="00E54950"/>
    <w:rsid w:val="00E54E29"/>
    <w:rsid w:val="00E54E71"/>
    <w:rsid w:val="00E55007"/>
    <w:rsid w:val="00E5531B"/>
    <w:rsid w:val="00E5583E"/>
    <w:rsid w:val="00E56106"/>
    <w:rsid w:val="00E565C7"/>
    <w:rsid w:val="00E56A70"/>
    <w:rsid w:val="00E571F3"/>
    <w:rsid w:val="00E572FD"/>
    <w:rsid w:val="00E577F2"/>
    <w:rsid w:val="00E57C01"/>
    <w:rsid w:val="00E57CF9"/>
    <w:rsid w:val="00E57D58"/>
    <w:rsid w:val="00E57DFC"/>
    <w:rsid w:val="00E6023C"/>
    <w:rsid w:val="00E6077E"/>
    <w:rsid w:val="00E60849"/>
    <w:rsid w:val="00E60CFC"/>
    <w:rsid w:val="00E60F9F"/>
    <w:rsid w:val="00E6107B"/>
    <w:rsid w:val="00E61B92"/>
    <w:rsid w:val="00E62240"/>
    <w:rsid w:val="00E624A8"/>
    <w:rsid w:val="00E628CE"/>
    <w:rsid w:val="00E62965"/>
    <w:rsid w:val="00E6333F"/>
    <w:rsid w:val="00E6363C"/>
    <w:rsid w:val="00E63E7C"/>
    <w:rsid w:val="00E642AB"/>
    <w:rsid w:val="00E6520D"/>
    <w:rsid w:val="00E6581C"/>
    <w:rsid w:val="00E65A2B"/>
    <w:rsid w:val="00E65ADE"/>
    <w:rsid w:val="00E65DB2"/>
    <w:rsid w:val="00E6604C"/>
    <w:rsid w:val="00E660E0"/>
    <w:rsid w:val="00E66244"/>
    <w:rsid w:val="00E663AB"/>
    <w:rsid w:val="00E669B3"/>
    <w:rsid w:val="00E66A2E"/>
    <w:rsid w:val="00E66B4E"/>
    <w:rsid w:val="00E66E93"/>
    <w:rsid w:val="00E6701F"/>
    <w:rsid w:val="00E67B6A"/>
    <w:rsid w:val="00E67B91"/>
    <w:rsid w:val="00E67F25"/>
    <w:rsid w:val="00E70432"/>
    <w:rsid w:val="00E7072E"/>
    <w:rsid w:val="00E70823"/>
    <w:rsid w:val="00E70DBE"/>
    <w:rsid w:val="00E70E25"/>
    <w:rsid w:val="00E70EE3"/>
    <w:rsid w:val="00E70F05"/>
    <w:rsid w:val="00E71249"/>
    <w:rsid w:val="00E7127C"/>
    <w:rsid w:val="00E71402"/>
    <w:rsid w:val="00E71556"/>
    <w:rsid w:val="00E71CA0"/>
    <w:rsid w:val="00E71FA9"/>
    <w:rsid w:val="00E71FF9"/>
    <w:rsid w:val="00E7244C"/>
    <w:rsid w:val="00E725F0"/>
    <w:rsid w:val="00E72755"/>
    <w:rsid w:val="00E7281A"/>
    <w:rsid w:val="00E72951"/>
    <w:rsid w:val="00E72DBC"/>
    <w:rsid w:val="00E7396A"/>
    <w:rsid w:val="00E73A83"/>
    <w:rsid w:val="00E74716"/>
    <w:rsid w:val="00E7473D"/>
    <w:rsid w:val="00E74F66"/>
    <w:rsid w:val="00E75032"/>
    <w:rsid w:val="00E751FB"/>
    <w:rsid w:val="00E757D9"/>
    <w:rsid w:val="00E75DD7"/>
    <w:rsid w:val="00E7609F"/>
    <w:rsid w:val="00E76549"/>
    <w:rsid w:val="00E7691B"/>
    <w:rsid w:val="00E76A28"/>
    <w:rsid w:val="00E76A4D"/>
    <w:rsid w:val="00E76BE1"/>
    <w:rsid w:val="00E76EB9"/>
    <w:rsid w:val="00E774CE"/>
    <w:rsid w:val="00E77679"/>
    <w:rsid w:val="00E776FC"/>
    <w:rsid w:val="00E7771E"/>
    <w:rsid w:val="00E80187"/>
    <w:rsid w:val="00E80DFD"/>
    <w:rsid w:val="00E8119C"/>
    <w:rsid w:val="00E814D1"/>
    <w:rsid w:val="00E815E5"/>
    <w:rsid w:val="00E81832"/>
    <w:rsid w:val="00E81864"/>
    <w:rsid w:val="00E81907"/>
    <w:rsid w:val="00E81C83"/>
    <w:rsid w:val="00E82F2C"/>
    <w:rsid w:val="00E8347E"/>
    <w:rsid w:val="00E83754"/>
    <w:rsid w:val="00E83BE1"/>
    <w:rsid w:val="00E846F9"/>
    <w:rsid w:val="00E84972"/>
    <w:rsid w:val="00E84A52"/>
    <w:rsid w:val="00E84C7F"/>
    <w:rsid w:val="00E85661"/>
    <w:rsid w:val="00E85692"/>
    <w:rsid w:val="00E858EB"/>
    <w:rsid w:val="00E85995"/>
    <w:rsid w:val="00E869A4"/>
    <w:rsid w:val="00E86A33"/>
    <w:rsid w:val="00E87068"/>
    <w:rsid w:val="00E877CA"/>
    <w:rsid w:val="00E8784B"/>
    <w:rsid w:val="00E879E1"/>
    <w:rsid w:val="00E87A3E"/>
    <w:rsid w:val="00E87EB2"/>
    <w:rsid w:val="00E87F83"/>
    <w:rsid w:val="00E90E2B"/>
    <w:rsid w:val="00E90E7B"/>
    <w:rsid w:val="00E9124D"/>
    <w:rsid w:val="00E92120"/>
    <w:rsid w:val="00E9226E"/>
    <w:rsid w:val="00E9227F"/>
    <w:rsid w:val="00E928AD"/>
    <w:rsid w:val="00E92A5D"/>
    <w:rsid w:val="00E92A70"/>
    <w:rsid w:val="00E93246"/>
    <w:rsid w:val="00E93448"/>
    <w:rsid w:val="00E9421A"/>
    <w:rsid w:val="00E9421F"/>
    <w:rsid w:val="00E94671"/>
    <w:rsid w:val="00E946C4"/>
    <w:rsid w:val="00E949CC"/>
    <w:rsid w:val="00E94AA6"/>
    <w:rsid w:val="00E95390"/>
    <w:rsid w:val="00E9576D"/>
    <w:rsid w:val="00E960CA"/>
    <w:rsid w:val="00E96112"/>
    <w:rsid w:val="00E96520"/>
    <w:rsid w:val="00E96744"/>
    <w:rsid w:val="00E96A9B"/>
    <w:rsid w:val="00E9720C"/>
    <w:rsid w:val="00E97D98"/>
    <w:rsid w:val="00EA026D"/>
    <w:rsid w:val="00EA1499"/>
    <w:rsid w:val="00EA19BD"/>
    <w:rsid w:val="00EA1C8C"/>
    <w:rsid w:val="00EA1FAE"/>
    <w:rsid w:val="00EA1FF8"/>
    <w:rsid w:val="00EA2640"/>
    <w:rsid w:val="00EA275E"/>
    <w:rsid w:val="00EA2B20"/>
    <w:rsid w:val="00EA2CEA"/>
    <w:rsid w:val="00EA2FCA"/>
    <w:rsid w:val="00EA30CC"/>
    <w:rsid w:val="00EA328C"/>
    <w:rsid w:val="00EA3800"/>
    <w:rsid w:val="00EA4036"/>
    <w:rsid w:val="00EA4160"/>
    <w:rsid w:val="00EA4245"/>
    <w:rsid w:val="00EA48EB"/>
    <w:rsid w:val="00EA4947"/>
    <w:rsid w:val="00EA53F1"/>
    <w:rsid w:val="00EA5A85"/>
    <w:rsid w:val="00EA5D34"/>
    <w:rsid w:val="00EA61DC"/>
    <w:rsid w:val="00EA6200"/>
    <w:rsid w:val="00EA62B3"/>
    <w:rsid w:val="00EA6333"/>
    <w:rsid w:val="00EA6463"/>
    <w:rsid w:val="00EA6703"/>
    <w:rsid w:val="00EA6ADE"/>
    <w:rsid w:val="00EA6D31"/>
    <w:rsid w:val="00EB02EE"/>
    <w:rsid w:val="00EB0587"/>
    <w:rsid w:val="00EB12B9"/>
    <w:rsid w:val="00EB12E2"/>
    <w:rsid w:val="00EB16A0"/>
    <w:rsid w:val="00EB16BC"/>
    <w:rsid w:val="00EB1718"/>
    <w:rsid w:val="00EB1DAD"/>
    <w:rsid w:val="00EB1FD7"/>
    <w:rsid w:val="00EB238C"/>
    <w:rsid w:val="00EB266E"/>
    <w:rsid w:val="00EB2B09"/>
    <w:rsid w:val="00EB2BDA"/>
    <w:rsid w:val="00EB2BEC"/>
    <w:rsid w:val="00EB2F40"/>
    <w:rsid w:val="00EB3F27"/>
    <w:rsid w:val="00EB421F"/>
    <w:rsid w:val="00EB424B"/>
    <w:rsid w:val="00EB487C"/>
    <w:rsid w:val="00EB4DC2"/>
    <w:rsid w:val="00EB56EA"/>
    <w:rsid w:val="00EB58F7"/>
    <w:rsid w:val="00EB67FC"/>
    <w:rsid w:val="00EB6A10"/>
    <w:rsid w:val="00EB6E7E"/>
    <w:rsid w:val="00EB736A"/>
    <w:rsid w:val="00EB74C3"/>
    <w:rsid w:val="00EB77B4"/>
    <w:rsid w:val="00EB7C1A"/>
    <w:rsid w:val="00EB7CC8"/>
    <w:rsid w:val="00EC0126"/>
    <w:rsid w:val="00EC09AD"/>
    <w:rsid w:val="00EC0A17"/>
    <w:rsid w:val="00EC1233"/>
    <w:rsid w:val="00EC1BD8"/>
    <w:rsid w:val="00EC1C8F"/>
    <w:rsid w:val="00EC1CF5"/>
    <w:rsid w:val="00EC2084"/>
    <w:rsid w:val="00EC2128"/>
    <w:rsid w:val="00EC2B8F"/>
    <w:rsid w:val="00EC2D2C"/>
    <w:rsid w:val="00EC3ABB"/>
    <w:rsid w:val="00EC433E"/>
    <w:rsid w:val="00EC4779"/>
    <w:rsid w:val="00EC4932"/>
    <w:rsid w:val="00EC4A66"/>
    <w:rsid w:val="00EC4DDD"/>
    <w:rsid w:val="00EC4F39"/>
    <w:rsid w:val="00EC5326"/>
    <w:rsid w:val="00EC547F"/>
    <w:rsid w:val="00EC7072"/>
    <w:rsid w:val="00EC707F"/>
    <w:rsid w:val="00EC73B7"/>
    <w:rsid w:val="00EC7618"/>
    <w:rsid w:val="00EC7980"/>
    <w:rsid w:val="00ED0581"/>
    <w:rsid w:val="00ED0A78"/>
    <w:rsid w:val="00ED0B33"/>
    <w:rsid w:val="00ED1C35"/>
    <w:rsid w:val="00ED1D86"/>
    <w:rsid w:val="00ED1F53"/>
    <w:rsid w:val="00ED21F1"/>
    <w:rsid w:val="00ED25F0"/>
    <w:rsid w:val="00ED286B"/>
    <w:rsid w:val="00ED3023"/>
    <w:rsid w:val="00ED322A"/>
    <w:rsid w:val="00ED3662"/>
    <w:rsid w:val="00ED3828"/>
    <w:rsid w:val="00ED3D0D"/>
    <w:rsid w:val="00ED3D78"/>
    <w:rsid w:val="00ED3E72"/>
    <w:rsid w:val="00ED4621"/>
    <w:rsid w:val="00ED477A"/>
    <w:rsid w:val="00ED498B"/>
    <w:rsid w:val="00ED4C6A"/>
    <w:rsid w:val="00ED4D3E"/>
    <w:rsid w:val="00ED574B"/>
    <w:rsid w:val="00ED5AD2"/>
    <w:rsid w:val="00ED5C10"/>
    <w:rsid w:val="00ED5C3F"/>
    <w:rsid w:val="00ED6F98"/>
    <w:rsid w:val="00ED70DB"/>
    <w:rsid w:val="00ED7768"/>
    <w:rsid w:val="00ED7840"/>
    <w:rsid w:val="00ED79BB"/>
    <w:rsid w:val="00ED7B28"/>
    <w:rsid w:val="00EE0B17"/>
    <w:rsid w:val="00EE0B38"/>
    <w:rsid w:val="00EE0E82"/>
    <w:rsid w:val="00EE178A"/>
    <w:rsid w:val="00EE1844"/>
    <w:rsid w:val="00EE184B"/>
    <w:rsid w:val="00EE193D"/>
    <w:rsid w:val="00EE1A97"/>
    <w:rsid w:val="00EE1B09"/>
    <w:rsid w:val="00EE1F53"/>
    <w:rsid w:val="00EE2002"/>
    <w:rsid w:val="00EE224E"/>
    <w:rsid w:val="00EE2C6C"/>
    <w:rsid w:val="00EE3231"/>
    <w:rsid w:val="00EE32E5"/>
    <w:rsid w:val="00EE3A5B"/>
    <w:rsid w:val="00EE3DF1"/>
    <w:rsid w:val="00EE43F9"/>
    <w:rsid w:val="00EE4585"/>
    <w:rsid w:val="00EE4ADA"/>
    <w:rsid w:val="00EE4B73"/>
    <w:rsid w:val="00EE509B"/>
    <w:rsid w:val="00EE50BF"/>
    <w:rsid w:val="00EE59AD"/>
    <w:rsid w:val="00EE59F4"/>
    <w:rsid w:val="00EE5A97"/>
    <w:rsid w:val="00EE5D0F"/>
    <w:rsid w:val="00EE609E"/>
    <w:rsid w:val="00EE642A"/>
    <w:rsid w:val="00EE685F"/>
    <w:rsid w:val="00EE6EDF"/>
    <w:rsid w:val="00EE6FD9"/>
    <w:rsid w:val="00EE7FDC"/>
    <w:rsid w:val="00EF003B"/>
    <w:rsid w:val="00EF0227"/>
    <w:rsid w:val="00EF082C"/>
    <w:rsid w:val="00EF19AA"/>
    <w:rsid w:val="00EF1AA7"/>
    <w:rsid w:val="00EF1D0C"/>
    <w:rsid w:val="00EF1D13"/>
    <w:rsid w:val="00EF1E26"/>
    <w:rsid w:val="00EF2361"/>
    <w:rsid w:val="00EF2989"/>
    <w:rsid w:val="00EF2EA3"/>
    <w:rsid w:val="00EF2F9B"/>
    <w:rsid w:val="00EF3310"/>
    <w:rsid w:val="00EF34E9"/>
    <w:rsid w:val="00EF45A7"/>
    <w:rsid w:val="00EF4861"/>
    <w:rsid w:val="00EF4ACE"/>
    <w:rsid w:val="00EF5125"/>
    <w:rsid w:val="00EF51DC"/>
    <w:rsid w:val="00EF5CA5"/>
    <w:rsid w:val="00EF5DA4"/>
    <w:rsid w:val="00EF637B"/>
    <w:rsid w:val="00EF6919"/>
    <w:rsid w:val="00EF6973"/>
    <w:rsid w:val="00EF69FE"/>
    <w:rsid w:val="00EF7069"/>
    <w:rsid w:val="00EF7252"/>
    <w:rsid w:val="00EF731D"/>
    <w:rsid w:val="00EF7DAA"/>
    <w:rsid w:val="00F00268"/>
    <w:rsid w:val="00F0067A"/>
    <w:rsid w:val="00F00869"/>
    <w:rsid w:val="00F00B05"/>
    <w:rsid w:val="00F00ED6"/>
    <w:rsid w:val="00F01EC5"/>
    <w:rsid w:val="00F0203F"/>
    <w:rsid w:val="00F02404"/>
    <w:rsid w:val="00F02EF4"/>
    <w:rsid w:val="00F02EF9"/>
    <w:rsid w:val="00F02F94"/>
    <w:rsid w:val="00F0316E"/>
    <w:rsid w:val="00F0366F"/>
    <w:rsid w:val="00F03D2A"/>
    <w:rsid w:val="00F04359"/>
    <w:rsid w:val="00F04AFA"/>
    <w:rsid w:val="00F053BD"/>
    <w:rsid w:val="00F06206"/>
    <w:rsid w:val="00F064A0"/>
    <w:rsid w:val="00F06568"/>
    <w:rsid w:val="00F06768"/>
    <w:rsid w:val="00F0692F"/>
    <w:rsid w:val="00F070B5"/>
    <w:rsid w:val="00F07961"/>
    <w:rsid w:val="00F07A27"/>
    <w:rsid w:val="00F07AAA"/>
    <w:rsid w:val="00F07F2C"/>
    <w:rsid w:val="00F100DB"/>
    <w:rsid w:val="00F109E0"/>
    <w:rsid w:val="00F10A1B"/>
    <w:rsid w:val="00F11700"/>
    <w:rsid w:val="00F11824"/>
    <w:rsid w:val="00F118A4"/>
    <w:rsid w:val="00F11A37"/>
    <w:rsid w:val="00F11EED"/>
    <w:rsid w:val="00F1228A"/>
    <w:rsid w:val="00F122D4"/>
    <w:rsid w:val="00F130C0"/>
    <w:rsid w:val="00F136A7"/>
    <w:rsid w:val="00F13ED3"/>
    <w:rsid w:val="00F13F2D"/>
    <w:rsid w:val="00F14014"/>
    <w:rsid w:val="00F142AC"/>
    <w:rsid w:val="00F14464"/>
    <w:rsid w:val="00F144DD"/>
    <w:rsid w:val="00F1470D"/>
    <w:rsid w:val="00F14FA1"/>
    <w:rsid w:val="00F156B0"/>
    <w:rsid w:val="00F1585C"/>
    <w:rsid w:val="00F15944"/>
    <w:rsid w:val="00F15A2C"/>
    <w:rsid w:val="00F15BE6"/>
    <w:rsid w:val="00F15F98"/>
    <w:rsid w:val="00F17CDC"/>
    <w:rsid w:val="00F17DA2"/>
    <w:rsid w:val="00F202FC"/>
    <w:rsid w:val="00F208C0"/>
    <w:rsid w:val="00F209F9"/>
    <w:rsid w:val="00F20EFE"/>
    <w:rsid w:val="00F21230"/>
    <w:rsid w:val="00F2153E"/>
    <w:rsid w:val="00F216DD"/>
    <w:rsid w:val="00F21704"/>
    <w:rsid w:val="00F21731"/>
    <w:rsid w:val="00F2182C"/>
    <w:rsid w:val="00F220FF"/>
    <w:rsid w:val="00F2230F"/>
    <w:rsid w:val="00F22314"/>
    <w:rsid w:val="00F22B04"/>
    <w:rsid w:val="00F22F78"/>
    <w:rsid w:val="00F233AD"/>
    <w:rsid w:val="00F233CF"/>
    <w:rsid w:val="00F2390F"/>
    <w:rsid w:val="00F2452B"/>
    <w:rsid w:val="00F2480C"/>
    <w:rsid w:val="00F24D58"/>
    <w:rsid w:val="00F25519"/>
    <w:rsid w:val="00F259AB"/>
    <w:rsid w:val="00F25C00"/>
    <w:rsid w:val="00F25D52"/>
    <w:rsid w:val="00F25EF4"/>
    <w:rsid w:val="00F260B7"/>
    <w:rsid w:val="00F26244"/>
    <w:rsid w:val="00F2649E"/>
    <w:rsid w:val="00F26E2E"/>
    <w:rsid w:val="00F26ED5"/>
    <w:rsid w:val="00F27001"/>
    <w:rsid w:val="00F270AA"/>
    <w:rsid w:val="00F27B8C"/>
    <w:rsid w:val="00F27C96"/>
    <w:rsid w:val="00F3013E"/>
    <w:rsid w:val="00F30153"/>
    <w:rsid w:val="00F30222"/>
    <w:rsid w:val="00F30F77"/>
    <w:rsid w:val="00F31802"/>
    <w:rsid w:val="00F3262A"/>
    <w:rsid w:val="00F32A5A"/>
    <w:rsid w:val="00F32CD6"/>
    <w:rsid w:val="00F336B5"/>
    <w:rsid w:val="00F3396B"/>
    <w:rsid w:val="00F33D61"/>
    <w:rsid w:val="00F33DAA"/>
    <w:rsid w:val="00F33E31"/>
    <w:rsid w:val="00F34376"/>
    <w:rsid w:val="00F343CE"/>
    <w:rsid w:val="00F34A2B"/>
    <w:rsid w:val="00F34CB9"/>
    <w:rsid w:val="00F34CC5"/>
    <w:rsid w:val="00F34F91"/>
    <w:rsid w:val="00F35333"/>
    <w:rsid w:val="00F356E0"/>
    <w:rsid w:val="00F35939"/>
    <w:rsid w:val="00F35ECC"/>
    <w:rsid w:val="00F35EE5"/>
    <w:rsid w:val="00F35EFB"/>
    <w:rsid w:val="00F35FFB"/>
    <w:rsid w:val="00F3707B"/>
    <w:rsid w:val="00F37A67"/>
    <w:rsid w:val="00F37C72"/>
    <w:rsid w:val="00F37DD5"/>
    <w:rsid w:val="00F37EF6"/>
    <w:rsid w:val="00F40029"/>
    <w:rsid w:val="00F409CD"/>
    <w:rsid w:val="00F40DC4"/>
    <w:rsid w:val="00F411ED"/>
    <w:rsid w:val="00F41516"/>
    <w:rsid w:val="00F4186F"/>
    <w:rsid w:val="00F41EEB"/>
    <w:rsid w:val="00F41EF1"/>
    <w:rsid w:val="00F421BC"/>
    <w:rsid w:val="00F4231D"/>
    <w:rsid w:val="00F42701"/>
    <w:rsid w:val="00F4278A"/>
    <w:rsid w:val="00F42AA5"/>
    <w:rsid w:val="00F42CF7"/>
    <w:rsid w:val="00F43089"/>
    <w:rsid w:val="00F4335F"/>
    <w:rsid w:val="00F434AF"/>
    <w:rsid w:val="00F43774"/>
    <w:rsid w:val="00F43B5C"/>
    <w:rsid w:val="00F43D4C"/>
    <w:rsid w:val="00F4409C"/>
    <w:rsid w:val="00F44213"/>
    <w:rsid w:val="00F44A59"/>
    <w:rsid w:val="00F44B92"/>
    <w:rsid w:val="00F4513F"/>
    <w:rsid w:val="00F45446"/>
    <w:rsid w:val="00F459BC"/>
    <w:rsid w:val="00F46007"/>
    <w:rsid w:val="00F46450"/>
    <w:rsid w:val="00F46C5C"/>
    <w:rsid w:val="00F46F23"/>
    <w:rsid w:val="00F47144"/>
    <w:rsid w:val="00F47195"/>
    <w:rsid w:val="00F47643"/>
    <w:rsid w:val="00F4777A"/>
    <w:rsid w:val="00F47D31"/>
    <w:rsid w:val="00F503A6"/>
    <w:rsid w:val="00F506E1"/>
    <w:rsid w:val="00F507D0"/>
    <w:rsid w:val="00F5100C"/>
    <w:rsid w:val="00F51593"/>
    <w:rsid w:val="00F515F3"/>
    <w:rsid w:val="00F5178F"/>
    <w:rsid w:val="00F51E41"/>
    <w:rsid w:val="00F52535"/>
    <w:rsid w:val="00F5277C"/>
    <w:rsid w:val="00F52E20"/>
    <w:rsid w:val="00F538E8"/>
    <w:rsid w:val="00F53BD3"/>
    <w:rsid w:val="00F53F62"/>
    <w:rsid w:val="00F53FB3"/>
    <w:rsid w:val="00F540F9"/>
    <w:rsid w:val="00F5442F"/>
    <w:rsid w:val="00F5445D"/>
    <w:rsid w:val="00F54688"/>
    <w:rsid w:val="00F54873"/>
    <w:rsid w:val="00F549D4"/>
    <w:rsid w:val="00F54C9C"/>
    <w:rsid w:val="00F55118"/>
    <w:rsid w:val="00F5540B"/>
    <w:rsid w:val="00F55459"/>
    <w:rsid w:val="00F5561B"/>
    <w:rsid w:val="00F56188"/>
    <w:rsid w:val="00F565A4"/>
    <w:rsid w:val="00F565CA"/>
    <w:rsid w:val="00F568DD"/>
    <w:rsid w:val="00F56D6D"/>
    <w:rsid w:val="00F57088"/>
    <w:rsid w:val="00F57194"/>
    <w:rsid w:val="00F57220"/>
    <w:rsid w:val="00F572AF"/>
    <w:rsid w:val="00F57433"/>
    <w:rsid w:val="00F57F5B"/>
    <w:rsid w:val="00F57FE2"/>
    <w:rsid w:val="00F60116"/>
    <w:rsid w:val="00F602B0"/>
    <w:rsid w:val="00F60560"/>
    <w:rsid w:val="00F60948"/>
    <w:rsid w:val="00F6122E"/>
    <w:rsid w:val="00F61416"/>
    <w:rsid w:val="00F614CD"/>
    <w:rsid w:val="00F618AA"/>
    <w:rsid w:val="00F61E6D"/>
    <w:rsid w:val="00F622B4"/>
    <w:rsid w:val="00F63409"/>
    <w:rsid w:val="00F63C5A"/>
    <w:rsid w:val="00F641E9"/>
    <w:rsid w:val="00F64C94"/>
    <w:rsid w:val="00F64EB5"/>
    <w:rsid w:val="00F65064"/>
    <w:rsid w:val="00F65134"/>
    <w:rsid w:val="00F651DC"/>
    <w:rsid w:val="00F65453"/>
    <w:rsid w:val="00F6560A"/>
    <w:rsid w:val="00F6590E"/>
    <w:rsid w:val="00F65E04"/>
    <w:rsid w:val="00F65E1F"/>
    <w:rsid w:val="00F663C8"/>
    <w:rsid w:val="00F66607"/>
    <w:rsid w:val="00F671CD"/>
    <w:rsid w:val="00F672E0"/>
    <w:rsid w:val="00F6774A"/>
    <w:rsid w:val="00F67866"/>
    <w:rsid w:val="00F67E0C"/>
    <w:rsid w:val="00F70085"/>
    <w:rsid w:val="00F70383"/>
    <w:rsid w:val="00F70395"/>
    <w:rsid w:val="00F704CB"/>
    <w:rsid w:val="00F71767"/>
    <w:rsid w:val="00F71C38"/>
    <w:rsid w:val="00F71C9E"/>
    <w:rsid w:val="00F72311"/>
    <w:rsid w:val="00F72425"/>
    <w:rsid w:val="00F72508"/>
    <w:rsid w:val="00F7273A"/>
    <w:rsid w:val="00F727FC"/>
    <w:rsid w:val="00F72A8A"/>
    <w:rsid w:val="00F72F75"/>
    <w:rsid w:val="00F7472E"/>
    <w:rsid w:val="00F749A4"/>
    <w:rsid w:val="00F749B4"/>
    <w:rsid w:val="00F74BEF"/>
    <w:rsid w:val="00F75B8C"/>
    <w:rsid w:val="00F75CCA"/>
    <w:rsid w:val="00F7648F"/>
    <w:rsid w:val="00F76A31"/>
    <w:rsid w:val="00F76D97"/>
    <w:rsid w:val="00F76FE4"/>
    <w:rsid w:val="00F7742D"/>
    <w:rsid w:val="00F774DA"/>
    <w:rsid w:val="00F776CD"/>
    <w:rsid w:val="00F77771"/>
    <w:rsid w:val="00F77D09"/>
    <w:rsid w:val="00F77DAF"/>
    <w:rsid w:val="00F77F54"/>
    <w:rsid w:val="00F801A3"/>
    <w:rsid w:val="00F8093E"/>
    <w:rsid w:val="00F81021"/>
    <w:rsid w:val="00F8120F"/>
    <w:rsid w:val="00F813AE"/>
    <w:rsid w:val="00F815ED"/>
    <w:rsid w:val="00F821FE"/>
    <w:rsid w:val="00F822AB"/>
    <w:rsid w:val="00F823A6"/>
    <w:rsid w:val="00F82427"/>
    <w:rsid w:val="00F8249A"/>
    <w:rsid w:val="00F8249B"/>
    <w:rsid w:val="00F827C1"/>
    <w:rsid w:val="00F82846"/>
    <w:rsid w:val="00F82D5D"/>
    <w:rsid w:val="00F830D1"/>
    <w:rsid w:val="00F83136"/>
    <w:rsid w:val="00F8322F"/>
    <w:rsid w:val="00F839EF"/>
    <w:rsid w:val="00F84368"/>
    <w:rsid w:val="00F8463B"/>
    <w:rsid w:val="00F84A07"/>
    <w:rsid w:val="00F84D35"/>
    <w:rsid w:val="00F84DB3"/>
    <w:rsid w:val="00F852E9"/>
    <w:rsid w:val="00F856D8"/>
    <w:rsid w:val="00F86CB1"/>
    <w:rsid w:val="00F870DD"/>
    <w:rsid w:val="00F87270"/>
    <w:rsid w:val="00F8750C"/>
    <w:rsid w:val="00F8755A"/>
    <w:rsid w:val="00F875A5"/>
    <w:rsid w:val="00F87813"/>
    <w:rsid w:val="00F8798A"/>
    <w:rsid w:val="00F87B36"/>
    <w:rsid w:val="00F87B61"/>
    <w:rsid w:val="00F87CA6"/>
    <w:rsid w:val="00F9000D"/>
    <w:rsid w:val="00F9036B"/>
    <w:rsid w:val="00F90A34"/>
    <w:rsid w:val="00F90C81"/>
    <w:rsid w:val="00F9114C"/>
    <w:rsid w:val="00F91350"/>
    <w:rsid w:val="00F91AD7"/>
    <w:rsid w:val="00F91DEC"/>
    <w:rsid w:val="00F920FD"/>
    <w:rsid w:val="00F9292A"/>
    <w:rsid w:val="00F92B7F"/>
    <w:rsid w:val="00F92EB4"/>
    <w:rsid w:val="00F930E1"/>
    <w:rsid w:val="00F935B6"/>
    <w:rsid w:val="00F94138"/>
    <w:rsid w:val="00F94287"/>
    <w:rsid w:val="00F94A7F"/>
    <w:rsid w:val="00F94B40"/>
    <w:rsid w:val="00F9596C"/>
    <w:rsid w:val="00F96457"/>
    <w:rsid w:val="00F96615"/>
    <w:rsid w:val="00F968A7"/>
    <w:rsid w:val="00F96DA4"/>
    <w:rsid w:val="00FA004E"/>
    <w:rsid w:val="00FA022D"/>
    <w:rsid w:val="00FA03FC"/>
    <w:rsid w:val="00FA0A1F"/>
    <w:rsid w:val="00FA1218"/>
    <w:rsid w:val="00FA15BF"/>
    <w:rsid w:val="00FA2845"/>
    <w:rsid w:val="00FA28FC"/>
    <w:rsid w:val="00FA292D"/>
    <w:rsid w:val="00FA2A53"/>
    <w:rsid w:val="00FA2AA9"/>
    <w:rsid w:val="00FA2D58"/>
    <w:rsid w:val="00FA30F5"/>
    <w:rsid w:val="00FA35FB"/>
    <w:rsid w:val="00FA3803"/>
    <w:rsid w:val="00FA3C18"/>
    <w:rsid w:val="00FA4327"/>
    <w:rsid w:val="00FA4558"/>
    <w:rsid w:val="00FA4625"/>
    <w:rsid w:val="00FA4A4A"/>
    <w:rsid w:val="00FA4B10"/>
    <w:rsid w:val="00FA4BEC"/>
    <w:rsid w:val="00FA4DD2"/>
    <w:rsid w:val="00FA5104"/>
    <w:rsid w:val="00FA55D2"/>
    <w:rsid w:val="00FA562D"/>
    <w:rsid w:val="00FA65A2"/>
    <w:rsid w:val="00FA6878"/>
    <w:rsid w:val="00FA6C7D"/>
    <w:rsid w:val="00FA73ED"/>
    <w:rsid w:val="00FA745B"/>
    <w:rsid w:val="00FA756C"/>
    <w:rsid w:val="00FA759F"/>
    <w:rsid w:val="00FA7A27"/>
    <w:rsid w:val="00FA7A73"/>
    <w:rsid w:val="00FA7B02"/>
    <w:rsid w:val="00FA7D58"/>
    <w:rsid w:val="00FA7D5E"/>
    <w:rsid w:val="00FB04B1"/>
    <w:rsid w:val="00FB05BF"/>
    <w:rsid w:val="00FB06E1"/>
    <w:rsid w:val="00FB0714"/>
    <w:rsid w:val="00FB0B48"/>
    <w:rsid w:val="00FB0EDA"/>
    <w:rsid w:val="00FB15E9"/>
    <w:rsid w:val="00FB1972"/>
    <w:rsid w:val="00FB1C3A"/>
    <w:rsid w:val="00FB23B0"/>
    <w:rsid w:val="00FB23CD"/>
    <w:rsid w:val="00FB24A5"/>
    <w:rsid w:val="00FB33C8"/>
    <w:rsid w:val="00FB34E7"/>
    <w:rsid w:val="00FB37A7"/>
    <w:rsid w:val="00FB3F7D"/>
    <w:rsid w:val="00FB430E"/>
    <w:rsid w:val="00FB4318"/>
    <w:rsid w:val="00FB47D7"/>
    <w:rsid w:val="00FB49C8"/>
    <w:rsid w:val="00FB4F3D"/>
    <w:rsid w:val="00FB51B7"/>
    <w:rsid w:val="00FB5C10"/>
    <w:rsid w:val="00FB5F5C"/>
    <w:rsid w:val="00FB637C"/>
    <w:rsid w:val="00FB678B"/>
    <w:rsid w:val="00FB6A32"/>
    <w:rsid w:val="00FB6E63"/>
    <w:rsid w:val="00FB6EEA"/>
    <w:rsid w:val="00FB7460"/>
    <w:rsid w:val="00FB7862"/>
    <w:rsid w:val="00FB7A47"/>
    <w:rsid w:val="00FC01B7"/>
    <w:rsid w:val="00FC0747"/>
    <w:rsid w:val="00FC0A5F"/>
    <w:rsid w:val="00FC0CD3"/>
    <w:rsid w:val="00FC117C"/>
    <w:rsid w:val="00FC126D"/>
    <w:rsid w:val="00FC1288"/>
    <w:rsid w:val="00FC1729"/>
    <w:rsid w:val="00FC1BBB"/>
    <w:rsid w:val="00FC1FB3"/>
    <w:rsid w:val="00FC24EA"/>
    <w:rsid w:val="00FC274E"/>
    <w:rsid w:val="00FC2831"/>
    <w:rsid w:val="00FC2EC5"/>
    <w:rsid w:val="00FC3058"/>
    <w:rsid w:val="00FC38EC"/>
    <w:rsid w:val="00FC3F3E"/>
    <w:rsid w:val="00FC498A"/>
    <w:rsid w:val="00FC51A5"/>
    <w:rsid w:val="00FC520F"/>
    <w:rsid w:val="00FC56CC"/>
    <w:rsid w:val="00FC58E3"/>
    <w:rsid w:val="00FC5AC8"/>
    <w:rsid w:val="00FC5B8C"/>
    <w:rsid w:val="00FC6623"/>
    <w:rsid w:val="00FC6F12"/>
    <w:rsid w:val="00FC72B0"/>
    <w:rsid w:val="00FC7A67"/>
    <w:rsid w:val="00FD0025"/>
    <w:rsid w:val="00FD0698"/>
    <w:rsid w:val="00FD0B54"/>
    <w:rsid w:val="00FD1DEA"/>
    <w:rsid w:val="00FD1E22"/>
    <w:rsid w:val="00FD24D1"/>
    <w:rsid w:val="00FD25C0"/>
    <w:rsid w:val="00FD2B57"/>
    <w:rsid w:val="00FD2EBC"/>
    <w:rsid w:val="00FD3043"/>
    <w:rsid w:val="00FD305E"/>
    <w:rsid w:val="00FD3538"/>
    <w:rsid w:val="00FD3B62"/>
    <w:rsid w:val="00FD3B99"/>
    <w:rsid w:val="00FD4103"/>
    <w:rsid w:val="00FD41CC"/>
    <w:rsid w:val="00FD4CF6"/>
    <w:rsid w:val="00FD5F22"/>
    <w:rsid w:val="00FD63D9"/>
    <w:rsid w:val="00FD6499"/>
    <w:rsid w:val="00FD6A70"/>
    <w:rsid w:val="00FD6D59"/>
    <w:rsid w:val="00FD710D"/>
    <w:rsid w:val="00FD73AF"/>
    <w:rsid w:val="00FD7474"/>
    <w:rsid w:val="00FD7512"/>
    <w:rsid w:val="00FD7EDD"/>
    <w:rsid w:val="00FE01E7"/>
    <w:rsid w:val="00FE06F3"/>
    <w:rsid w:val="00FE101A"/>
    <w:rsid w:val="00FE122B"/>
    <w:rsid w:val="00FE1403"/>
    <w:rsid w:val="00FE15B2"/>
    <w:rsid w:val="00FE1F1F"/>
    <w:rsid w:val="00FE2038"/>
    <w:rsid w:val="00FE24F0"/>
    <w:rsid w:val="00FE259E"/>
    <w:rsid w:val="00FE25C6"/>
    <w:rsid w:val="00FE315D"/>
    <w:rsid w:val="00FE31EC"/>
    <w:rsid w:val="00FE33FE"/>
    <w:rsid w:val="00FE34B4"/>
    <w:rsid w:val="00FE3C32"/>
    <w:rsid w:val="00FE4357"/>
    <w:rsid w:val="00FE45B1"/>
    <w:rsid w:val="00FE4BA3"/>
    <w:rsid w:val="00FE523B"/>
    <w:rsid w:val="00FE5378"/>
    <w:rsid w:val="00FE540F"/>
    <w:rsid w:val="00FE57E9"/>
    <w:rsid w:val="00FE5A4D"/>
    <w:rsid w:val="00FE5AAD"/>
    <w:rsid w:val="00FE5E14"/>
    <w:rsid w:val="00FE5E59"/>
    <w:rsid w:val="00FE6544"/>
    <w:rsid w:val="00FE6606"/>
    <w:rsid w:val="00FE737B"/>
    <w:rsid w:val="00FE7465"/>
    <w:rsid w:val="00FE7945"/>
    <w:rsid w:val="00FF05CF"/>
    <w:rsid w:val="00FF07ED"/>
    <w:rsid w:val="00FF07EF"/>
    <w:rsid w:val="00FF0900"/>
    <w:rsid w:val="00FF0ADB"/>
    <w:rsid w:val="00FF0BA2"/>
    <w:rsid w:val="00FF0CCC"/>
    <w:rsid w:val="00FF24A6"/>
    <w:rsid w:val="00FF2648"/>
    <w:rsid w:val="00FF2AA1"/>
    <w:rsid w:val="00FF2AEB"/>
    <w:rsid w:val="00FF2B31"/>
    <w:rsid w:val="00FF3091"/>
    <w:rsid w:val="00FF324C"/>
    <w:rsid w:val="00FF33C9"/>
    <w:rsid w:val="00FF392E"/>
    <w:rsid w:val="00FF3A5F"/>
    <w:rsid w:val="00FF3AB0"/>
    <w:rsid w:val="00FF3EB3"/>
    <w:rsid w:val="00FF404C"/>
    <w:rsid w:val="00FF4372"/>
    <w:rsid w:val="00FF4499"/>
    <w:rsid w:val="00FF46B0"/>
    <w:rsid w:val="00FF491A"/>
    <w:rsid w:val="00FF4F46"/>
    <w:rsid w:val="00FF50C3"/>
    <w:rsid w:val="00FF529E"/>
    <w:rsid w:val="00FF5610"/>
    <w:rsid w:val="00FF62EC"/>
    <w:rsid w:val="00FF6492"/>
    <w:rsid w:val="00FF658F"/>
    <w:rsid w:val="00FF749E"/>
    <w:rsid w:val="00FF77CB"/>
    <w:rsid w:val="00FF7887"/>
    <w:rsid w:val="00FF7A59"/>
    <w:rsid w:val="00FF7AD4"/>
    <w:rsid w:val="00FF7FD8"/>
    <w:rsid w:val="0127268B"/>
    <w:rsid w:val="0142A562"/>
    <w:rsid w:val="03DFC74A"/>
    <w:rsid w:val="04F8B334"/>
    <w:rsid w:val="058BDBDF"/>
    <w:rsid w:val="05A10170"/>
    <w:rsid w:val="06B7A21A"/>
    <w:rsid w:val="07A2E606"/>
    <w:rsid w:val="08EB4273"/>
    <w:rsid w:val="0987B43A"/>
    <w:rsid w:val="0BB7E8AC"/>
    <w:rsid w:val="0BCA5223"/>
    <w:rsid w:val="0C317914"/>
    <w:rsid w:val="0D7D7AB5"/>
    <w:rsid w:val="0E974561"/>
    <w:rsid w:val="0ED39DA0"/>
    <w:rsid w:val="0F4AD1E8"/>
    <w:rsid w:val="0F7FE266"/>
    <w:rsid w:val="0FE31BC4"/>
    <w:rsid w:val="10D13A88"/>
    <w:rsid w:val="114492E0"/>
    <w:rsid w:val="12DA9A71"/>
    <w:rsid w:val="142C0785"/>
    <w:rsid w:val="14D918CB"/>
    <w:rsid w:val="1662706D"/>
    <w:rsid w:val="170FC208"/>
    <w:rsid w:val="18817746"/>
    <w:rsid w:val="1A0531B9"/>
    <w:rsid w:val="2253A65B"/>
    <w:rsid w:val="230701E0"/>
    <w:rsid w:val="2322CD79"/>
    <w:rsid w:val="235853B1"/>
    <w:rsid w:val="236E0F45"/>
    <w:rsid w:val="23D64BD6"/>
    <w:rsid w:val="246CD6DE"/>
    <w:rsid w:val="24A8FCA9"/>
    <w:rsid w:val="26269BE0"/>
    <w:rsid w:val="262BD7D2"/>
    <w:rsid w:val="2661F6FD"/>
    <w:rsid w:val="26660205"/>
    <w:rsid w:val="26778F5F"/>
    <w:rsid w:val="2A28B200"/>
    <w:rsid w:val="2A783C9E"/>
    <w:rsid w:val="2A87650E"/>
    <w:rsid w:val="2AC0239C"/>
    <w:rsid w:val="2B1175AE"/>
    <w:rsid w:val="2B12D6A1"/>
    <w:rsid w:val="2D8340B1"/>
    <w:rsid w:val="2F09C5CF"/>
    <w:rsid w:val="2F59E1F7"/>
    <w:rsid w:val="2FBA4FB2"/>
    <w:rsid w:val="2FF58B63"/>
    <w:rsid w:val="30490B51"/>
    <w:rsid w:val="33B47348"/>
    <w:rsid w:val="357DB756"/>
    <w:rsid w:val="35AAB2F3"/>
    <w:rsid w:val="375B4A32"/>
    <w:rsid w:val="37F43964"/>
    <w:rsid w:val="38458FDB"/>
    <w:rsid w:val="3A2A18AF"/>
    <w:rsid w:val="3A592A73"/>
    <w:rsid w:val="3ACD7D09"/>
    <w:rsid w:val="3C518D5A"/>
    <w:rsid w:val="3CCE445A"/>
    <w:rsid w:val="3CE49CF6"/>
    <w:rsid w:val="3D45C5AB"/>
    <w:rsid w:val="3D5C3199"/>
    <w:rsid w:val="3D9F9B2C"/>
    <w:rsid w:val="3E2C5244"/>
    <w:rsid w:val="3E6EC6CB"/>
    <w:rsid w:val="3FA62C4B"/>
    <w:rsid w:val="4019EAF4"/>
    <w:rsid w:val="402C7AFB"/>
    <w:rsid w:val="40F5AD85"/>
    <w:rsid w:val="442116BC"/>
    <w:rsid w:val="46384932"/>
    <w:rsid w:val="4745ACF7"/>
    <w:rsid w:val="48CF9BDB"/>
    <w:rsid w:val="4989C98A"/>
    <w:rsid w:val="4B68AEF8"/>
    <w:rsid w:val="4C341999"/>
    <w:rsid w:val="4CAD128D"/>
    <w:rsid w:val="501CAFA5"/>
    <w:rsid w:val="5060848B"/>
    <w:rsid w:val="50F50AAA"/>
    <w:rsid w:val="51B0ABAC"/>
    <w:rsid w:val="529B55BE"/>
    <w:rsid w:val="52F75F20"/>
    <w:rsid w:val="538738D4"/>
    <w:rsid w:val="540C1346"/>
    <w:rsid w:val="545A4E44"/>
    <w:rsid w:val="545DAF22"/>
    <w:rsid w:val="55D48959"/>
    <w:rsid w:val="5630A55B"/>
    <w:rsid w:val="57793B75"/>
    <w:rsid w:val="5858CF40"/>
    <w:rsid w:val="5A063B47"/>
    <w:rsid w:val="5BA99776"/>
    <w:rsid w:val="5D3A8F6E"/>
    <w:rsid w:val="5D92107E"/>
    <w:rsid w:val="5DDD00B6"/>
    <w:rsid w:val="5E6B4DA2"/>
    <w:rsid w:val="5EC648B9"/>
    <w:rsid w:val="5F242609"/>
    <w:rsid w:val="5F57934D"/>
    <w:rsid w:val="604C27EC"/>
    <w:rsid w:val="605880B2"/>
    <w:rsid w:val="608831A9"/>
    <w:rsid w:val="60D8840F"/>
    <w:rsid w:val="61CABC42"/>
    <w:rsid w:val="63515444"/>
    <w:rsid w:val="64400087"/>
    <w:rsid w:val="64765519"/>
    <w:rsid w:val="656F5A11"/>
    <w:rsid w:val="668CA72A"/>
    <w:rsid w:val="67CF1247"/>
    <w:rsid w:val="6912E673"/>
    <w:rsid w:val="6A7A3A31"/>
    <w:rsid w:val="6CD4B62A"/>
    <w:rsid w:val="6D79C6A0"/>
    <w:rsid w:val="6E8C6046"/>
    <w:rsid w:val="6F2A90AF"/>
    <w:rsid w:val="6FAB90D5"/>
    <w:rsid w:val="70084C76"/>
    <w:rsid w:val="701A654A"/>
    <w:rsid w:val="7043F888"/>
    <w:rsid w:val="70BFEA6B"/>
    <w:rsid w:val="70D3D46B"/>
    <w:rsid w:val="70F2CBF5"/>
    <w:rsid w:val="715F63B2"/>
    <w:rsid w:val="71748DAF"/>
    <w:rsid w:val="7214693D"/>
    <w:rsid w:val="72C043D7"/>
    <w:rsid w:val="72D9F68D"/>
    <w:rsid w:val="7391C405"/>
    <w:rsid w:val="7410A8CD"/>
    <w:rsid w:val="7485DE61"/>
    <w:rsid w:val="74B5ED31"/>
    <w:rsid w:val="751564F8"/>
    <w:rsid w:val="756E21B4"/>
    <w:rsid w:val="75984B61"/>
    <w:rsid w:val="763DD75B"/>
    <w:rsid w:val="78068239"/>
    <w:rsid w:val="7877E046"/>
    <w:rsid w:val="78C80E64"/>
    <w:rsid w:val="798B170D"/>
    <w:rsid w:val="7B7E8F27"/>
    <w:rsid w:val="7BC0580F"/>
    <w:rsid w:val="7C70A868"/>
    <w:rsid w:val="7F57B1D1"/>
    <w:rsid w:val="7F67645B"/>
    <w:rsid w:val="7F87E250"/>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ACAE8E"/>
  <w15:docId w15:val="{E86FA850-6B34-4617-A742-0111802CC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en-NZ" w:eastAsia="en-US" w:bidi="ar-SA"/>
      </w:rPr>
    </w:rPrDefault>
    <w:pPrDefault>
      <w:pPr>
        <w:spacing w:before="12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qFormat="1"/>
    <w:lsdException w:name="heading 5" w:semiHidden="1" w:uiPriority="9" w:unhideWhenUsed="1" w:qFormat="1"/>
    <w:lsdException w:name="heading 6" w:semiHidden="1"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semiHidden="1" w:unhideWhenUsed="1"/>
    <w:lsdException w:name="header" w:locked="0" w:semiHidden="1" w:uiPriority="24" w:unhideWhenUsed="1" w:qFormat="1"/>
    <w:lsdException w:name="footer" w:locked="0" w:semiHidden="1" w:unhideWhenUsed="1"/>
    <w:lsdException w:name="index heading" w:semiHidden="1" w:uiPriority="49" w:unhideWhenUsed="1"/>
    <w:lsdException w:name="caption" w:locked="0" w:semiHidden="1" w:uiPriority="35"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nhideWhenUsed="1"/>
    <w:lsdException w:name="annotation reference" w:semiHidden="1" w:unhideWhenUsed="1"/>
    <w:lsdException w:name="line number" w:semiHidden="1" w:uiPriority="49" w:unhideWhenUsed="1"/>
    <w:lsdException w:name="page number" w:semiHidden="1" w:uiPriority="49" w:unhideWhenUsed="1"/>
    <w:lsdException w:name="endnote reference" w:semiHidden="1" w:uiPriority="0" w:unhideWhenUsed="1"/>
    <w:lsdException w:name="endnote text" w:semiHidden="1" w:uiPriority="0" w:unhideWhenUsed="1"/>
    <w:lsdException w:name="table of authorities" w:semiHidden="1" w:uiPriority="39" w:unhideWhenUsed="1"/>
    <w:lsdException w:name="macro" w:semiHidden="1" w:uiPriority="49" w:unhideWhenUsed="1"/>
    <w:lsdException w:name="toa heading" w:semiHidden="1" w:uiPriority="39" w:unhideWhenUsed="1"/>
    <w:lsdException w:name="List" w:locked="0" w:semiHidden="1" w:uiPriority="49" w:unhideWhenUsed="1" w:qFormat="1"/>
    <w:lsdException w:name="List Bullet" w:locked="0" w:semiHidden="1" w:uiPriority="6" w:unhideWhenUsed="1" w:qFormat="1"/>
    <w:lsdException w:name="List Number" w:semiHidden="1" w:uiPriority="11" w:qFormat="1"/>
    <w:lsdException w:name="List 2" w:locked="0" w:semiHidden="1" w:uiPriority="49" w:unhideWhenUsed="1" w:qFormat="1"/>
    <w:lsdException w:name="List 3" w:locked="0" w:semiHidden="1" w:uiPriority="49" w:unhideWhenUsed="1" w:qFormat="1"/>
    <w:lsdException w:name="List 4" w:locked="0" w:semiHidden="1" w:uiPriority="49" w:qFormat="1"/>
    <w:lsdException w:name="List 5" w:semiHidden="1" w:uiPriority="49"/>
    <w:lsdException w:name="List Bullet 2" w:locked="0" w:semiHidden="1" w:uiPriority="6" w:unhideWhenUsed="1" w:qFormat="1"/>
    <w:lsdException w:name="List Bullet 3" w:locked="0" w:semiHidden="1" w:uiPriority="6" w:unhideWhenUsed="1" w:qFormat="1"/>
    <w:lsdException w:name="List Bullet 4" w:locked="0" w:semiHidden="1" w:uiPriority="6" w:unhideWhenUsed="1" w:qFormat="1"/>
    <w:lsdException w:name="List Bullet 5" w:semiHidden="1" w:uiPriority="49" w:unhideWhenUsed="1"/>
    <w:lsdException w:name="List Number 2" w:semiHidden="1" w:uiPriority="11" w:unhideWhenUsed="1"/>
    <w:lsdException w:name="List Number 3" w:semiHidden="1" w:uiPriority="11" w:unhideWhenUsed="1"/>
    <w:lsdException w:name="List Number 4" w:semiHidden="1" w:uiPriority="49" w:unhideWhenUsed="1"/>
    <w:lsdException w:name="List Number 5" w:semiHidden="1" w:uiPriority="49" w:unhideWhenUsed="1"/>
    <w:lsdException w:name="Title" w:locked="0" w:uiPriority="10"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1" w:qFormat="1"/>
    <w:lsdException w:name="Body Text Indent" w:semiHidden="1" w:uiPriority="49" w:unhideWhenUsed="1"/>
    <w:lsdException w:name="List Continue" w:semiHidden="1" w:uiPriority="11" w:unhideWhenUsed="1" w:qFormat="1"/>
    <w:lsdException w:name="List Continue 2" w:semiHidden="1" w:uiPriority="11" w:unhideWhenUsed="1"/>
    <w:lsdException w:name="List Continue 3" w:semiHidden="1" w:uiPriority="11"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uiPriority="11"/>
    <w:lsdException w:name="Salutation" w:semiHidden="1" w:uiPriority="49"/>
    <w:lsdException w:name="Date" w:semiHidden="1" w:uiPriority="49"/>
    <w:lsdException w:name="Body Text First Indent" w:semiHidden="1" w:uiPriority="49"/>
    <w:lsdException w:name="Body Text First Indent 2" w:semiHidden="1" w:uiPriority="49" w:unhideWhenUsed="1"/>
    <w:lsdException w:name="Note Heading" w:semiHidden="1" w:uiPriority="49"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iPriority="0" w:unhideWhenUsed="1"/>
    <w:lsdException w:name="Strong" w:locked="0" w:uiPriority="22" w:qFormat="1"/>
    <w:lsdException w:name="Emphasis" w:locked="0" w:uiPriority="20" w:qFormat="1"/>
    <w:lsdException w:name="Document Map" w:semiHidden="1" w:uiPriority="49" w:unhideWhenUsed="1"/>
    <w:lsdException w:name="Plain Text" w:semiHidden="1" w:unhideWhenUsed="1"/>
    <w:lsdException w:name="E-mail Signature" w:semiHidden="1" w:uiPriority="49" w:unhideWhenUsed="1"/>
    <w:lsdException w:name="HTML Top of Form" w:locked="0" w:semiHidden="1" w:unhideWhenUsed="1"/>
    <w:lsdException w:name="HTML Bottom of Form" w:locked="0" w:semiHidden="1" w:unhideWhenUsed="1"/>
    <w:lsdException w:name="Normal (Web)" w:semiHidden="1" w:unhideWhenUsed="1"/>
    <w:lsdException w:name="HTML Acronym" w:semiHidden="1"/>
    <w:lsdException w:name="HTML Address" w:semiHidden="1" w:uiPriority="49" w:unhideWhenUsed="1"/>
    <w:lsdException w:name="HTML Cite" w:semiHidden="1"/>
    <w:lsdException w:name="HTML Code" w:semiHidden="1"/>
    <w:lsdException w:name="HTML Definition" w:semiHidden="1"/>
    <w:lsdException w:name="HTML Keyboard" w:semiHidden="1"/>
    <w:lsdException w:name="HTML Preformatted" w:semiHidden="1" w:uiPriority="49"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9330F"/>
    <w:pPr>
      <w:spacing w:before="0" w:after="0"/>
    </w:pPr>
    <w:rPr>
      <w:rFonts w:ascii="Times New Roman" w:hAnsi="Times New Roman" w:cs="Times New Roman"/>
      <w:sz w:val="24"/>
      <w:szCs w:val="24"/>
      <w:lang w:val="en-AU" w:eastAsia="en-GB"/>
    </w:rPr>
  </w:style>
  <w:style w:type="paragraph" w:styleId="Heading1">
    <w:name w:val="heading 1"/>
    <w:next w:val="Normal"/>
    <w:link w:val="Heading1Char"/>
    <w:uiPriority w:val="9"/>
    <w:qFormat/>
    <w:rsid w:val="00B82E15"/>
    <w:pPr>
      <w:keepNext/>
      <w:keepLines/>
      <w:numPr>
        <w:numId w:val="4"/>
      </w:numPr>
      <w:spacing w:before="360" w:after="240" w:line="252" w:lineRule="auto"/>
      <w:ind w:left="432"/>
      <w:outlineLvl w:val="0"/>
    </w:pPr>
    <w:rPr>
      <w:rFonts w:ascii="Source Sans Pro" w:hAnsi="Source Sans Pro"/>
      <w:b/>
      <w:iCs/>
      <w:color w:val="003478" w:themeColor="accent1"/>
      <w:sz w:val="36"/>
      <w:szCs w:val="40"/>
      <w:lang w:val="en-AU"/>
    </w:rPr>
  </w:style>
  <w:style w:type="paragraph" w:styleId="Heading2">
    <w:name w:val="heading 2"/>
    <w:basedOn w:val="Heading1"/>
    <w:next w:val="Normal"/>
    <w:link w:val="Heading2Char"/>
    <w:uiPriority w:val="9"/>
    <w:qFormat/>
    <w:rsid w:val="00B82E15"/>
    <w:pPr>
      <w:numPr>
        <w:ilvl w:val="1"/>
      </w:numPr>
      <w:spacing w:before="240"/>
      <w:ind w:left="578" w:hanging="578"/>
      <w:outlineLvl w:val="1"/>
    </w:pPr>
    <w:rPr>
      <w:rFonts w:asciiTheme="majorHAnsi" w:hAnsiTheme="majorHAnsi"/>
      <w:bCs/>
      <w:color w:val="0065BC" w:themeColor="background2"/>
      <w:sz w:val="28"/>
      <w:szCs w:val="28"/>
    </w:rPr>
  </w:style>
  <w:style w:type="paragraph" w:styleId="Heading3">
    <w:name w:val="heading 3"/>
    <w:basedOn w:val="Heading2"/>
    <w:next w:val="Normal"/>
    <w:link w:val="Heading3Char"/>
    <w:uiPriority w:val="9"/>
    <w:qFormat/>
    <w:rsid w:val="00B82E15"/>
    <w:pPr>
      <w:numPr>
        <w:ilvl w:val="0"/>
        <w:numId w:val="0"/>
      </w:numPr>
      <w:spacing w:after="120"/>
      <w:outlineLvl w:val="2"/>
    </w:pPr>
    <w:rPr>
      <w:color w:val="007C92" w:themeColor="accent3"/>
      <w:sz w:val="22"/>
      <w:szCs w:val="26"/>
    </w:rPr>
  </w:style>
  <w:style w:type="paragraph" w:styleId="Heading4">
    <w:name w:val="heading 4"/>
    <w:basedOn w:val="Heading3"/>
    <w:next w:val="Normal"/>
    <w:link w:val="Heading4Char"/>
    <w:uiPriority w:val="9"/>
    <w:qFormat/>
    <w:locked/>
    <w:rsid w:val="009225AD"/>
    <w:pPr>
      <w:numPr>
        <w:ilvl w:val="3"/>
      </w:numPr>
      <w:spacing w:before="160" w:after="160"/>
      <w:outlineLvl w:val="3"/>
    </w:pPr>
    <w:rPr>
      <w:bCs w:val="0"/>
      <w:caps/>
      <w:color w:val="6639B7" w:themeColor="accent4"/>
      <w:sz w:val="26"/>
      <w:szCs w:val="23"/>
    </w:rPr>
  </w:style>
  <w:style w:type="paragraph" w:styleId="Heading5">
    <w:name w:val="heading 5"/>
    <w:basedOn w:val="Heading4"/>
    <w:next w:val="Normal"/>
    <w:link w:val="Heading5Char"/>
    <w:uiPriority w:val="9"/>
    <w:semiHidden/>
    <w:qFormat/>
    <w:locked/>
    <w:rsid w:val="009225AD"/>
    <w:pPr>
      <w:numPr>
        <w:ilvl w:val="4"/>
      </w:numPr>
      <w:spacing w:before="120" w:after="120"/>
      <w:outlineLvl w:val="4"/>
    </w:pPr>
    <w:rPr>
      <w:caps w:val="0"/>
      <w:color w:val="007C92" w:themeColor="accent3"/>
      <w:sz w:val="24"/>
    </w:rPr>
  </w:style>
  <w:style w:type="paragraph" w:styleId="Heading6">
    <w:name w:val="heading 6"/>
    <w:basedOn w:val="Heading5"/>
    <w:next w:val="Normal"/>
    <w:link w:val="Heading6Char"/>
    <w:qFormat/>
    <w:locked/>
    <w:rsid w:val="009225AD"/>
    <w:pPr>
      <w:numPr>
        <w:ilvl w:val="5"/>
      </w:numPr>
      <w:outlineLvl w:val="5"/>
    </w:pPr>
    <w:rPr>
      <w:i/>
      <w:sz w:val="22"/>
      <w:szCs w:val="26"/>
    </w:rPr>
  </w:style>
  <w:style w:type="paragraph" w:styleId="Heading7">
    <w:name w:val="heading 7"/>
    <w:basedOn w:val="Heading6"/>
    <w:next w:val="Normal"/>
    <w:link w:val="Heading7Char"/>
    <w:uiPriority w:val="9"/>
    <w:semiHidden/>
    <w:qFormat/>
    <w:locked/>
    <w:rsid w:val="00F5442F"/>
    <w:pPr>
      <w:numPr>
        <w:ilvl w:val="6"/>
      </w:numPr>
      <w:outlineLvl w:val="6"/>
    </w:pPr>
    <w:rPr>
      <w:i w:val="0"/>
      <w:color w:val="008542" w:themeColor="accent2"/>
    </w:rPr>
  </w:style>
  <w:style w:type="paragraph" w:styleId="Heading8">
    <w:name w:val="heading 8"/>
    <w:basedOn w:val="Heading5"/>
    <w:next w:val="Normal"/>
    <w:link w:val="Heading8Char"/>
    <w:uiPriority w:val="9"/>
    <w:semiHidden/>
    <w:qFormat/>
    <w:locked/>
    <w:rsid w:val="00E10E8B"/>
    <w:pPr>
      <w:numPr>
        <w:ilvl w:val="7"/>
      </w:numPr>
      <w:outlineLvl w:val="7"/>
    </w:pPr>
    <w:rPr>
      <w:i/>
      <w:sz w:val="21"/>
      <w:szCs w:val="21"/>
    </w:rPr>
  </w:style>
  <w:style w:type="paragraph" w:styleId="Heading9">
    <w:name w:val="heading 9"/>
    <w:basedOn w:val="Heading6"/>
    <w:next w:val="Normal"/>
    <w:link w:val="Heading9Char"/>
    <w:uiPriority w:val="9"/>
    <w:semiHidden/>
    <w:qFormat/>
    <w:locked/>
    <w:rsid w:val="00F8750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E15"/>
    <w:rPr>
      <w:rFonts w:ascii="Source Sans Pro" w:hAnsi="Source Sans Pro"/>
      <w:b/>
      <w:iCs/>
      <w:color w:val="003478" w:themeColor="accent1"/>
      <w:sz w:val="36"/>
      <w:szCs w:val="40"/>
      <w:lang w:val="en-AU"/>
    </w:rPr>
  </w:style>
  <w:style w:type="character" w:customStyle="1" w:styleId="Heading2Char">
    <w:name w:val="Heading 2 Char"/>
    <w:basedOn w:val="DefaultParagraphFont"/>
    <w:link w:val="Heading2"/>
    <w:uiPriority w:val="9"/>
    <w:rsid w:val="00B82E15"/>
    <w:rPr>
      <w:rFonts w:asciiTheme="majorHAnsi" w:hAnsiTheme="majorHAnsi"/>
      <w:b/>
      <w:bCs/>
      <w:iCs/>
      <w:color w:val="0065BC" w:themeColor="background2"/>
      <w:sz w:val="28"/>
      <w:szCs w:val="28"/>
      <w:lang w:val="en-AU"/>
    </w:rPr>
  </w:style>
  <w:style w:type="character" w:customStyle="1" w:styleId="Heading3Char">
    <w:name w:val="Heading 3 Char"/>
    <w:basedOn w:val="DefaultParagraphFont"/>
    <w:link w:val="Heading3"/>
    <w:uiPriority w:val="9"/>
    <w:rsid w:val="00B82E15"/>
    <w:rPr>
      <w:rFonts w:asciiTheme="majorHAnsi" w:hAnsiTheme="majorHAnsi"/>
      <w:b/>
      <w:bCs/>
      <w:iCs/>
      <w:color w:val="007C92" w:themeColor="accent3"/>
      <w:sz w:val="22"/>
      <w:szCs w:val="26"/>
      <w:lang w:val="en-AU"/>
    </w:rPr>
  </w:style>
  <w:style w:type="character" w:customStyle="1" w:styleId="Heading4Char">
    <w:name w:val="Heading 4 Char"/>
    <w:basedOn w:val="DefaultParagraphFont"/>
    <w:link w:val="Heading4"/>
    <w:uiPriority w:val="9"/>
    <w:rsid w:val="00E642AB"/>
    <w:rPr>
      <w:rFonts w:asciiTheme="majorHAnsi" w:hAnsiTheme="majorHAnsi"/>
      <w:b/>
      <w:iCs/>
      <w:caps/>
      <w:color w:val="6639B7" w:themeColor="accent4"/>
      <w:sz w:val="26"/>
      <w:szCs w:val="23"/>
      <w:lang w:val="en-AU"/>
    </w:rPr>
  </w:style>
  <w:style w:type="character" w:customStyle="1" w:styleId="Heading5Char">
    <w:name w:val="Heading 5 Char"/>
    <w:basedOn w:val="DefaultParagraphFont"/>
    <w:link w:val="Heading5"/>
    <w:uiPriority w:val="9"/>
    <w:semiHidden/>
    <w:rsid w:val="00E642AB"/>
    <w:rPr>
      <w:rFonts w:asciiTheme="majorHAnsi" w:hAnsiTheme="majorHAnsi"/>
      <w:b/>
      <w:iCs/>
      <w:color w:val="007C92" w:themeColor="accent3"/>
      <w:sz w:val="24"/>
      <w:szCs w:val="23"/>
      <w:lang w:val="en-AU"/>
    </w:rPr>
  </w:style>
  <w:style w:type="character" w:customStyle="1" w:styleId="Heading6Char">
    <w:name w:val="Heading 6 Char"/>
    <w:basedOn w:val="DefaultParagraphFont"/>
    <w:link w:val="Heading6"/>
    <w:rsid w:val="00E642AB"/>
    <w:rPr>
      <w:rFonts w:asciiTheme="majorHAnsi" w:hAnsiTheme="majorHAnsi"/>
      <w:b/>
      <w:i/>
      <w:iCs/>
      <w:color w:val="007C92" w:themeColor="accent3"/>
      <w:sz w:val="22"/>
      <w:szCs w:val="26"/>
      <w:lang w:val="en-AU"/>
    </w:rPr>
  </w:style>
  <w:style w:type="character" w:customStyle="1" w:styleId="Heading7Char">
    <w:name w:val="Heading 7 Char"/>
    <w:basedOn w:val="DefaultParagraphFont"/>
    <w:link w:val="Heading7"/>
    <w:uiPriority w:val="9"/>
    <w:semiHidden/>
    <w:rsid w:val="00F5442F"/>
    <w:rPr>
      <w:rFonts w:asciiTheme="majorHAnsi" w:hAnsiTheme="majorHAnsi"/>
      <w:b/>
      <w:iCs/>
      <w:color w:val="008542" w:themeColor="accent2"/>
      <w:sz w:val="22"/>
      <w:szCs w:val="26"/>
      <w:lang w:val="en-AU"/>
    </w:rPr>
  </w:style>
  <w:style w:type="character" w:customStyle="1" w:styleId="Heading8Char">
    <w:name w:val="Heading 8 Char"/>
    <w:basedOn w:val="DefaultParagraphFont"/>
    <w:link w:val="Heading8"/>
    <w:uiPriority w:val="9"/>
    <w:semiHidden/>
    <w:rsid w:val="003F7EC0"/>
    <w:rPr>
      <w:rFonts w:asciiTheme="majorHAnsi" w:hAnsiTheme="majorHAnsi"/>
      <w:b/>
      <w:i/>
      <w:iCs/>
      <w:color w:val="007C92" w:themeColor="accent3"/>
      <w:sz w:val="21"/>
      <w:szCs w:val="21"/>
      <w:lang w:val="en-AU"/>
    </w:rPr>
  </w:style>
  <w:style w:type="character" w:customStyle="1" w:styleId="Heading9Char">
    <w:name w:val="Heading 9 Char"/>
    <w:basedOn w:val="DefaultParagraphFont"/>
    <w:link w:val="Heading9"/>
    <w:uiPriority w:val="9"/>
    <w:semiHidden/>
    <w:rsid w:val="00B21395"/>
    <w:rPr>
      <w:rFonts w:asciiTheme="majorHAnsi" w:hAnsiTheme="majorHAnsi"/>
      <w:b/>
      <w:i/>
      <w:iCs/>
      <w:color w:val="007C92" w:themeColor="accent3"/>
      <w:sz w:val="22"/>
      <w:szCs w:val="26"/>
      <w:lang w:val="en-AU"/>
    </w:rPr>
  </w:style>
  <w:style w:type="paragraph" w:styleId="Header">
    <w:name w:val="header"/>
    <w:basedOn w:val="Normal"/>
    <w:link w:val="HeaderChar"/>
    <w:uiPriority w:val="29"/>
    <w:qFormat/>
    <w:rsid w:val="005B6307"/>
    <w:pPr>
      <w:tabs>
        <w:tab w:val="center" w:pos="4513"/>
        <w:tab w:val="right" w:pos="9026"/>
      </w:tabs>
    </w:pPr>
    <w:rPr>
      <w:rFonts w:ascii="Franklin Gothic Demi" w:hAnsi="Franklin Gothic Demi" w:cstheme="minorHAnsi"/>
      <w:color w:val="FFFFFF" w:themeColor="background1"/>
      <w:sz w:val="32"/>
      <w:szCs w:val="40"/>
      <w:lang w:val="en-GB" w:eastAsia="en-US"/>
    </w:rPr>
  </w:style>
  <w:style w:type="character" w:customStyle="1" w:styleId="HeaderChar">
    <w:name w:val="Header Char"/>
    <w:basedOn w:val="DefaultParagraphFont"/>
    <w:link w:val="Header"/>
    <w:uiPriority w:val="29"/>
    <w:rsid w:val="005B6307"/>
    <w:rPr>
      <w:rFonts w:ascii="Franklin Gothic Demi" w:hAnsi="Franklin Gothic Demi"/>
      <w:color w:val="FFFFFF" w:themeColor="background1"/>
      <w:sz w:val="32"/>
      <w:szCs w:val="40"/>
    </w:rPr>
  </w:style>
  <w:style w:type="paragraph" w:customStyle="1" w:styleId="PulloutQuote">
    <w:name w:val="Pullout Quote"/>
    <w:basedOn w:val="Normal"/>
    <w:uiPriority w:val="42"/>
    <w:rsid w:val="000A21B9"/>
    <w:pPr>
      <w:framePr w:w="3204" w:h="340" w:hSpace="227" w:wrap="around" w:vAnchor="text" w:hAnchor="page" w:x="7491" w:y="41"/>
      <w:pBdr>
        <w:top w:val="single" w:sz="4" w:space="7" w:color="0065BC" w:themeColor="background2"/>
        <w:left w:val="single" w:sz="4" w:space="4" w:color="0065BC" w:themeColor="background2"/>
        <w:bottom w:val="single" w:sz="4" w:space="4" w:color="0065BC" w:themeColor="background2"/>
        <w:right w:val="single" w:sz="4" w:space="4" w:color="0065BC" w:themeColor="background2"/>
      </w:pBdr>
      <w:suppressAutoHyphens/>
      <w:spacing w:before="120" w:after="120"/>
    </w:pPr>
    <w:rPr>
      <w:rFonts w:asciiTheme="minorHAnsi" w:hAnsiTheme="minorHAnsi" w:cstheme="minorHAnsi"/>
      <w:b/>
      <w:bCs/>
      <w:i/>
      <w:color w:val="0065BC" w:themeColor="background2"/>
      <w:szCs w:val="22"/>
      <w:lang w:val="en-GB" w:eastAsia="en-NZ"/>
    </w:rPr>
  </w:style>
  <w:style w:type="character" w:customStyle="1" w:styleId="Normalhighlight1">
    <w:name w:val="Normal (highlight 1)"/>
    <w:basedOn w:val="DefaultParagraphFont"/>
    <w:uiPriority w:val="27"/>
    <w:qFormat/>
    <w:rsid w:val="00E66E93"/>
    <w:rPr>
      <w:rFonts w:ascii="Arial" w:hAnsi="Arial"/>
      <w:noProof w:val="0"/>
      <w:bdr w:val="none" w:sz="0" w:space="0" w:color="auto"/>
      <w:shd w:val="clear" w:color="auto" w:fill="FFFF00"/>
      <w:lang w:val="en-AU"/>
    </w:rPr>
  </w:style>
  <w:style w:type="table" w:styleId="TableGrid">
    <w:name w:val="Table Grid"/>
    <w:aliases w:val="DPS Table Grid,Table No Border,_CBS Table"/>
    <w:basedOn w:val="TableNormal"/>
    <w:uiPriority w:val="39"/>
    <w:locked/>
    <w:rsid w:val="00CF13BA"/>
    <w:pPr>
      <w:spacing w:after="0"/>
    </w:pPr>
    <w:rPr>
      <w:rFonts w:cs="Times New Roman"/>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entred">
    <w:name w:val="Normal Centred"/>
    <w:basedOn w:val="Normal"/>
    <w:next w:val="Normal"/>
    <w:qFormat/>
    <w:rsid w:val="00FD6499"/>
    <w:pPr>
      <w:spacing w:before="120" w:after="120"/>
      <w:jc w:val="center"/>
    </w:pPr>
    <w:rPr>
      <w:rFonts w:asciiTheme="minorHAnsi" w:hAnsiTheme="minorHAnsi" w:cstheme="minorHAnsi"/>
      <w:sz w:val="20"/>
      <w:szCs w:val="20"/>
      <w:lang w:val="en-GB" w:eastAsia="en-US"/>
    </w:rPr>
  </w:style>
  <w:style w:type="paragraph" w:customStyle="1" w:styleId="NormalRight">
    <w:name w:val="Normal Right"/>
    <w:basedOn w:val="Normal"/>
    <w:next w:val="Normal"/>
    <w:qFormat/>
    <w:rsid w:val="00FD6499"/>
    <w:pPr>
      <w:spacing w:before="120" w:after="120"/>
      <w:jc w:val="right"/>
    </w:pPr>
    <w:rPr>
      <w:rFonts w:asciiTheme="minorHAnsi" w:hAnsiTheme="minorHAnsi" w:cstheme="minorHAnsi"/>
      <w:sz w:val="20"/>
      <w:szCs w:val="20"/>
      <w:lang w:val="en-GB" w:eastAsia="en-US"/>
    </w:rPr>
  </w:style>
  <w:style w:type="character" w:customStyle="1" w:styleId="Normalhighlightremoved">
    <w:name w:val="Normal (highlight removed)"/>
    <w:basedOn w:val="Normalhighlight2"/>
    <w:uiPriority w:val="28"/>
    <w:qFormat/>
    <w:rsid w:val="00CB5FD6"/>
    <w:rPr>
      <w:rFonts w:ascii="Arial" w:hAnsi="Arial"/>
      <w:noProof w:val="0"/>
      <w:bdr w:val="none" w:sz="0" w:space="0" w:color="auto"/>
      <w:shd w:val="clear" w:color="auto" w:fill="auto"/>
      <w:lang w:val="en-AU"/>
    </w:rPr>
  </w:style>
  <w:style w:type="paragraph" w:customStyle="1" w:styleId="Header1">
    <w:name w:val="Header 1"/>
    <w:basedOn w:val="Normal"/>
    <w:uiPriority w:val="29"/>
    <w:qFormat/>
    <w:rsid w:val="005B6307"/>
    <w:pPr>
      <w:tabs>
        <w:tab w:val="center" w:pos="4513"/>
        <w:tab w:val="right" w:pos="9026"/>
      </w:tabs>
      <w:spacing w:before="240"/>
    </w:pPr>
    <w:rPr>
      <w:rFonts w:ascii="Franklin Gothic Demi" w:hAnsi="Franklin Gothic Demi" w:cstheme="minorHAnsi"/>
      <w:color w:val="FFFFFF" w:themeColor="background1"/>
      <w:sz w:val="22"/>
      <w:szCs w:val="36"/>
      <w:lang w:val="en-GB" w:eastAsia="en-US"/>
    </w:rPr>
  </w:style>
  <w:style w:type="paragraph" w:customStyle="1" w:styleId="TSHeading5">
    <w:name w:val="TS Heading 5"/>
    <w:basedOn w:val="Normal"/>
    <w:uiPriority w:val="1"/>
    <w:semiHidden/>
    <w:qFormat/>
    <w:locked/>
    <w:rsid w:val="00F641E9"/>
    <w:pPr>
      <w:spacing w:before="120" w:after="120"/>
      <w:outlineLvl w:val="0"/>
    </w:pPr>
    <w:rPr>
      <w:rFonts w:asciiTheme="minorHAnsi" w:hAnsiTheme="minorHAnsi" w:cstheme="minorHAnsi"/>
      <w:i/>
      <w:color w:val="868689"/>
      <w:sz w:val="20"/>
      <w:szCs w:val="20"/>
      <w:lang w:val="en-GB" w:eastAsia="en-US"/>
    </w:rPr>
  </w:style>
  <w:style w:type="paragraph" w:customStyle="1" w:styleId="NumberedHeading5">
    <w:name w:val="Numbered Heading 5"/>
    <w:basedOn w:val="Heading5"/>
    <w:next w:val="Normal"/>
    <w:uiPriority w:val="99"/>
    <w:semiHidden/>
    <w:locked/>
    <w:rsid w:val="001D2B47"/>
    <w:pPr>
      <w:numPr>
        <w:numId w:val="2"/>
      </w:numPr>
    </w:pPr>
  </w:style>
  <w:style w:type="character" w:customStyle="1" w:styleId="Normalhighlight2">
    <w:name w:val="Normal (highlight 2)"/>
    <w:basedOn w:val="DefaultParagraphFont"/>
    <w:uiPriority w:val="28"/>
    <w:qFormat/>
    <w:rsid w:val="00013300"/>
    <w:rPr>
      <w:rFonts w:ascii="Arial" w:hAnsi="Arial"/>
      <w:noProof w:val="0"/>
      <w:bdr w:val="none" w:sz="0" w:space="0" w:color="auto"/>
      <w:shd w:val="clear" w:color="auto" w:fill="21FF3B"/>
      <w:lang w:val="en-AU"/>
    </w:rPr>
  </w:style>
  <w:style w:type="paragraph" w:customStyle="1" w:styleId="Imagecentred">
    <w:name w:val="Image (centred)"/>
    <w:basedOn w:val="Normal"/>
    <w:uiPriority w:val="34"/>
    <w:qFormat/>
    <w:rsid w:val="00376EB6"/>
    <w:pPr>
      <w:keepNext/>
      <w:spacing w:before="120"/>
      <w:jc w:val="center"/>
    </w:pPr>
    <w:rPr>
      <w:rFonts w:asciiTheme="minorHAnsi" w:hAnsiTheme="minorHAnsi" w:cstheme="minorHAnsi"/>
      <w:noProof/>
      <w:sz w:val="20"/>
      <w:szCs w:val="20"/>
      <w:lang w:val="en-GB" w:eastAsia="en-AU"/>
    </w:rPr>
  </w:style>
  <w:style w:type="paragraph" w:styleId="ListParagraph">
    <w:name w:val="List Paragraph"/>
    <w:aliases w:val="Heading 2 + List Paragraph,NFP GP Bulleted List,List Bullet Mary,List Paragraph (numbered (a)),Indent Paragraph,Bullets,Numbered List Paragraph,References,body bullets,LIST OF TABLES.,List Paragraph1,WB List Paragraph,List Paragraph nowy"/>
    <w:basedOn w:val="Normal"/>
    <w:link w:val="ListParagraphChar"/>
    <w:uiPriority w:val="99"/>
    <w:qFormat/>
    <w:locked/>
    <w:rsid w:val="00A631E7"/>
    <w:pPr>
      <w:spacing w:before="120" w:after="120"/>
      <w:ind w:left="720"/>
      <w:contextualSpacing/>
    </w:pPr>
    <w:rPr>
      <w:rFonts w:asciiTheme="minorHAnsi" w:hAnsiTheme="minorHAnsi" w:cstheme="minorHAnsi"/>
      <w:sz w:val="20"/>
      <w:szCs w:val="20"/>
      <w:lang w:val="en-GB" w:eastAsia="en-US"/>
    </w:rPr>
  </w:style>
  <w:style w:type="paragraph" w:customStyle="1" w:styleId="CaptionTable">
    <w:name w:val="Caption Table"/>
    <w:basedOn w:val="Caption"/>
    <w:next w:val="Normal"/>
    <w:uiPriority w:val="36"/>
    <w:qFormat/>
    <w:rsid w:val="00653C76"/>
    <w:pPr>
      <w:keepNext/>
      <w:jc w:val="left"/>
    </w:pPr>
    <w:rPr>
      <w:color w:val="auto"/>
    </w:rPr>
  </w:style>
  <w:style w:type="paragraph" w:styleId="Caption">
    <w:name w:val="caption"/>
    <w:basedOn w:val="Normal"/>
    <w:next w:val="Normal"/>
    <w:uiPriority w:val="35"/>
    <w:qFormat/>
    <w:rsid w:val="000A21B9"/>
    <w:pPr>
      <w:keepLines/>
      <w:spacing w:before="120" w:after="120"/>
      <w:jc w:val="center"/>
    </w:pPr>
    <w:rPr>
      <w:rFonts w:asciiTheme="minorHAnsi" w:hAnsiTheme="minorHAnsi" w:cstheme="minorHAnsi"/>
      <w:bCs/>
      <w:i/>
      <w:color w:val="0065BC" w:themeColor="background2"/>
      <w:sz w:val="16"/>
      <w:szCs w:val="18"/>
      <w:lang w:val="en-GB" w:eastAsia="en-US"/>
    </w:rPr>
  </w:style>
  <w:style w:type="character" w:customStyle="1" w:styleId="Underline">
    <w:name w:val="Underline"/>
    <w:basedOn w:val="DefaultParagraphFont"/>
    <w:uiPriority w:val="1"/>
    <w:qFormat/>
    <w:rsid w:val="00173433"/>
    <w:rPr>
      <w:b w:val="0"/>
      <w:i w:val="0"/>
      <w:color w:val="auto"/>
      <w:u w:val="single"/>
    </w:rPr>
  </w:style>
  <w:style w:type="table" w:styleId="LightList-Accent1">
    <w:name w:val="Light List Accent 1"/>
    <w:basedOn w:val="TableNormal"/>
    <w:uiPriority w:val="61"/>
    <w:locked/>
    <w:rsid w:val="007333C5"/>
    <w:pPr>
      <w:spacing w:after="0"/>
    </w:pPr>
    <w:tblPr>
      <w:tblStyleRowBandSize w:val="1"/>
      <w:tblStyleColBandSize w:val="1"/>
      <w:tblBorders>
        <w:top w:val="single" w:sz="8" w:space="0" w:color="003478" w:themeColor="accent1"/>
        <w:left w:val="single" w:sz="8" w:space="0" w:color="003478" w:themeColor="accent1"/>
        <w:bottom w:val="single" w:sz="8" w:space="0" w:color="003478" w:themeColor="accent1"/>
        <w:right w:val="single" w:sz="8" w:space="0" w:color="003478" w:themeColor="accent1"/>
      </w:tblBorders>
    </w:tblPr>
    <w:tblStylePr w:type="firstRow">
      <w:pPr>
        <w:spacing w:before="0" w:after="0" w:line="240" w:lineRule="auto"/>
      </w:pPr>
      <w:rPr>
        <w:b/>
        <w:bCs/>
        <w:color w:val="FFFFFF" w:themeColor="background1"/>
      </w:rPr>
      <w:tblPr/>
      <w:tcPr>
        <w:shd w:val="clear" w:color="auto" w:fill="003478" w:themeFill="accent1"/>
      </w:tcPr>
    </w:tblStylePr>
    <w:tblStylePr w:type="lastRow">
      <w:pPr>
        <w:spacing w:before="0" w:after="0" w:line="240" w:lineRule="auto"/>
      </w:pPr>
      <w:rPr>
        <w:b/>
        <w:bCs/>
      </w:rPr>
      <w:tblPr/>
      <w:tcPr>
        <w:tcBorders>
          <w:top w:val="double" w:sz="6" w:space="0" w:color="003478" w:themeColor="accent1"/>
          <w:left w:val="single" w:sz="8" w:space="0" w:color="003478" w:themeColor="accent1"/>
          <w:bottom w:val="single" w:sz="8" w:space="0" w:color="003478" w:themeColor="accent1"/>
          <w:right w:val="single" w:sz="8" w:space="0" w:color="003478" w:themeColor="accent1"/>
        </w:tcBorders>
      </w:tcPr>
    </w:tblStylePr>
    <w:tblStylePr w:type="firstCol">
      <w:rPr>
        <w:b/>
        <w:bCs/>
      </w:rPr>
    </w:tblStylePr>
    <w:tblStylePr w:type="lastCol">
      <w:rPr>
        <w:b/>
        <w:bCs/>
      </w:rPr>
    </w:tblStylePr>
    <w:tblStylePr w:type="band1Vert">
      <w:tblPr/>
      <w:tcPr>
        <w:tcBorders>
          <w:top w:val="single" w:sz="8" w:space="0" w:color="003478" w:themeColor="accent1"/>
          <w:left w:val="single" w:sz="8" w:space="0" w:color="003478" w:themeColor="accent1"/>
          <w:bottom w:val="single" w:sz="8" w:space="0" w:color="003478" w:themeColor="accent1"/>
          <w:right w:val="single" w:sz="8" w:space="0" w:color="003478" w:themeColor="accent1"/>
        </w:tcBorders>
      </w:tcPr>
    </w:tblStylePr>
    <w:tblStylePr w:type="band1Horz">
      <w:tblPr/>
      <w:tcPr>
        <w:tcBorders>
          <w:top w:val="single" w:sz="8" w:space="0" w:color="003478" w:themeColor="accent1"/>
          <w:left w:val="single" w:sz="8" w:space="0" w:color="003478" w:themeColor="accent1"/>
          <w:bottom w:val="single" w:sz="8" w:space="0" w:color="003478" w:themeColor="accent1"/>
          <w:right w:val="single" w:sz="8" w:space="0" w:color="003478" w:themeColor="accent1"/>
        </w:tcBorders>
      </w:tcPr>
    </w:tblStylePr>
  </w:style>
  <w:style w:type="paragraph" w:customStyle="1" w:styleId="Normalnumbered">
    <w:name w:val="Normal (numbered)"/>
    <w:basedOn w:val="ListParagraph"/>
    <w:uiPriority w:val="99"/>
    <w:semiHidden/>
    <w:locked/>
    <w:rsid w:val="00EF082C"/>
    <w:pPr>
      <w:numPr>
        <w:ilvl w:val="2"/>
        <w:numId w:val="1"/>
      </w:numPr>
      <w:ind w:left="851" w:hanging="851"/>
      <w:contextualSpacing w:val="0"/>
    </w:pPr>
  </w:style>
  <w:style w:type="paragraph" w:styleId="Subtitle">
    <w:name w:val="Subtitle"/>
    <w:basedOn w:val="Normal"/>
    <w:next w:val="Normal"/>
    <w:link w:val="SubtitleChar"/>
    <w:uiPriority w:val="11"/>
    <w:semiHidden/>
    <w:locked/>
    <w:rsid w:val="00145779"/>
    <w:pPr>
      <w:numPr>
        <w:ilvl w:val="1"/>
      </w:numPr>
      <w:spacing w:before="120" w:after="120"/>
    </w:pPr>
    <w:rPr>
      <w:rFonts w:asciiTheme="majorHAnsi" w:eastAsiaTheme="majorEastAsia" w:hAnsiTheme="majorHAnsi" w:cstheme="majorBidi"/>
      <w:i/>
      <w:iCs/>
      <w:color w:val="003478" w:themeColor="accent1"/>
      <w:spacing w:val="15"/>
      <w:lang w:val="en-GB" w:eastAsia="en-US"/>
    </w:rPr>
  </w:style>
  <w:style w:type="character" w:customStyle="1" w:styleId="SubtitleChar">
    <w:name w:val="Subtitle Char"/>
    <w:basedOn w:val="DefaultParagraphFont"/>
    <w:link w:val="Subtitle"/>
    <w:uiPriority w:val="11"/>
    <w:semiHidden/>
    <w:rsid w:val="00145779"/>
    <w:rPr>
      <w:rFonts w:asciiTheme="majorHAnsi" w:eastAsiaTheme="majorEastAsia" w:hAnsiTheme="majorHAnsi" w:cstheme="majorBidi"/>
      <w:i/>
      <w:iCs/>
      <w:color w:val="003478" w:themeColor="accent1"/>
      <w:spacing w:val="15"/>
      <w:sz w:val="24"/>
      <w:szCs w:val="24"/>
      <w:lang w:val="en-AU"/>
    </w:rPr>
  </w:style>
  <w:style w:type="paragraph" w:styleId="BalloonText">
    <w:name w:val="Balloon Text"/>
    <w:basedOn w:val="Normal"/>
    <w:link w:val="BalloonTextChar"/>
    <w:uiPriority w:val="49"/>
    <w:semiHidden/>
    <w:locked/>
    <w:rsid w:val="00C313BF"/>
    <w:pPr>
      <w:spacing w:before="120"/>
    </w:pPr>
    <w:rPr>
      <w:rFonts w:ascii="Tahoma" w:hAnsi="Tahoma" w:cs="Tahoma"/>
      <w:sz w:val="16"/>
      <w:szCs w:val="16"/>
      <w:lang w:val="en-GB" w:eastAsia="en-US"/>
    </w:rPr>
  </w:style>
  <w:style w:type="character" w:customStyle="1" w:styleId="BalloonTextChar">
    <w:name w:val="Balloon Text Char"/>
    <w:basedOn w:val="DefaultParagraphFont"/>
    <w:link w:val="BalloonText"/>
    <w:uiPriority w:val="99"/>
    <w:semiHidden/>
    <w:rsid w:val="00C313BF"/>
    <w:rPr>
      <w:rFonts w:ascii="Tahoma" w:hAnsi="Tahoma" w:cs="Tahoma"/>
      <w:sz w:val="16"/>
      <w:szCs w:val="16"/>
      <w:lang w:val="en-AU"/>
    </w:rPr>
  </w:style>
  <w:style w:type="paragraph" w:styleId="TOCHeading">
    <w:name w:val="TOC Heading"/>
    <w:basedOn w:val="Title"/>
    <w:uiPriority w:val="39"/>
    <w:qFormat/>
    <w:rsid w:val="0036463C"/>
    <w:rPr>
      <w:sz w:val="40"/>
    </w:rPr>
  </w:style>
  <w:style w:type="paragraph" w:styleId="TOC2">
    <w:name w:val="toc 2"/>
    <w:next w:val="Normal"/>
    <w:autoRedefine/>
    <w:uiPriority w:val="39"/>
    <w:qFormat/>
    <w:rsid w:val="002329F8"/>
    <w:pPr>
      <w:tabs>
        <w:tab w:val="right" w:leader="dot" w:pos="9639"/>
      </w:tabs>
      <w:ind w:left="1140" w:right="1134" w:hanging="573"/>
    </w:pPr>
    <w:rPr>
      <w:noProof/>
      <w:sz w:val="18"/>
      <w:szCs w:val="28"/>
      <w:lang w:val="en-AU" w:eastAsia="en-AU"/>
    </w:rPr>
  </w:style>
  <w:style w:type="paragraph" w:styleId="TOC3">
    <w:name w:val="toc 3"/>
    <w:basedOn w:val="TOC2"/>
    <w:next w:val="Normal"/>
    <w:autoRedefine/>
    <w:uiPriority w:val="39"/>
    <w:locked/>
    <w:rsid w:val="00E82F2C"/>
    <w:pPr>
      <w:spacing w:after="40"/>
      <w:ind w:left="1134" w:hanging="561"/>
    </w:pPr>
  </w:style>
  <w:style w:type="character" w:styleId="IntenseEmphasis">
    <w:name w:val="Intense Emphasis"/>
    <w:basedOn w:val="DefaultParagraphFont"/>
    <w:uiPriority w:val="1"/>
    <w:qFormat/>
    <w:rsid w:val="000D5A29"/>
    <w:rPr>
      <w:b/>
      <w:bCs/>
      <w:i/>
      <w:iCs/>
    </w:rPr>
  </w:style>
  <w:style w:type="paragraph" w:styleId="TOC1">
    <w:name w:val="toc 1"/>
    <w:basedOn w:val="Normal"/>
    <w:next w:val="Normal"/>
    <w:autoRedefine/>
    <w:uiPriority w:val="39"/>
    <w:rsid w:val="00400371"/>
    <w:pPr>
      <w:tabs>
        <w:tab w:val="right" w:leader="dot" w:pos="9639"/>
      </w:tabs>
      <w:spacing w:before="360" w:after="40" w:line="240" w:lineRule="atLeast"/>
      <w:ind w:left="561" w:right="1021" w:hanging="561"/>
    </w:pPr>
    <w:rPr>
      <w:rFonts w:asciiTheme="minorHAnsi" w:hAnsiTheme="minorHAnsi"/>
      <w:b/>
      <w:noProof/>
      <w:sz w:val="20"/>
      <w:szCs w:val="28"/>
      <w:lang w:eastAsia="en-AU"/>
    </w:rPr>
  </w:style>
  <w:style w:type="character" w:styleId="CommentReference">
    <w:name w:val="annotation reference"/>
    <w:basedOn w:val="DefaultParagraphFont"/>
    <w:uiPriority w:val="99"/>
    <w:semiHidden/>
    <w:locked/>
    <w:rsid w:val="0069659A"/>
    <w:rPr>
      <w:sz w:val="16"/>
      <w:szCs w:val="16"/>
    </w:rPr>
  </w:style>
  <w:style w:type="paragraph" w:styleId="CommentText">
    <w:name w:val="annotation text"/>
    <w:basedOn w:val="Normal"/>
    <w:link w:val="CommentTextChar"/>
    <w:uiPriority w:val="99"/>
    <w:locked/>
    <w:rsid w:val="0069659A"/>
    <w:pPr>
      <w:spacing w:before="120" w:after="120"/>
    </w:pPr>
    <w:rPr>
      <w:rFonts w:asciiTheme="minorHAnsi" w:hAnsiTheme="minorHAnsi" w:cstheme="minorHAnsi"/>
      <w:sz w:val="20"/>
      <w:szCs w:val="20"/>
      <w:lang w:val="en-GB" w:eastAsia="en-US"/>
    </w:rPr>
  </w:style>
  <w:style w:type="character" w:customStyle="1" w:styleId="CommentTextChar">
    <w:name w:val="Comment Text Char"/>
    <w:basedOn w:val="DefaultParagraphFont"/>
    <w:link w:val="CommentText"/>
    <w:uiPriority w:val="99"/>
    <w:rsid w:val="0069659A"/>
    <w:rPr>
      <w:sz w:val="20"/>
      <w:szCs w:val="20"/>
      <w:lang w:val="en-AU"/>
    </w:rPr>
  </w:style>
  <w:style w:type="paragraph" w:styleId="CommentSubject">
    <w:name w:val="annotation subject"/>
    <w:basedOn w:val="CommentText"/>
    <w:next w:val="CommentText"/>
    <w:link w:val="CommentSubjectChar"/>
    <w:uiPriority w:val="99"/>
    <w:semiHidden/>
    <w:locked/>
    <w:rsid w:val="0069659A"/>
    <w:rPr>
      <w:b/>
      <w:bCs/>
    </w:rPr>
  </w:style>
  <w:style w:type="character" w:customStyle="1" w:styleId="CommentSubjectChar">
    <w:name w:val="Comment Subject Char"/>
    <w:basedOn w:val="CommentTextChar"/>
    <w:link w:val="CommentSubject"/>
    <w:uiPriority w:val="99"/>
    <w:semiHidden/>
    <w:rsid w:val="0069659A"/>
    <w:rPr>
      <w:b/>
      <w:bCs/>
      <w:sz w:val="20"/>
      <w:szCs w:val="20"/>
      <w:lang w:val="en-AU"/>
    </w:rPr>
  </w:style>
  <w:style w:type="paragraph" w:styleId="Revision">
    <w:name w:val="Revision"/>
    <w:hidden/>
    <w:uiPriority w:val="99"/>
    <w:semiHidden/>
    <w:rsid w:val="000E7669"/>
    <w:pPr>
      <w:spacing w:after="0"/>
    </w:pPr>
    <w:rPr>
      <w:lang w:val="en-AU"/>
    </w:rPr>
  </w:style>
  <w:style w:type="character" w:styleId="Strong">
    <w:name w:val="Strong"/>
    <w:basedOn w:val="DefaultParagraphFont"/>
    <w:uiPriority w:val="22"/>
    <w:qFormat/>
    <w:rsid w:val="00167626"/>
    <w:rPr>
      <w:b/>
      <w:bCs/>
    </w:rPr>
  </w:style>
  <w:style w:type="paragraph" w:styleId="NormalWeb">
    <w:name w:val="Normal (Web)"/>
    <w:basedOn w:val="Normal"/>
    <w:uiPriority w:val="99"/>
    <w:locked/>
    <w:rsid w:val="00167626"/>
    <w:pPr>
      <w:spacing w:before="100" w:beforeAutospacing="1" w:after="100" w:afterAutospacing="1"/>
    </w:pPr>
    <w:rPr>
      <w:rFonts w:eastAsiaTheme="minorEastAsia"/>
      <w:lang w:val="en-GB" w:eastAsia="en-AU"/>
    </w:rPr>
  </w:style>
  <w:style w:type="paragraph" w:styleId="TOC4">
    <w:name w:val="toc 4"/>
    <w:basedOn w:val="Normal"/>
    <w:next w:val="Normal"/>
    <w:autoRedefine/>
    <w:uiPriority w:val="39"/>
    <w:locked/>
    <w:rsid w:val="006E23B6"/>
    <w:pPr>
      <w:tabs>
        <w:tab w:val="left" w:pos="1540"/>
        <w:tab w:val="right" w:leader="dot" w:pos="9118"/>
      </w:tabs>
      <w:spacing w:before="120" w:after="100"/>
      <w:ind w:left="2552" w:hanging="851"/>
    </w:pPr>
    <w:rPr>
      <w:rFonts w:asciiTheme="minorHAnsi" w:hAnsiTheme="minorHAnsi" w:cstheme="minorHAnsi"/>
      <w:i/>
      <w:noProof/>
      <w:sz w:val="20"/>
      <w:szCs w:val="20"/>
      <w:lang w:val="en-GB" w:eastAsia="en-US"/>
    </w:rPr>
  </w:style>
  <w:style w:type="table" w:styleId="TableList8">
    <w:name w:val="Table List 8"/>
    <w:basedOn w:val="TableNormal"/>
    <w:uiPriority w:val="99"/>
    <w:semiHidden/>
    <w:unhideWhenUsed/>
    <w:locked/>
    <w:rsid w:val="00525D0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NormalRegionalvariationmarker">
    <w:name w:val="Normal (Regional variation marker)"/>
    <w:basedOn w:val="DefaultParagraphFont"/>
    <w:uiPriority w:val="99"/>
    <w:semiHidden/>
    <w:qFormat/>
    <w:locked/>
    <w:rsid w:val="00EF6919"/>
    <w:rPr>
      <w:noProof w:val="0"/>
      <w:bdr w:val="none" w:sz="0" w:space="0" w:color="auto"/>
      <w:shd w:val="clear" w:color="auto" w:fill="FF0DAE"/>
      <w:lang w:val="en-AU"/>
    </w:rPr>
  </w:style>
  <w:style w:type="paragraph" w:customStyle="1" w:styleId="Sub-heading1">
    <w:name w:val="Sub-heading 1"/>
    <w:basedOn w:val="Heading1"/>
    <w:next w:val="Normal"/>
    <w:uiPriority w:val="14"/>
    <w:qFormat/>
    <w:rsid w:val="0055624E"/>
    <w:pPr>
      <w:numPr>
        <w:numId w:val="0"/>
      </w:numPr>
    </w:pPr>
    <w:rPr>
      <w:bCs/>
    </w:rPr>
  </w:style>
  <w:style w:type="paragraph" w:customStyle="1" w:styleId="Sub-heading2">
    <w:name w:val="Sub-heading 2"/>
    <w:basedOn w:val="Heading2"/>
    <w:next w:val="Normal"/>
    <w:uiPriority w:val="15"/>
    <w:qFormat/>
    <w:rsid w:val="00A32D58"/>
    <w:pPr>
      <w:numPr>
        <w:ilvl w:val="0"/>
        <w:numId w:val="0"/>
      </w:numPr>
    </w:pPr>
  </w:style>
  <w:style w:type="paragraph" w:customStyle="1" w:styleId="Sub-heading3">
    <w:name w:val="Sub-heading 3"/>
    <w:basedOn w:val="Heading3"/>
    <w:next w:val="Normal"/>
    <w:uiPriority w:val="16"/>
    <w:qFormat/>
    <w:rsid w:val="00A32D58"/>
    <w:rPr>
      <w:bCs w:val="0"/>
      <w:szCs w:val="28"/>
    </w:rPr>
  </w:style>
  <w:style w:type="character" w:customStyle="1" w:styleId="Bluetext">
    <w:name w:val="Blue text"/>
    <w:basedOn w:val="DefaultParagraphFont"/>
    <w:uiPriority w:val="1"/>
    <w:qFormat/>
    <w:rsid w:val="000A21B9"/>
    <w:rPr>
      <w:color w:val="0065BC" w:themeColor="background2"/>
    </w:rPr>
  </w:style>
  <w:style w:type="table" w:styleId="LightShading">
    <w:name w:val="Light Shading"/>
    <w:basedOn w:val="TableNormal"/>
    <w:uiPriority w:val="60"/>
    <w:locked/>
    <w:rsid w:val="007333C5"/>
    <w:pPr>
      <w:spacing w:after="0"/>
    </w:pPr>
    <w:rPr>
      <w:color w:val="575859" w:themeColor="text1" w:themeShade="BF"/>
    </w:rPr>
    <w:tblPr>
      <w:tblStyleRowBandSize w:val="1"/>
      <w:tblStyleColBandSize w:val="1"/>
      <w:tblBorders>
        <w:top w:val="single" w:sz="8" w:space="0" w:color="747678" w:themeColor="text1"/>
        <w:bottom w:val="single" w:sz="8" w:space="0" w:color="747678" w:themeColor="text1"/>
      </w:tblBorders>
    </w:tblPr>
    <w:tblStylePr w:type="firstRow">
      <w:pPr>
        <w:spacing w:before="0" w:after="0" w:line="240" w:lineRule="auto"/>
      </w:pPr>
      <w:rPr>
        <w:b/>
        <w:bCs/>
      </w:rPr>
      <w:tblPr/>
      <w:tcPr>
        <w:tcBorders>
          <w:top w:val="single" w:sz="8" w:space="0" w:color="747678" w:themeColor="text1"/>
          <w:left w:val="nil"/>
          <w:bottom w:val="single" w:sz="8" w:space="0" w:color="747678" w:themeColor="text1"/>
          <w:right w:val="nil"/>
          <w:insideH w:val="nil"/>
          <w:insideV w:val="nil"/>
        </w:tcBorders>
      </w:tcPr>
    </w:tblStylePr>
    <w:tblStylePr w:type="lastRow">
      <w:pPr>
        <w:spacing w:before="0" w:after="0" w:line="240" w:lineRule="auto"/>
      </w:pPr>
      <w:rPr>
        <w:b/>
        <w:bCs/>
      </w:rPr>
      <w:tblPr/>
      <w:tcPr>
        <w:tcBorders>
          <w:top w:val="single" w:sz="8" w:space="0" w:color="747678" w:themeColor="text1"/>
          <w:left w:val="nil"/>
          <w:bottom w:val="single" w:sz="8" w:space="0" w:color="74767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DD" w:themeFill="text1" w:themeFillTint="3F"/>
      </w:tcPr>
    </w:tblStylePr>
    <w:tblStylePr w:type="band1Horz">
      <w:tblPr/>
      <w:tcPr>
        <w:tcBorders>
          <w:left w:val="nil"/>
          <w:right w:val="nil"/>
          <w:insideH w:val="nil"/>
          <w:insideV w:val="nil"/>
        </w:tcBorders>
        <w:shd w:val="clear" w:color="auto" w:fill="DCDCDD" w:themeFill="text1" w:themeFillTint="3F"/>
      </w:tcPr>
    </w:tblStylePr>
  </w:style>
  <w:style w:type="character" w:customStyle="1" w:styleId="Normalsuperscript">
    <w:name w:val="Normal (superscript)"/>
    <w:basedOn w:val="DefaultParagraphFont"/>
    <w:uiPriority w:val="2"/>
    <w:qFormat/>
    <w:rsid w:val="00617059"/>
    <w:rPr>
      <w:rFonts w:ascii="Arial" w:hAnsi="Arial"/>
      <w:color w:val="auto"/>
      <w:vertAlign w:val="superscript"/>
    </w:rPr>
  </w:style>
  <w:style w:type="character" w:customStyle="1" w:styleId="FooterNo">
    <w:name w:val="Footer No."/>
    <w:basedOn w:val="DefaultParagraphFont"/>
    <w:uiPriority w:val="1"/>
    <w:semiHidden/>
    <w:qFormat/>
    <w:locked/>
    <w:rsid w:val="00E70F05"/>
    <w:rPr>
      <w:rFonts w:ascii="Arial" w:hAnsi="Arial" w:cs="Arial"/>
      <w:b/>
      <w:color w:val="007C92" w:themeColor="accent3"/>
      <w:sz w:val="20"/>
    </w:rPr>
  </w:style>
  <w:style w:type="paragraph" w:customStyle="1" w:styleId="TitlePageH1">
    <w:name w:val="Title Page H1"/>
    <w:semiHidden/>
    <w:qFormat/>
    <w:locked/>
    <w:rsid w:val="00372E71"/>
    <w:pPr>
      <w:jc w:val="right"/>
    </w:pPr>
    <w:rPr>
      <w:rFonts w:asciiTheme="minorHAnsi" w:hAnsiTheme="minorHAnsi"/>
      <w:b/>
      <w:bCs/>
      <w:color w:val="FFFFFF" w:themeColor="background1"/>
      <w:sz w:val="76"/>
      <w:szCs w:val="76"/>
      <w:lang w:val="en-AU"/>
    </w:rPr>
  </w:style>
  <w:style w:type="paragraph" w:customStyle="1" w:styleId="TitlePageH2">
    <w:name w:val="Title Page H2"/>
    <w:semiHidden/>
    <w:qFormat/>
    <w:locked/>
    <w:rsid w:val="00372E71"/>
    <w:pPr>
      <w:spacing w:after="0"/>
      <w:jc w:val="right"/>
    </w:pPr>
    <w:rPr>
      <w:rFonts w:asciiTheme="minorHAnsi" w:hAnsiTheme="minorHAnsi"/>
      <w:bCs/>
      <w:color w:val="FFFFFF" w:themeColor="background1"/>
      <w:sz w:val="26"/>
      <w:szCs w:val="26"/>
      <w:lang w:val="en-AU"/>
    </w:rPr>
  </w:style>
  <w:style w:type="paragraph" w:customStyle="1" w:styleId="TitlePageH3">
    <w:name w:val="Title Page H3"/>
    <w:semiHidden/>
    <w:qFormat/>
    <w:locked/>
    <w:rsid w:val="00372E71"/>
    <w:pPr>
      <w:spacing w:after="0"/>
      <w:jc w:val="right"/>
    </w:pPr>
    <w:rPr>
      <w:rFonts w:asciiTheme="minorHAnsi" w:hAnsiTheme="minorHAnsi"/>
      <w:b/>
      <w:color w:val="007C92" w:themeColor="accent3"/>
      <w:sz w:val="26"/>
      <w:szCs w:val="26"/>
      <w:lang w:val="en-AU"/>
    </w:rPr>
  </w:style>
  <w:style w:type="paragraph" w:customStyle="1" w:styleId="TitlePageH4">
    <w:name w:val="Title Page H4"/>
    <w:semiHidden/>
    <w:qFormat/>
    <w:locked/>
    <w:rsid w:val="00372E71"/>
    <w:pPr>
      <w:spacing w:after="0"/>
      <w:jc w:val="right"/>
    </w:pPr>
    <w:rPr>
      <w:rFonts w:asciiTheme="minorHAnsi" w:hAnsiTheme="minorHAnsi"/>
      <w:color w:val="007C92" w:themeColor="accent3"/>
      <w:sz w:val="26"/>
      <w:szCs w:val="26"/>
      <w:lang w:val="en-AU"/>
    </w:rPr>
  </w:style>
  <w:style w:type="paragraph" w:customStyle="1" w:styleId="TitlePageH5">
    <w:name w:val="Title Page H5"/>
    <w:basedOn w:val="Sub-heading3"/>
    <w:semiHidden/>
    <w:qFormat/>
    <w:locked/>
    <w:rsid w:val="00372E71"/>
    <w:pPr>
      <w:jc w:val="right"/>
    </w:pPr>
    <w:rPr>
      <w:rFonts w:asciiTheme="minorHAnsi" w:hAnsiTheme="minorHAnsi" w:cstheme="minorHAnsi"/>
      <w:b w:val="0"/>
      <w:color w:val="BFBFBF" w:themeColor="background1" w:themeShade="BF"/>
      <w:szCs w:val="22"/>
    </w:rPr>
  </w:style>
  <w:style w:type="paragraph" w:customStyle="1" w:styleId="SPACER">
    <w:name w:val="SPACER"/>
    <w:basedOn w:val="Normal"/>
    <w:qFormat/>
    <w:rsid w:val="000554C6"/>
    <w:rPr>
      <w:rFonts w:asciiTheme="minorHAnsi" w:hAnsiTheme="minorHAnsi" w:cstheme="minorHAnsi"/>
      <w:sz w:val="4"/>
      <w:szCs w:val="20"/>
      <w:lang w:val="en-GB" w:eastAsia="en-US"/>
    </w:rPr>
  </w:style>
  <w:style w:type="character" w:styleId="Emphasis">
    <w:name w:val="Emphasis"/>
    <w:basedOn w:val="DefaultParagraphFont"/>
    <w:uiPriority w:val="20"/>
    <w:qFormat/>
    <w:rsid w:val="009578DD"/>
    <w:rPr>
      <w:i/>
      <w:iCs/>
    </w:rPr>
  </w:style>
  <w:style w:type="character" w:styleId="Hyperlink">
    <w:name w:val="Hyperlink"/>
    <w:basedOn w:val="DefaultParagraphFont"/>
    <w:uiPriority w:val="99"/>
    <w:locked/>
    <w:rsid w:val="0020650C"/>
    <w:rPr>
      <w:color w:val="0563C1" w:themeColor="hyperlink"/>
      <w:u w:val="single"/>
    </w:rPr>
  </w:style>
  <w:style w:type="paragraph" w:customStyle="1" w:styleId="spaceheader">
    <w:name w:val="space header"/>
    <w:basedOn w:val="Heading6"/>
    <w:uiPriority w:val="99"/>
    <w:semiHidden/>
    <w:qFormat/>
    <w:locked/>
    <w:rsid w:val="00DC0BAC"/>
    <w:pPr>
      <w:numPr>
        <w:ilvl w:val="4"/>
      </w:numPr>
      <w:spacing w:before="0" w:after="0"/>
    </w:pPr>
    <w:rPr>
      <w:szCs w:val="2"/>
    </w:rPr>
  </w:style>
  <w:style w:type="character" w:customStyle="1" w:styleId="Bluetextbold">
    <w:name w:val="Blue text bold"/>
    <w:basedOn w:val="Bluetext"/>
    <w:uiPriority w:val="1"/>
    <w:qFormat/>
    <w:rsid w:val="000A21B9"/>
    <w:rPr>
      <w:b/>
      <w:color w:val="0065BC" w:themeColor="background2"/>
    </w:rPr>
  </w:style>
  <w:style w:type="character" w:styleId="PlaceholderText">
    <w:name w:val="Placeholder Text"/>
    <w:basedOn w:val="DefaultParagraphFont"/>
    <w:uiPriority w:val="99"/>
    <w:semiHidden/>
    <w:locked/>
    <w:rsid w:val="000A21B9"/>
    <w:rPr>
      <w:color w:val="808080"/>
    </w:rPr>
  </w:style>
  <w:style w:type="paragraph" w:customStyle="1" w:styleId="TOCHeading1">
    <w:name w:val="TOC Heading1"/>
    <w:semiHidden/>
    <w:qFormat/>
    <w:rsid w:val="00621B24"/>
    <w:rPr>
      <w:iCs/>
      <w:caps/>
      <w:color w:val="003478" w:themeColor="accent1"/>
      <w:sz w:val="32"/>
      <w:szCs w:val="36"/>
      <w:lang w:val="en-AU"/>
    </w:rPr>
  </w:style>
  <w:style w:type="character" w:customStyle="1" w:styleId="Normalhighlight3">
    <w:name w:val="Normal (highlight 3)"/>
    <w:uiPriority w:val="28"/>
    <w:qFormat/>
    <w:rsid w:val="00BD045B"/>
    <w:rPr>
      <w:bdr w:val="none" w:sz="0" w:space="0" w:color="auto"/>
      <w:shd w:val="clear" w:color="auto" w:fill="FF0000"/>
    </w:rPr>
  </w:style>
  <w:style w:type="table" w:customStyle="1" w:styleId="TTMainTable">
    <w:name w:val="TT Main Table"/>
    <w:basedOn w:val="TableGrid"/>
    <w:uiPriority w:val="99"/>
    <w:rsid w:val="00653C76"/>
    <w:pPr>
      <w:spacing w:before="80" w:after="80"/>
    </w:pPr>
    <w:rPr>
      <w:sz w:val="18"/>
    </w:rPr>
    <w:tblPr>
      <w:tblStyleRowBandSize w:val="1"/>
      <w:tblBorders>
        <w:top w:val="single" w:sz="4" w:space="0" w:color="0065BC" w:themeColor="background2"/>
        <w:left w:val="none" w:sz="0" w:space="0" w:color="auto"/>
        <w:bottom w:val="single" w:sz="4" w:space="0" w:color="0065BC" w:themeColor="background2"/>
        <w:right w:val="none" w:sz="0" w:space="0" w:color="auto"/>
        <w:insideH w:val="single" w:sz="4" w:space="0" w:color="0065BC" w:themeColor="background2"/>
        <w:insideV w:val="none" w:sz="0" w:space="0" w:color="auto"/>
      </w:tblBorders>
    </w:tblPr>
    <w:tcPr>
      <w:shd w:val="clear" w:color="auto" w:fill="auto"/>
    </w:tcPr>
    <w:tblStylePr w:type="firstRow">
      <w:pPr>
        <w:wordWrap/>
        <w:spacing w:beforeLines="0" w:before="80" w:beforeAutospacing="0" w:afterLines="0" w:after="80" w:afterAutospacing="0" w:line="240" w:lineRule="auto"/>
      </w:pPr>
      <w:rPr>
        <w:rFonts w:ascii="Arial" w:hAnsi="Arial"/>
        <w:b/>
        <w:i w:val="0"/>
        <w:caps w:val="0"/>
        <w:smallCaps w:val="0"/>
        <w:color w:val="FFFFFF" w:themeColor="background1"/>
        <w:sz w:val="18"/>
      </w:rPr>
      <w:tblPr/>
      <w:trPr>
        <w:tblHeader/>
      </w:trPr>
      <w:tcPr>
        <w:shd w:val="clear" w:color="auto" w:fill="0065BC" w:themeFill="background2"/>
      </w:tcPr>
    </w:tblStylePr>
    <w:tblStylePr w:type="firstCol">
      <w:rPr>
        <w:b/>
        <w:caps w:val="0"/>
        <w:smallCaps w:val="0"/>
        <w:color w:val="auto"/>
      </w:rPr>
      <w:tblPr/>
      <w:tcPr>
        <w:shd w:val="clear" w:color="auto" w:fill="F2F2F2" w:themeFill="background1" w:themeFillShade="F2"/>
      </w:tcPr>
    </w:tblStylePr>
  </w:style>
  <w:style w:type="paragraph" w:customStyle="1" w:styleId="Question">
    <w:name w:val="Question"/>
    <w:basedOn w:val="Normal"/>
    <w:uiPriority w:val="2"/>
    <w:qFormat/>
    <w:rsid w:val="00F30222"/>
    <w:pPr>
      <w:spacing w:before="120" w:after="120"/>
    </w:pPr>
    <w:rPr>
      <w:rFonts w:asciiTheme="minorHAnsi" w:hAnsiTheme="minorHAnsi" w:cstheme="minorHAnsi"/>
      <w:i/>
      <w:color w:val="007C92" w:themeColor="accent3"/>
      <w:sz w:val="20"/>
      <w:szCs w:val="20"/>
      <w:lang w:val="en-GB" w:eastAsia="en-US"/>
    </w:rPr>
  </w:style>
  <w:style w:type="character" w:styleId="FootnoteReference">
    <w:name w:val="footnote reference"/>
    <w:basedOn w:val="DefaultParagraphFont"/>
    <w:uiPriority w:val="99"/>
    <w:semiHidden/>
    <w:locked/>
    <w:rsid w:val="00974B3B"/>
    <w:rPr>
      <w:vertAlign w:val="superscript"/>
    </w:rPr>
  </w:style>
  <w:style w:type="paragraph" w:styleId="FootnoteText">
    <w:name w:val="footnote text"/>
    <w:basedOn w:val="Normal"/>
    <w:link w:val="FootnoteTextChar"/>
    <w:uiPriority w:val="99"/>
    <w:locked/>
    <w:rsid w:val="00974B3B"/>
    <w:pPr>
      <w:spacing w:before="120" w:after="120"/>
    </w:pPr>
    <w:rPr>
      <w:rFonts w:asciiTheme="minorHAnsi" w:hAnsiTheme="minorHAnsi"/>
      <w:sz w:val="20"/>
      <w:szCs w:val="20"/>
      <w:lang w:eastAsia="en-AU"/>
    </w:rPr>
  </w:style>
  <w:style w:type="character" w:customStyle="1" w:styleId="FootnoteTextChar">
    <w:name w:val="Footnote Text Char"/>
    <w:basedOn w:val="DefaultParagraphFont"/>
    <w:link w:val="FootnoteText"/>
    <w:uiPriority w:val="99"/>
    <w:rsid w:val="00974B3B"/>
    <w:rPr>
      <w:rFonts w:cs="Times New Roman"/>
      <w:color w:val="auto"/>
      <w:lang w:val="en-AU" w:eastAsia="en-AU"/>
    </w:rPr>
  </w:style>
  <w:style w:type="character" w:styleId="LineNumber">
    <w:name w:val="line number"/>
    <w:basedOn w:val="DefaultParagraphFont"/>
    <w:uiPriority w:val="49"/>
    <w:semiHidden/>
    <w:locked/>
    <w:rsid w:val="00974B3B"/>
  </w:style>
  <w:style w:type="paragraph" w:styleId="MacroText">
    <w:name w:val="macro"/>
    <w:link w:val="MacroTextChar"/>
    <w:uiPriority w:val="49"/>
    <w:semiHidden/>
    <w:locked/>
    <w:rsid w:val="00974B3B"/>
    <w:pPr>
      <w:spacing w:after="0"/>
    </w:pPr>
    <w:rPr>
      <w:rFonts w:ascii="Trebuchet MS" w:hAnsi="Trebuchet MS" w:cs="Times New Roman"/>
      <w:lang w:val="en-AU" w:eastAsia="en-AU"/>
    </w:rPr>
  </w:style>
  <w:style w:type="character" w:customStyle="1" w:styleId="MacroTextChar">
    <w:name w:val="Macro Text Char"/>
    <w:basedOn w:val="DefaultParagraphFont"/>
    <w:link w:val="MacroText"/>
    <w:uiPriority w:val="49"/>
    <w:semiHidden/>
    <w:rsid w:val="00974B3B"/>
    <w:rPr>
      <w:rFonts w:ascii="Trebuchet MS" w:hAnsi="Trebuchet MS" w:cs="Times New Roman"/>
      <w:color w:val="auto"/>
      <w:lang w:val="en-AU" w:eastAsia="en-AU"/>
    </w:rPr>
  </w:style>
  <w:style w:type="character" w:styleId="PageNumber">
    <w:name w:val="page number"/>
    <w:basedOn w:val="DefaultParagraphFont"/>
    <w:uiPriority w:val="49"/>
    <w:semiHidden/>
    <w:locked/>
    <w:rsid w:val="00974B3B"/>
  </w:style>
  <w:style w:type="paragraph" w:styleId="ListNumber">
    <w:name w:val="List Number"/>
    <w:basedOn w:val="Normal"/>
    <w:uiPriority w:val="11"/>
    <w:semiHidden/>
    <w:qFormat/>
    <w:locked/>
    <w:rsid w:val="00974B3B"/>
    <w:pPr>
      <w:numPr>
        <w:numId w:val="5"/>
      </w:numPr>
      <w:spacing w:before="120" w:after="120"/>
    </w:pPr>
    <w:rPr>
      <w:rFonts w:asciiTheme="minorHAnsi" w:hAnsiTheme="minorHAnsi"/>
      <w:sz w:val="20"/>
      <w:szCs w:val="20"/>
      <w:lang w:eastAsia="en-AU"/>
    </w:rPr>
  </w:style>
  <w:style w:type="paragraph" w:styleId="TableofAuthorities">
    <w:name w:val="table of authorities"/>
    <w:basedOn w:val="Normal"/>
    <w:next w:val="Normal"/>
    <w:uiPriority w:val="39"/>
    <w:semiHidden/>
    <w:locked/>
    <w:rsid w:val="00974B3B"/>
    <w:pPr>
      <w:tabs>
        <w:tab w:val="right" w:pos="9072"/>
      </w:tabs>
      <w:spacing w:before="120" w:after="120"/>
      <w:ind w:left="200" w:hanging="200"/>
    </w:pPr>
    <w:rPr>
      <w:rFonts w:asciiTheme="minorHAnsi" w:hAnsiTheme="minorHAnsi"/>
      <w:sz w:val="20"/>
      <w:szCs w:val="20"/>
      <w:lang w:eastAsia="en-AU"/>
    </w:rPr>
  </w:style>
  <w:style w:type="paragraph" w:styleId="Title">
    <w:name w:val="Title"/>
    <w:basedOn w:val="Normal"/>
    <w:next w:val="Normal"/>
    <w:link w:val="TitleChar"/>
    <w:uiPriority w:val="10"/>
    <w:qFormat/>
    <w:rsid w:val="00C86A0D"/>
    <w:pPr>
      <w:spacing w:before="120" w:after="300"/>
      <w:contextualSpacing/>
    </w:pPr>
    <w:rPr>
      <w:rFonts w:ascii="Source Sans Pro" w:eastAsiaTheme="majorEastAsia" w:hAnsi="Source Sans Pro" w:cstheme="majorBidi"/>
      <w:b/>
      <w:bCs/>
      <w:color w:val="003478" w:themeColor="accent1"/>
      <w:spacing w:val="5"/>
      <w:kern w:val="28"/>
      <w:sz w:val="48"/>
      <w:szCs w:val="48"/>
      <w:lang w:val="en-GB" w:eastAsia="en-US"/>
    </w:rPr>
  </w:style>
  <w:style w:type="character" w:customStyle="1" w:styleId="TitleChar">
    <w:name w:val="Title Char"/>
    <w:basedOn w:val="DefaultParagraphFont"/>
    <w:link w:val="Title"/>
    <w:uiPriority w:val="10"/>
    <w:rsid w:val="00C86A0D"/>
    <w:rPr>
      <w:rFonts w:ascii="Source Sans Pro" w:eastAsiaTheme="majorEastAsia" w:hAnsi="Source Sans Pro" w:cstheme="majorBidi"/>
      <w:b/>
      <w:bCs/>
      <w:color w:val="003478" w:themeColor="accent1"/>
      <w:spacing w:val="5"/>
      <w:kern w:val="28"/>
      <w:sz w:val="48"/>
      <w:szCs w:val="48"/>
    </w:rPr>
  </w:style>
  <w:style w:type="paragraph" w:styleId="TOC5">
    <w:name w:val="toc 5"/>
    <w:basedOn w:val="Normal"/>
    <w:next w:val="Normal"/>
    <w:autoRedefine/>
    <w:uiPriority w:val="39"/>
    <w:unhideWhenUsed/>
    <w:locked/>
    <w:rsid w:val="00974B3B"/>
    <w:pPr>
      <w:spacing w:before="120" w:after="100"/>
      <w:ind w:left="880"/>
    </w:pPr>
    <w:rPr>
      <w:rFonts w:asciiTheme="minorHAnsi" w:hAnsiTheme="minorHAnsi" w:cstheme="minorHAnsi"/>
      <w:sz w:val="20"/>
      <w:szCs w:val="20"/>
      <w:lang w:val="en-GB" w:eastAsia="en-US"/>
    </w:rPr>
  </w:style>
  <w:style w:type="paragraph" w:styleId="Date">
    <w:name w:val="Date"/>
    <w:basedOn w:val="Normal"/>
    <w:next w:val="Normal"/>
    <w:link w:val="DateChar"/>
    <w:uiPriority w:val="49"/>
    <w:semiHidden/>
    <w:locked/>
    <w:rsid w:val="00974B3B"/>
    <w:pPr>
      <w:spacing w:before="120" w:after="120"/>
      <w:ind w:left="1411"/>
    </w:pPr>
    <w:rPr>
      <w:rFonts w:asciiTheme="minorHAnsi" w:hAnsiTheme="minorHAnsi"/>
      <w:sz w:val="20"/>
      <w:szCs w:val="20"/>
      <w:lang w:eastAsia="en-AU"/>
    </w:rPr>
  </w:style>
  <w:style w:type="character" w:customStyle="1" w:styleId="DateChar">
    <w:name w:val="Date Char"/>
    <w:basedOn w:val="DefaultParagraphFont"/>
    <w:link w:val="Date"/>
    <w:uiPriority w:val="49"/>
    <w:semiHidden/>
    <w:rsid w:val="00974B3B"/>
    <w:rPr>
      <w:rFonts w:cs="Times New Roman"/>
      <w:color w:val="auto"/>
      <w:lang w:val="en-AU" w:eastAsia="en-AU"/>
    </w:rPr>
  </w:style>
  <w:style w:type="paragraph" w:styleId="TOC6">
    <w:name w:val="toc 6"/>
    <w:basedOn w:val="Normal"/>
    <w:next w:val="Normal"/>
    <w:autoRedefine/>
    <w:uiPriority w:val="39"/>
    <w:unhideWhenUsed/>
    <w:locked/>
    <w:rsid w:val="00974B3B"/>
    <w:pPr>
      <w:spacing w:before="120" w:after="100"/>
      <w:ind w:left="1100"/>
    </w:pPr>
    <w:rPr>
      <w:rFonts w:asciiTheme="minorHAnsi" w:hAnsiTheme="minorHAnsi" w:cstheme="minorHAnsi"/>
      <w:sz w:val="20"/>
      <w:szCs w:val="20"/>
      <w:lang w:val="en-GB" w:eastAsia="en-US"/>
    </w:rPr>
  </w:style>
  <w:style w:type="paragraph" w:styleId="TOC7">
    <w:name w:val="toc 7"/>
    <w:basedOn w:val="Normal"/>
    <w:next w:val="Normal"/>
    <w:autoRedefine/>
    <w:uiPriority w:val="39"/>
    <w:unhideWhenUsed/>
    <w:locked/>
    <w:rsid w:val="00974B3B"/>
    <w:pPr>
      <w:spacing w:before="120" w:after="100"/>
      <w:ind w:left="1320"/>
    </w:pPr>
    <w:rPr>
      <w:rFonts w:asciiTheme="minorHAnsi" w:hAnsiTheme="minorHAnsi" w:cstheme="minorHAnsi"/>
      <w:sz w:val="20"/>
      <w:szCs w:val="20"/>
      <w:lang w:val="en-GB" w:eastAsia="en-US"/>
    </w:rPr>
  </w:style>
  <w:style w:type="paragraph" w:styleId="TOC8">
    <w:name w:val="toc 8"/>
    <w:basedOn w:val="Normal"/>
    <w:next w:val="Normal"/>
    <w:autoRedefine/>
    <w:uiPriority w:val="39"/>
    <w:unhideWhenUsed/>
    <w:locked/>
    <w:rsid w:val="00974B3B"/>
    <w:pPr>
      <w:spacing w:before="120" w:after="100"/>
      <w:ind w:left="1540"/>
    </w:pPr>
    <w:rPr>
      <w:rFonts w:asciiTheme="minorHAnsi" w:hAnsiTheme="minorHAnsi" w:cstheme="minorHAnsi"/>
      <w:sz w:val="20"/>
      <w:szCs w:val="20"/>
      <w:lang w:val="en-GB" w:eastAsia="en-US"/>
    </w:rPr>
  </w:style>
  <w:style w:type="paragraph" w:styleId="TOC9">
    <w:name w:val="toc 9"/>
    <w:basedOn w:val="Normal"/>
    <w:next w:val="Normal"/>
    <w:autoRedefine/>
    <w:uiPriority w:val="39"/>
    <w:unhideWhenUsed/>
    <w:locked/>
    <w:rsid w:val="00974B3B"/>
    <w:pPr>
      <w:spacing w:before="120" w:after="100"/>
      <w:ind w:left="1760"/>
    </w:pPr>
    <w:rPr>
      <w:rFonts w:asciiTheme="minorHAnsi" w:hAnsiTheme="minorHAnsi" w:cstheme="minorHAnsi"/>
      <w:sz w:val="20"/>
      <w:szCs w:val="20"/>
      <w:lang w:val="en-GB" w:eastAsia="en-US"/>
    </w:rPr>
  </w:style>
  <w:style w:type="paragraph" w:styleId="BlockText">
    <w:name w:val="Block Text"/>
    <w:basedOn w:val="Normal"/>
    <w:uiPriority w:val="49"/>
    <w:semiHidden/>
    <w:locked/>
    <w:rsid w:val="00974B3B"/>
    <w:pPr>
      <w:spacing w:before="120" w:after="120"/>
      <w:ind w:left="1440" w:right="1440"/>
    </w:pPr>
    <w:rPr>
      <w:rFonts w:asciiTheme="minorHAnsi" w:hAnsiTheme="minorHAnsi"/>
      <w:sz w:val="20"/>
      <w:szCs w:val="20"/>
      <w:lang w:eastAsia="en-AU"/>
    </w:rPr>
  </w:style>
  <w:style w:type="paragraph" w:styleId="BodyText2">
    <w:name w:val="Body Text 2"/>
    <w:basedOn w:val="Normal"/>
    <w:link w:val="BodyText2Char"/>
    <w:uiPriority w:val="49"/>
    <w:semiHidden/>
    <w:locked/>
    <w:rsid w:val="00974B3B"/>
    <w:pPr>
      <w:spacing w:before="120" w:after="120" w:line="480" w:lineRule="auto"/>
    </w:pPr>
    <w:rPr>
      <w:rFonts w:asciiTheme="minorHAnsi" w:hAnsiTheme="minorHAnsi"/>
      <w:sz w:val="20"/>
      <w:szCs w:val="20"/>
      <w:lang w:eastAsia="en-AU"/>
    </w:rPr>
  </w:style>
  <w:style w:type="character" w:customStyle="1" w:styleId="BodyText2Char">
    <w:name w:val="Body Text 2 Char"/>
    <w:basedOn w:val="DefaultParagraphFont"/>
    <w:link w:val="BodyText2"/>
    <w:uiPriority w:val="49"/>
    <w:semiHidden/>
    <w:rsid w:val="00974B3B"/>
    <w:rPr>
      <w:rFonts w:cs="Times New Roman"/>
      <w:color w:val="auto"/>
      <w:lang w:val="en-AU" w:eastAsia="en-AU"/>
    </w:rPr>
  </w:style>
  <w:style w:type="paragraph" w:styleId="BodyText3">
    <w:name w:val="Body Text 3"/>
    <w:basedOn w:val="Normal"/>
    <w:link w:val="BodyText3Char"/>
    <w:uiPriority w:val="49"/>
    <w:semiHidden/>
    <w:locked/>
    <w:rsid w:val="00974B3B"/>
    <w:pPr>
      <w:spacing w:before="120" w:after="120"/>
    </w:pPr>
    <w:rPr>
      <w:rFonts w:asciiTheme="minorHAnsi" w:hAnsiTheme="minorHAnsi"/>
      <w:sz w:val="16"/>
      <w:szCs w:val="16"/>
      <w:lang w:eastAsia="en-AU"/>
    </w:rPr>
  </w:style>
  <w:style w:type="character" w:customStyle="1" w:styleId="BodyText3Char">
    <w:name w:val="Body Text 3 Char"/>
    <w:basedOn w:val="DefaultParagraphFont"/>
    <w:link w:val="BodyText3"/>
    <w:uiPriority w:val="49"/>
    <w:semiHidden/>
    <w:rsid w:val="005B4B30"/>
    <w:rPr>
      <w:rFonts w:cs="Times New Roman"/>
      <w:color w:val="auto"/>
      <w:sz w:val="16"/>
      <w:szCs w:val="16"/>
      <w:lang w:val="en-AU" w:eastAsia="en-AU"/>
    </w:rPr>
  </w:style>
  <w:style w:type="paragraph" w:styleId="BodyTextFirstIndent">
    <w:name w:val="Body Text First Indent"/>
    <w:basedOn w:val="Normal"/>
    <w:link w:val="BodyTextFirstIndentChar"/>
    <w:uiPriority w:val="49"/>
    <w:semiHidden/>
    <w:locked/>
    <w:rsid w:val="00974B3B"/>
    <w:pPr>
      <w:spacing w:before="120" w:after="120"/>
      <w:ind w:firstLine="210"/>
    </w:pPr>
    <w:rPr>
      <w:rFonts w:asciiTheme="minorHAnsi" w:hAnsiTheme="minorHAnsi"/>
      <w:sz w:val="20"/>
      <w:szCs w:val="20"/>
      <w:lang w:eastAsia="en-AU"/>
    </w:rPr>
  </w:style>
  <w:style w:type="character" w:customStyle="1" w:styleId="BodyTextFirstIndentChar">
    <w:name w:val="Body Text First Indent Char"/>
    <w:basedOn w:val="DefaultParagraphFont"/>
    <w:link w:val="BodyTextFirstIndent"/>
    <w:uiPriority w:val="49"/>
    <w:semiHidden/>
    <w:rsid w:val="00974B3B"/>
  </w:style>
  <w:style w:type="paragraph" w:styleId="BodyTextIndent">
    <w:name w:val="Body Text Indent"/>
    <w:basedOn w:val="Normal"/>
    <w:link w:val="BodyTextIndentChar"/>
    <w:uiPriority w:val="49"/>
    <w:semiHidden/>
    <w:locked/>
    <w:rsid w:val="00974B3B"/>
    <w:pPr>
      <w:spacing w:before="120" w:after="120"/>
      <w:ind w:left="283"/>
    </w:pPr>
    <w:rPr>
      <w:rFonts w:asciiTheme="minorHAnsi" w:hAnsiTheme="minorHAnsi"/>
      <w:sz w:val="20"/>
      <w:szCs w:val="20"/>
      <w:lang w:eastAsia="en-AU"/>
    </w:rPr>
  </w:style>
  <w:style w:type="character" w:customStyle="1" w:styleId="BodyTextIndentChar">
    <w:name w:val="Body Text Indent Char"/>
    <w:basedOn w:val="DefaultParagraphFont"/>
    <w:link w:val="BodyTextIndent"/>
    <w:uiPriority w:val="49"/>
    <w:semiHidden/>
    <w:rsid w:val="00974B3B"/>
    <w:rPr>
      <w:rFonts w:cs="Times New Roman"/>
      <w:color w:val="auto"/>
      <w:lang w:val="en-AU" w:eastAsia="en-AU"/>
    </w:rPr>
  </w:style>
  <w:style w:type="paragraph" w:styleId="BodyTextFirstIndent2">
    <w:name w:val="Body Text First Indent 2"/>
    <w:basedOn w:val="BodyTextIndent"/>
    <w:link w:val="BodyTextFirstIndent2Char"/>
    <w:uiPriority w:val="49"/>
    <w:semiHidden/>
    <w:locked/>
    <w:rsid w:val="00974B3B"/>
    <w:pPr>
      <w:ind w:firstLine="210"/>
    </w:pPr>
  </w:style>
  <w:style w:type="character" w:customStyle="1" w:styleId="BodyTextFirstIndent2Char">
    <w:name w:val="Body Text First Indent 2 Char"/>
    <w:basedOn w:val="BodyTextIndentChar"/>
    <w:link w:val="BodyTextFirstIndent2"/>
    <w:uiPriority w:val="49"/>
    <w:semiHidden/>
    <w:rsid w:val="00974B3B"/>
    <w:rPr>
      <w:rFonts w:cs="Times New Roman"/>
      <w:color w:val="auto"/>
      <w:lang w:val="en-AU" w:eastAsia="en-AU"/>
    </w:rPr>
  </w:style>
  <w:style w:type="paragraph" w:styleId="BodyTextIndent2">
    <w:name w:val="Body Text Indent 2"/>
    <w:basedOn w:val="Normal"/>
    <w:link w:val="BodyTextIndent2Char"/>
    <w:uiPriority w:val="49"/>
    <w:semiHidden/>
    <w:locked/>
    <w:rsid w:val="00974B3B"/>
    <w:pPr>
      <w:spacing w:before="120" w:after="120" w:line="480" w:lineRule="auto"/>
      <w:ind w:left="283"/>
    </w:pPr>
    <w:rPr>
      <w:rFonts w:asciiTheme="minorHAnsi" w:hAnsiTheme="minorHAnsi"/>
      <w:sz w:val="20"/>
      <w:szCs w:val="20"/>
      <w:lang w:eastAsia="en-AU"/>
    </w:rPr>
  </w:style>
  <w:style w:type="character" w:customStyle="1" w:styleId="BodyTextIndent2Char">
    <w:name w:val="Body Text Indent 2 Char"/>
    <w:basedOn w:val="DefaultParagraphFont"/>
    <w:link w:val="BodyTextIndent2"/>
    <w:uiPriority w:val="49"/>
    <w:semiHidden/>
    <w:rsid w:val="00974B3B"/>
    <w:rPr>
      <w:rFonts w:cs="Times New Roman"/>
      <w:color w:val="auto"/>
      <w:lang w:val="en-AU" w:eastAsia="en-AU"/>
    </w:rPr>
  </w:style>
  <w:style w:type="paragraph" w:styleId="BodyTextIndent3">
    <w:name w:val="Body Text Indent 3"/>
    <w:basedOn w:val="Normal"/>
    <w:link w:val="BodyTextIndent3Char"/>
    <w:uiPriority w:val="49"/>
    <w:semiHidden/>
    <w:locked/>
    <w:rsid w:val="00974B3B"/>
    <w:pPr>
      <w:spacing w:before="120" w:after="120"/>
      <w:ind w:left="283"/>
    </w:pPr>
    <w:rPr>
      <w:rFonts w:asciiTheme="minorHAnsi" w:hAnsiTheme="minorHAnsi"/>
      <w:sz w:val="16"/>
      <w:szCs w:val="16"/>
      <w:lang w:eastAsia="en-AU"/>
    </w:rPr>
  </w:style>
  <w:style w:type="character" w:customStyle="1" w:styleId="BodyTextIndent3Char">
    <w:name w:val="Body Text Indent 3 Char"/>
    <w:basedOn w:val="DefaultParagraphFont"/>
    <w:link w:val="BodyTextIndent3"/>
    <w:uiPriority w:val="49"/>
    <w:semiHidden/>
    <w:rsid w:val="00974B3B"/>
    <w:rPr>
      <w:rFonts w:cs="Times New Roman"/>
      <w:color w:val="auto"/>
      <w:sz w:val="16"/>
      <w:szCs w:val="16"/>
      <w:lang w:val="en-AU" w:eastAsia="en-AU"/>
    </w:rPr>
  </w:style>
  <w:style w:type="paragraph" w:styleId="Closing">
    <w:name w:val="Closing"/>
    <w:basedOn w:val="Normal"/>
    <w:link w:val="ClosingChar"/>
    <w:uiPriority w:val="49"/>
    <w:semiHidden/>
    <w:locked/>
    <w:rsid w:val="00974B3B"/>
    <w:pPr>
      <w:spacing w:before="120" w:after="120"/>
      <w:ind w:left="4252"/>
    </w:pPr>
    <w:rPr>
      <w:rFonts w:asciiTheme="minorHAnsi" w:hAnsiTheme="minorHAnsi"/>
      <w:sz w:val="20"/>
      <w:szCs w:val="20"/>
      <w:lang w:eastAsia="en-AU"/>
    </w:rPr>
  </w:style>
  <w:style w:type="character" w:customStyle="1" w:styleId="ClosingChar">
    <w:name w:val="Closing Char"/>
    <w:basedOn w:val="DefaultParagraphFont"/>
    <w:link w:val="Closing"/>
    <w:uiPriority w:val="49"/>
    <w:semiHidden/>
    <w:rsid w:val="00974B3B"/>
    <w:rPr>
      <w:rFonts w:cs="Times New Roman"/>
      <w:color w:val="auto"/>
      <w:lang w:val="en-AU" w:eastAsia="en-AU"/>
    </w:rPr>
  </w:style>
  <w:style w:type="paragraph" w:styleId="DocumentMap">
    <w:name w:val="Document Map"/>
    <w:basedOn w:val="Normal"/>
    <w:link w:val="DocumentMapChar"/>
    <w:uiPriority w:val="49"/>
    <w:semiHidden/>
    <w:locked/>
    <w:rsid w:val="00974B3B"/>
    <w:pPr>
      <w:shd w:val="clear" w:color="auto" w:fill="000080"/>
      <w:spacing w:before="120" w:after="120"/>
    </w:pPr>
    <w:rPr>
      <w:rFonts w:asciiTheme="minorHAnsi" w:hAnsiTheme="minorHAnsi" w:cs="Tahoma"/>
      <w:sz w:val="20"/>
      <w:szCs w:val="20"/>
      <w:lang w:eastAsia="en-AU"/>
    </w:rPr>
  </w:style>
  <w:style w:type="character" w:customStyle="1" w:styleId="DocumentMapChar">
    <w:name w:val="Document Map Char"/>
    <w:basedOn w:val="DefaultParagraphFont"/>
    <w:link w:val="DocumentMap"/>
    <w:uiPriority w:val="49"/>
    <w:semiHidden/>
    <w:rsid w:val="00974B3B"/>
    <w:rPr>
      <w:rFonts w:cs="Tahoma"/>
      <w:color w:val="auto"/>
      <w:shd w:val="clear" w:color="auto" w:fill="000080"/>
      <w:lang w:val="en-AU" w:eastAsia="en-AU"/>
    </w:rPr>
  </w:style>
  <w:style w:type="paragraph" w:styleId="E-mailSignature">
    <w:name w:val="E-mail Signature"/>
    <w:basedOn w:val="Normal"/>
    <w:link w:val="E-mailSignatureChar"/>
    <w:uiPriority w:val="49"/>
    <w:semiHidden/>
    <w:locked/>
    <w:rsid w:val="00974B3B"/>
    <w:pPr>
      <w:spacing w:before="120" w:after="120"/>
    </w:pPr>
    <w:rPr>
      <w:rFonts w:asciiTheme="minorHAnsi" w:hAnsiTheme="minorHAnsi"/>
      <w:sz w:val="20"/>
      <w:szCs w:val="20"/>
      <w:lang w:eastAsia="en-AU"/>
    </w:rPr>
  </w:style>
  <w:style w:type="character" w:customStyle="1" w:styleId="E-mailSignatureChar">
    <w:name w:val="E-mail Signature Char"/>
    <w:basedOn w:val="DefaultParagraphFont"/>
    <w:link w:val="E-mailSignature"/>
    <w:uiPriority w:val="49"/>
    <w:semiHidden/>
    <w:rsid w:val="00974B3B"/>
    <w:rPr>
      <w:rFonts w:cs="Times New Roman"/>
      <w:color w:val="auto"/>
      <w:lang w:val="en-AU" w:eastAsia="en-AU"/>
    </w:rPr>
  </w:style>
  <w:style w:type="paragraph" w:styleId="EnvelopeAddress">
    <w:name w:val="envelope address"/>
    <w:basedOn w:val="Normal"/>
    <w:uiPriority w:val="49"/>
    <w:semiHidden/>
    <w:locked/>
    <w:rsid w:val="00974B3B"/>
    <w:pPr>
      <w:framePr w:w="7920" w:h="1980" w:hRule="exact" w:hSpace="180" w:wrap="auto" w:hAnchor="page" w:xAlign="center" w:yAlign="bottom"/>
      <w:spacing w:before="120" w:after="120"/>
      <w:ind w:left="2880"/>
    </w:pPr>
    <w:rPr>
      <w:rFonts w:asciiTheme="minorHAnsi" w:hAnsiTheme="minorHAnsi" w:cstheme="minorHAnsi"/>
      <w:lang w:eastAsia="en-AU"/>
    </w:rPr>
  </w:style>
  <w:style w:type="paragraph" w:styleId="EnvelopeReturn">
    <w:name w:val="envelope return"/>
    <w:basedOn w:val="Normal"/>
    <w:uiPriority w:val="49"/>
    <w:semiHidden/>
    <w:locked/>
    <w:rsid w:val="00974B3B"/>
    <w:pPr>
      <w:spacing w:before="120" w:after="120"/>
    </w:pPr>
    <w:rPr>
      <w:rFonts w:asciiTheme="minorHAnsi" w:hAnsiTheme="minorHAnsi" w:cstheme="minorHAnsi"/>
      <w:sz w:val="20"/>
      <w:szCs w:val="20"/>
      <w:lang w:eastAsia="en-AU"/>
    </w:rPr>
  </w:style>
  <w:style w:type="paragraph" w:styleId="HTMLAddress">
    <w:name w:val="HTML Address"/>
    <w:basedOn w:val="Normal"/>
    <w:link w:val="HTMLAddressChar"/>
    <w:uiPriority w:val="49"/>
    <w:semiHidden/>
    <w:locked/>
    <w:rsid w:val="00974B3B"/>
    <w:pPr>
      <w:spacing w:before="120" w:after="120"/>
    </w:pPr>
    <w:rPr>
      <w:rFonts w:asciiTheme="minorHAnsi" w:hAnsiTheme="minorHAnsi"/>
      <w:i/>
      <w:iCs/>
      <w:sz w:val="20"/>
      <w:szCs w:val="20"/>
      <w:lang w:eastAsia="en-AU"/>
    </w:rPr>
  </w:style>
  <w:style w:type="character" w:customStyle="1" w:styleId="HTMLAddressChar">
    <w:name w:val="HTML Address Char"/>
    <w:basedOn w:val="DefaultParagraphFont"/>
    <w:link w:val="HTMLAddress"/>
    <w:uiPriority w:val="49"/>
    <w:semiHidden/>
    <w:rsid w:val="00974B3B"/>
    <w:rPr>
      <w:rFonts w:cs="Times New Roman"/>
      <w:i/>
      <w:iCs/>
      <w:color w:val="auto"/>
      <w:lang w:val="en-AU" w:eastAsia="en-AU"/>
    </w:rPr>
  </w:style>
  <w:style w:type="paragraph" w:styleId="HTMLPreformatted">
    <w:name w:val="HTML Preformatted"/>
    <w:basedOn w:val="Normal"/>
    <w:link w:val="HTMLPreformattedChar"/>
    <w:uiPriority w:val="49"/>
    <w:semiHidden/>
    <w:locked/>
    <w:rsid w:val="00974B3B"/>
    <w:pPr>
      <w:spacing w:before="120" w:after="120"/>
    </w:pPr>
    <w:rPr>
      <w:rFonts w:asciiTheme="minorHAnsi" w:hAnsiTheme="minorHAnsi" w:cs="Courier New"/>
      <w:sz w:val="20"/>
      <w:szCs w:val="20"/>
      <w:lang w:eastAsia="en-AU"/>
    </w:rPr>
  </w:style>
  <w:style w:type="character" w:customStyle="1" w:styleId="HTMLPreformattedChar">
    <w:name w:val="HTML Preformatted Char"/>
    <w:basedOn w:val="DefaultParagraphFont"/>
    <w:link w:val="HTMLPreformatted"/>
    <w:uiPriority w:val="49"/>
    <w:semiHidden/>
    <w:rsid w:val="00974B3B"/>
    <w:rPr>
      <w:rFonts w:cs="Courier New"/>
      <w:color w:val="auto"/>
      <w:lang w:val="en-AU" w:eastAsia="en-AU"/>
    </w:rPr>
  </w:style>
  <w:style w:type="paragraph" w:styleId="Index1">
    <w:name w:val="index 1"/>
    <w:basedOn w:val="Normal"/>
    <w:next w:val="Normal"/>
    <w:autoRedefine/>
    <w:uiPriority w:val="49"/>
    <w:semiHidden/>
    <w:locked/>
    <w:rsid w:val="00974B3B"/>
    <w:pPr>
      <w:spacing w:before="120" w:after="120"/>
      <w:ind w:left="200" w:hanging="200"/>
    </w:pPr>
    <w:rPr>
      <w:rFonts w:asciiTheme="minorHAnsi" w:hAnsiTheme="minorHAnsi"/>
      <w:sz w:val="20"/>
      <w:szCs w:val="20"/>
      <w:lang w:eastAsia="en-AU"/>
    </w:rPr>
  </w:style>
  <w:style w:type="paragraph" w:styleId="Index2">
    <w:name w:val="index 2"/>
    <w:basedOn w:val="Normal"/>
    <w:next w:val="Normal"/>
    <w:autoRedefine/>
    <w:uiPriority w:val="49"/>
    <w:semiHidden/>
    <w:locked/>
    <w:rsid w:val="00974B3B"/>
    <w:pPr>
      <w:spacing w:before="120" w:after="120"/>
      <w:ind w:left="400" w:hanging="200"/>
    </w:pPr>
    <w:rPr>
      <w:rFonts w:asciiTheme="minorHAnsi" w:hAnsiTheme="minorHAnsi"/>
      <w:sz w:val="20"/>
      <w:szCs w:val="20"/>
      <w:lang w:eastAsia="en-AU"/>
    </w:rPr>
  </w:style>
  <w:style w:type="paragraph" w:styleId="Index3">
    <w:name w:val="index 3"/>
    <w:basedOn w:val="Normal"/>
    <w:next w:val="Normal"/>
    <w:autoRedefine/>
    <w:uiPriority w:val="49"/>
    <w:semiHidden/>
    <w:locked/>
    <w:rsid w:val="00974B3B"/>
    <w:pPr>
      <w:spacing w:before="120" w:after="120"/>
      <w:ind w:left="600" w:hanging="200"/>
    </w:pPr>
    <w:rPr>
      <w:rFonts w:asciiTheme="minorHAnsi" w:hAnsiTheme="minorHAnsi"/>
      <w:sz w:val="20"/>
      <w:szCs w:val="20"/>
      <w:lang w:eastAsia="en-AU"/>
    </w:rPr>
  </w:style>
  <w:style w:type="paragraph" w:styleId="Index4">
    <w:name w:val="index 4"/>
    <w:basedOn w:val="Normal"/>
    <w:next w:val="Normal"/>
    <w:autoRedefine/>
    <w:uiPriority w:val="49"/>
    <w:semiHidden/>
    <w:locked/>
    <w:rsid w:val="00974B3B"/>
    <w:pPr>
      <w:spacing w:before="120" w:after="120"/>
      <w:ind w:left="800" w:hanging="200"/>
    </w:pPr>
    <w:rPr>
      <w:rFonts w:asciiTheme="minorHAnsi" w:hAnsiTheme="minorHAnsi"/>
      <w:sz w:val="20"/>
      <w:szCs w:val="20"/>
      <w:lang w:eastAsia="en-AU"/>
    </w:rPr>
  </w:style>
  <w:style w:type="paragraph" w:styleId="Index5">
    <w:name w:val="index 5"/>
    <w:basedOn w:val="Normal"/>
    <w:next w:val="Normal"/>
    <w:autoRedefine/>
    <w:uiPriority w:val="49"/>
    <w:semiHidden/>
    <w:locked/>
    <w:rsid w:val="00974B3B"/>
    <w:pPr>
      <w:spacing w:before="120" w:after="120"/>
      <w:ind w:left="1000" w:hanging="200"/>
    </w:pPr>
    <w:rPr>
      <w:rFonts w:asciiTheme="minorHAnsi" w:hAnsiTheme="minorHAnsi"/>
      <w:sz w:val="20"/>
      <w:szCs w:val="20"/>
      <w:lang w:eastAsia="en-AU"/>
    </w:rPr>
  </w:style>
  <w:style w:type="paragraph" w:styleId="Index6">
    <w:name w:val="index 6"/>
    <w:basedOn w:val="Normal"/>
    <w:next w:val="Normal"/>
    <w:autoRedefine/>
    <w:uiPriority w:val="49"/>
    <w:semiHidden/>
    <w:locked/>
    <w:rsid w:val="00974B3B"/>
    <w:pPr>
      <w:spacing w:before="120" w:after="120"/>
      <w:ind w:left="1200" w:hanging="200"/>
    </w:pPr>
    <w:rPr>
      <w:rFonts w:asciiTheme="minorHAnsi" w:hAnsiTheme="minorHAnsi"/>
      <w:sz w:val="20"/>
      <w:szCs w:val="20"/>
      <w:lang w:eastAsia="en-AU"/>
    </w:rPr>
  </w:style>
  <w:style w:type="paragraph" w:styleId="Index7">
    <w:name w:val="index 7"/>
    <w:basedOn w:val="Normal"/>
    <w:next w:val="Normal"/>
    <w:autoRedefine/>
    <w:uiPriority w:val="49"/>
    <w:semiHidden/>
    <w:locked/>
    <w:rsid w:val="00974B3B"/>
    <w:pPr>
      <w:spacing w:before="120" w:after="120"/>
      <w:ind w:left="1400" w:hanging="200"/>
    </w:pPr>
    <w:rPr>
      <w:rFonts w:asciiTheme="minorHAnsi" w:hAnsiTheme="minorHAnsi"/>
      <w:sz w:val="20"/>
      <w:szCs w:val="20"/>
      <w:lang w:eastAsia="en-AU"/>
    </w:rPr>
  </w:style>
  <w:style w:type="paragraph" w:styleId="Index8">
    <w:name w:val="index 8"/>
    <w:basedOn w:val="Normal"/>
    <w:next w:val="Normal"/>
    <w:autoRedefine/>
    <w:uiPriority w:val="49"/>
    <w:semiHidden/>
    <w:locked/>
    <w:rsid w:val="00974B3B"/>
    <w:pPr>
      <w:spacing w:before="120" w:after="120"/>
      <w:ind w:left="1600" w:hanging="200"/>
    </w:pPr>
    <w:rPr>
      <w:rFonts w:asciiTheme="minorHAnsi" w:hAnsiTheme="minorHAnsi"/>
      <w:sz w:val="20"/>
      <w:szCs w:val="20"/>
      <w:lang w:eastAsia="en-AU"/>
    </w:rPr>
  </w:style>
  <w:style w:type="paragraph" w:styleId="Index9">
    <w:name w:val="index 9"/>
    <w:basedOn w:val="Normal"/>
    <w:next w:val="Normal"/>
    <w:autoRedefine/>
    <w:uiPriority w:val="49"/>
    <w:semiHidden/>
    <w:locked/>
    <w:rsid w:val="00974B3B"/>
    <w:pPr>
      <w:spacing w:before="120" w:after="120"/>
      <w:ind w:left="1800" w:hanging="200"/>
    </w:pPr>
    <w:rPr>
      <w:rFonts w:asciiTheme="minorHAnsi" w:hAnsiTheme="minorHAnsi"/>
      <w:sz w:val="20"/>
      <w:szCs w:val="20"/>
      <w:lang w:eastAsia="en-AU"/>
    </w:rPr>
  </w:style>
  <w:style w:type="paragraph" w:styleId="IndexHeading">
    <w:name w:val="index heading"/>
    <w:basedOn w:val="Normal"/>
    <w:next w:val="Index1"/>
    <w:uiPriority w:val="49"/>
    <w:semiHidden/>
    <w:locked/>
    <w:rsid w:val="00974B3B"/>
    <w:pPr>
      <w:spacing w:before="120" w:after="120"/>
    </w:pPr>
    <w:rPr>
      <w:rFonts w:asciiTheme="minorHAnsi" w:hAnsiTheme="minorHAnsi" w:cstheme="minorHAnsi"/>
      <w:b/>
      <w:bCs/>
      <w:sz w:val="20"/>
      <w:szCs w:val="20"/>
      <w:lang w:eastAsia="en-AU"/>
    </w:rPr>
  </w:style>
  <w:style w:type="paragraph" w:styleId="List">
    <w:name w:val="List"/>
    <w:basedOn w:val="Normal"/>
    <w:uiPriority w:val="6"/>
    <w:qFormat/>
    <w:rsid w:val="000C5A7A"/>
    <w:pPr>
      <w:numPr>
        <w:numId w:val="3"/>
      </w:numPr>
      <w:suppressAutoHyphens/>
      <w:spacing w:before="120" w:after="120"/>
    </w:pPr>
    <w:rPr>
      <w:rFonts w:asciiTheme="minorHAnsi" w:hAnsiTheme="minorHAnsi"/>
      <w:sz w:val="20"/>
      <w:lang w:val="en-GB" w:eastAsia="en-AU"/>
    </w:rPr>
  </w:style>
  <w:style w:type="paragraph" w:styleId="List2">
    <w:name w:val="List 2"/>
    <w:basedOn w:val="Normal"/>
    <w:uiPriority w:val="6"/>
    <w:qFormat/>
    <w:rsid w:val="000C5A7A"/>
    <w:pPr>
      <w:numPr>
        <w:ilvl w:val="1"/>
        <w:numId w:val="3"/>
      </w:numPr>
      <w:suppressAutoHyphens/>
      <w:spacing w:before="120" w:after="120"/>
    </w:pPr>
    <w:rPr>
      <w:rFonts w:asciiTheme="minorHAnsi" w:hAnsiTheme="minorHAnsi"/>
      <w:sz w:val="20"/>
      <w:lang w:val="en-GB" w:eastAsia="en-AU"/>
    </w:rPr>
  </w:style>
  <w:style w:type="paragraph" w:styleId="List3">
    <w:name w:val="List 3"/>
    <w:basedOn w:val="Normal"/>
    <w:uiPriority w:val="6"/>
    <w:qFormat/>
    <w:rsid w:val="000C5A7A"/>
    <w:pPr>
      <w:numPr>
        <w:ilvl w:val="2"/>
        <w:numId w:val="3"/>
      </w:numPr>
      <w:suppressAutoHyphens/>
      <w:spacing w:before="120" w:after="120"/>
    </w:pPr>
    <w:rPr>
      <w:rFonts w:asciiTheme="minorHAnsi" w:hAnsiTheme="minorHAnsi"/>
      <w:sz w:val="20"/>
      <w:lang w:val="en-GB" w:eastAsia="en-AU"/>
    </w:rPr>
  </w:style>
  <w:style w:type="paragraph" w:styleId="List4">
    <w:name w:val="List 4"/>
    <w:basedOn w:val="Normal"/>
    <w:uiPriority w:val="6"/>
    <w:qFormat/>
    <w:rsid w:val="000C5A7A"/>
    <w:pPr>
      <w:numPr>
        <w:ilvl w:val="3"/>
        <w:numId w:val="3"/>
      </w:numPr>
      <w:suppressAutoHyphens/>
      <w:spacing w:before="120" w:after="120"/>
    </w:pPr>
    <w:rPr>
      <w:rFonts w:asciiTheme="minorHAnsi" w:hAnsiTheme="minorHAnsi"/>
      <w:sz w:val="20"/>
      <w:lang w:val="en-GB" w:eastAsia="en-AU"/>
    </w:rPr>
  </w:style>
  <w:style w:type="paragraph" w:styleId="List5">
    <w:name w:val="List 5"/>
    <w:basedOn w:val="Normal"/>
    <w:uiPriority w:val="49"/>
    <w:semiHidden/>
    <w:locked/>
    <w:rsid w:val="00974B3B"/>
    <w:pPr>
      <w:spacing w:before="120" w:after="120"/>
      <w:ind w:left="1415" w:hanging="283"/>
    </w:pPr>
    <w:rPr>
      <w:rFonts w:asciiTheme="minorHAnsi" w:hAnsiTheme="minorHAnsi"/>
      <w:sz w:val="20"/>
      <w:szCs w:val="20"/>
      <w:lang w:eastAsia="en-AU"/>
    </w:rPr>
  </w:style>
  <w:style w:type="paragraph" w:styleId="ListBullet4">
    <w:name w:val="List Bullet 4"/>
    <w:basedOn w:val="Normal"/>
    <w:uiPriority w:val="6"/>
    <w:qFormat/>
    <w:rsid w:val="00B17786"/>
    <w:pPr>
      <w:numPr>
        <w:ilvl w:val="3"/>
        <w:numId w:val="7"/>
      </w:numPr>
      <w:spacing w:before="120" w:after="120"/>
      <w:contextualSpacing/>
    </w:pPr>
    <w:rPr>
      <w:rFonts w:asciiTheme="minorHAnsi" w:hAnsiTheme="minorHAnsi" w:cstheme="minorHAnsi"/>
      <w:sz w:val="20"/>
      <w:szCs w:val="20"/>
      <w:lang w:val="en-GB" w:eastAsia="en-US"/>
    </w:rPr>
  </w:style>
  <w:style w:type="paragraph" w:styleId="ListBullet5">
    <w:name w:val="List Bullet 5"/>
    <w:basedOn w:val="Normal"/>
    <w:uiPriority w:val="49"/>
    <w:semiHidden/>
    <w:locked/>
    <w:rsid w:val="00974B3B"/>
    <w:pPr>
      <w:tabs>
        <w:tab w:val="num" w:pos="1492"/>
      </w:tabs>
      <w:spacing w:before="120" w:after="120"/>
      <w:ind w:left="1492" w:hanging="360"/>
    </w:pPr>
    <w:rPr>
      <w:rFonts w:asciiTheme="minorHAnsi" w:hAnsiTheme="minorHAnsi"/>
      <w:sz w:val="20"/>
      <w:szCs w:val="20"/>
      <w:lang w:eastAsia="en-AU"/>
    </w:rPr>
  </w:style>
  <w:style w:type="paragraph" w:styleId="ListContinue4">
    <w:name w:val="List Continue 4"/>
    <w:basedOn w:val="Normal"/>
    <w:uiPriority w:val="49"/>
    <w:semiHidden/>
    <w:locked/>
    <w:rsid w:val="00974B3B"/>
    <w:pPr>
      <w:spacing w:before="120" w:after="120"/>
      <w:ind w:left="1132"/>
    </w:pPr>
    <w:rPr>
      <w:rFonts w:asciiTheme="minorHAnsi" w:hAnsiTheme="minorHAnsi"/>
      <w:sz w:val="20"/>
      <w:szCs w:val="20"/>
      <w:lang w:eastAsia="en-AU"/>
    </w:rPr>
  </w:style>
  <w:style w:type="paragraph" w:styleId="ListContinue5">
    <w:name w:val="List Continue 5"/>
    <w:basedOn w:val="Normal"/>
    <w:uiPriority w:val="49"/>
    <w:semiHidden/>
    <w:locked/>
    <w:rsid w:val="00974B3B"/>
    <w:pPr>
      <w:spacing w:before="120" w:after="120"/>
      <w:ind w:left="1415"/>
    </w:pPr>
    <w:rPr>
      <w:rFonts w:asciiTheme="minorHAnsi" w:hAnsiTheme="minorHAnsi"/>
      <w:sz w:val="20"/>
      <w:szCs w:val="20"/>
      <w:lang w:eastAsia="en-AU"/>
    </w:rPr>
  </w:style>
  <w:style w:type="paragraph" w:styleId="ListNumber4">
    <w:name w:val="List Number 4"/>
    <w:basedOn w:val="Normal"/>
    <w:uiPriority w:val="49"/>
    <w:semiHidden/>
    <w:locked/>
    <w:rsid w:val="00974B3B"/>
    <w:pPr>
      <w:tabs>
        <w:tab w:val="num" w:pos="1209"/>
      </w:tabs>
      <w:spacing w:before="120" w:after="120"/>
      <w:ind w:left="1209" w:hanging="360"/>
    </w:pPr>
    <w:rPr>
      <w:rFonts w:asciiTheme="minorHAnsi" w:hAnsiTheme="minorHAnsi"/>
      <w:sz w:val="20"/>
      <w:szCs w:val="20"/>
      <w:lang w:eastAsia="en-AU"/>
    </w:rPr>
  </w:style>
  <w:style w:type="paragraph" w:styleId="ListNumber5">
    <w:name w:val="List Number 5"/>
    <w:basedOn w:val="Normal"/>
    <w:uiPriority w:val="49"/>
    <w:semiHidden/>
    <w:locked/>
    <w:rsid w:val="00974B3B"/>
    <w:pPr>
      <w:tabs>
        <w:tab w:val="num" w:pos="1492"/>
      </w:tabs>
      <w:spacing w:before="120" w:after="120"/>
      <w:ind w:left="1492" w:hanging="360"/>
    </w:pPr>
    <w:rPr>
      <w:rFonts w:asciiTheme="minorHAnsi" w:hAnsiTheme="minorHAnsi"/>
      <w:sz w:val="20"/>
      <w:szCs w:val="20"/>
      <w:lang w:eastAsia="en-AU"/>
    </w:rPr>
  </w:style>
  <w:style w:type="paragraph" w:styleId="MessageHeader">
    <w:name w:val="Message Header"/>
    <w:basedOn w:val="Normal"/>
    <w:link w:val="MessageHeaderChar"/>
    <w:uiPriority w:val="49"/>
    <w:semiHidden/>
    <w:locked/>
    <w:rsid w:val="00974B3B"/>
    <w:pPr>
      <w:pBdr>
        <w:top w:val="single" w:sz="6" w:space="1" w:color="auto"/>
        <w:left w:val="single" w:sz="6" w:space="1" w:color="auto"/>
        <w:bottom w:val="single" w:sz="6" w:space="1" w:color="auto"/>
        <w:right w:val="single" w:sz="6" w:space="1" w:color="auto"/>
      </w:pBdr>
      <w:shd w:val="pct20" w:color="auto" w:fill="auto"/>
      <w:spacing w:before="120" w:after="120"/>
      <w:ind w:left="1134" w:hanging="1134"/>
    </w:pPr>
    <w:rPr>
      <w:rFonts w:asciiTheme="minorHAnsi" w:hAnsiTheme="minorHAnsi" w:cstheme="minorHAnsi"/>
      <w:lang w:eastAsia="en-AU"/>
    </w:rPr>
  </w:style>
  <w:style w:type="character" w:customStyle="1" w:styleId="MessageHeaderChar">
    <w:name w:val="Message Header Char"/>
    <w:basedOn w:val="DefaultParagraphFont"/>
    <w:link w:val="MessageHeader"/>
    <w:uiPriority w:val="49"/>
    <w:semiHidden/>
    <w:rsid w:val="00974B3B"/>
    <w:rPr>
      <w:color w:val="auto"/>
      <w:sz w:val="24"/>
      <w:szCs w:val="24"/>
      <w:shd w:val="pct20" w:color="auto" w:fill="auto"/>
      <w:lang w:val="en-AU" w:eastAsia="en-AU"/>
    </w:rPr>
  </w:style>
  <w:style w:type="paragraph" w:styleId="NoteHeading">
    <w:name w:val="Note Heading"/>
    <w:basedOn w:val="Normal"/>
    <w:next w:val="Normal"/>
    <w:link w:val="NoteHeadingChar"/>
    <w:uiPriority w:val="49"/>
    <w:semiHidden/>
    <w:locked/>
    <w:rsid w:val="00974B3B"/>
    <w:pPr>
      <w:spacing w:before="120" w:after="120"/>
    </w:pPr>
    <w:rPr>
      <w:rFonts w:asciiTheme="minorHAnsi" w:hAnsiTheme="minorHAnsi"/>
      <w:sz w:val="20"/>
      <w:szCs w:val="20"/>
      <w:lang w:eastAsia="en-AU"/>
    </w:rPr>
  </w:style>
  <w:style w:type="character" w:customStyle="1" w:styleId="NoteHeadingChar">
    <w:name w:val="Note Heading Char"/>
    <w:basedOn w:val="DefaultParagraphFont"/>
    <w:link w:val="NoteHeading"/>
    <w:uiPriority w:val="49"/>
    <w:semiHidden/>
    <w:rsid w:val="00974B3B"/>
    <w:rPr>
      <w:rFonts w:cs="Times New Roman"/>
      <w:color w:val="auto"/>
      <w:lang w:val="en-AU" w:eastAsia="en-AU"/>
    </w:rPr>
  </w:style>
  <w:style w:type="paragraph" w:styleId="PlainText">
    <w:name w:val="Plain Text"/>
    <w:basedOn w:val="Normal"/>
    <w:link w:val="PlainTextChar"/>
    <w:uiPriority w:val="99"/>
    <w:semiHidden/>
    <w:locked/>
    <w:rsid w:val="00974B3B"/>
    <w:pPr>
      <w:spacing w:before="120" w:after="120"/>
    </w:pPr>
    <w:rPr>
      <w:rFonts w:asciiTheme="minorHAnsi" w:hAnsiTheme="minorHAnsi" w:cs="Courier New"/>
      <w:sz w:val="20"/>
      <w:szCs w:val="20"/>
      <w:lang w:eastAsia="en-AU"/>
    </w:rPr>
  </w:style>
  <w:style w:type="character" w:customStyle="1" w:styleId="PlainTextChar">
    <w:name w:val="Plain Text Char"/>
    <w:basedOn w:val="DefaultParagraphFont"/>
    <w:link w:val="PlainText"/>
    <w:uiPriority w:val="49"/>
    <w:semiHidden/>
    <w:rsid w:val="00974B3B"/>
    <w:rPr>
      <w:rFonts w:cs="Courier New"/>
      <w:color w:val="auto"/>
      <w:lang w:val="en-AU" w:eastAsia="en-AU"/>
    </w:rPr>
  </w:style>
  <w:style w:type="paragraph" w:styleId="Salutation">
    <w:name w:val="Salutation"/>
    <w:basedOn w:val="Normal"/>
    <w:next w:val="Normal"/>
    <w:link w:val="SalutationChar"/>
    <w:uiPriority w:val="49"/>
    <w:semiHidden/>
    <w:locked/>
    <w:rsid w:val="00974B3B"/>
    <w:pPr>
      <w:spacing w:before="120" w:after="120"/>
    </w:pPr>
    <w:rPr>
      <w:rFonts w:asciiTheme="minorHAnsi" w:hAnsiTheme="minorHAnsi"/>
      <w:sz w:val="20"/>
      <w:szCs w:val="20"/>
      <w:lang w:eastAsia="en-AU"/>
    </w:rPr>
  </w:style>
  <w:style w:type="character" w:customStyle="1" w:styleId="SalutationChar">
    <w:name w:val="Salutation Char"/>
    <w:basedOn w:val="DefaultParagraphFont"/>
    <w:link w:val="Salutation"/>
    <w:uiPriority w:val="49"/>
    <w:semiHidden/>
    <w:rsid w:val="00974B3B"/>
    <w:rPr>
      <w:rFonts w:cs="Times New Roman"/>
      <w:color w:val="auto"/>
      <w:lang w:val="en-AU" w:eastAsia="en-AU"/>
    </w:rPr>
  </w:style>
  <w:style w:type="paragraph" w:styleId="Signature">
    <w:name w:val="Signature"/>
    <w:basedOn w:val="Normal"/>
    <w:link w:val="SignatureChar"/>
    <w:uiPriority w:val="49"/>
    <w:semiHidden/>
    <w:locked/>
    <w:rsid w:val="00974B3B"/>
    <w:pPr>
      <w:spacing w:before="120" w:after="120"/>
      <w:ind w:left="4252"/>
    </w:pPr>
    <w:rPr>
      <w:rFonts w:asciiTheme="minorHAnsi" w:hAnsiTheme="minorHAnsi"/>
      <w:sz w:val="20"/>
      <w:szCs w:val="20"/>
      <w:lang w:eastAsia="en-AU"/>
    </w:rPr>
  </w:style>
  <w:style w:type="character" w:customStyle="1" w:styleId="SignatureChar">
    <w:name w:val="Signature Char"/>
    <w:basedOn w:val="DefaultParagraphFont"/>
    <w:link w:val="Signature"/>
    <w:uiPriority w:val="49"/>
    <w:semiHidden/>
    <w:rsid w:val="00974B3B"/>
    <w:rPr>
      <w:rFonts w:cs="Times New Roman"/>
      <w:color w:val="auto"/>
      <w:lang w:val="en-AU" w:eastAsia="en-AU"/>
    </w:rPr>
  </w:style>
  <w:style w:type="paragraph" w:styleId="TOAHeading">
    <w:name w:val="toa heading"/>
    <w:basedOn w:val="Normal"/>
    <w:next w:val="Normal"/>
    <w:uiPriority w:val="39"/>
    <w:semiHidden/>
    <w:locked/>
    <w:rsid w:val="00974B3B"/>
    <w:pPr>
      <w:spacing w:before="120" w:after="120"/>
    </w:pPr>
    <w:rPr>
      <w:rFonts w:asciiTheme="minorHAnsi" w:hAnsiTheme="minorHAnsi" w:cstheme="minorHAnsi"/>
      <w:b/>
      <w:bCs/>
      <w:lang w:eastAsia="en-AU"/>
    </w:rPr>
  </w:style>
  <w:style w:type="paragraph" w:styleId="ListNumber2">
    <w:name w:val="List Number 2"/>
    <w:basedOn w:val="Normal"/>
    <w:uiPriority w:val="11"/>
    <w:semiHidden/>
    <w:locked/>
    <w:rsid w:val="00974B3B"/>
    <w:pPr>
      <w:numPr>
        <w:ilvl w:val="1"/>
        <w:numId w:val="5"/>
      </w:numPr>
      <w:spacing w:before="120" w:after="120"/>
    </w:pPr>
    <w:rPr>
      <w:rFonts w:asciiTheme="minorHAnsi" w:hAnsiTheme="minorHAnsi"/>
      <w:sz w:val="20"/>
      <w:szCs w:val="20"/>
      <w:lang w:eastAsia="en-AU"/>
    </w:rPr>
  </w:style>
  <w:style w:type="paragraph" w:styleId="ListNumber3">
    <w:name w:val="List Number 3"/>
    <w:basedOn w:val="Normal"/>
    <w:uiPriority w:val="11"/>
    <w:semiHidden/>
    <w:locked/>
    <w:rsid w:val="00974B3B"/>
    <w:pPr>
      <w:numPr>
        <w:ilvl w:val="2"/>
        <w:numId w:val="5"/>
      </w:numPr>
      <w:spacing w:before="120" w:after="120"/>
    </w:pPr>
    <w:rPr>
      <w:rFonts w:asciiTheme="minorHAnsi" w:hAnsiTheme="minorHAnsi"/>
      <w:sz w:val="20"/>
      <w:szCs w:val="20"/>
      <w:lang w:eastAsia="en-AU"/>
    </w:rPr>
  </w:style>
  <w:style w:type="paragraph" w:styleId="ListContinue">
    <w:name w:val="List Continue"/>
    <w:basedOn w:val="Normal"/>
    <w:uiPriority w:val="11"/>
    <w:semiHidden/>
    <w:qFormat/>
    <w:locked/>
    <w:rsid w:val="00974B3B"/>
    <w:pPr>
      <w:spacing w:before="120" w:after="120"/>
      <w:ind w:left="283"/>
    </w:pPr>
    <w:rPr>
      <w:rFonts w:asciiTheme="minorHAnsi" w:hAnsiTheme="minorHAnsi"/>
      <w:sz w:val="20"/>
      <w:szCs w:val="20"/>
      <w:lang w:eastAsia="en-AU"/>
    </w:rPr>
  </w:style>
  <w:style w:type="paragraph" w:styleId="ListContinue2">
    <w:name w:val="List Continue 2"/>
    <w:basedOn w:val="Normal"/>
    <w:uiPriority w:val="11"/>
    <w:semiHidden/>
    <w:locked/>
    <w:rsid w:val="00974B3B"/>
    <w:pPr>
      <w:spacing w:before="120" w:after="120"/>
      <w:ind w:left="567"/>
    </w:pPr>
    <w:rPr>
      <w:rFonts w:asciiTheme="minorHAnsi" w:hAnsiTheme="minorHAnsi"/>
      <w:sz w:val="20"/>
      <w:szCs w:val="20"/>
      <w:lang w:eastAsia="en-AU"/>
    </w:rPr>
  </w:style>
  <w:style w:type="paragraph" w:styleId="ListContinue3">
    <w:name w:val="List Continue 3"/>
    <w:basedOn w:val="Normal"/>
    <w:uiPriority w:val="11"/>
    <w:semiHidden/>
    <w:locked/>
    <w:rsid w:val="00974B3B"/>
    <w:pPr>
      <w:spacing w:before="120" w:after="120"/>
      <w:ind w:left="850"/>
    </w:pPr>
    <w:rPr>
      <w:rFonts w:asciiTheme="minorHAnsi" w:hAnsiTheme="minorHAnsi"/>
      <w:sz w:val="20"/>
      <w:szCs w:val="20"/>
      <w:lang w:eastAsia="en-AU"/>
    </w:rPr>
  </w:style>
  <w:style w:type="table" w:styleId="TableClassic1">
    <w:name w:val="Table Classic 1"/>
    <w:basedOn w:val="TableGrid"/>
    <w:uiPriority w:val="99"/>
    <w:semiHidden/>
    <w:unhideWhenUsed/>
    <w:locked/>
    <w:rsid w:val="00974B3B"/>
    <w:pPr>
      <w:spacing w:after="120"/>
    </w:pPr>
    <w:rPr>
      <w:sz w:val="18"/>
      <w:lang w:val="en-AU" w:eastAsia="en-AU"/>
    </w:r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CellMar>
        <w:left w:w="57" w:type="dxa"/>
        <w:right w:w="57"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tcBorders>
          <w:bottom w:val="single" w:sz="6" w:space="0" w:color="00000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uiPriority w:val="99"/>
    <w:unhideWhenUsed/>
    <w:locked/>
    <w:rsid w:val="00974B3B"/>
    <w:rPr>
      <w:rFonts w:cs="Times New Roman"/>
      <w:lang w:val="en-AU"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Pr>
    <w:trPr>
      <w:cantSplit/>
    </w:tr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l2br w:val="nil"/>
          <w:tr2bl w:val="nil"/>
        </w:tcBorders>
        <w:shd w:val="clear" w:color="auto" w:fill="auto"/>
      </w:tcPr>
    </w:tblStylePr>
    <w:tblStylePr w:type="firstCol">
      <w:rPr>
        <w:bCs/>
        <w:caps/>
        <w:color w:val="154E8F"/>
      </w:rPr>
      <w:tblPr/>
      <w:tcPr>
        <w:tcBorders>
          <w:right w:val="single" w:sz="4" w:space="0" w:color="87746A"/>
        </w:tcBorders>
        <w:shd w:val="solid" w:color="D2DADD" w:fill="D9D9D9"/>
      </w:tcPr>
    </w:tblStylePr>
    <w:tblStylePr w:type="lastCol">
      <w:rPr>
        <w:b w:val="0"/>
        <w:bCs/>
      </w:rPr>
      <w:tblPr/>
      <w:tcPr>
        <w:tcBorders>
          <w:tl2br w:val="none" w:sz="0" w:space="0" w:color="auto"/>
          <w:tr2bl w:val="none" w:sz="0" w:space="0" w:color="auto"/>
        </w:tcBorders>
      </w:tcPr>
    </w:tblStylePr>
    <w:tblStylePr w:type="swCell">
      <w:rPr>
        <w:color w:val="365F91"/>
      </w:rPr>
      <w:tblPr/>
      <w:tcPr>
        <w:tcBorders>
          <w:right w:val="single" w:sz="4" w:space="0" w:color="B20838"/>
        </w:tcBorders>
        <w:shd w:val="clear" w:color="auto" w:fill="D9D9D9"/>
      </w:tcPr>
    </w:tblStylePr>
  </w:style>
  <w:style w:type="paragraph" w:styleId="Bibliography">
    <w:name w:val="Bibliography"/>
    <w:basedOn w:val="Normal"/>
    <w:next w:val="Normal"/>
    <w:uiPriority w:val="37"/>
    <w:semiHidden/>
    <w:unhideWhenUsed/>
    <w:locked/>
    <w:rsid w:val="00974B3B"/>
    <w:pPr>
      <w:spacing w:before="120" w:after="120"/>
    </w:pPr>
    <w:rPr>
      <w:rFonts w:asciiTheme="minorHAnsi" w:hAnsiTheme="minorHAnsi" w:cstheme="minorHAnsi"/>
      <w:sz w:val="20"/>
      <w:szCs w:val="20"/>
      <w:lang w:val="en-GB" w:eastAsia="en-US"/>
    </w:rPr>
  </w:style>
  <w:style w:type="paragraph" w:styleId="IntenseQuote">
    <w:name w:val="Intense Quote"/>
    <w:basedOn w:val="Normal"/>
    <w:next w:val="Normal"/>
    <w:link w:val="IntenseQuoteChar"/>
    <w:uiPriority w:val="30"/>
    <w:semiHidden/>
    <w:qFormat/>
    <w:locked/>
    <w:rsid w:val="00974B3B"/>
    <w:pPr>
      <w:pBdr>
        <w:bottom w:val="single" w:sz="4" w:space="4" w:color="003478" w:themeColor="accent1"/>
      </w:pBdr>
      <w:spacing w:before="200" w:after="280"/>
      <w:ind w:left="936" w:right="936"/>
    </w:pPr>
    <w:rPr>
      <w:rFonts w:asciiTheme="minorHAnsi" w:hAnsiTheme="minorHAnsi" w:cstheme="minorHAnsi"/>
      <w:b/>
      <w:bCs/>
      <w:i/>
      <w:iCs/>
      <w:color w:val="003478" w:themeColor="accent1"/>
      <w:sz w:val="20"/>
      <w:szCs w:val="20"/>
      <w:lang w:val="en-GB" w:eastAsia="en-US"/>
    </w:rPr>
  </w:style>
  <w:style w:type="character" w:customStyle="1" w:styleId="IntenseQuoteChar">
    <w:name w:val="Intense Quote Char"/>
    <w:basedOn w:val="DefaultParagraphFont"/>
    <w:link w:val="IntenseQuote"/>
    <w:uiPriority w:val="30"/>
    <w:semiHidden/>
    <w:rsid w:val="005B4B30"/>
    <w:rPr>
      <w:b/>
      <w:bCs/>
      <w:i/>
      <w:iCs/>
      <w:color w:val="003478" w:themeColor="accent1"/>
    </w:rPr>
  </w:style>
  <w:style w:type="paragraph" w:styleId="ListBullet">
    <w:name w:val="List Bullet"/>
    <w:basedOn w:val="Normal"/>
    <w:uiPriority w:val="6"/>
    <w:qFormat/>
    <w:rsid w:val="00B17786"/>
    <w:pPr>
      <w:numPr>
        <w:numId w:val="7"/>
      </w:numPr>
      <w:spacing w:before="120" w:after="120"/>
      <w:contextualSpacing/>
    </w:pPr>
    <w:rPr>
      <w:rFonts w:asciiTheme="minorHAnsi" w:hAnsiTheme="minorHAnsi" w:cstheme="minorHAnsi"/>
      <w:sz w:val="20"/>
      <w:szCs w:val="21"/>
      <w:lang w:eastAsia="en-NZ"/>
    </w:rPr>
  </w:style>
  <w:style w:type="paragraph" w:styleId="ListBullet2">
    <w:name w:val="List Bullet 2"/>
    <w:basedOn w:val="Normal"/>
    <w:uiPriority w:val="6"/>
    <w:qFormat/>
    <w:rsid w:val="00B17786"/>
    <w:pPr>
      <w:numPr>
        <w:ilvl w:val="1"/>
        <w:numId w:val="7"/>
      </w:numPr>
      <w:spacing w:before="120" w:after="120"/>
      <w:contextualSpacing/>
    </w:pPr>
    <w:rPr>
      <w:rFonts w:asciiTheme="minorHAnsi" w:hAnsiTheme="minorHAnsi" w:cstheme="minorHAnsi"/>
      <w:sz w:val="20"/>
      <w:szCs w:val="21"/>
      <w:lang w:eastAsia="en-NZ"/>
    </w:rPr>
  </w:style>
  <w:style w:type="paragraph" w:styleId="ListBullet3">
    <w:name w:val="List Bullet 3"/>
    <w:basedOn w:val="Normal"/>
    <w:uiPriority w:val="6"/>
    <w:qFormat/>
    <w:rsid w:val="00B17786"/>
    <w:pPr>
      <w:numPr>
        <w:ilvl w:val="2"/>
        <w:numId w:val="7"/>
      </w:numPr>
      <w:spacing w:before="120" w:after="120"/>
      <w:contextualSpacing/>
    </w:pPr>
    <w:rPr>
      <w:rFonts w:asciiTheme="minorHAnsi" w:hAnsiTheme="minorHAnsi" w:cstheme="minorHAnsi"/>
      <w:sz w:val="20"/>
      <w:szCs w:val="21"/>
      <w:lang w:eastAsia="en-NZ"/>
    </w:rPr>
  </w:style>
  <w:style w:type="paragraph" w:styleId="NoSpacing">
    <w:name w:val="No Spacing"/>
    <w:uiPriority w:val="1"/>
    <w:semiHidden/>
    <w:locked/>
    <w:rsid w:val="00974B3B"/>
    <w:pPr>
      <w:spacing w:after="0"/>
    </w:pPr>
  </w:style>
  <w:style w:type="paragraph" w:styleId="NormalIndent">
    <w:name w:val="Normal Indent"/>
    <w:basedOn w:val="Normal"/>
    <w:next w:val="Normal"/>
    <w:rsid w:val="00BB1253"/>
    <w:pPr>
      <w:spacing w:before="120" w:after="120"/>
      <w:ind w:left="357"/>
    </w:pPr>
    <w:rPr>
      <w:rFonts w:asciiTheme="minorHAnsi" w:hAnsiTheme="minorHAnsi"/>
      <w:sz w:val="20"/>
      <w:szCs w:val="20"/>
      <w:lang w:eastAsia="en-AU"/>
    </w:rPr>
  </w:style>
  <w:style w:type="table" w:styleId="MediumList2-Accent1">
    <w:name w:val="Medium List 2 Accent 1"/>
    <w:basedOn w:val="TableNormal"/>
    <w:uiPriority w:val="66"/>
    <w:locked/>
    <w:rsid w:val="00974B3B"/>
    <w:pPr>
      <w:spacing w:after="0"/>
    </w:pPr>
    <w:rPr>
      <w:rFonts w:asciiTheme="majorHAnsi" w:eastAsiaTheme="majorEastAsia" w:hAnsiTheme="majorHAnsi" w:cstheme="majorBidi"/>
    </w:rPr>
    <w:tblPr>
      <w:tblStyleRowBandSize w:val="1"/>
      <w:tblStyleColBandSize w:val="1"/>
      <w:tblBorders>
        <w:top w:val="single" w:sz="8" w:space="0" w:color="003478" w:themeColor="accent1"/>
        <w:left w:val="single" w:sz="8" w:space="0" w:color="003478" w:themeColor="accent1"/>
        <w:bottom w:val="single" w:sz="8" w:space="0" w:color="003478" w:themeColor="accent1"/>
        <w:right w:val="single" w:sz="8" w:space="0" w:color="003478" w:themeColor="accent1"/>
      </w:tblBorders>
    </w:tblPr>
    <w:tblStylePr w:type="firstRow">
      <w:rPr>
        <w:sz w:val="24"/>
        <w:szCs w:val="24"/>
      </w:rPr>
      <w:tblPr/>
      <w:tcPr>
        <w:tcBorders>
          <w:top w:val="nil"/>
          <w:left w:val="nil"/>
          <w:bottom w:val="single" w:sz="24" w:space="0" w:color="003478" w:themeColor="accent1"/>
          <w:right w:val="nil"/>
          <w:insideH w:val="nil"/>
          <w:insideV w:val="nil"/>
        </w:tcBorders>
        <w:shd w:val="clear" w:color="auto" w:fill="FFFFFF" w:themeFill="background1"/>
      </w:tcPr>
    </w:tblStylePr>
    <w:tblStylePr w:type="lastRow">
      <w:tblPr/>
      <w:tcPr>
        <w:tcBorders>
          <w:top w:val="single" w:sz="8" w:space="0" w:color="00347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478" w:themeColor="accent1"/>
          <w:insideH w:val="nil"/>
          <w:insideV w:val="nil"/>
        </w:tcBorders>
        <w:shd w:val="clear" w:color="auto" w:fill="FFFFFF" w:themeFill="background1"/>
      </w:tcPr>
    </w:tblStylePr>
    <w:tblStylePr w:type="lastCol">
      <w:tblPr/>
      <w:tcPr>
        <w:tcBorders>
          <w:top w:val="nil"/>
          <w:left w:val="single" w:sz="8" w:space="0" w:color="0034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C8FF" w:themeFill="accent1" w:themeFillTint="3F"/>
      </w:tcPr>
    </w:tblStylePr>
    <w:tblStylePr w:type="band1Horz">
      <w:tblPr/>
      <w:tcPr>
        <w:tcBorders>
          <w:top w:val="nil"/>
          <w:bottom w:val="nil"/>
          <w:insideH w:val="nil"/>
          <w:insideV w:val="nil"/>
        </w:tcBorders>
        <w:shd w:val="clear" w:color="auto" w:fill="9EC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locked/>
    <w:rsid w:val="00974B3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F1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C9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C9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C9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C9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E3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E3FF" w:themeFill="accent3" w:themeFillTint="7F"/>
      </w:tcPr>
    </w:tblStylePr>
  </w:style>
  <w:style w:type="character" w:customStyle="1" w:styleId="ListParagraphChar">
    <w:name w:val="List Paragraph Char"/>
    <w:aliases w:val="Heading 2 + List Paragraph Char,NFP GP Bulleted List Char,List Bullet Mary Char,List Paragraph (numbered (a)) Char,Indent Paragraph Char,Bullets Char,Numbered List Paragraph Char,References Char,body bullets Char,LIST OF TABLES. Char"/>
    <w:basedOn w:val="DefaultParagraphFont"/>
    <w:link w:val="ListParagraph"/>
    <w:uiPriority w:val="99"/>
    <w:qFormat/>
    <w:rsid w:val="005B4B30"/>
  </w:style>
  <w:style w:type="paragraph" w:styleId="Footer">
    <w:name w:val="footer"/>
    <w:basedOn w:val="Normal"/>
    <w:link w:val="FooterChar"/>
    <w:uiPriority w:val="99"/>
    <w:unhideWhenUsed/>
    <w:rsid w:val="007E3BEE"/>
    <w:pPr>
      <w:tabs>
        <w:tab w:val="center" w:pos="4513"/>
        <w:tab w:val="right" w:pos="9026"/>
      </w:tabs>
      <w:jc w:val="right"/>
    </w:pPr>
    <w:rPr>
      <w:rFonts w:asciiTheme="minorHAnsi" w:hAnsiTheme="minorHAnsi" w:cstheme="minorHAnsi"/>
      <w:sz w:val="17"/>
      <w:szCs w:val="20"/>
      <w:lang w:val="en-GB" w:eastAsia="en-US"/>
    </w:rPr>
  </w:style>
  <w:style w:type="character" w:customStyle="1" w:styleId="FooterChar">
    <w:name w:val="Footer Char"/>
    <w:basedOn w:val="DefaultParagraphFont"/>
    <w:link w:val="Footer"/>
    <w:uiPriority w:val="99"/>
    <w:rsid w:val="007E3BEE"/>
    <w:rPr>
      <w:sz w:val="17"/>
    </w:rPr>
  </w:style>
  <w:style w:type="character" w:customStyle="1" w:styleId="Questionbold">
    <w:name w:val="Question bold"/>
    <w:basedOn w:val="DefaultParagraphFont"/>
    <w:uiPriority w:val="2"/>
    <w:qFormat/>
    <w:rsid w:val="00F30222"/>
    <w:rPr>
      <w:b/>
      <w:i/>
      <w:color w:val="007C92" w:themeColor="accent3"/>
    </w:rPr>
  </w:style>
  <w:style w:type="paragraph" w:customStyle="1" w:styleId="Questionbullet">
    <w:name w:val="Question bullet"/>
    <w:basedOn w:val="Question"/>
    <w:uiPriority w:val="2"/>
    <w:qFormat/>
    <w:rsid w:val="00F30222"/>
    <w:pPr>
      <w:numPr>
        <w:numId w:val="6"/>
      </w:numPr>
      <w:ind w:left="426" w:hanging="426"/>
    </w:pPr>
  </w:style>
  <w:style w:type="table" w:customStyle="1" w:styleId="Exampletable">
    <w:name w:val="Example table"/>
    <w:basedOn w:val="TableNormal"/>
    <w:uiPriority w:val="99"/>
    <w:rsid w:val="007549F1"/>
    <w:rPr>
      <w:color w:val="003478" w:themeColor="accent1"/>
    </w:rPr>
    <w:tblPr/>
    <w:tcPr>
      <w:shd w:val="clear" w:color="auto" w:fill="E7F4FF"/>
    </w:tcPr>
  </w:style>
  <w:style w:type="paragraph" w:customStyle="1" w:styleId="Header2">
    <w:name w:val="Header 2"/>
    <w:basedOn w:val="Header"/>
    <w:uiPriority w:val="29"/>
    <w:qFormat/>
    <w:rsid w:val="005B6307"/>
    <w:rPr>
      <w:rFonts w:ascii="Arial" w:hAnsi="Arial"/>
      <w:color w:val="auto"/>
      <w:sz w:val="16"/>
    </w:rPr>
  </w:style>
  <w:style w:type="table" w:customStyle="1" w:styleId="TTTable2">
    <w:name w:val="TT Table 2"/>
    <w:basedOn w:val="TableNormal"/>
    <w:uiPriority w:val="99"/>
    <w:rsid w:val="00314873"/>
    <w:pPr>
      <w:spacing w:before="80" w:after="80"/>
    </w:pPr>
    <w:rPr>
      <w:sz w:val="18"/>
    </w:rPr>
    <w:tblPr>
      <w:tblStyleRowBandSize w:val="1"/>
      <w:tblBorders>
        <w:top w:val="single" w:sz="4" w:space="0" w:color="0065BC" w:themeColor="background2"/>
        <w:bottom w:val="single" w:sz="4" w:space="0" w:color="0065BC" w:themeColor="background2"/>
        <w:insideH w:val="single" w:sz="4" w:space="0" w:color="0065BC" w:themeColor="background2"/>
      </w:tblBorders>
    </w:tblPr>
    <w:tcPr>
      <w:shd w:val="clear" w:color="auto" w:fill="F2F2F2" w:themeFill="background1" w:themeFillShade="F2"/>
    </w:tcPr>
    <w:tblStylePr w:type="firstRow">
      <w:rPr>
        <w:b/>
        <w:color w:val="FFFFFF" w:themeColor="background1"/>
      </w:rPr>
      <w:tblPr/>
      <w:trPr>
        <w:tblHeader/>
      </w:trPr>
      <w:tcPr>
        <w:shd w:val="clear" w:color="auto" w:fill="008542" w:themeFill="accent2"/>
      </w:tcPr>
    </w:tblStylePr>
    <w:tblStylePr w:type="firstCol">
      <w:rPr>
        <w:b/>
      </w:rPr>
    </w:tblStylePr>
    <w:tblStylePr w:type="band1Horz">
      <w:tblPr/>
      <w:tcPr>
        <w:shd w:val="clear" w:color="auto" w:fill="B3FFD8" w:themeFill="accent2" w:themeFillTint="33"/>
      </w:tcPr>
    </w:tblStylePr>
  </w:style>
  <w:style w:type="character" w:customStyle="1" w:styleId="Darkbluetext">
    <w:name w:val="Dark blue text"/>
    <w:basedOn w:val="DefaultParagraphFont"/>
    <w:uiPriority w:val="1"/>
    <w:qFormat/>
    <w:rsid w:val="00B61372"/>
    <w:rPr>
      <w:rFonts w:ascii="Arial" w:hAnsi="Arial"/>
      <w:b w:val="0"/>
      <w:color w:val="000000" w:themeColor="text2"/>
      <w:sz w:val="20"/>
      <w:szCs w:val="24"/>
    </w:rPr>
  </w:style>
  <w:style w:type="character" w:customStyle="1" w:styleId="Darkbluetextbold">
    <w:name w:val="Dark blue text bold"/>
    <w:basedOn w:val="Darkbluetext"/>
    <w:uiPriority w:val="1"/>
    <w:qFormat/>
    <w:rsid w:val="00B61372"/>
    <w:rPr>
      <w:rFonts w:ascii="Arial" w:hAnsi="Arial"/>
      <w:b/>
      <w:color w:val="000000" w:themeColor="text2"/>
      <w:sz w:val="20"/>
      <w:szCs w:val="24"/>
    </w:rPr>
  </w:style>
  <w:style w:type="table" w:customStyle="1" w:styleId="Casestudytable">
    <w:name w:val="Case study table"/>
    <w:basedOn w:val="TableNormal"/>
    <w:uiPriority w:val="99"/>
    <w:rsid w:val="007549F1"/>
    <w:pPr>
      <w:spacing w:before="80" w:after="80"/>
    </w:pPr>
    <w:rPr>
      <w:color w:val="FFFFFF" w:themeColor="background1"/>
      <w:sz w:val="18"/>
    </w:rPr>
    <w:tblPr/>
    <w:tcPr>
      <w:shd w:val="clear" w:color="auto" w:fill="007C92" w:themeFill="accent3"/>
    </w:tcPr>
    <w:tblStylePr w:type="firstRow">
      <w:rPr>
        <w:b/>
        <w:color w:val="FFFFFF" w:themeColor="background1"/>
      </w:rPr>
      <w:tblPr/>
      <w:tcPr>
        <w:shd w:val="clear" w:color="auto" w:fill="007C92" w:themeFill="accent3"/>
      </w:tcPr>
    </w:tblStylePr>
  </w:style>
  <w:style w:type="character" w:customStyle="1" w:styleId="DkBluetextbold">
    <w:name w:val="Dk Blue text bold"/>
    <w:basedOn w:val="DefaultParagraphFont"/>
    <w:uiPriority w:val="1"/>
    <w:qFormat/>
    <w:rsid w:val="00653C76"/>
    <w:rPr>
      <w:b/>
      <w:color w:val="003478" w:themeColor="accent1"/>
    </w:rPr>
  </w:style>
  <w:style w:type="table" w:customStyle="1" w:styleId="Quotetable">
    <w:name w:val="Quote table"/>
    <w:basedOn w:val="TableNormal"/>
    <w:uiPriority w:val="99"/>
    <w:rsid w:val="00653C76"/>
    <w:pPr>
      <w:spacing w:before="80" w:after="80"/>
    </w:pPr>
    <w:rPr>
      <w:rFonts w:ascii="Source Sans Pro" w:hAnsi="Source Sans Pro"/>
      <w:b/>
      <w:i/>
      <w:color w:val="008542" w:themeColor="accent2"/>
      <w:sz w:val="18"/>
    </w:rPr>
    <w:tblPr/>
    <w:tcPr>
      <w:shd w:val="clear" w:color="auto" w:fill="FFFFFF" w:themeFill="background1"/>
    </w:tcPr>
  </w:style>
  <w:style w:type="table" w:customStyle="1" w:styleId="Callouttable1">
    <w:name w:val="Callout table 1"/>
    <w:basedOn w:val="TableNormal"/>
    <w:uiPriority w:val="99"/>
    <w:rsid w:val="007549F1"/>
    <w:pPr>
      <w:spacing w:before="80" w:after="80"/>
    </w:pPr>
    <w:rPr>
      <w:b/>
      <w:color w:val="6639B7" w:themeColor="accent4"/>
      <w:sz w:val="18"/>
    </w:rPr>
    <w:tblPr>
      <w:tblBorders>
        <w:top w:val="single" w:sz="12" w:space="0" w:color="6639B7" w:themeColor="accent4"/>
        <w:bottom w:val="single" w:sz="12" w:space="0" w:color="6639B7" w:themeColor="accent4"/>
      </w:tblBorders>
    </w:tblPr>
  </w:style>
  <w:style w:type="table" w:customStyle="1" w:styleId="Callouttable2">
    <w:name w:val="Callout table 2"/>
    <w:basedOn w:val="TableNormal"/>
    <w:uiPriority w:val="99"/>
    <w:rsid w:val="007549F1"/>
    <w:pPr>
      <w:spacing w:before="80" w:after="80"/>
    </w:pPr>
    <w:rPr>
      <w:b/>
      <w:color w:val="C84E00" w:themeColor="accent6"/>
      <w:sz w:val="18"/>
    </w:rPr>
    <w:tblPr>
      <w:tblBorders>
        <w:top w:val="single" w:sz="12" w:space="0" w:color="C84E00" w:themeColor="accent6"/>
        <w:bottom w:val="single" w:sz="12" w:space="0" w:color="C84E00" w:themeColor="accent6"/>
      </w:tblBorders>
    </w:tblPr>
    <w:tcPr>
      <w:shd w:val="clear" w:color="auto" w:fill="auto"/>
    </w:tcPr>
  </w:style>
  <w:style w:type="paragraph" w:customStyle="1" w:styleId="TableParagraph">
    <w:name w:val="Table Paragraph"/>
    <w:basedOn w:val="Normal"/>
    <w:uiPriority w:val="1"/>
    <w:qFormat/>
    <w:rsid w:val="00B757D4"/>
    <w:pPr>
      <w:widowControl w:val="0"/>
      <w:autoSpaceDE w:val="0"/>
      <w:autoSpaceDN w:val="0"/>
    </w:pPr>
    <w:rPr>
      <w:rFonts w:asciiTheme="minorHAnsi" w:eastAsia="Arial" w:hAnsiTheme="minorHAnsi" w:cstheme="minorHAnsi"/>
      <w:sz w:val="22"/>
      <w:szCs w:val="22"/>
      <w:lang w:val="en-US" w:eastAsia="en-US"/>
    </w:rPr>
  </w:style>
  <w:style w:type="paragraph" w:styleId="BodyText">
    <w:name w:val="Body Text"/>
    <w:basedOn w:val="Normal"/>
    <w:link w:val="BodyTextChar"/>
    <w:uiPriority w:val="1"/>
    <w:qFormat/>
    <w:locked/>
    <w:rsid w:val="0072363B"/>
    <w:pPr>
      <w:spacing w:before="120" w:after="120"/>
    </w:pPr>
    <w:rPr>
      <w:rFonts w:asciiTheme="minorHAnsi" w:hAnsiTheme="minorHAnsi" w:cstheme="minorHAnsi"/>
      <w:sz w:val="20"/>
      <w:szCs w:val="20"/>
      <w:lang w:val="en-GB" w:eastAsia="en-US"/>
    </w:rPr>
  </w:style>
  <w:style w:type="character" w:customStyle="1" w:styleId="BodyTextChar">
    <w:name w:val="Body Text Char"/>
    <w:basedOn w:val="DefaultParagraphFont"/>
    <w:link w:val="BodyText"/>
    <w:uiPriority w:val="1"/>
    <w:rsid w:val="0072363B"/>
    <w:rPr>
      <w:rFonts w:asciiTheme="minorHAnsi" w:hAnsiTheme="minorHAnsi" w:cstheme="minorHAnsi"/>
    </w:rPr>
  </w:style>
  <w:style w:type="paragraph" w:customStyle="1" w:styleId="prefade">
    <w:name w:val="prefade"/>
    <w:basedOn w:val="Normal"/>
    <w:rsid w:val="0072363B"/>
    <w:pPr>
      <w:spacing w:before="100" w:beforeAutospacing="1" w:after="100" w:afterAutospacing="1"/>
    </w:pPr>
    <w:rPr>
      <w:lang w:eastAsia="en-AU"/>
    </w:rPr>
  </w:style>
  <w:style w:type="table" w:styleId="PlainTable4">
    <w:name w:val="Plain Table 4"/>
    <w:basedOn w:val="TableNormal"/>
    <w:uiPriority w:val="44"/>
    <w:rsid w:val="00136DF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lauseHeading">
    <w:name w:val="Clause Heading"/>
    <w:basedOn w:val="Normal"/>
    <w:link w:val="ClauseHeadingChar"/>
    <w:qFormat/>
    <w:rsid w:val="00FF07ED"/>
    <w:pPr>
      <w:keepNext/>
      <w:keepLines/>
      <w:numPr>
        <w:ilvl w:val="1"/>
        <w:numId w:val="8"/>
      </w:numPr>
      <w:spacing w:before="240" w:line="259" w:lineRule="auto"/>
      <w:outlineLvl w:val="0"/>
    </w:pPr>
    <w:rPr>
      <w:rFonts w:asciiTheme="majorHAnsi" w:eastAsiaTheme="majorEastAsia" w:hAnsiTheme="majorHAnsi" w:cstheme="majorBidi"/>
      <w:b/>
      <w:szCs w:val="32"/>
      <w:lang w:eastAsia="en-US"/>
    </w:rPr>
  </w:style>
  <w:style w:type="paragraph" w:customStyle="1" w:styleId="ClauseDetails">
    <w:name w:val="Clause Details"/>
    <w:basedOn w:val="ClauseHeading"/>
    <w:link w:val="ClauseDetailsChar"/>
    <w:qFormat/>
    <w:rsid w:val="00FF07ED"/>
    <w:pPr>
      <w:numPr>
        <w:ilvl w:val="2"/>
      </w:numPr>
      <w:ind w:left="851"/>
    </w:pPr>
    <w:rPr>
      <w:b w:val="0"/>
      <w:sz w:val="22"/>
    </w:rPr>
  </w:style>
  <w:style w:type="character" w:customStyle="1" w:styleId="ClauseHeadingChar">
    <w:name w:val="Clause Heading Char"/>
    <w:basedOn w:val="DefaultParagraphFont"/>
    <w:link w:val="ClauseHeading"/>
    <w:rsid w:val="00FF07ED"/>
    <w:rPr>
      <w:rFonts w:asciiTheme="majorHAnsi" w:eastAsiaTheme="majorEastAsia" w:hAnsiTheme="majorHAnsi" w:cstheme="majorBidi"/>
      <w:b/>
      <w:sz w:val="24"/>
      <w:szCs w:val="32"/>
      <w:lang w:val="en-AU"/>
    </w:rPr>
  </w:style>
  <w:style w:type="character" w:customStyle="1" w:styleId="ClauseDetailsChar">
    <w:name w:val="Clause Details Char"/>
    <w:basedOn w:val="ClauseHeadingChar"/>
    <w:link w:val="ClauseDetails"/>
    <w:rsid w:val="00FF07ED"/>
    <w:rPr>
      <w:rFonts w:asciiTheme="majorHAnsi" w:eastAsiaTheme="majorEastAsia" w:hAnsiTheme="majorHAnsi" w:cstheme="majorBidi"/>
      <w:b w:val="0"/>
      <w:sz w:val="22"/>
      <w:szCs w:val="32"/>
      <w:lang w:val="en-AU"/>
    </w:rPr>
  </w:style>
  <w:style w:type="character" w:styleId="FollowedHyperlink">
    <w:name w:val="FollowedHyperlink"/>
    <w:basedOn w:val="DefaultParagraphFont"/>
    <w:semiHidden/>
    <w:unhideWhenUsed/>
    <w:locked/>
    <w:rsid w:val="00A15C4A"/>
    <w:rPr>
      <w:color w:val="007C92" w:themeColor="followedHyperlink"/>
      <w:u w:val="single"/>
    </w:rPr>
  </w:style>
  <w:style w:type="paragraph" w:styleId="TableofFigures">
    <w:name w:val="table of figures"/>
    <w:basedOn w:val="Normal"/>
    <w:next w:val="Normal"/>
    <w:uiPriority w:val="99"/>
    <w:unhideWhenUsed/>
    <w:locked/>
    <w:rsid w:val="00E350F4"/>
    <w:pPr>
      <w:spacing w:before="120"/>
    </w:pPr>
    <w:rPr>
      <w:rFonts w:asciiTheme="minorHAnsi" w:hAnsiTheme="minorHAnsi" w:cstheme="minorHAnsi"/>
      <w:sz w:val="20"/>
      <w:szCs w:val="20"/>
      <w:lang w:val="en-GB" w:eastAsia="en-US"/>
    </w:rPr>
  </w:style>
  <w:style w:type="paragraph" w:customStyle="1" w:styleId="pf0">
    <w:name w:val="pf0"/>
    <w:basedOn w:val="Normal"/>
    <w:rsid w:val="00AA554C"/>
    <w:pPr>
      <w:spacing w:before="100" w:beforeAutospacing="1" w:after="100" w:afterAutospacing="1"/>
    </w:pPr>
    <w:rPr>
      <w:lang w:eastAsia="en-AU"/>
    </w:rPr>
  </w:style>
  <w:style w:type="character" w:customStyle="1" w:styleId="cf01">
    <w:name w:val="cf01"/>
    <w:basedOn w:val="DefaultParagraphFont"/>
    <w:rsid w:val="00AA554C"/>
    <w:rPr>
      <w:rFonts w:ascii="Segoe UI" w:hAnsi="Segoe UI" w:cs="Segoe UI" w:hint="default"/>
      <w:sz w:val="18"/>
      <w:szCs w:val="18"/>
    </w:rPr>
  </w:style>
  <w:style w:type="character" w:styleId="UnresolvedMention">
    <w:name w:val="Unresolved Mention"/>
    <w:basedOn w:val="DefaultParagraphFont"/>
    <w:uiPriority w:val="99"/>
    <w:semiHidden/>
    <w:unhideWhenUsed/>
    <w:rsid w:val="00AA554C"/>
    <w:rPr>
      <w:color w:val="605E5C"/>
      <w:shd w:val="clear" w:color="auto" w:fill="E1DFDD"/>
    </w:rPr>
  </w:style>
  <w:style w:type="character" w:customStyle="1" w:styleId="oypena">
    <w:name w:val="oypena"/>
    <w:basedOn w:val="DefaultParagraphFont"/>
    <w:rsid w:val="00572C7D"/>
  </w:style>
  <w:style w:type="paragraph" w:customStyle="1" w:styleId="cvgsua">
    <w:name w:val="cvgsua"/>
    <w:basedOn w:val="Normal"/>
    <w:rsid w:val="00572C7D"/>
    <w:pPr>
      <w:spacing w:before="100" w:beforeAutospacing="1" w:after="100" w:afterAutospacing="1"/>
    </w:pPr>
    <w:rPr>
      <w:lang w:eastAsia="en-AU"/>
    </w:rPr>
  </w:style>
  <w:style w:type="table" w:customStyle="1" w:styleId="CBSTable1">
    <w:name w:val="_CBS Table1"/>
    <w:basedOn w:val="TableNormal"/>
    <w:next w:val="TableGrid"/>
    <w:uiPriority w:val="39"/>
    <w:rsid w:val="00394E62"/>
    <w:pPr>
      <w:spacing w:before="0" w:after="0"/>
    </w:pPr>
    <w:rPr>
      <w:rFonts w:ascii="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52530"/>
    <w:pPr>
      <w:spacing w:before="100" w:beforeAutospacing="1" w:after="100" w:afterAutospacing="1"/>
    </w:pPr>
    <w:rPr>
      <w:lang w:val="de-DE" w:eastAsia="de-DE"/>
    </w:rPr>
  </w:style>
  <w:style w:type="character" w:styleId="SubtleEmphasis">
    <w:name w:val="Subtle Emphasis"/>
    <w:basedOn w:val="DefaultParagraphFont"/>
    <w:uiPriority w:val="19"/>
    <w:qFormat/>
    <w:locked/>
    <w:rsid w:val="00752530"/>
    <w:rPr>
      <w:i/>
      <w:iCs/>
      <w:color w:val="96989A" w:themeColor="text1" w:themeTint="BF"/>
    </w:rPr>
  </w:style>
  <w:style w:type="character" w:styleId="Mention">
    <w:name w:val="Mention"/>
    <w:basedOn w:val="DefaultParagraphFont"/>
    <w:uiPriority w:val="99"/>
    <w:unhideWhenUsed/>
    <w:rsid w:val="00054F01"/>
    <w:rPr>
      <w:color w:val="2B579A"/>
      <w:shd w:val="clear" w:color="auto" w:fill="E1DFDD"/>
    </w:rPr>
  </w:style>
  <w:style w:type="paragraph" w:customStyle="1" w:styleId="p1">
    <w:name w:val="p1"/>
    <w:basedOn w:val="Normal"/>
    <w:rsid w:val="00EA6D31"/>
    <w:rPr>
      <w:rFonts w:ascii="Book Antiqua" w:hAnsi="Book Antiqua"/>
      <w:color w:val="141413"/>
      <w:sz w:val="15"/>
      <w:szCs w:val="15"/>
    </w:rPr>
  </w:style>
  <w:style w:type="paragraph" w:customStyle="1" w:styleId="p2">
    <w:name w:val="p2"/>
    <w:basedOn w:val="Normal"/>
    <w:rsid w:val="00245E11"/>
    <w:rPr>
      <w:rFonts w:ascii="Helvetica" w:hAnsi="Helvetica"/>
      <w:color w:val="FFFFFE"/>
      <w:sz w:val="36"/>
      <w:szCs w:val="36"/>
    </w:rPr>
  </w:style>
  <w:style w:type="character" w:customStyle="1" w:styleId="apple-converted-space">
    <w:name w:val="apple-converted-space"/>
    <w:basedOn w:val="DefaultParagraphFont"/>
    <w:rsid w:val="00D51A85"/>
  </w:style>
  <w:style w:type="character" w:customStyle="1" w:styleId="whitespace-normal">
    <w:name w:val="whitespace-normal"/>
    <w:basedOn w:val="DefaultParagraphFont"/>
    <w:rsid w:val="00A1492D"/>
  </w:style>
  <w:style w:type="paragraph" w:styleId="z-TopofForm">
    <w:name w:val="HTML Top of Form"/>
    <w:basedOn w:val="Normal"/>
    <w:next w:val="Normal"/>
    <w:link w:val="z-TopofFormChar"/>
    <w:hidden/>
    <w:uiPriority w:val="99"/>
    <w:semiHidden/>
    <w:unhideWhenUsed/>
    <w:rsid w:val="003E0DE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E0DE3"/>
    <w:rPr>
      <w:vanish/>
      <w:sz w:val="16"/>
      <w:szCs w:val="16"/>
      <w:lang w:val="en-AU" w:eastAsia="en-GB"/>
    </w:rPr>
  </w:style>
  <w:style w:type="paragraph" w:customStyle="1" w:styleId="placeholder">
    <w:name w:val="placeholder"/>
    <w:basedOn w:val="Normal"/>
    <w:rsid w:val="003E0DE3"/>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3E0DE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E0DE3"/>
    <w:rPr>
      <w:vanish/>
      <w:sz w:val="16"/>
      <w:szCs w:val="16"/>
      <w:lang w:val="en-AU" w:eastAsia="en-GB"/>
    </w:rPr>
  </w:style>
  <w:style w:type="character" w:customStyle="1" w:styleId="agcmg">
    <w:name w:val="a_gcmg"/>
    <w:basedOn w:val="DefaultParagraphFont"/>
    <w:rsid w:val="002D7127"/>
  </w:style>
  <w:style w:type="table" w:customStyle="1" w:styleId="TableGrid1">
    <w:name w:val="Table Grid1"/>
    <w:basedOn w:val="TableNormal"/>
    <w:next w:val="TableGrid"/>
    <w:uiPriority w:val="59"/>
    <w:rsid w:val="00F31802"/>
    <w:pPr>
      <w:spacing w:before="0" w:after="0"/>
    </w:pPr>
    <w:rPr>
      <w:rFonts w:asciiTheme="minorHAnsi" w:eastAsiaTheme="minorEastAs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electedend">
    <w:name w:val="isselectedend"/>
    <w:basedOn w:val="Normal"/>
    <w:rsid w:val="004B043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54898">
      <w:bodyDiv w:val="1"/>
      <w:marLeft w:val="0"/>
      <w:marRight w:val="0"/>
      <w:marTop w:val="0"/>
      <w:marBottom w:val="0"/>
      <w:divBdr>
        <w:top w:val="none" w:sz="0" w:space="0" w:color="auto"/>
        <w:left w:val="none" w:sz="0" w:space="0" w:color="auto"/>
        <w:bottom w:val="none" w:sz="0" w:space="0" w:color="auto"/>
        <w:right w:val="none" w:sz="0" w:space="0" w:color="auto"/>
      </w:divBdr>
    </w:div>
    <w:div w:id="68618083">
      <w:bodyDiv w:val="1"/>
      <w:marLeft w:val="0"/>
      <w:marRight w:val="0"/>
      <w:marTop w:val="0"/>
      <w:marBottom w:val="0"/>
      <w:divBdr>
        <w:top w:val="none" w:sz="0" w:space="0" w:color="auto"/>
        <w:left w:val="none" w:sz="0" w:space="0" w:color="auto"/>
        <w:bottom w:val="none" w:sz="0" w:space="0" w:color="auto"/>
        <w:right w:val="none" w:sz="0" w:space="0" w:color="auto"/>
      </w:divBdr>
    </w:div>
    <w:div w:id="84542830">
      <w:bodyDiv w:val="1"/>
      <w:marLeft w:val="0"/>
      <w:marRight w:val="0"/>
      <w:marTop w:val="0"/>
      <w:marBottom w:val="0"/>
      <w:divBdr>
        <w:top w:val="none" w:sz="0" w:space="0" w:color="auto"/>
        <w:left w:val="none" w:sz="0" w:space="0" w:color="auto"/>
        <w:bottom w:val="none" w:sz="0" w:space="0" w:color="auto"/>
        <w:right w:val="none" w:sz="0" w:space="0" w:color="auto"/>
      </w:divBdr>
    </w:div>
    <w:div w:id="93092410">
      <w:bodyDiv w:val="1"/>
      <w:marLeft w:val="0"/>
      <w:marRight w:val="0"/>
      <w:marTop w:val="0"/>
      <w:marBottom w:val="0"/>
      <w:divBdr>
        <w:top w:val="none" w:sz="0" w:space="0" w:color="auto"/>
        <w:left w:val="none" w:sz="0" w:space="0" w:color="auto"/>
        <w:bottom w:val="none" w:sz="0" w:space="0" w:color="auto"/>
        <w:right w:val="none" w:sz="0" w:space="0" w:color="auto"/>
      </w:divBdr>
    </w:div>
    <w:div w:id="142502109">
      <w:bodyDiv w:val="1"/>
      <w:marLeft w:val="0"/>
      <w:marRight w:val="0"/>
      <w:marTop w:val="0"/>
      <w:marBottom w:val="0"/>
      <w:divBdr>
        <w:top w:val="none" w:sz="0" w:space="0" w:color="auto"/>
        <w:left w:val="none" w:sz="0" w:space="0" w:color="auto"/>
        <w:bottom w:val="none" w:sz="0" w:space="0" w:color="auto"/>
        <w:right w:val="none" w:sz="0" w:space="0" w:color="auto"/>
      </w:divBdr>
    </w:div>
    <w:div w:id="153422979">
      <w:bodyDiv w:val="1"/>
      <w:marLeft w:val="0"/>
      <w:marRight w:val="0"/>
      <w:marTop w:val="0"/>
      <w:marBottom w:val="0"/>
      <w:divBdr>
        <w:top w:val="none" w:sz="0" w:space="0" w:color="auto"/>
        <w:left w:val="none" w:sz="0" w:space="0" w:color="auto"/>
        <w:bottom w:val="none" w:sz="0" w:space="0" w:color="auto"/>
        <w:right w:val="none" w:sz="0" w:space="0" w:color="auto"/>
      </w:divBdr>
    </w:div>
    <w:div w:id="160631171">
      <w:bodyDiv w:val="1"/>
      <w:marLeft w:val="0"/>
      <w:marRight w:val="0"/>
      <w:marTop w:val="0"/>
      <w:marBottom w:val="0"/>
      <w:divBdr>
        <w:top w:val="none" w:sz="0" w:space="0" w:color="auto"/>
        <w:left w:val="none" w:sz="0" w:space="0" w:color="auto"/>
        <w:bottom w:val="none" w:sz="0" w:space="0" w:color="auto"/>
        <w:right w:val="none" w:sz="0" w:space="0" w:color="auto"/>
      </w:divBdr>
    </w:div>
    <w:div w:id="176502890">
      <w:bodyDiv w:val="1"/>
      <w:marLeft w:val="0"/>
      <w:marRight w:val="0"/>
      <w:marTop w:val="0"/>
      <w:marBottom w:val="0"/>
      <w:divBdr>
        <w:top w:val="none" w:sz="0" w:space="0" w:color="auto"/>
        <w:left w:val="none" w:sz="0" w:space="0" w:color="auto"/>
        <w:bottom w:val="none" w:sz="0" w:space="0" w:color="auto"/>
        <w:right w:val="none" w:sz="0" w:space="0" w:color="auto"/>
      </w:divBdr>
    </w:div>
    <w:div w:id="208960961">
      <w:bodyDiv w:val="1"/>
      <w:marLeft w:val="0"/>
      <w:marRight w:val="0"/>
      <w:marTop w:val="0"/>
      <w:marBottom w:val="0"/>
      <w:divBdr>
        <w:top w:val="none" w:sz="0" w:space="0" w:color="auto"/>
        <w:left w:val="none" w:sz="0" w:space="0" w:color="auto"/>
        <w:bottom w:val="none" w:sz="0" w:space="0" w:color="auto"/>
        <w:right w:val="none" w:sz="0" w:space="0" w:color="auto"/>
      </w:divBdr>
    </w:div>
    <w:div w:id="219825617">
      <w:bodyDiv w:val="1"/>
      <w:marLeft w:val="0"/>
      <w:marRight w:val="0"/>
      <w:marTop w:val="0"/>
      <w:marBottom w:val="0"/>
      <w:divBdr>
        <w:top w:val="none" w:sz="0" w:space="0" w:color="auto"/>
        <w:left w:val="none" w:sz="0" w:space="0" w:color="auto"/>
        <w:bottom w:val="none" w:sz="0" w:space="0" w:color="auto"/>
        <w:right w:val="none" w:sz="0" w:space="0" w:color="auto"/>
      </w:divBdr>
    </w:div>
    <w:div w:id="225336288">
      <w:bodyDiv w:val="1"/>
      <w:marLeft w:val="0"/>
      <w:marRight w:val="0"/>
      <w:marTop w:val="0"/>
      <w:marBottom w:val="0"/>
      <w:divBdr>
        <w:top w:val="none" w:sz="0" w:space="0" w:color="auto"/>
        <w:left w:val="none" w:sz="0" w:space="0" w:color="auto"/>
        <w:bottom w:val="none" w:sz="0" w:space="0" w:color="auto"/>
        <w:right w:val="none" w:sz="0" w:space="0" w:color="auto"/>
      </w:divBdr>
    </w:div>
    <w:div w:id="225604042">
      <w:bodyDiv w:val="1"/>
      <w:marLeft w:val="0"/>
      <w:marRight w:val="0"/>
      <w:marTop w:val="0"/>
      <w:marBottom w:val="0"/>
      <w:divBdr>
        <w:top w:val="none" w:sz="0" w:space="0" w:color="auto"/>
        <w:left w:val="none" w:sz="0" w:space="0" w:color="auto"/>
        <w:bottom w:val="none" w:sz="0" w:space="0" w:color="auto"/>
        <w:right w:val="none" w:sz="0" w:space="0" w:color="auto"/>
      </w:divBdr>
    </w:div>
    <w:div w:id="225799938">
      <w:bodyDiv w:val="1"/>
      <w:marLeft w:val="0"/>
      <w:marRight w:val="0"/>
      <w:marTop w:val="0"/>
      <w:marBottom w:val="0"/>
      <w:divBdr>
        <w:top w:val="none" w:sz="0" w:space="0" w:color="auto"/>
        <w:left w:val="none" w:sz="0" w:space="0" w:color="auto"/>
        <w:bottom w:val="none" w:sz="0" w:space="0" w:color="auto"/>
        <w:right w:val="none" w:sz="0" w:space="0" w:color="auto"/>
      </w:divBdr>
    </w:div>
    <w:div w:id="234054794">
      <w:bodyDiv w:val="1"/>
      <w:marLeft w:val="0"/>
      <w:marRight w:val="0"/>
      <w:marTop w:val="0"/>
      <w:marBottom w:val="0"/>
      <w:divBdr>
        <w:top w:val="none" w:sz="0" w:space="0" w:color="auto"/>
        <w:left w:val="none" w:sz="0" w:space="0" w:color="auto"/>
        <w:bottom w:val="none" w:sz="0" w:space="0" w:color="auto"/>
        <w:right w:val="none" w:sz="0" w:space="0" w:color="auto"/>
      </w:divBdr>
    </w:div>
    <w:div w:id="263267530">
      <w:bodyDiv w:val="1"/>
      <w:marLeft w:val="0"/>
      <w:marRight w:val="0"/>
      <w:marTop w:val="0"/>
      <w:marBottom w:val="0"/>
      <w:divBdr>
        <w:top w:val="none" w:sz="0" w:space="0" w:color="auto"/>
        <w:left w:val="none" w:sz="0" w:space="0" w:color="auto"/>
        <w:bottom w:val="none" w:sz="0" w:space="0" w:color="auto"/>
        <w:right w:val="none" w:sz="0" w:space="0" w:color="auto"/>
      </w:divBdr>
    </w:div>
    <w:div w:id="265625027">
      <w:bodyDiv w:val="1"/>
      <w:marLeft w:val="0"/>
      <w:marRight w:val="0"/>
      <w:marTop w:val="0"/>
      <w:marBottom w:val="0"/>
      <w:divBdr>
        <w:top w:val="none" w:sz="0" w:space="0" w:color="auto"/>
        <w:left w:val="none" w:sz="0" w:space="0" w:color="auto"/>
        <w:bottom w:val="none" w:sz="0" w:space="0" w:color="auto"/>
        <w:right w:val="none" w:sz="0" w:space="0" w:color="auto"/>
      </w:divBdr>
    </w:div>
    <w:div w:id="304310656">
      <w:bodyDiv w:val="1"/>
      <w:marLeft w:val="0"/>
      <w:marRight w:val="0"/>
      <w:marTop w:val="0"/>
      <w:marBottom w:val="0"/>
      <w:divBdr>
        <w:top w:val="none" w:sz="0" w:space="0" w:color="auto"/>
        <w:left w:val="none" w:sz="0" w:space="0" w:color="auto"/>
        <w:bottom w:val="none" w:sz="0" w:space="0" w:color="auto"/>
        <w:right w:val="none" w:sz="0" w:space="0" w:color="auto"/>
      </w:divBdr>
    </w:div>
    <w:div w:id="320083573">
      <w:bodyDiv w:val="1"/>
      <w:marLeft w:val="0"/>
      <w:marRight w:val="0"/>
      <w:marTop w:val="0"/>
      <w:marBottom w:val="0"/>
      <w:divBdr>
        <w:top w:val="none" w:sz="0" w:space="0" w:color="auto"/>
        <w:left w:val="none" w:sz="0" w:space="0" w:color="auto"/>
        <w:bottom w:val="none" w:sz="0" w:space="0" w:color="auto"/>
        <w:right w:val="none" w:sz="0" w:space="0" w:color="auto"/>
      </w:divBdr>
    </w:div>
    <w:div w:id="350569979">
      <w:bodyDiv w:val="1"/>
      <w:marLeft w:val="0"/>
      <w:marRight w:val="0"/>
      <w:marTop w:val="0"/>
      <w:marBottom w:val="0"/>
      <w:divBdr>
        <w:top w:val="none" w:sz="0" w:space="0" w:color="auto"/>
        <w:left w:val="none" w:sz="0" w:space="0" w:color="auto"/>
        <w:bottom w:val="none" w:sz="0" w:space="0" w:color="auto"/>
        <w:right w:val="none" w:sz="0" w:space="0" w:color="auto"/>
      </w:divBdr>
    </w:div>
    <w:div w:id="362439366">
      <w:bodyDiv w:val="1"/>
      <w:marLeft w:val="0"/>
      <w:marRight w:val="0"/>
      <w:marTop w:val="0"/>
      <w:marBottom w:val="0"/>
      <w:divBdr>
        <w:top w:val="none" w:sz="0" w:space="0" w:color="auto"/>
        <w:left w:val="none" w:sz="0" w:space="0" w:color="auto"/>
        <w:bottom w:val="none" w:sz="0" w:space="0" w:color="auto"/>
        <w:right w:val="none" w:sz="0" w:space="0" w:color="auto"/>
      </w:divBdr>
    </w:div>
    <w:div w:id="379129837">
      <w:bodyDiv w:val="1"/>
      <w:marLeft w:val="0"/>
      <w:marRight w:val="0"/>
      <w:marTop w:val="0"/>
      <w:marBottom w:val="0"/>
      <w:divBdr>
        <w:top w:val="none" w:sz="0" w:space="0" w:color="auto"/>
        <w:left w:val="none" w:sz="0" w:space="0" w:color="auto"/>
        <w:bottom w:val="none" w:sz="0" w:space="0" w:color="auto"/>
        <w:right w:val="none" w:sz="0" w:space="0" w:color="auto"/>
      </w:divBdr>
    </w:div>
    <w:div w:id="387920740">
      <w:bodyDiv w:val="1"/>
      <w:marLeft w:val="0"/>
      <w:marRight w:val="0"/>
      <w:marTop w:val="0"/>
      <w:marBottom w:val="0"/>
      <w:divBdr>
        <w:top w:val="none" w:sz="0" w:space="0" w:color="auto"/>
        <w:left w:val="none" w:sz="0" w:space="0" w:color="auto"/>
        <w:bottom w:val="none" w:sz="0" w:space="0" w:color="auto"/>
        <w:right w:val="none" w:sz="0" w:space="0" w:color="auto"/>
      </w:divBdr>
    </w:div>
    <w:div w:id="390662002">
      <w:bodyDiv w:val="1"/>
      <w:marLeft w:val="0"/>
      <w:marRight w:val="0"/>
      <w:marTop w:val="0"/>
      <w:marBottom w:val="0"/>
      <w:divBdr>
        <w:top w:val="none" w:sz="0" w:space="0" w:color="auto"/>
        <w:left w:val="none" w:sz="0" w:space="0" w:color="auto"/>
        <w:bottom w:val="none" w:sz="0" w:space="0" w:color="auto"/>
        <w:right w:val="none" w:sz="0" w:space="0" w:color="auto"/>
      </w:divBdr>
    </w:div>
    <w:div w:id="417992989">
      <w:bodyDiv w:val="1"/>
      <w:marLeft w:val="0"/>
      <w:marRight w:val="0"/>
      <w:marTop w:val="0"/>
      <w:marBottom w:val="0"/>
      <w:divBdr>
        <w:top w:val="none" w:sz="0" w:space="0" w:color="auto"/>
        <w:left w:val="none" w:sz="0" w:space="0" w:color="auto"/>
        <w:bottom w:val="none" w:sz="0" w:space="0" w:color="auto"/>
        <w:right w:val="none" w:sz="0" w:space="0" w:color="auto"/>
      </w:divBdr>
    </w:div>
    <w:div w:id="418451179">
      <w:bodyDiv w:val="1"/>
      <w:marLeft w:val="0"/>
      <w:marRight w:val="0"/>
      <w:marTop w:val="0"/>
      <w:marBottom w:val="0"/>
      <w:divBdr>
        <w:top w:val="none" w:sz="0" w:space="0" w:color="auto"/>
        <w:left w:val="none" w:sz="0" w:space="0" w:color="auto"/>
        <w:bottom w:val="none" w:sz="0" w:space="0" w:color="auto"/>
        <w:right w:val="none" w:sz="0" w:space="0" w:color="auto"/>
      </w:divBdr>
    </w:div>
    <w:div w:id="498272768">
      <w:bodyDiv w:val="1"/>
      <w:marLeft w:val="0"/>
      <w:marRight w:val="0"/>
      <w:marTop w:val="0"/>
      <w:marBottom w:val="0"/>
      <w:divBdr>
        <w:top w:val="none" w:sz="0" w:space="0" w:color="auto"/>
        <w:left w:val="none" w:sz="0" w:space="0" w:color="auto"/>
        <w:bottom w:val="none" w:sz="0" w:space="0" w:color="auto"/>
        <w:right w:val="none" w:sz="0" w:space="0" w:color="auto"/>
      </w:divBdr>
    </w:div>
    <w:div w:id="520358940">
      <w:bodyDiv w:val="1"/>
      <w:marLeft w:val="0"/>
      <w:marRight w:val="0"/>
      <w:marTop w:val="0"/>
      <w:marBottom w:val="0"/>
      <w:divBdr>
        <w:top w:val="none" w:sz="0" w:space="0" w:color="auto"/>
        <w:left w:val="none" w:sz="0" w:space="0" w:color="auto"/>
        <w:bottom w:val="none" w:sz="0" w:space="0" w:color="auto"/>
        <w:right w:val="none" w:sz="0" w:space="0" w:color="auto"/>
      </w:divBdr>
      <w:divsChild>
        <w:div w:id="569653456">
          <w:marLeft w:val="0"/>
          <w:marRight w:val="0"/>
          <w:marTop w:val="0"/>
          <w:marBottom w:val="0"/>
          <w:divBdr>
            <w:top w:val="none" w:sz="0" w:space="0" w:color="auto"/>
            <w:left w:val="none" w:sz="0" w:space="0" w:color="auto"/>
            <w:bottom w:val="none" w:sz="0" w:space="0" w:color="auto"/>
            <w:right w:val="none" w:sz="0" w:space="0" w:color="auto"/>
          </w:divBdr>
          <w:divsChild>
            <w:div w:id="1690328535">
              <w:marLeft w:val="0"/>
              <w:marRight w:val="0"/>
              <w:marTop w:val="0"/>
              <w:marBottom w:val="0"/>
              <w:divBdr>
                <w:top w:val="none" w:sz="0" w:space="0" w:color="auto"/>
                <w:left w:val="none" w:sz="0" w:space="0" w:color="auto"/>
                <w:bottom w:val="none" w:sz="0" w:space="0" w:color="auto"/>
                <w:right w:val="none" w:sz="0" w:space="0" w:color="auto"/>
              </w:divBdr>
              <w:divsChild>
                <w:div w:id="159852649">
                  <w:marLeft w:val="0"/>
                  <w:marRight w:val="0"/>
                  <w:marTop w:val="0"/>
                  <w:marBottom w:val="0"/>
                  <w:divBdr>
                    <w:top w:val="none" w:sz="0" w:space="0" w:color="auto"/>
                    <w:left w:val="none" w:sz="0" w:space="0" w:color="auto"/>
                    <w:bottom w:val="none" w:sz="0" w:space="0" w:color="auto"/>
                    <w:right w:val="none" w:sz="0" w:space="0" w:color="auto"/>
                  </w:divBdr>
                  <w:divsChild>
                    <w:div w:id="1110705489">
                      <w:marLeft w:val="0"/>
                      <w:marRight w:val="0"/>
                      <w:marTop w:val="0"/>
                      <w:marBottom w:val="0"/>
                      <w:divBdr>
                        <w:top w:val="none" w:sz="0" w:space="0" w:color="auto"/>
                        <w:left w:val="none" w:sz="0" w:space="0" w:color="auto"/>
                        <w:bottom w:val="none" w:sz="0" w:space="0" w:color="auto"/>
                        <w:right w:val="none" w:sz="0" w:space="0" w:color="auto"/>
                      </w:divBdr>
                      <w:divsChild>
                        <w:div w:id="1397241081">
                          <w:marLeft w:val="0"/>
                          <w:marRight w:val="0"/>
                          <w:marTop w:val="0"/>
                          <w:marBottom w:val="0"/>
                          <w:divBdr>
                            <w:top w:val="none" w:sz="0" w:space="0" w:color="auto"/>
                            <w:left w:val="none" w:sz="0" w:space="0" w:color="auto"/>
                            <w:bottom w:val="none" w:sz="0" w:space="0" w:color="auto"/>
                            <w:right w:val="none" w:sz="0" w:space="0" w:color="auto"/>
                          </w:divBdr>
                          <w:divsChild>
                            <w:div w:id="1571305051">
                              <w:marLeft w:val="0"/>
                              <w:marRight w:val="0"/>
                              <w:marTop w:val="0"/>
                              <w:marBottom w:val="0"/>
                              <w:divBdr>
                                <w:top w:val="none" w:sz="0" w:space="0" w:color="auto"/>
                                <w:left w:val="none" w:sz="0" w:space="0" w:color="auto"/>
                                <w:bottom w:val="none" w:sz="0" w:space="0" w:color="auto"/>
                                <w:right w:val="none" w:sz="0" w:space="0" w:color="auto"/>
                              </w:divBdr>
                              <w:divsChild>
                                <w:div w:id="360134292">
                                  <w:marLeft w:val="0"/>
                                  <w:marRight w:val="0"/>
                                  <w:marTop w:val="0"/>
                                  <w:marBottom w:val="0"/>
                                  <w:divBdr>
                                    <w:top w:val="none" w:sz="0" w:space="0" w:color="auto"/>
                                    <w:left w:val="none" w:sz="0" w:space="0" w:color="auto"/>
                                    <w:bottom w:val="none" w:sz="0" w:space="0" w:color="auto"/>
                                    <w:right w:val="none" w:sz="0" w:space="0" w:color="auto"/>
                                  </w:divBdr>
                                  <w:divsChild>
                                    <w:div w:id="151390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436634">
                      <w:marLeft w:val="0"/>
                      <w:marRight w:val="0"/>
                      <w:marTop w:val="0"/>
                      <w:marBottom w:val="0"/>
                      <w:divBdr>
                        <w:top w:val="none" w:sz="0" w:space="0" w:color="auto"/>
                        <w:left w:val="none" w:sz="0" w:space="0" w:color="auto"/>
                        <w:bottom w:val="none" w:sz="0" w:space="0" w:color="auto"/>
                        <w:right w:val="none" w:sz="0" w:space="0" w:color="auto"/>
                      </w:divBdr>
                      <w:divsChild>
                        <w:div w:id="21151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45157">
      <w:bodyDiv w:val="1"/>
      <w:marLeft w:val="0"/>
      <w:marRight w:val="0"/>
      <w:marTop w:val="0"/>
      <w:marBottom w:val="0"/>
      <w:divBdr>
        <w:top w:val="none" w:sz="0" w:space="0" w:color="auto"/>
        <w:left w:val="none" w:sz="0" w:space="0" w:color="auto"/>
        <w:bottom w:val="none" w:sz="0" w:space="0" w:color="auto"/>
        <w:right w:val="none" w:sz="0" w:space="0" w:color="auto"/>
      </w:divBdr>
    </w:div>
    <w:div w:id="533156643">
      <w:bodyDiv w:val="1"/>
      <w:marLeft w:val="0"/>
      <w:marRight w:val="0"/>
      <w:marTop w:val="0"/>
      <w:marBottom w:val="0"/>
      <w:divBdr>
        <w:top w:val="none" w:sz="0" w:space="0" w:color="auto"/>
        <w:left w:val="none" w:sz="0" w:space="0" w:color="auto"/>
        <w:bottom w:val="none" w:sz="0" w:space="0" w:color="auto"/>
        <w:right w:val="none" w:sz="0" w:space="0" w:color="auto"/>
      </w:divBdr>
    </w:div>
    <w:div w:id="547567505">
      <w:bodyDiv w:val="1"/>
      <w:marLeft w:val="0"/>
      <w:marRight w:val="0"/>
      <w:marTop w:val="0"/>
      <w:marBottom w:val="0"/>
      <w:divBdr>
        <w:top w:val="none" w:sz="0" w:space="0" w:color="auto"/>
        <w:left w:val="none" w:sz="0" w:space="0" w:color="auto"/>
        <w:bottom w:val="none" w:sz="0" w:space="0" w:color="auto"/>
        <w:right w:val="none" w:sz="0" w:space="0" w:color="auto"/>
      </w:divBdr>
    </w:div>
    <w:div w:id="558246184">
      <w:bodyDiv w:val="1"/>
      <w:marLeft w:val="0"/>
      <w:marRight w:val="0"/>
      <w:marTop w:val="0"/>
      <w:marBottom w:val="0"/>
      <w:divBdr>
        <w:top w:val="none" w:sz="0" w:space="0" w:color="auto"/>
        <w:left w:val="none" w:sz="0" w:space="0" w:color="auto"/>
        <w:bottom w:val="none" w:sz="0" w:space="0" w:color="auto"/>
        <w:right w:val="none" w:sz="0" w:space="0" w:color="auto"/>
      </w:divBdr>
    </w:div>
    <w:div w:id="562375509">
      <w:bodyDiv w:val="1"/>
      <w:marLeft w:val="0"/>
      <w:marRight w:val="0"/>
      <w:marTop w:val="0"/>
      <w:marBottom w:val="0"/>
      <w:divBdr>
        <w:top w:val="none" w:sz="0" w:space="0" w:color="auto"/>
        <w:left w:val="none" w:sz="0" w:space="0" w:color="auto"/>
        <w:bottom w:val="none" w:sz="0" w:space="0" w:color="auto"/>
        <w:right w:val="none" w:sz="0" w:space="0" w:color="auto"/>
      </w:divBdr>
    </w:div>
    <w:div w:id="579484608">
      <w:bodyDiv w:val="1"/>
      <w:marLeft w:val="0"/>
      <w:marRight w:val="0"/>
      <w:marTop w:val="0"/>
      <w:marBottom w:val="0"/>
      <w:divBdr>
        <w:top w:val="none" w:sz="0" w:space="0" w:color="auto"/>
        <w:left w:val="none" w:sz="0" w:space="0" w:color="auto"/>
        <w:bottom w:val="none" w:sz="0" w:space="0" w:color="auto"/>
        <w:right w:val="none" w:sz="0" w:space="0" w:color="auto"/>
      </w:divBdr>
    </w:div>
    <w:div w:id="619653593">
      <w:bodyDiv w:val="1"/>
      <w:marLeft w:val="0"/>
      <w:marRight w:val="0"/>
      <w:marTop w:val="0"/>
      <w:marBottom w:val="0"/>
      <w:divBdr>
        <w:top w:val="none" w:sz="0" w:space="0" w:color="auto"/>
        <w:left w:val="none" w:sz="0" w:space="0" w:color="auto"/>
        <w:bottom w:val="none" w:sz="0" w:space="0" w:color="auto"/>
        <w:right w:val="none" w:sz="0" w:space="0" w:color="auto"/>
      </w:divBdr>
    </w:div>
    <w:div w:id="635379128">
      <w:bodyDiv w:val="1"/>
      <w:marLeft w:val="0"/>
      <w:marRight w:val="0"/>
      <w:marTop w:val="0"/>
      <w:marBottom w:val="0"/>
      <w:divBdr>
        <w:top w:val="none" w:sz="0" w:space="0" w:color="auto"/>
        <w:left w:val="none" w:sz="0" w:space="0" w:color="auto"/>
        <w:bottom w:val="none" w:sz="0" w:space="0" w:color="auto"/>
        <w:right w:val="none" w:sz="0" w:space="0" w:color="auto"/>
      </w:divBdr>
    </w:div>
    <w:div w:id="645862101">
      <w:bodyDiv w:val="1"/>
      <w:marLeft w:val="0"/>
      <w:marRight w:val="0"/>
      <w:marTop w:val="0"/>
      <w:marBottom w:val="0"/>
      <w:divBdr>
        <w:top w:val="none" w:sz="0" w:space="0" w:color="auto"/>
        <w:left w:val="none" w:sz="0" w:space="0" w:color="auto"/>
        <w:bottom w:val="none" w:sz="0" w:space="0" w:color="auto"/>
        <w:right w:val="none" w:sz="0" w:space="0" w:color="auto"/>
      </w:divBdr>
    </w:div>
    <w:div w:id="685599314">
      <w:bodyDiv w:val="1"/>
      <w:marLeft w:val="0"/>
      <w:marRight w:val="0"/>
      <w:marTop w:val="0"/>
      <w:marBottom w:val="0"/>
      <w:divBdr>
        <w:top w:val="none" w:sz="0" w:space="0" w:color="auto"/>
        <w:left w:val="none" w:sz="0" w:space="0" w:color="auto"/>
        <w:bottom w:val="none" w:sz="0" w:space="0" w:color="auto"/>
        <w:right w:val="none" w:sz="0" w:space="0" w:color="auto"/>
      </w:divBdr>
    </w:div>
    <w:div w:id="702558968">
      <w:bodyDiv w:val="1"/>
      <w:marLeft w:val="0"/>
      <w:marRight w:val="0"/>
      <w:marTop w:val="0"/>
      <w:marBottom w:val="0"/>
      <w:divBdr>
        <w:top w:val="none" w:sz="0" w:space="0" w:color="auto"/>
        <w:left w:val="none" w:sz="0" w:space="0" w:color="auto"/>
        <w:bottom w:val="none" w:sz="0" w:space="0" w:color="auto"/>
        <w:right w:val="none" w:sz="0" w:space="0" w:color="auto"/>
      </w:divBdr>
    </w:div>
    <w:div w:id="711686085">
      <w:bodyDiv w:val="1"/>
      <w:marLeft w:val="0"/>
      <w:marRight w:val="0"/>
      <w:marTop w:val="0"/>
      <w:marBottom w:val="0"/>
      <w:divBdr>
        <w:top w:val="none" w:sz="0" w:space="0" w:color="auto"/>
        <w:left w:val="none" w:sz="0" w:space="0" w:color="auto"/>
        <w:bottom w:val="none" w:sz="0" w:space="0" w:color="auto"/>
        <w:right w:val="none" w:sz="0" w:space="0" w:color="auto"/>
      </w:divBdr>
    </w:div>
    <w:div w:id="715810176">
      <w:bodyDiv w:val="1"/>
      <w:marLeft w:val="0"/>
      <w:marRight w:val="0"/>
      <w:marTop w:val="0"/>
      <w:marBottom w:val="0"/>
      <w:divBdr>
        <w:top w:val="none" w:sz="0" w:space="0" w:color="auto"/>
        <w:left w:val="none" w:sz="0" w:space="0" w:color="auto"/>
        <w:bottom w:val="none" w:sz="0" w:space="0" w:color="auto"/>
        <w:right w:val="none" w:sz="0" w:space="0" w:color="auto"/>
      </w:divBdr>
    </w:div>
    <w:div w:id="759254402">
      <w:bodyDiv w:val="1"/>
      <w:marLeft w:val="0"/>
      <w:marRight w:val="0"/>
      <w:marTop w:val="0"/>
      <w:marBottom w:val="0"/>
      <w:divBdr>
        <w:top w:val="none" w:sz="0" w:space="0" w:color="auto"/>
        <w:left w:val="none" w:sz="0" w:space="0" w:color="auto"/>
        <w:bottom w:val="none" w:sz="0" w:space="0" w:color="auto"/>
        <w:right w:val="none" w:sz="0" w:space="0" w:color="auto"/>
      </w:divBdr>
    </w:div>
    <w:div w:id="793518534">
      <w:bodyDiv w:val="1"/>
      <w:marLeft w:val="0"/>
      <w:marRight w:val="0"/>
      <w:marTop w:val="0"/>
      <w:marBottom w:val="0"/>
      <w:divBdr>
        <w:top w:val="none" w:sz="0" w:space="0" w:color="auto"/>
        <w:left w:val="none" w:sz="0" w:space="0" w:color="auto"/>
        <w:bottom w:val="none" w:sz="0" w:space="0" w:color="auto"/>
        <w:right w:val="none" w:sz="0" w:space="0" w:color="auto"/>
      </w:divBdr>
    </w:div>
    <w:div w:id="800613668">
      <w:bodyDiv w:val="1"/>
      <w:marLeft w:val="0"/>
      <w:marRight w:val="0"/>
      <w:marTop w:val="0"/>
      <w:marBottom w:val="0"/>
      <w:divBdr>
        <w:top w:val="none" w:sz="0" w:space="0" w:color="auto"/>
        <w:left w:val="none" w:sz="0" w:space="0" w:color="auto"/>
        <w:bottom w:val="none" w:sz="0" w:space="0" w:color="auto"/>
        <w:right w:val="none" w:sz="0" w:space="0" w:color="auto"/>
      </w:divBdr>
    </w:div>
    <w:div w:id="805701445">
      <w:bodyDiv w:val="1"/>
      <w:marLeft w:val="0"/>
      <w:marRight w:val="0"/>
      <w:marTop w:val="0"/>
      <w:marBottom w:val="0"/>
      <w:divBdr>
        <w:top w:val="none" w:sz="0" w:space="0" w:color="auto"/>
        <w:left w:val="none" w:sz="0" w:space="0" w:color="auto"/>
        <w:bottom w:val="none" w:sz="0" w:space="0" w:color="auto"/>
        <w:right w:val="none" w:sz="0" w:space="0" w:color="auto"/>
      </w:divBdr>
    </w:div>
    <w:div w:id="833910357">
      <w:bodyDiv w:val="1"/>
      <w:marLeft w:val="0"/>
      <w:marRight w:val="0"/>
      <w:marTop w:val="0"/>
      <w:marBottom w:val="0"/>
      <w:divBdr>
        <w:top w:val="none" w:sz="0" w:space="0" w:color="auto"/>
        <w:left w:val="none" w:sz="0" w:space="0" w:color="auto"/>
        <w:bottom w:val="none" w:sz="0" w:space="0" w:color="auto"/>
        <w:right w:val="none" w:sz="0" w:space="0" w:color="auto"/>
      </w:divBdr>
    </w:div>
    <w:div w:id="872501113">
      <w:bodyDiv w:val="1"/>
      <w:marLeft w:val="0"/>
      <w:marRight w:val="0"/>
      <w:marTop w:val="0"/>
      <w:marBottom w:val="0"/>
      <w:divBdr>
        <w:top w:val="none" w:sz="0" w:space="0" w:color="auto"/>
        <w:left w:val="none" w:sz="0" w:space="0" w:color="auto"/>
        <w:bottom w:val="none" w:sz="0" w:space="0" w:color="auto"/>
        <w:right w:val="none" w:sz="0" w:space="0" w:color="auto"/>
      </w:divBdr>
      <w:divsChild>
        <w:div w:id="643316508">
          <w:marLeft w:val="0"/>
          <w:marRight w:val="0"/>
          <w:marTop w:val="0"/>
          <w:marBottom w:val="0"/>
          <w:divBdr>
            <w:top w:val="none" w:sz="0" w:space="0" w:color="auto"/>
            <w:left w:val="none" w:sz="0" w:space="0" w:color="auto"/>
            <w:bottom w:val="none" w:sz="0" w:space="0" w:color="auto"/>
            <w:right w:val="none" w:sz="0" w:space="0" w:color="auto"/>
          </w:divBdr>
          <w:divsChild>
            <w:div w:id="1704020538">
              <w:marLeft w:val="0"/>
              <w:marRight w:val="0"/>
              <w:marTop w:val="0"/>
              <w:marBottom w:val="0"/>
              <w:divBdr>
                <w:top w:val="single" w:sz="2" w:space="0" w:color="D9D9E3"/>
                <w:left w:val="single" w:sz="2" w:space="0" w:color="D9D9E3"/>
                <w:bottom w:val="single" w:sz="2" w:space="0" w:color="D9D9E3"/>
                <w:right w:val="single" w:sz="2" w:space="0" w:color="D9D9E3"/>
              </w:divBdr>
              <w:divsChild>
                <w:div w:id="1872104318">
                  <w:marLeft w:val="0"/>
                  <w:marRight w:val="0"/>
                  <w:marTop w:val="0"/>
                  <w:marBottom w:val="0"/>
                  <w:divBdr>
                    <w:top w:val="single" w:sz="2" w:space="0" w:color="D9D9E3"/>
                    <w:left w:val="single" w:sz="2" w:space="0" w:color="D9D9E3"/>
                    <w:bottom w:val="single" w:sz="2" w:space="0" w:color="D9D9E3"/>
                    <w:right w:val="single" w:sz="2" w:space="0" w:color="D9D9E3"/>
                  </w:divBdr>
                  <w:divsChild>
                    <w:div w:id="2077698784">
                      <w:marLeft w:val="0"/>
                      <w:marRight w:val="0"/>
                      <w:marTop w:val="0"/>
                      <w:marBottom w:val="0"/>
                      <w:divBdr>
                        <w:top w:val="single" w:sz="2" w:space="0" w:color="D9D9E3"/>
                        <w:left w:val="single" w:sz="2" w:space="0" w:color="D9D9E3"/>
                        <w:bottom w:val="single" w:sz="2" w:space="0" w:color="D9D9E3"/>
                        <w:right w:val="single" w:sz="2" w:space="0" w:color="D9D9E3"/>
                      </w:divBdr>
                      <w:divsChild>
                        <w:div w:id="21370192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68411636">
          <w:marLeft w:val="0"/>
          <w:marRight w:val="0"/>
          <w:marTop w:val="0"/>
          <w:marBottom w:val="0"/>
          <w:divBdr>
            <w:top w:val="single" w:sz="2" w:space="0" w:color="D9D9E3"/>
            <w:left w:val="single" w:sz="2" w:space="0" w:color="D9D9E3"/>
            <w:bottom w:val="single" w:sz="2" w:space="0" w:color="D9D9E3"/>
            <w:right w:val="single" w:sz="2" w:space="0" w:color="D9D9E3"/>
          </w:divBdr>
          <w:divsChild>
            <w:div w:id="1074088266">
              <w:marLeft w:val="0"/>
              <w:marRight w:val="0"/>
              <w:marTop w:val="0"/>
              <w:marBottom w:val="0"/>
              <w:divBdr>
                <w:top w:val="single" w:sz="2" w:space="0" w:color="D9D9E3"/>
                <w:left w:val="single" w:sz="2" w:space="0" w:color="D9D9E3"/>
                <w:bottom w:val="single" w:sz="2" w:space="0" w:color="D9D9E3"/>
                <w:right w:val="single" w:sz="2" w:space="0" w:color="D9D9E3"/>
              </w:divBdr>
              <w:divsChild>
                <w:div w:id="1014724755">
                  <w:marLeft w:val="0"/>
                  <w:marRight w:val="0"/>
                  <w:marTop w:val="0"/>
                  <w:marBottom w:val="0"/>
                  <w:divBdr>
                    <w:top w:val="single" w:sz="2" w:space="0" w:color="D9D9E3"/>
                    <w:left w:val="single" w:sz="2" w:space="0" w:color="D9D9E3"/>
                    <w:bottom w:val="single" w:sz="2" w:space="0" w:color="D9D9E3"/>
                    <w:right w:val="single" w:sz="2" w:space="0" w:color="D9D9E3"/>
                  </w:divBdr>
                  <w:divsChild>
                    <w:div w:id="1612277495">
                      <w:marLeft w:val="0"/>
                      <w:marRight w:val="0"/>
                      <w:marTop w:val="0"/>
                      <w:marBottom w:val="0"/>
                      <w:divBdr>
                        <w:top w:val="single" w:sz="2" w:space="0" w:color="D9D9E3"/>
                        <w:left w:val="single" w:sz="2" w:space="0" w:color="D9D9E3"/>
                        <w:bottom w:val="single" w:sz="2" w:space="0" w:color="D9D9E3"/>
                        <w:right w:val="single" w:sz="2" w:space="0" w:color="D9D9E3"/>
                      </w:divBdr>
                      <w:divsChild>
                        <w:div w:id="1298029276">
                          <w:marLeft w:val="0"/>
                          <w:marRight w:val="0"/>
                          <w:marTop w:val="0"/>
                          <w:marBottom w:val="0"/>
                          <w:divBdr>
                            <w:top w:val="single" w:sz="2" w:space="0" w:color="auto"/>
                            <w:left w:val="single" w:sz="2" w:space="0" w:color="auto"/>
                            <w:bottom w:val="single" w:sz="6" w:space="0" w:color="auto"/>
                            <w:right w:val="single" w:sz="2" w:space="0" w:color="auto"/>
                          </w:divBdr>
                          <w:divsChild>
                            <w:div w:id="2105835514">
                              <w:marLeft w:val="0"/>
                              <w:marRight w:val="0"/>
                              <w:marTop w:val="100"/>
                              <w:marBottom w:val="100"/>
                              <w:divBdr>
                                <w:top w:val="single" w:sz="2" w:space="0" w:color="D9D9E3"/>
                                <w:left w:val="single" w:sz="2" w:space="0" w:color="D9D9E3"/>
                                <w:bottom w:val="single" w:sz="2" w:space="0" w:color="D9D9E3"/>
                                <w:right w:val="single" w:sz="2" w:space="0" w:color="D9D9E3"/>
                              </w:divBdr>
                              <w:divsChild>
                                <w:div w:id="812328092">
                                  <w:marLeft w:val="0"/>
                                  <w:marRight w:val="0"/>
                                  <w:marTop w:val="0"/>
                                  <w:marBottom w:val="0"/>
                                  <w:divBdr>
                                    <w:top w:val="single" w:sz="2" w:space="0" w:color="D9D9E3"/>
                                    <w:left w:val="single" w:sz="2" w:space="0" w:color="D9D9E3"/>
                                    <w:bottom w:val="single" w:sz="2" w:space="0" w:color="D9D9E3"/>
                                    <w:right w:val="single" w:sz="2" w:space="0" w:color="D9D9E3"/>
                                  </w:divBdr>
                                  <w:divsChild>
                                    <w:div w:id="120147731">
                                      <w:marLeft w:val="0"/>
                                      <w:marRight w:val="0"/>
                                      <w:marTop w:val="0"/>
                                      <w:marBottom w:val="0"/>
                                      <w:divBdr>
                                        <w:top w:val="single" w:sz="2" w:space="0" w:color="D9D9E3"/>
                                        <w:left w:val="single" w:sz="2" w:space="0" w:color="D9D9E3"/>
                                        <w:bottom w:val="single" w:sz="2" w:space="0" w:color="D9D9E3"/>
                                        <w:right w:val="single" w:sz="2" w:space="0" w:color="D9D9E3"/>
                                      </w:divBdr>
                                      <w:divsChild>
                                        <w:div w:id="1764182185">
                                          <w:marLeft w:val="0"/>
                                          <w:marRight w:val="0"/>
                                          <w:marTop w:val="0"/>
                                          <w:marBottom w:val="0"/>
                                          <w:divBdr>
                                            <w:top w:val="single" w:sz="2" w:space="0" w:color="D9D9E3"/>
                                            <w:left w:val="single" w:sz="2" w:space="0" w:color="D9D9E3"/>
                                            <w:bottom w:val="single" w:sz="2" w:space="0" w:color="D9D9E3"/>
                                            <w:right w:val="single" w:sz="2" w:space="0" w:color="D9D9E3"/>
                                          </w:divBdr>
                                          <w:divsChild>
                                            <w:div w:id="2120489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74149358">
      <w:bodyDiv w:val="1"/>
      <w:marLeft w:val="0"/>
      <w:marRight w:val="0"/>
      <w:marTop w:val="0"/>
      <w:marBottom w:val="0"/>
      <w:divBdr>
        <w:top w:val="none" w:sz="0" w:space="0" w:color="auto"/>
        <w:left w:val="none" w:sz="0" w:space="0" w:color="auto"/>
        <w:bottom w:val="none" w:sz="0" w:space="0" w:color="auto"/>
        <w:right w:val="none" w:sz="0" w:space="0" w:color="auto"/>
      </w:divBdr>
    </w:div>
    <w:div w:id="891387465">
      <w:bodyDiv w:val="1"/>
      <w:marLeft w:val="0"/>
      <w:marRight w:val="0"/>
      <w:marTop w:val="0"/>
      <w:marBottom w:val="0"/>
      <w:divBdr>
        <w:top w:val="none" w:sz="0" w:space="0" w:color="auto"/>
        <w:left w:val="none" w:sz="0" w:space="0" w:color="auto"/>
        <w:bottom w:val="none" w:sz="0" w:space="0" w:color="auto"/>
        <w:right w:val="none" w:sz="0" w:space="0" w:color="auto"/>
      </w:divBdr>
    </w:div>
    <w:div w:id="905456060">
      <w:bodyDiv w:val="1"/>
      <w:marLeft w:val="0"/>
      <w:marRight w:val="0"/>
      <w:marTop w:val="0"/>
      <w:marBottom w:val="0"/>
      <w:divBdr>
        <w:top w:val="none" w:sz="0" w:space="0" w:color="auto"/>
        <w:left w:val="none" w:sz="0" w:space="0" w:color="auto"/>
        <w:bottom w:val="none" w:sz="0" w:space="0" w:color="auto"/>
        <w:right w:val="none" w:sz="0" w:space="0" w:color="auto"/>
      </w:divBdr>
    </w:div>
    <w:div w:id="907377128">
      <w:bodyDiv w:val="1"/>
      <w:marLeft w:val="0"/>
      <w:marRight w:val="0"/>
      <w:marTop w:val="0"/>
      <w:marBottom w:val="0"/>
      <w:divBdr>
        <w:top w:val="none" w:sz="0" w:space="0" w:color="auto"/>
        <w:left w:val="none" w:sz="0" w:space="0" w:color="auto"/>
        <w:bottom w:val="none" w:sz="0" w:space="0" w:color="auto"/>
        <w:right w:val="none" w:sz="0" w:space="0" w:color="auto"/>
      </w:divBdr>
    </w:div>
    <w:div w:id="909341823">
      <w:bodyDiv w:val="1"/>
      <w:marLeft w:val="0"/>
      <w:marRight w:val="0"/>
      <w:marTop w:val="0"/>
      <w:marBottom w:val="0"/>
      <w:divBdr>
        <w:top w:val="none" w:sz="0" w:space="0" w:color="auto"/>
        <w:left w:val="none" w:sz="0" w:space="0" w:color="auto"/>
        <w:bottom w:val="none" w:sz="0" w:space="0" w:color="auto"/>
        <w:right w:val="none" w:sz="0" w:space="0" w:color="auto"/>
      </w:divBdr>
    </w:div>
    <w:div w:id="909388775">
      <w:bodyDiv w:val="1"/>
      <w:marLeft w:val="0"/>
      <w:marRight w:val="0"/>
      <w:marTop w:val="0"/>
      <w:marBottom w:val="0"/>
      <w:divBdr>
        <w:top w:val="none" w:sz="0" w:space="0" w:color="auto"/>
        <w:left w:val="none" w:sz="0" w:space="0" w:color="auto"/>
        <w:bottom w:val="none" w:sz="0" w:space="0" w:color="auto"/>
        <w:right w:val="none" w:sz="0" w:space="0" w:color="auto"/>
      </w:divBdr>
    </w:div>
    <w:div w:id="934558617">
      <w:bodyDiv w:val="1"/>
      <w:marLeft w:val="0"/>
      <w:marRight w:val="0"/>
      <w:marTop w:val="0"/>
      <w:marBottom w:val="0"/>
      <w:divBdr>
        <w:top w:val="none" w:sz="0" w:space="0" w:color="auto"/>
        <w:left w:val="none" w:sz="0" w:space="0" w:color="auto"/>
        <w:bottom w:val="none" w:sz="0" w:space="0" w:color="auto"/>
        <w:right w:val="none" w:sz="0" w:space="0" w:color="auto"/>
      </w:divBdr>
    </w:div>
    <w:div w:id="942342682">
      <w:bodyDiv w:val="1"/>
      <w:marLeft w:val="0"/>
      <w:marRight w:val="0"/>
      <w:marTop w:val="0"/>
      <w:marBottom w:val="0"/>
      <w:divBdr>
        <w:top w:val="none" w:sz="0" w:space="0" w:color="auto"/>
        <w:left w:val="none" w:sz="0" w:space="0" w:color="auto"/>
        <w:bottom w:val="none" w:sz="0" w:space="0" w:color="auto"/>
        <w:right w:val="none" w:sz="0" w:space="0" w:color="auto"/>
      </w:divBdr>
    </w:div>
    <w:div w:id="986082447">
      <w:bodyDiv w:val="1"/>
      <w:marLeft w:val="0"/>
      <w:marRight w:val="0"/>
      <w:marTop w:val="0"/>
      <w:marBottom w:val="0"/>
      <w:divBdr>
        <w:top w:val="none" w:sz="0" w:space="0" w:color="auto"/>
        <w:left w:val="none" w:sz="0" w:space="0" w:color="auto"/>
        <w:bottom w:val="none" w:sz="0" w:space="0" w:color="auto"/>
        <w:right w:val="none" w:sz="0" w:space="0" w:color="auto"/>
      </w:divBdr>
    </w:div>
    <w:div w:id="1050693580">
      <w:bodyDiv w:val="1"/>
      <w:marLeft w:val="0"/>
      <w:marRight w:val="0"/>
      <w:marTop w:val="0"/>
      <w:marBottom w:val="0"/>
      <w:divBdr>
        <w:top w:val="none" w:sz="0" w:space="0" w:color="auto"/>
        <w:left w:val="none" w:sz="0" w:space="0" w:color="auto"/>
        <w:bottom w:val="none" w:sz="0" w:space="0" w:color="auto"/>
        <w:right w:val="none" w:sz="0" w:space="0" w:color="auto"/>
      </w:divBdr>
    </w:div>
    <w:div w:id="1061246193">
      <w:bodyDiv w:val="1"/>
      <w:marLeft w:val="0"/>
      <w:marRight w:val="0"/>
      <w:marTop w:val="0"/>
      <w:marBottom w:val="0"/>
      <w:divBdr>
        <w:top w:val="none" w:sz="0" w:space="0" w:color="auto"/>
        <w:left w:val="none" w:sz="0" w:space="0" w:color="auto"/>
        <w:bottom w:val="none" w:sz="0" w:space="0" w:color="auto"/>
        <w:right w:val="none" w:sz="0" w:space="0" w:color="auto"/>
      </w:divBdr>
    </w:div>
    <w:div w:id="1062364827">
      <w:bodyDiv w:val="1"/>
      <w:marLeft w:val="0"/>
      <w:marRight w:val="0"/>
      <w:marTop w:val="0"/>
      <w:marBottom w:val="0"/>
      <w:divBdr>
        <w:top w:val="none" w:sz="0" w:space="0" w:color="auto"/>
        <w:left w:val="none" w:sz="0" w:space="0" w:color="auto"/>
        <w:bottom w:val="none" w:sz="0" w:space="0" w:color="auto"/>
        <w:right w:val="none" w:sz="0" w:space="0" w:color="auto"/>
      </w:divBdr>
    </w:div>
    <w:div w:id="1080177108">
      <w:bodyDiv w:val="1"/>
      <w:marLeft w:val="0"/>
      <w:marRight w:val="0"/>
      <w:marTop w:val="0"/>
      <w:marBottom w:val="0"/>
      <w:divBdr>
        <w:top w:val="none" w:sz="0" w:space="0" w:color="auto"/>
        <w:left w:val="none" w:sz="0" w:space="0" w:color="auto"/>
        <w:bottom w:val="none" w:sz="0" w:space="0" w:color="auto"/>
        <w:right w:val="none" w:sz="0" w:space="0" w:color="auto"/>
      </w:divBdr>
    </w:div>
    <w:div w:id="1099520325">
      <w:bodyDiv w:val="1"/>
      <w:marLeft w:val="0"/>
      <w:marRight w:val="0"/>
      <w:marTop w:val="0"/>
      <w:marBottom w:val="0"/>
      <w:divBdr>
        <w:top w:val="none" w:sz="0" w:space="0" w:color="auto"/>
        <w:left w:val="none" w:sz="0" w:space="0" w:color="auto"/>
        <w:bottom w:val="none" w:sz="0" w:space="0" w:color="auto"/>
        <w:right w:val="none" w:sz="0" w:space="0" w:color="auto"/>
      </w:divBdr>
      <w:divsChild>
        <w:div w:id="870874362">
          <w:marLeft w:val="0"/>
          <w:marRight w:val="0"/>
          <w:marTop w:val="0"/>
          <w:marBottom w:val="0"/>
          <w:divBdr>
            <w:top w:val="none" w:sz="0" w:space="0" w:color="auto"/>
            <w:left w:val="none" w:sz="0" w:space="0" w:color="auto"/>
            <w:bottom w:val="none" w:sz="0" w:space="0" w:color="auto"/>
            <w:right w:val="none" w:sz="0" w:space="0" w:color="auto"/>
          </w:divBdr>
          <w:divsChild>
            <w:div w:id="1211846463">
              <w:marLeft w:val="0"/>
              <w:marRight w:val="0"/>
              <w:marTop w:val="0"/>
              <w:marBottom w:val="0"/>
              <w:divBdr>
                <w:top w:val="none" w:sz="0" w:space="0" w:color="auto"/>
                <w:left w:val="none" w:sz="0" w:space="0" w:color="auto"/>
                <w:bottom w:val="none" w:sz="0" w:space="0" w:color="auto"/>
                <w:right w:val="none" w:sz="0" w:space="0" w:color="auto"/>
              </w:divBdr>
              <w:divsChild>
                <w:div w:id="1727097799">
                  <w:marLeft w:val="0"/>
                  <w:marRight w:val="0"/>
                  <w:marTop w:val="0"/>
                  <w:marBottom w:val="0"/>
                  <w:divBdr>
                    <w:top w:val="none" w:sz="0" w:space="0" w:color="auto"/>
                    <w:left w:val="none" w:sz="0" w:space="0" w:color="auto"/>
                    <w:bottom w:val="none" w:sz="0" w:space="0" w:color="auto"/>
                    <w:right w:val="none" w:sz="0" w:space="0" w:color="auto"/>
                  </w:divBdr>
                  <w:divsChild>
                    <w:div w:id="1616400509">
                      <w:marLeft w:val="0"/>
                      <w:marRight w:val="0"/>
                      <w:marTop w:val="0"/>
                      <w:marBottom w:val="0"/>
                      <w:divBdr>
                        <w:top w:val="none" w:sz="0" w:space="0" w:color="auto"/>
                        <w:left w:val="none" w:sz="0" w:space="0" w:color="auto"/>
                        <w:bottom w:val="none" w:sz="0" w:space="0" w:color="auto"/>
                        <w:right w:val="none" w:sz="0" w:space="0" w:color="auto"/>
                      </w:divBdr>
                      <w:divsChild>
                        <w:div w:id="1693455707">
                          <w:marLeft w:val="0"/>
                          <w:marRight w:val="0"/>
                          <w:marTop w:val="0"/>
                          <w:marBottom w:val="0"/>
                          <w:divBdr>
                            <w:top w:val="none" w:sz="0" w:space="0" w:color="auto"/>
                            <w:left w:val="none" w:sz="0" w:space="0" w:color="auto"/>
                            <w:bottom w:val="none" w:sz="0" w:space="0" w:color="auto"/>
                            <w:right w:val="none" w:sz="0" w:space="0" w:color="auto"/>
                          </w:divBdr>
                        </w:div>
                      </w:divsChild>
                    </w:div>
                    <w:div w:id="1668091811">
                      <w:marLeft w:val="0"/>
                      <w:marRight w:val="0"/>
                      <w:marTop w:val="0"/>
                      <w:marBottom w:val="0"/>
                      <w:divBdr>
                        <w:top w:val="none" w:sz="0" w:space="0" w:color="auto"/>
                        <w:left w:val="none" w:sz="0" w:space="0" w:color="auto"/>
                        <w:bottom w:val="none" w:sz="0" w:space="0" w:color="auto"/>
                        <w:right w:val="none" w:sz="0" w:space="0" w:color="auto"/>
                      </w:divBdr>
                      <w:divsChild>
                        <w:div w:id="1269239748">
                          <w:marLeft w:val="0"/>
                          <w:marRight w:val="0"/>
                          <w:marTop w:val="0"/>
                          <w:marBottom w:val="0"/>
                          <w:divBdr>
                            <w:top w:val="none" w:sz="0" w:space="0" w:color="auto"/>
                            <w:left w:val="none" w:sz="0" w:space="0" w:color="auto"/>
                            <w:bottom w:val="none" w:sz="0" w:space="0" w:color="auto"/>
                            <w:right w:val="none" w:sz="0" w:space="0" w:color="auto"/>
                          </w:divBdr>
                          <w:divsChild>
                            <w:div w:id="1498423003">
                              <w:marLeft w:val="0"/>
                              <w:marRight w:val="0"/>
                              <w:marTop w:val="0"/>
                              <w:marBottom w:val="0"/>
                              <w:divBdr>
                                <w:top w:val="none" w:sz="0" w:space="0" w:color="auto"/>
                                <w:left w:val="none" w:sz="0" w:space="0" w:color="auto"/>
                                <w:bottom w:val="none" w:sz="0" w:space="0" w:color="auto"/>
                                <w:right w:val="none" w:sz="0" w:space="0" w:color="auto"/>
                              </w:divBdr>
                              <w:divsChild>
                                <w:div w:id="1712266845">
                                  <w:marLeft w:val="0"/>
                                  <w:marRight w:val="0"/>
                                  <w:marTop w:val="0"/>
                                  <w:marBottom w:val="0"/>
                                  <w:divBdr>
                                    <w:top w:val="none" w:sz="0" w:space="0" w:color="auto"/>
                                    <w:left w:val="none" w:sz="0" w:space="0" w:color="auto"/>
                                    <w:bottom w:val="none" w:sz="0" w:space="0" w:color="auto"/>
                                    <w:right w:val="none" w:sz="0" w:space="0" w:color="auto"/>
                                  </w:divBdr>
                                  <w:divsChild>
                                    <w:div w:id="668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933101">
      <w:bodyDiv w:val="1"/>
      <w:marLeft w:val="0"/>
      <w:marRight w:val="0"/>
      <w:marTop w:val="0"/>
      <w:marBottom w:val="0"/>
      <w:divBdr>
        <w:top w:val="none" w:sz="0" w:space="0" w:color="auto"/>
        <w:left w:val="none" w:sz="0" w:space="0" w:color="auto"/>
        <w:bottom w:val="none" w:sz="0" w:space="0" w:color="auto"/>
        <w:right w:val="none" w:sz="0" w:space="0" w:color="auto"/>
      </w:divBdr>
    </w:div>
    <w:div w:id="1126856044">
      <w:bodyDiv w:val="1"/>
      <w:marLeft w:val="0"/>
      <w:marRight w:val="0"/>
      <w:marTop w:val="0"/>
      <w:marBottom w:val="0"/>
      <w:divBdr>
        <w:top w:val="none" w:sz="0" w:space="0" w:color="auto"/>
        <w:left w:val="none" w:sz="0" w:space="0" w:color="auto"/>
        <w:bottom w:val="none" w:sz="0" w:space="0" w:color="auto"/>
        <w:right w:val="none" w:sz="0" w:space="0" w:color="auto"/>
      </w:divBdr>
      <w:divsChild>
        <w:div w:id="405998347">
          <w:marLeft w:val="0"/>
          <w:marRight w:val="0"/>
          <w:marTop w:val="0"/>
          <w:marBottom w:val="0"/>
          <w:divBdr>
            <w:top w:val="single" w:sz="2" w:space="0" w:color="auto"/>
            <w:left w:val="single" w:sz="2" w:space="0" w:color="auto"/>
            <w:bottom w:val="single" w:sz="6" w:space="0" w:color="auto"/>
            <w:right w:val="single" w:sz="2" w:space="0" w:color="auto"/>
          </w:divBdr>
          <w:divsChild>
            <w:div w:id="1991596352">
              <w:marLeft w:val="0"/>
              <w:marRight w:val="0"/>
              <w:marTop w:val="100"/>
              <w:marBottom w:val="100"/>
              <w:divBdr>
                <w:top w:val="single" w:sz="2" w:space="0" w:color="D9D9E3"/>
                <w:left w:val="single" w:sz="2" w:space="0" w:color="D9D9E3"/>
                <w:bottom w:val="single" w:sz="2" w:space="0" w:color="D9D9E3"/>
                <w:right w:val="single" w:sz="2" w:space="0" w:color="D9D9E3"/>
              </w:divBdr>
              <w:divsChild>
                <w:div w:id="2097439243">
                  <w:marLeft w:val="0"/>
                  <w:marRight w:val="0"/>
                  <w:marTop w:val="0"/>
                  <w:marBottom w:val="0"/>
                  <w:divBdr>
                    <w:top w:val="single" w:sz="2" w:space="0" w:color="D9D9E3"/>
                    <w:left w:val="single" w:sz="2" w:space="0" w:color="D9D9E3"/>
                    <w:bottom w:val="single" w:sz="2" w:space="0" w:color="D9D9E3"/>
                    <w:right w:val="single" w:sz="2" w:space="0" w:color="D9D9E3"/>
                  </w:divBdr>
                  <w:divsChild>
                    <w:div w:id="74977868">
                      <w:marLeft w:val="0"/>
                      <w:marRight w:val="0"/>
                      <w:marTop w:val="0"/>
                      <w:marBottom w:val="0"/>
                      <w:divBdr>
                        <w:top w:val="single" w:sz="2" w:space="0" w:color="D9D9E3"/>
                        <w:left w:val="single" w:sz="2" w:space="0" w:color="D9D9E3"/>
                        <w:bottom w:val="single" w:sz="2" w:space="0" w:color="D9D9E3"/>
                        <w:right w:val="single" w:sz="2" w:space="0" w:color="D9D9E3"/>
                      </w:divBdr>
                      <w:divsChild>
                        <w:div w:id="206648657">
                          <w:marLeft w:val="0"/>
                          <w:marRight w:val="0"/>
                          <w:marTop w:val="0"/>
                          <w:marBottom w:val="0"/>
                          <w:divBdr>
                            <w:top w:val="single" w:sz="2" w:space="0" w:color="D9D9E3"/>
                            <w:left w:val="single" w:sz="2" w:space="0" w:color="D9D9E3"/>
                            <w:bottom w:val="single" w:sz="2" w:space="0" w:color="D9D9E3"/>
                            <w:right w:val="single" w:sz="2" w:space="0" w:color="D9D9E3"/>
                          </w:divBdr>
                          <w:divsChild>
                            <w:div w:id="2044747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27813623">
      <w:bodyDiv w:val="1"/>
      <w:marLeft w:val="0"/>
      <w:marRight w:val="0"/>
      <w:marTop w:val="0"/>
      <w:marBottom w:val="0"/>
      <w:divBdr>
        <w:top w:val="none" w:sz="0" w:space="0" w:color="auto"/>
        <w:left w:val="none" w:sz="0" w:space="0" w:color="auto"/>
        <w:bottom w:val="none" w:sz="0" w:space="0" w:color="auto"/>
        <w:right w:val="none" w:sz="0" w:space="0" w:color="auto"/>
      </w:divBdr>
    </w:div>
    <w:div w:id="1136724452">
      <w:bodyDiv w:val="1"/>
      <w:marLeft w:val="0"/>
      <w:marRight w:val="0"/>
      <w:marTop w:val="0"/>
      <w:marBottom w:val="0"/>
      <w:divBdr>
        <w:top w:val="none" w:sz="0" w:space="0" w:color="auto"/>
        <w:left w:val="none" w:sz="0" w:space="0" w:color="auto"/>
        <w:bottom w:val="none" w:sz="0" w:space="0" w:color="auto"/>
        <w:right w:val="none" w:sz="0" w:space="0" w:color="auto"/>
      </w:divBdr>
    </w:div>
    <w:div w:id="1153722166">
      <w:bodyDiv w:val="1"/>
      <w:marLeft w:val="0"/>
      <w:marRight w:val="0"/>
      <w:marTop w:val="0"/>
      <w:marBottom w:val="0"/>
      <w:divBdr>
        <w:top w:val="none" w:sz="0" w:space="0" w:color="auto"/>
        <w:left w:val="none" w:sz="0" w:space="0" w:color="auto"/>
        <w:bottom w:val="none" w:sz="0" w:space="0" w:color="auto"/>
        <w:right w:val="none" w:sz="0" w:space="0" w:color="auto"/>
      </w:divBdr>
    </w:div>
    <w:div w:id="1213417843">
      <w:bodyDiv w:val="1"/>
      <w:marLeft w:val="0"/>
      <w:marRight w:val="0"/>
      <w:marTop w:val="0"/>
      <w:marBottom w:val="0"/>
      <w:divBdr>
        <w:top w:val="none" w:sz="0" w:space="0" w:color="auto"/>
        <w:left w:val="none" w:sz="0" w:space="0" w:color="auto"/>
        <w:bottom w:val="none" w:sz="0" w:space="0" w:color="auto"/>
        <w:right w:val="none" w:sz="0" w:space="0" w:color="auto"/>
      </w:divBdr>
    </w:div>
    <w:div w:id="1225333204">
      <w:bodyDiv w:val="1"/>
      <w:marLeft w:val="0"/>
      <w:marRight w:val="0"/>
      <w:marTop w:val="0"/>
      <w:marBottom w:val="0"/>
      <w:divBdr>
        <w:top w:val="none" w:sz="0" w:space="0" w:color="auto"/>
        <w:left w:val="none" w:sz="0" w:space="0" w:color="auto"/>
        <w:bottom w:val="none" w:sz="0" w:space="0" w:color="auto"/>
        <w:right w:val="none" w:sz="0" w:space="0" w:color="auto"/>
      </w:divBdr>
      <w:divsChild>
        <w:div w:id="1128279892">
          <w:marLeft w:val="0"/>
          <w:marRight w:val="0"/>
          <w:marTop w:val="0"/>
          <w:marBottom w:val="0"/>
          <w:divBdr>
            <w:top w:val="none" w:sz="0" w:space="0" w:color="auto"/>
            <w:left w:val="none" w:sz="0" w:space="0" w:color="auto"/>
            <w:bottom w:val="none" w:sz="0" w:space="0" w:color="auto"/>
            <w:right w:val="none" w:sz="0" w:space="0" w:color="auto"/>
          </w:divBdr>
          <w:divsChild>
            <w:div w:id="1375350502">
              <w:marLeft w:val="0"/>
              <w:marRight w:val="0"/>
              <w:marTop w:val="0"/>
              <w:marBottom w:val="0"/>
              <w:divBdr>
                <w:top w:val="none" w:sz="0" w:space="0" w:color="auto"/>
                <w:left w:val="none" w:sz="0" w:space="0" w:color="auto"/>
                <w:bottom w:val="none" w:sz="0" w:space="0" w:color="auto"/>
                <w:right w:val="none" w:sz="0" w:space="0" w:color="auto"/>
              </w:divBdr>
              <w:divsChild>
                <w:div w:id="1571114221">
                  <w:marLeft w:val="0"/>
                  <w:marRight w:val="0"/>
                  <w:marTop w:val="0"/>
                  <w:marBottom w:val="0"/>
                  <w:divBdr>
                    <w:top w:val="none" w:sz="0" w:space="0" w:color="auto"/>
                    <w:left w:val="none" w:sz="0" w:space="0" w:color="auto"/>
                    <w:bottom w:val="none" w:sz="0" w:space="0" w:color="auto"/>
                    <w:right w:val="none" w:sz="0" w:space="0" w:color="auto"/>
                  </w:divBdr>
                  <w:divsChild>
                    <w:div w:id="277414870">
                      <w:marLeft w:val="0"/>
                      <w:marRight w:val="0"/>
                      <w:marTop w:val="0"/>
                      <w:marBottom w:val="0"/>
                      <w:divBdr>
                        <w:top w:val="none" w:sz="0" w:space="0" w:color="auto"/>
                        <w:left w:val="none" w:sz="0" w:space="0" w:color="auto"/>
                        <w:bottom w:val="none" w:sz="0" w:space="0" w:color="auto"/>
                        <w:right w:val="none" w:sz="0" w:space="0" w:color="auto"/>
                      </w:divBdr>
                      <w:divsChild>
                        <w:div w:id="868105931">
                          <w:marLeft w:val="0"/>
                          <w:marRight w:val="0"/>
                          <w:marTop w:val="0"/>
                          <w:marBottom w:val="0"/>
                          <w:divBdr>
                            <w:top w:val="none" w:sz="0" w:space="0" w:color="auto"/>
                            <w:left w:val="none" w:sz="0" w:space="0" w:color="auto"/>
                            <w:bottom w:val="none" w:sz="0" w:space="0" w:color="auto"/>
                            <w:right w:val="none" w:sz="0" w:space="0" w:color="auto"/>
                          </w:divBdr>
                          <w:divsChild>
                            <w:div w:id="586576445">
                              <w:marLeft w:val="0"/>
                              <w:marRight w:val="0"/>
                              <w:marTop w:val="0"/>
                              <w:marBottom w:val="0"/>
                              <w:divBdr>
                                <w:top w:val="none" w:sz="0" w:space="0" w:color="auto"/>
                                <w:left w:val="none" w:sz="0" w:space="0" w:color="auto"/>
                                <w:bottom w:val="none" w:sz="0" w:space="0" w:color="auto"/>
                                <w:right w:val="none" w:sz="0" w:space="0" w:color="auto"/>
                              </w:divBdr>
                              <w:divsChild>
                                <w:div w:id="442463688">
                                  <w:marLeft w:val="0"/>
                                  <w:marRight w:val="0"/>
                                  <w:marTop w:val="0"/>
                                  <w:marBottom w:val="0"/>
                                  <w:divBdr>
                                    <w:top w:val="none" w:sz="0" w:space="0" w:color="auto"/>
                                    <w:left w:val="none" w:sz="0" w:space="0" w:color="auto"/>
                                    <w:bottom w:val="none" w:sz="0" w:space="0" w:color="auto"/>
                                    <w:right w:val="none" w:sz="0" w:space="0" w:color="auto"/>
                                  </w:divBdr>
                                  <w:divsChild>
                                    <w:div w:id="18094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7915">
                      <w:marLeft w:val="0"/>
                      <w:marRight w:val="0"/>
                      <w:marTop w:val="0"/>
                      <w:marBottom w:val="0"/>
                      <w:divBdr>
                        <w:top w:val="none" w:sz="0" w:space="0" w:color="auto"/>
                        <w:left w:val="none" w:sz="0" w:space="0" w:color="auto"/>
                        <w:bottom w:val="none" w:sz="0" w:space="0" w:color="auto"/>
                        <w:right w:val="none" w:sz="0" w:space="0" w:color="auto"/>
                      </w:divBdr>
                      <w:divsChild>
                        <w:div w:id="61918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345964">
      <w:bodyDiv w:val="1"/>
      <w:marLeft w:val="0"/>
      <w:marRight w:val="0"/>
      <w:marTop w:val="0"/>
      <w:marBottom w:val="0"/>
      <w:divBdr>
        <w:top w:val="none" w:sz="0" w:space="0" w:color="auto"/>
        <w:left w:val="none" w:sz="0" w:space="0" w:color="auto"/>
        <w:bottom w:val="none" w:sz="0" w:space="0" w:color="auto"/>
        <w:right w:val="none" w:sz="0" w:space="0" w:color="auto"/>
      </w:divBdr>
    </w:div>
    <w:div w:id="1259024817">
      <w:bodyDiv w:val="1"/>
      <w:marLeft w:val="0"/>
      <w:marRight w:val="0"/>
      <w:marTop w:val="0"/>
      <w:marBottom w:val="0"/>
      <w:divBdr>
        <w:top w:val="none" w:sz="0" w:space="0" w:color="auto"/>
        <w:left w:val="none" w:sz="0" w:space="0" w:color="auto"/>
        <w:bottom w:val="none" w:sz="0" w:space="0" w:color="auto"/>
        <w:right w:val="none" w:sz="0" w:space="0" w:color="auto"/>
      </w:divBdr>
    </w:div>
    <w:div w:id="1281447806">
      <w:bodyDiv w:val="1"/>
      <w:marLeft w:val="0"/>
      <w:marRight w:val="0"/>
      <w:marTop w:val="0"/>
      <w:marBottom w:val="0"/>
      <w:divBdr>
        <w:top w:val="none" w:sz="0" w:space="0" w:color="auto"/>
        <w:left w:val="none" w:sz="0" w:space="0" w:color="auto"/>
        <w:bottom w:val="none" w:sz="0" w:space="0" w:color="auto"/>
        <w:right w:val="none" w:sz="0" w:space="0" w:color="auto"/>
      </w:divBdr>
    </w:div>
    <w:div w:id="1298995906">
      <w:bodyDiv w:val="1"/>
      <w:marLeft w:val="0"/>
      <w:marRight w:val="0"/>
      <w:marTop w:val="0"/>
      <w:marBottom w:val="0"/>
      <w:divBdr>
        <w:top w:val="none" w:sz="0" w:space="0" w:color="auto"/>
        <w:left w:val="none" w:sz="0" w:space="0" w:color="auto"/>
        <w:bottom w:val="none" w:sz="0" w:space="0" w:color="auto"/>
        <w:right w:val="none" w:sz="0" w:space="0" w:color="auto"/>
      </w:divBdr>
    </w:div>
    <w:div w:id="1304969552">
      <w:bodyDiv w:val="1"/>
      <w:marLeft w:val="0"/>
      <w:marRight w:val="0"/>
      <w:marTop w:val="0"/>
      <w:marBottom w:val="0"/>
      <w:divBdr>
        <w:top w:val="none" w:sz="0" w:space="0" w:color="auto"/>
        <w:left w:val="none" w:sz="0" w:space="0" w:color="auto"/>
        <w:bottom w:val="none" w:sz="0" w:space="0" w:color="auto"/>
        <w:right w:val="none" w:sz="0" w:space="0" w:color="auto"/>
      </w:divBdr>
    </w:div>
    <w:div w:id="1308511137">
      <w:bodyDiv w:val="1"/>
      <w:marLeft w:val="0"/>
      <w:marRight w:val="0"/>
      <w:marTop w:val="0"/>
      <w:marBottom w:val="0"/>
      <w:divBdr>
        <w:top w:val="none" w:sz="0" w:space="0" w:color="auto"/>
        <w:left w:val="none" w:sz="0" w:space="0" w:color="auto"/>
        <w:bottom w:val="none" w:sz="0" w:space="0" w:color="auto"/>
        <w:right w:val="none" w:sz="0" w:space="0" w:color="auto"/>
      </w:divBdr>
    </w:div>
    <w:div w:id="1318269165">
      <w:bodyDiv w:val="1"/>
      <w:marLeft w:val="0"/>
      <w:marRight w:val="0"/>
      <w:marTop w:val="0"/>
      <w:marBottom w:val="0"/>
      <w:divBdr>
        <w:top w:val="none" w:sz="0" w:space="0" w:color="auto"/>
        <w:left w:val="none" w:sz="0" w:space="0" w:color="auto"/>
        <w:bottom w:val="none" w:sz="0" w:space="0" w:color="auto"/>
        <w:right w:val="none" w:sz="0" w:space="0" w:color="auto"/>
      </w:divBdr>
    </w:div>
    <w:div w:id="1350520836">
      <w:bodyDiv w:val="1"/>
      <w:marLeft w:val="0"/>
      <w:marRight w:val="0"/>
      <w:marTop w:val="0"/>
      <w:marBottom w:val="0"/>
      <w:divBdr>
        <w:top w:val="none" w:sz="0" w:space="0" w:color="auto"/>
        <w:left w:val="none" w:sz="0" w:space="0" w:color="auto"/>
        <w:bottom w:val="none" w:sz="0" w:space="0" w:color="auto"/>
        <w:right w:val="none" w:sz="0" w:space="0" w:color="auto"/>
      </w:divBdr>
    </w:div>
    <w:div w:id="1357198941">
      <w:bodyDiv w:val="1"/>
      <w:marLeft w:val="0"/>
      <w:marRight w:val="0"/>
      <w:marTop w:val="0"/>
      <w:marBottom w:val="0"/>
      <w:divBdr>
        <w:top w:val="none" w:sz="0" w:space="0" w:color="auto"/>
        <w:left w:val="none" w:sz="0" w:space="0" w:color="auto"/>
        <w:bottom w:val="none" w:sz="0" w:space="0" w:color="auto"/>
        <w:right w:val="none" w:sz="0" w:space="0" w:color="auto"/>
      </w:divBdr>
    </w:div>
    <w:div w:id="1360813509">
      <w:bodyDiv w:val="1"/>
      <w:marLeft w:val="0"/>
      <w:marRight w:val="0"/>
      <w:marTop w:val="0"/>
      <w:marBottom w:val="0"/>
      <w:divBdr>
        <w:top w:val="none" w:sz="0" w:space="0" w:color="auto"/>
        <w:left w:val="none" w:sz="0" w:space="0" w:color="auto"/>
        <w:bottom w:val="none" w:sz="0" w:space="0" w:color="auto"/>
        <w:right w:val="none" w:sz="0" w:space="0" w:color="auto"/>
      </w:divBdr>
    </w:div>
    <w:div w:id="1381591812">
      <w:bodyDiv w:val="1"/>
      <w:marLeft w:val="0"/>
      <w:marRight w:val="0"/>
      <w:marTop w:val="0"/>
      <w:marBottom w:val="0"/>
      <w:divBdr>
        <w:top w:val="none" w:sz="0" w:space="0" w:color="auto"/>
        <w:left w:val="none" w:sz="0" w:space="0" w:color="auto"/>
        <w:bottom w:val="none" w:sz="0" w:space="0" w:color="auto"/>
        <w:right w:val="none" w:sz="0" w:space="0" w:color="auto"/>
      </w:divBdr>
    </w:div>
    <w:div w:id="1389959686">
      <w:bodyDiv w:val="1"/>
      <w:marLeft w:val="0"/>
      <w:marRight w:val="0"/>
      <w:marTop w:val="0"/>
      <w:marBottom w:val="0"/>
      <w:divBdr>
        <w:top w:val="none" w:sz="0" w:space="0" w:color="auto"/>
        <w:left w:val="none" w:sz="0" w:space="0" w:color="auto"/>
        <w:bottom w:val="none" w:sz="0" w:space="0" w:color="auto"/>
        <w:right w:val="none" w:sz="0" w:space="0" w:color="auto"/>
      </w:divBdr>
    </w:div>
    <w:div w:id="1413039089">
      <w:bodyDiv w:val="1"/>
      <w:marLeft w:val="0"/>
      <w:marRight w:val="0"/>
      <w:marTop w:val="0"/>
      <w:marBottom w:val="0"/>
      <w:divBdr>
        <w:top w:val="none" w:sz="0" w:space="0" w:color="auto"/>
        <w:left w:val="none" w:sz="0" w:space="0" w:color="auto"/>
        <w:bottom w:val="none" w:sz="0" w:space="0" w:color="auto"/>
        <w:right w:val="none" w:sz="0" w:space="0" w:color="auto"/>
      </w:divBdr>
    </w:div>
    <w:div w:id="1435634215">
      <w:bodyDiv w:val="1"/>
      <w:marLeft w:val="0"/>
      <w:marRight w:val="0"/>
      <w:marTop w:val="0"/>
      <w:marBottom w:val="0"/>
      <w:divBdr>
        <w:top w:val="none" w:sz="0" w:space="0" w:color="auto"/>
        <w:left w:val="none" w:sz="0" w:space="0" w:color="auto"/>
        <w:bottom w:val="none" w:sz="0" w:space="0" w:color="auto"/>
        <w:right w:val="none" w:sz="0" w:space="0" w:color="auto"/>
      </w:divBdr>
    </w:div>
    <w:div w:id="1516573900">
      <w:bodyDiv w:val="1"/>
      <w:marLeft w:val="0"/>
      <w:marRight w:val="0"/>
      <w:marTop w:val="0"/>
      <w:marBottom w:val="0"/>
      <w:divBdr>
        <w:top w:val="none" w:sz="0" w:space="0" w:color="auto"/>
        <w:left w:val="none" w:sz="0" w:space="0" w:color="auto"/>
        <w:bottom w:val="none" w:sz="0" w:space="0" w:color="auto"/>
        <w:right w:val="none" w:sz="0" w:space="0" w:color="auto"/>
      </w:divBdr>
    </w:div>
    <w:div w:id="1574781444">
      <w:bodyDiv w:val="1"/>
      <w:marLeft w:val="0"/>
      <w:marRight w:val="0"/>
      <w:marTop w:val="0"/>
      <w:marBottom w:val="0"/>
      <w:divBdr>
        <w:top w:val="none" w:sz="0" w:space="0" w:color="auto"/>
        <w:left w:val="none" w:sz="0" w:space="0" w:color="auto"/>
        <w:bottom w:val="none" w:sz="0" w:space="0" w:color="auto"/>
        <w:right w:val="none" w:sz="0" w:space="0" w:color="auto"/>
      </w:divBdr>
    </w:div>
    <w:div w:id="1579972948">
      <w:bodyDiv w:val="1"/>
      <w:marLeft w:val="0"/>
      <w:marRight w:val="0"/>
      <w:marTop w:val="0"/>
      <w:marBottom w:val="0"/>
      <w:divBdr>
        <w:top w:val="none" w:sz="0" w:space="0" w:color="auto"/>
        <w:left w:val="none" w:sz="0" w:space="0" w:color="auto"/>
        <w:bottom w:val="none" w:sz="0" w:space="0" w:color="auto"/>
        <w:right w:val="none" w:sz="0" w:space="0" w:color="auto"/>
      </w:divBdr>
    </w:div>
    <w:div w:id="1625968053">
      <w:bodyDiv w:val="1"/>
      <w:marLeft w:val="0"/>
      <w:marRight w:val="0"/>
      <w:marTop w:val="0"/>
      <w:marBottom w:val="0"/>
      <w:divBdr>
        <w:top w:val="none" w:sz="0" w:space="0" w:color="auto"/>
        <w:left w:val="none" w:sz="0" w:space="0" w:color="auto"/>
        <w:bottom w:val="none" w:sz="0" w:space="0" w:color="auto"/>
        <w:right w:val="none" w:sz="0" w:space="0" w:color="auto"/>
      </w:divBdr>
    </w:div>
    <w:div w:id="1626039303">
      <w:bodyDiv w:val="1"/>
      <w:marLeft w:val="0"/>
      <w:marRight w:val="0"/>
      <w:marTop w:val="0"/>
      <w:marBottom w:val="0"/>
      <w:divBdr>
        <w:top w:val="none" w:sz="0" w:space="0" w:color="auto"/>
        <w:left w:val="none" w:sz="0" w:space="0" w:color="auto"/>
        <w:bottom w:val="none" w:sz="0" w:space="0" w:color="auto"/>
        <w:right w:val="none" w:sz="0" w:space="0" w:color="auto"/>
      </w:divBdr>
    </w:div>
    <w:div w:id="1631784490">
      <w:bodyDiv w:val="1"/>
      <w:marLeft w:val="0"/>
      <w:marRight w:val="0"/>
      <w:marTop w:val="0"/>
      <w:marBottom w:val="0"/>
      <w:divBdr>
        <w:top w:val="none" w:sz="0" w:space="0" w:color="auto"/>
        <w:left w:val="none" w:sz="0" w:space="0" w:color="auto"/>
        <w:bottom w:val="none" w:sz="0" w:space="0" w:color="auto"/>
        <w:right w:val="none" w:sz="0" w:space="0" w:color="auto"/>
      </w:divBdr>
    </w:div>
    <w:div w:id="1641224451">
      <w:bodyDiv w:val="1"/>
      <w:marLeft w:val="0"/>
      <w:marRight w:val="0"/>
      <w:marTop w:val="0"/>
      <w:marBottom w:val="0"/>
      <w:divBdr>
        <w:top w:val="none" w:sz="0" w:space="0" w:color="auto"/>
        <w:left w:val="none" w:sz="0" w:space="0" w:color="auto"/>
        <w:bottom w:val="none" w:sz="0" w:space="0" w:color="auto"/>
        <w:right w:val="none" w:sz="0" w:space="0" w:color="auto"/>
      </w:divBdr>
    </w:div>
    <w:div w:id="1644459044">
      <w:bodyDiv w:val="1"/>
      <w:marLeft w:val="0"/>
      <w:marRight w:val="0"/>
      <w:marTop w:val="0"/>
      <w:marBottom w:val="0"/>
      <w:divBdr>
        <w:top w:val="none" w:sz="0" w:space="0" w:color="auto"/>
        <w:left w:val="none" w:sz="0" w:space="0" w:color="auto"/>
        <w:bottom w:val="none" w:sz="0" w:space="0" w:color="auto"/>
        <w:right w:val="none" w:sz="0" w:space="0" w:color="auto"/>
      </w:divBdr>
    </w:div>
    <w:div w:id="1649674142">
      <w:bodyDiv w:val="1"/>
      <w:marLeft w:val="0"/>
      <w:marRight w:val="0"/>
      <w:marTop w:val="0"/>
      <w:marBottom w:val="0"/>
      <w:divBdr>
        <w:top w:val="none" w:sz="0" w:space="0" w:color="auto"/>
        <w:left w:val="none" w:sz="0" w:space="0" w:color="auto"/>
        <w:bottom w:val="none" w:sz="0" w:space="0" w:color="auto"/>
        <w:right w:val="none" w:sz="0" w:space="0" w:color="auto"/>
      </w:divBdr>
    </w:div>
    <w:div w:id="1653757025">
      <w:bodyDiv w:val="1"/>
      <w:marLeft w:val="0"/>
      <w:marRight w:val="0"/>
      <w:marTop w:val="0"/>
      <w:marBottom w:val="0"/>
      <w:divBdr>
        <w:top w:val="none" w:sz="0" w:space="0" w:color="auto"/>
        <w:left w:val="none" w:sz="0" w:space="0" w:color="auto"/>
        <w:bottom w:val="none" w:sz="0" w:space="0" w:color="auto"/>
        <w:right w:val="none" w:sz="0" w:space="0" w:color="auto"/>
      </w:divBdr>
    </w:div>
    <w:div w:id="1674720253">
      <w:bodyDiv w:val="1"/>
      <w:marLeft w:val="0"/>
      <w:marRight w:val="0"/>
      <w:marTop w:val="0"/>
      <w:marBottom w:val="0"/>
      <w:divBdr>
        <w:top w:val="none" w:sz="0" w:space="0" w:color="auto"/>
        <w:left w:val="none" w:sz="0" w:space="0" w:color="auto"/>
        <w:bottom w:val="none" w:sz="0" w:space="0" w:color="auto"/>
        <w:right w:val="none" w:sz="0" w:space="0" w:color="auto"/>
      </w:divBdr>
    </w:div>
    <w:div w:id="1723213498">
      <w:bodyDiv w:val="1"/>
      <w:marLeft w:val="0"/>
      <w:marRight w:val="0"/>
      <w:marTop w:val="0"/>
      <w:marBottom w:val="0"/>
      <w:divBdr>
        <w:top w:val="none" w:sz="0" w:space="0" w:color="auto"/>
        <w:left w:val="none" w:sz="0" w:space="0" w:color="auto"/>
        <w:bottom w:val="none" w:sz="0" w:space="0" w:color="auto"/>
        <w:right w:val="none" w:sz="0" w:space="0" w:color="auto"/>
      </w:divBdr>
    </w:div>
    <w:div w:id="1742095821">
      <w:bodyDiv w:val="1"/>
      <w:marLeft w:val="0"/>
      <w:marRight w:val="0"/>
      <w:marTop w:val="0"/>
      <w:marBottom w:val="0"/>
      <w:divBdr>
        <w:top w:val="none" w:sz="0" w:space="0" w:color="auto"/>
        <w:left w:val="none" w:sz="0" w:space="0" w:color="auto"/>
        <w:bottom w:val="none" w:sz="0" w:space="0" w:color="auto"/>
        <w:right w:val="none" w:sz="0" w:space="0" w:color="auto"/>
      </w:divBdr>
    </w:div>
    <w:div w:id="1757362898">
      <w:bodyDiv w:val="1"/>
      <w:marLeft w:val="0"/>
      <w:marRight w:val="0"/>
      <w:marTop w:val="0"/>
      <w:marBottom w:val="0"/>
      <w:divBdr>
        <w:top w:val="none" w:sz="0" w:space="0" w:color="auto"/>
        <w:left w:val="none" w:sz="0" w:space="0" w:color="auto"/>
        <w:bottom w:val="none" w:sz="0" w:space="0" w:color="auto"/>
        <w:right w:val="none" w:sz="0" w:space="0" w:color="auto"/>
      </w:divBdr>
    </w:div>
    <w:div w:id="1785728976">
      <w:bodyDiv w:val="1"/>
      <w:marLeft w:val="0"/>
      <w:marRight w:val="0"/>
      <w:marTop w:val="0"/>
      <w:marBottom w:val="0"/>
      <w:divBdr>
        <w:top w:val="none" w:sz="0" w:space="0" w:color="auto"/>
        <w:left w:val="none" w:sz="0" w:space="0" w:color="auto"/>
        <w:bottom w:val="none" w:sz="0" w:space="0" w:color="auto"/>
        <w:right w:val="none" w:sz="0" w:space="0" w:color="auto"/>
      </w:divBdr>
      <w:divsChild>
        <w:div w:id="820191067">
          <w:marLeft w:val="0"/>
          <w:marRight w:val="0"/>
          <w:marTop w:val="0"/>
          <w:marBottom w:val="0"/>
          <w:divBdr>
            <w:top w:val="none" w:sz="0" w:space="0" w:color="auto"/>
            <w:left w:val="none" w:sz="0" w:space="0" w:color="auto"/>
            <w:bottom w:val="none" w:sz="0" w:space="0" w:color="auto"/>
            <w:right w:val="none" w:sz="0" w:space="0" w:color="auto"/>
          </w:divBdr>
          <w:divsChild>
            <w:div w:id="1253320421">
              <w:marLeft w:val="0"/>
              <w:marRight w:val="0"/>
              <w:marTop w:val="0"/>
              <w:marBottom w:val="0"/>
              <w:divBdr>
                <w:top w:val="none" w:sz="0" w:space="0" w:color="auto"/>
                <w:left w:val="none" w:sz="0" w:space="0" w:color="auto"/>
                <w:bottom w:val="none" w:sz="0" w:space="0" w:color="auto"/>
                <w:right w:val="none" w:sz="0" w:space="0" w:color="auto"/>
              </w:divBdr>
              <w:divsChild>
                <w:div w:id="143008345">
                  <w:marLeft w:val="0"/>
                  <w:marRight w:val="0"/>
                  <w:marTop w:val="0"/>
                  <w:marBottom w:val="0"/>
                  <w:divBdr>
                    <w:top w:val="none" w:sz="0" w:space="0" w:color="auto"/>
                    <w:left w:val="none" w:sz="0" w:space="0" w:color="auto"/>
                    <w:bottom w:val="none" w:sz="0" w:space="0" w:color="auto"/>
                    <w:right w:val="none" w:sz="0" w:space="0" w:color="auto"/>
                  </w:divBdr>
                  <w:divsChild>
                    <w:div w:id="252665683">
                      <w:marLeft w:val="0"/>
                      <w:marRight w:val="0"/>
                      <w:marTop w:val="0"/>
                      <w:marBottom w:val="0"/>
                      <w:divBdr>
                        <w:top w:val="none" w:sz="0" w:space="0" w:color="auto"/>
                        <w:left w:val="none" w:sz="0" w:space="0" w:color="auto"/>
                        <w:bottom w:val="none" w:sz="0" w:space="0" w:color="auto"/>
                        <w:right w:val="none" w:sz="0" w:space="0" w:color="auto"/>
                      </w:divBdr>
                      <w:divsChild>
                        <w:div w:id="505440807">
                          <w:marLeft w:val="0"/>
                          <w:marRight w:val="0"/>
                          <w:marTop w:val="0"/>
                          <w:marBottom w:val="0"/>
                          <w:divBdr>
                            <w:top w:val="none" w:sz="0" w:space="0" w:color="auto"/>
                            <w:left w:val="none" w:sz="0" w:space="0" w:color="auto"/>
                            <w:bottom w:val="none" w:sz="0" w:space="0" w:color="auto"/>
                            <w:right w:val="none" w:sz="0" w:space="0" w:color="auto"/>
                          </w:divBdr>
                        </w:div>
                      </w:divsChild>
                    </w:div>
                    <w:div w:id="1019547690">
                      <w:marLeft w:val="0"/>
                      <w:marRight w:val="0"/>
                      <w:marTop w:val="0"/>
                      <w:marBottom w:val="0"/>
                      <w:divBdr>
                        <w:top w:val="none" w:sz="0" w:space="0" w:color="auto"/>
                        <w:left w:val="none" w:sz="0" w:space="0" w:color="auto"/>
                        <w:bottom w:val="none" w:sz="0" w:space="0" w:color="auto"/>
                        <w:right w:val="none" w:sz="0" w:space="0" w:color="auto"/>
                      </w:divBdr>
                      <w:divsChild>
                        <w:div w:id="2097897864">
                          <w:marLeft w:val="0"/>
                          <w:marRight w:val="0"/>
                          <w:marTop w:val="0"/>
                          <w:marBottom w:val="0"/>
                          <w:divBdr>
                            <w:top w:val="none" w:sz="0" w:space="0" w:color="auto"/>
                            <w:left w:val="none" w:sz="0" w:space="0" w:color="auto"/>
                            <w:bottom w:val="none" w:sz="0" w:space="0" w:color="auto"/>
                            <w:right w:val="none" w:sz="0" w:space="0" w:color="auto"/>
                          </w:divBdr>
                          <w:divsChild>
                            <w:div w:id="1398089070">
                              <w:marLeft w:val="0"/>
                              <w:marRight w:val="0"/>
                              <w:marTop w:val="0"/>
                              <w:marBottom w:val="0"/>
                              <w:divBdr>
                                <w:top w:val="none" w:sz="0" w:space="0" w:color="auto"/>
                                <w:left w:val="none" w:sz="0" w:space="0" w:color="auto"/>
                                <w:bottom w:val="none" w:sz="0" w:space="0" w:color="auto"/>
                                <w:right w:val="none" w:sz="0" w:space="0" w:color="auto"/>
                              </w:divBdr>
                              <w:divsChild>
                                <w:div w:id="1586571929">
                                  <w:marLeft w:val="0"/>
                                  <w:marRight w:val="0"/>
                                  <w:marTop w:val="0"/>
                                  <w:marBottom w:val="0"/>
                                  <w:divBdr>
                                    <w:top w:val="none" w:sz="0" w:space="0" w:color="auto"/>
                                    <w:left w:val="none" w:sz="0" w:space="0" w:color="auto"/>
                                    <w:bottom w:val="none" w:sz="0" w:space="0" w:color="auto"/>
                                    <w:right w:val="none" w:sz="0" w:space="0" w:color="auto"/>
                                  </w:divBdr>
                                  <w:divsChild>
                                    <w:div w:id="15912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964119">
      <w:bodyDiv w:val="1"/>
      <w:marLeft w:val="0"/>
      <w:marRight w:val="0"/>
      <w:marTop w:val="0"/>
      <w:marBottom w:val="0"/>
      <w:divBdr>
        <w:top w:val="none" w:sz="0" w:space="0" w:color="auto"/>
        <w:left w:val="none" w:sz="0" w:space="0" w:color="auto"/>
        <w:bottom w:val="none" w:sz="0" w:space="0" w:color="auto"/>
        <w:right w:val="none" w:sz="0" w:space="0" w:color="auto"/>
      </w:divBdr>
    </w:div>
    <w:div w:id="1840848373">
      <w:bodyDiv w:val="1"/>
      <w:marLeft w:val="0"/>
      <w:marRight w:val="0"/>
      <w:marTop w:val="0"/>
      <w:marBottom w:val="0"/>
      <w:divBdr>
        <w:top w:val="none" w:sz="0" w:space="0" w:color="auto"/>
        <w:left w:val="none" w:sz="0" w:space="0" w:color="auto"/>
        <w:bottom w:val="none" w:sz="0" w:space="0" w:color="auto"/>
        <w:right w:val="none" w:sz="0" w:space="0" w:color="auto"/>
      </w:divBdr>
    </w:div>
    <w:div w:id="1854806630">
      <w:bodyDiv w:val="1"/>
      <w:marLeft w:val="0"/>
      <w:marRight w:val="0"/>
      <w:marTop w:val="0"/>
      <w:marBottom w:val="0"/>
      <w:divBdr>
        <w:top w:val="none" w:sz="0" w:space="0" w:color="auto"/>
        <w:left w:val="none" w:sz="0" w:space="0" w:color="auto"/>
        <w:bottom w:val="none" w:sz="0" w:space="0" w:color="auto"/>
        <w:right w:val="none" w:sz="0" w:space="0" w:color="auto"/>
      </w:divBdr>
      <w:divsChild>
        <w:div w:id="429203237">
          <w:marLeft w:val="0"/>
          <w:marRight w:val="0"/>
          <w:marTop w:val="0"/>
          <w:marBottom w:val="0"/>
          <w:divBdr>
            <w:top w:val="none" w:sz="0" w:space="0" w:color="auto"/>
            <w:left w:val="none" w:sz="0" w:space="0" w:color="auto"/>
            <w:bottom w:val="none" w:sz="0" w:space="0" w:color="auto"/>
            <w:right w:val="none" w:sz="0" w:space="0" w:color="auto"/>
          </w:divBdr>
          <w:divsChild>
            <w:div w:id="1981107573">
              <w:marLeft w:val="0"/>
              <w:marRight w:val="0"/>
              <w:marTop w:val="0"/>
              <w:marBottom w:val="0"/>
              <w:divBdr>
                <w:top w:val="none" w:sz="0" w:space="0" w:color="auto"/>
                <w:left w:val="none" w:sz="0" w:space="0" w:color="auto"/>
                <w:bottom w:val="none" w:sz="0" w:space="0" w:color="auto"/>
                <w:right w:val="none" w:sz="0" w:space="0" w:color="auto"/>
              </w:divBdr>
              <w:divsChild>
                <w:div w:id="950360153">
                  <w:marLeft w:val="0"/>
                  <w:marRight w:val="0"/>
                  <w:marTop w:val="0"/>
                  <w:marBottom w:val="0"/>
                  <w:divBdr>
                    <w:top w:val="none" w:sz="0" w:space="0" w:color="auto"/>
                    <w:left w:val="none" w:sz="0" w:space="0" w:color="auto"/>
                    <w:bottom w:val="none" w:sz="0" w:space="0" w:color="auto"/>
                    <w:right w:val="none" w:sz="0" w:space="0" w:color="auto"/>
                  </w:divBdr>
                  <w:divsChild>
                    <w:div w:id="31736828">
                      <w:marLeft w:val="0"/>
                      <w:marRight w:val="0"/>
                      <w:marTop w:val="0"/>
                      <w:marBottom w:val="0"/>
                      <w:divBdr>
                        <w:top w:val="none" w:sz="0" w:space="0" w:color="auto"/>
                        <w:left w:val="none" w:sz="0" w:space="0" w:color="auto"/>
                        <w:bottom w:val="none" w:sz="0" w:space="0" w:color="auto"/>
                        <w:right w:val="none" w:sz="0" w:space="0" w:color="auto"/>
                      </w:divBdr>
                      <w:divsChild>
                        <w:div w:id="1074594419">
                          <w:marLeft w:val="0"/>
                          <w:marRight w:val="0"/>
                          <w:marTop w:val="0"/>
                          <w:marBottom w:val="0"/>
                          <w:divBdr>
                            <w:top w:val="none" w:sz="0" w:space="0" w:color="auto"/>
                            <w:left w:val="none" w:sz="0" w:space="0" w:color="auto"/>
                            <w:bottom w:val="none" w:sz="0" w:space="0" w:color="auto"/>
                            <w:right w:val="none" w:sz="0" w:space="0" w:color="auto"/>
                          </w:divBdr>
                        </w:div>
                      </w:divsChild>
                    </w:div>
                    <w:div w:id="743188077">
                      <w:marLeft w:val="0"/>
                      <w:marRight w:val="0"/>
                      <w:marTop w:val="0"/>
                      <w:marBottom w:val="0"/>
                      <w:divBdr>
                        <w:top w:val="none" w:sz="0" w:space="0" w:color="auto"/>
                        <w:left w:val="none" w:sz="0" w:space="0" w:color="auto"/>
                        <w:bottom w:val="none" w:sz="0" w:space="0" w:color="auto"/>
                        <w:right w:val="none" w:sz="0" w:space="0" w:color="auto"/>
                      </w:divBdr>
                      <w:divsChild>
                        <w:div w:id="1828328243">
                          <w:marLeft w:val="0"/>
                          <w:marRight w:val="0"/>
                          <w:marTop w:val="0"/>
                          <w:marBottom w:val="0"/>
                          <w:divBdr>
                            <w:top w:val="none" w:sz="0" w:space="0" w:color="auto"/>
                            <w:left w:val="none" w:sz="0" w:space="0" w:color="auto"/>
                            <w:bottom w:val="none" w:sz="0" w:space="0" w:color="auto"/>
                            <w:right w:val="none" w:sz="0" w:space="0" w:color="auto"/>
                          </w:divBdr>
                          <w:divsChild>
                            <w:div w:id="1219705129">
                              <w:marLeft w:val="0"/>
                              <w:marRight w:val="0"/>
                              <w:marTop w:val="0"/>
                              <w:marBottom w:val="0"/>
                              <w:divBdr>
                                <w:top w:val="none" w:sz="0" w:space="0" w:color="auto"/>
                                <w:left w:val="none" w:sz="0" w:space="0" w:color="auto"/>
                                <w:bottom w:val="none" w:sz="0" w:space="0" w:color="auto"/>
                                <w:right w:val="none" w:sz="0" w:space="0" w:color="auto"/>
                              </w:divBdr>
                              <w:divsChild>
                                <w:div w:id="964000675">
                                  <w:marLeft w:val="0"/>
                                  <w:marRight w:val="0"/>
                                  <w:marTop w:val="0"/>
                                  <w:marBottom w:val="0"/>
                                  <w:divBdr>
                                    <w:top w:val="none" w:sz="0" w:space="0" w:color="auto"/>
                                    <w:left w:val="none" w:sz="0" w:space="0" w:color="auto"/>
                                    <w:bottom w:val="none" w:sz="0" w:space="0" w:color="auto"/>
                                    <w:right w:val="none" w:sz="0" w:space="0" w:color="auto"/>
                                  </w:divBdr>
                                  <w:divsChild>
                                    <w:div w:id="11476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424047">
      <w:bodyDiv w:val="1"/>
      <w:marLeft w:val="0"/>
      <w:marRight w:val="0"/>
      <w:marTop w:val="0"/>
      <w:marBottom w:val="0"/>
      <w:divBdr>
        <w:top w:val="none" w:sz="0" w:space="0" w:color="auto"/>
        <w:left w:val="none" w:sz="0" w:space="0" w:color="auto"/>
        <w:bottom w:val="none" w:sz="0" w:space="0" w:color="auto"/>
        <w:right w:val="none" w:sz="0" w:space="0" w:color="auto"/>
      </w:divBdr>
    </w:div>
    <w:div w:id="1877695899">
      <w:bodyDiv w:val="1"/>
      <w:marLeft w:val="0"/>
      <w:marRight w:val="0"/>
      <w:marTop w:val="0"/>
      <w:marBottom w:val="0"/>
      <w:divBdr>
        <w:top w:val="none" w:sz="0" w:space="0" w:color="auto"/>
        <w:left w:val="none" w:sz="0" w:space="0" w:color="auto"/>
        <w:bottom w:val="none" w:sz="0" w:space="0" w:color="auto"/>
        <w:right w:val="none" w:sz="0" w:space="0" w:color="auto"/>
      </w:divBdr>
      <w:divsChild>
        <w:div w:id="1426266657">
          <w:marLeft w:val="0"/>
          <w:marRight w:val="0"/>
          <w:marTop w:val="0"/>
          <w:marBottom w:val="0"/>
          <w:divBdr>
            <w:top w:val="none" w:sz="0" w:space="0" w:color="auto"/>
            <w:left w:val="none" w:sz="0" w:space="0" w:color="auto"/>
            <w:bottom w:val="none" w:sz="0" w:space="0" w:color="auto"/>
            <w:right w:val="none" w:sz="0" w:space="0" w:color="auto"/>
          </w:divBdr>
          <w:divsChild>
            <w:div w:id="258029797">
              <w:marLeft w:val="0"/>
              <w:marRight w:val="0"/>
              <w:marTop w:val="0"/>
              <w:marBottom w:val="0"/>
              <w:divBdr>
                <w:top w:val="none" w:sz="0" w:space="0" w:color="auto"/>
                <w:left w:val="none" w:sz="0" w:space="0" w:color="auto"/>
                <w:bottom w:val="none" w:sz="0" w:space="0" w:color="auto"/>
                <w:right w:val="none" w:sz="0" w:space="0" w:color="auto"/>
              </w:divBdr>
              <w:divsChild>
                <w:div w:id="1360663904">
                  <w:marLeft w:val="0"/>
                  <w:marRight w:val="0"/>
                  <w:marTop w:val="0"/>
                  <w:marBottom w:val="0"/>
                  <w:divBdr>
                    <w:top w:val="none" w:sz="0" w:space="0" w:color="auto"/>
                    <w:left w:val="none" w:sz="0" w:space="0" w:color="auto"/>
                    <w:bottom w:val="none" w:sz="0" w:space="0" w:color="auto"/>
                    <w:right w:val="none" w:sz="0" w:space="0" w:color="auto"/>
                  </w:divBdr>
                  <w:divsChild>
                    <w:div w:id="1054038181">
                      <w:marLeft w:val="0"/>
                      <w:marRight w:val="0"/>
                      <w:marTop w:val="0"/>
                      <w:marBottom w:val="0"/>
                      <w:divBdr>
                        <w:top w:val="none" w:sz="0" w:space="0" w:color="auto"/>
                        <w:left w:val="none" w:sz="0" w:space="0" w:color="auto"/>
                        <w:bottom w:val="none" w:sz="0" w:space="0" w:color="auto"/>
                        <w:right w:val="none" w:sz="0" w:space="0" w:color="auto"/>
                      </w:divBdr>
                      <w:divsChild>
                        <w:div w:id="300624657">
                          <w:marLeft w:val="0"/>
                          <w:marRight w:val="0"/>
                          <w:marTop w:val="0"/>
                          <w:marBottom w:val="0"/>
                          <w:divBdr>
                            <w:top w:val="none" w:sz="0" w:space="0" w:color="auto"/>
                            <w:left w:val="none" w:sz="0" w:space="0" w:color="auto"/>
                            <w:bottom w:val="none" w:sz="0" w:space="0" w:color="auto"/>
                            <w:right w:val="none" w:sz="0" w:space="0" w:color="auto"/>
                          </w:divBdr>
                          <w:divsChild>
                            <w:div w:id="259722648">
                              <w:marLeft w:val="0"/>
                              <w:marRight w:val="0"/>
                              <w:marTop w:val="0"/>
                              <w:marBottom w:val="0"/>
                              <w:divBdr>
                                <w:top w:val="none" w:sz="0" w:space="0" w:color="auto"/>
                                <w:left w:val="none" w:sz="0" w:space="0" w:color="auto"/>
                                <w:bottom w:val="none" w:sz="0" w:space="0" w:color="auto"/>
                                <w:right w:val="none" w:sz="0" w:space="0" w:color="auto"/>
                              </w:divBdr>
                              <w:divsChild>
                                <w:div w:id="1894349169">
                                  <w:marLeft w:val="0"/>
                                  <w:marRight w:val="0"/>
                                  <w:marTop w:val="0"/>
                                  <w:marBottom w:val="0"/>
                                  <w:divBdr>
                                    <w:top w:val="none" w:sz="0" w:space="0" w:color="auto"/>
                                    <w:left w:val="none" w:sz="0" w:space="0" w:color="auto"/>
                                    <w:bottom w:val="none" w:sz="0" w:space="0" w:color="auto"/>
                                    <w:right w:val="none" w:sz="0" w:space="0" w:color="auto"/>
                                  </w:divBdr>
                                  <w:divsChild>
                                    <w:div w:id="9141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21117">
                      <w:marLeft w:val="0"/>
                      <w:marRight w:val="0"/>
                      <w:marTop w:val="0"/>
                      <w:marBottom w:val="0"/>
                      <w:divBdr>
                        <w:top w:val="none" w:sz="0" w:space="0" w:color="auto"/>
                        <w:left w:val="none" w:sz="0" w:space="0" w:color="auto"/>
                        <w:bottom w:val="none" w:sz="0" w:space="0" w:color="auto"/>
                        <w:right w:val="none" w:sz="0" w:space="0" w:color="auto"/>
                      </w:divBdr>
                      <w:divsChild>
                        <w:div w:id="137333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39938">
      <w:bodyDiv w:val="1"/>
      <w:marLeft w:val="0"/>
      <w:marRight w:val="0"/>
      <w:marTop w:val="0"/>
      <w:marBottom w:val="0"/>
      <w:divBdr>
        <w:top w:val="none" w:sz="0" w:space="0" w:color="auto"/>
        <w:left w:val="none" w:sz="0" w:space="0" w:color="auto"/>
        <w:bottom w:val="none" w:sz="0" w:space="0" w:color="auto"/>
        <w:right w:val="none" w:sz="0" w:space="0" w:color="auto"/>
      </w:divBdr>
    </w:div>
    <w:div w:id="1890994632">
      <w:bodyDiv w:val="1"/>
      <w:marLeft w:val="0"/>
      <w:marRight w:val="0"/>
      <w:marTop w:val="0"/>
      <w:marBottom w:val="0"/>
      <w:divBdr>
        <w:top w:val="none" w:sz="0" w:space="0" w:color="auto"/>
        <w:left w:val="none" w:sz="0" w:space="0" w:color="auto"/>
        <w:bottom w:val="none" w:sz="0" w:space="0" w:color="auto"/>
        <w:right w:val="none" w:sz="0" w:space="0" w:color="auto"/>
      </w:divBdr>
    </w:div>
    <w:div w:id="1903902652">
      <w:bodyDiv w:val="1"/>
      <w:marLeft w:val="0"/>
      <w:marRight w:val="0"/>
      <w:marTop w:val="0"/>
      <w:marBottom w:val="0"/>
      <w:divBdr>
        <w:top w:val="none" w:sz="0" w:space="0" w:color="auto"/>
        <w:left w:val="none" w:sz="0" w:space="0" w:color="auto"/>
        <w:bottom w:val="none" w:sz="0" w:space="0" w:color="auto"/>
        <w:right w:val="none" w:sz="0" w:space="0" w:color="auto"/>
      </w:divBdr>
    </w:div>
    <w:div w:id="1921868559">
      <w:bodyDiv w:val="1"/>
      <w:marLeft w:val="0"/>
      <w:marRight w:val="0"/>
      <w:marTop w:val="0"/>
      <w:marBottom w:val="0"/>
      <w:divBdr>
        <w:top w:val="none" w:sz="0" w:space="0" w:color="auto"/>
        <w:left w:val="none" w:sz="0" w:space="0" w:color="auto"/>
        <w:bottom w:val="none" w:sz="0" w:space="0" w:color="auto"/>
        <w:right w:val="none" w:sz="0" w:space="0" w:color="auto"/>
      </w:divBdr>
    </w:div>
    <w:div w:id="1926567446">
      <w:bodyDiv w:val="1"/>
      <w:marLeft w:val="0"/>
      <w:marRight w:val="0"/>
      <w:marTop w:val="0"/>
      <w:marBottom w:val="0"/>
      <w:divBdr>
        <w:top w:val="none" w:sz="0" w:space="0" w:color="auto"/>
        <w:left w:val="none" w:sz="0" w:space="0" w:color="auto"/>
        <w:bottom w:val="none" w:sz="0" w:space="0" w:color="auto"/>
        <w:right w:val="none" w:sz="0" w:space="0" w:color="auto"/>
      </w:divBdr>
    </w:div>
    <w:div w:id="1934898500">
      <w:bodyDiv w:val="1"/>
      <w:marLeft w:val="0"/>
      <w:marRight w:val="0"/>
      <w:marTop w:val="0"/>
      <w:marBottom w:val="0"/>
      <w:divBdr>
        <w:top w:val="none" w:sz="0" w:space="0" w:color="auto"/>
        <w:left w:val="none" w:sz="0" w:space="0" w:color="auto"/>
        <w:bottom w:val="none" w:sz="0" w:space="0" w:color="auto"/>
        <w:right w:val="none" w:sz="0" w:space="0" w:color="auto"/>
      </w:divBdr>
    </w:div>
    <w:div w:id="1962375871">
      <w:bodyDiv w:val="1"/>
      <w:marLeft w:val="0"/>
      <w:marRight w:val="0"/>
      <w:marTop w:val="0"/>
      <w:marBottom w:val="0"/>
      <w:divBdr>
        <w:top w:val="none" w:sz="0" w:space="0" w:color="auto"/>
        <w:left w:val="none" w:sz="0" w:space="0" w:color="auto"/>
        <w:bottom w:val="none" w:sz="0" w:space="0" w:color="auto"/>
        <w:right w:val="none" w:sz="0" w:space="0" w:color="auto"/>
      </w:divBdr>
    </w:div>
    <w:div w:id="1982996891">
      <w:bodyDiv w:val="1"/>
      <w:marLeft w:val="0"/>
      <w:marRight w:val="0"/>
      <w:marTop w:val="0"/>
      <w:marBottom w:val="0"/>
      <w:divBdr>
        <w:top w:val="none" w:sz="0" w:space="0" w:color="auto"/>
        <w:left w:val="none" w:sz="0" w:space="0" w:color="auto"/>
        <w:bottom w:val="none" w:sz="0" w:space="0" w:color="auto"/>
        <w:right w:val="none" w:sz="0" w:space="0" w:color="auto"/>
      </w:divBdr>
    </w:div>
    <w:div w:id="2007510130">
      <w:bodyDiv w:val="1"/>
      <w:marLeft w:val="0"/>
      <w:marRight w:val="0"/>
      <w:marTop w:val="0"/>
      <w:marBottom w:val="0"/>
      <w:divBdr>
        <w:top w:val="none" w:sz="0" w:space="0" w:color="auto"/>
        <w:left w:val="none" w:sz="0" w:space="0" w:color="auto"/>
        <w:bottom w:val="none" w:sz="0" w:space="0" w:color="auto"/>
        <w:right w:val="none" w:sz="0" w:space="0" w:color="auto"/>
      </w:divBdr>
    </w:div>
    <w:div w:id="2050954755">
      <w:bodyDiv w:val="1"/>
      <w:marLeft w:val="0"/>
      <w:marRight w:val="0"/>
      <w:marTop w:val="0"/>
      <w:marBottom w:val="0"/>
      <w:divBdr>
        <w:top w:val="none" w:sz="0" w:space="0" w:color="auto"/>
        <w:left w:val="none" w:sz="0" w:space="0" w:color="auto"/>
        <w:bottom w:val="none" w:sz="0" w:space="0" w:color="auto"/>
        <w:right w:val="none" w:sz="0" w:space="0" w:color="auto"/>
      </w:divBdr>
    </w:div>
    <w:div w:id="2101754665">
      <w:bodyDiv w:val="1"/>
      <w:marLeft w:val="0"/>
      <w:marRight w:val="0"/>
      <w:marTop w:val="0"/>
      <w:marBottom w:val="0"/>
      <w:divBdr>
        <w:top w:val="none" w:sz="0" w:space="0" w:color="auto"/>
        <w:left w:val="none" w:sz="0" w:space="0" w:color="auto"/>
        <w:bottom w:val="none" w:sz="0" w:space="0" w:color="auto"/>
        <w:right w:val="none" w:sz="0" w:space="0" w:color="auto"/>
      </w:divBdr>
    </w:div>
    <w:div w:id="2104107535">
      <w:bodyDiv w:val="1"/>
      <w:marLeft w:val="0"/>
      <w:marRight w:val="0"/>
      <w:marTop w:val="0"/>
      <w:marBottom w:val="0"/>
      <w:divBdr>
        <w:top w:val="none" w:sz="0" w:space="0" w:color="auto"/>
        <w:left w:val="none" w:sz="0" w:space="0" w:color="auto"/>
        <w:bottom w:val="none" w:sz="0" w:space="0" w:color="auto"/>
        <w:right w:val="none" w:sz="0" w:space="0" w:color="auto"/>
      </w:divBdr>
    </w:div>
    <w:div w:id="212187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dfat.gov.au/about-us/publications/dfat-design-monitoring-evaluation-learning-standard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dfat.gov.au/international-relations/themes/climate-change/supporting-indo-pacific-tackle-climate-change/climate-resilient-communiti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w3.org/TR/WCAG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Miles\Tetra%20Tech,%20Inc\Communications%20and%20Design%20-%20Design%20and%20Production%20Library\Templates\Tetra%20Tech%20International%20Development\MKT_TMP_Report\MKT_TMP_Long%20Form%20Document.dotx" TargetMode="External"/></Relationships>
</file>

<file path=word/theme/theme1.xml><?xml version="1.0" encoding="utf-8"?>
<a:theme xmlns:a="http://schemas.openxmlformats.org/drawingml/2006/main" name="Office Theme">
  <a:themeElements>
    <a:clrScheme name="Tetra Tech New">
      <a:dk1>
        <a:srgbClr val="747678"/>
      </a:dk1>
      <a:lt1>
        <a:srgbClr val="FFFFFF"/>
      </a:lt1>
      <a:dk2>
        <a:srgbClr val="000000"/>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Custom 2">
      <a:majorFont>
        <a:latin typeface="Source Sans Pro Bol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AVETP Final Report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lcf76f155ced4ddcb4097134ff3c332f xmlns="dcdd4c36-77eb-41f1-bc55-8081e76bd12a">
      <Terms xmlns="http://schemas.microsoft.com/office/infopath/2007/PartnerControls"/>
    </lcf76f155ced4ddcb4097134ff3c332f>
    <TaxCatchAll xmlns="18b35f99-e99b-45f3-a924-f7d993aa386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4D2B9BE6066D8448F569511346266D7" ma:contentTypeVersion="14" ma:contentTypeDescription="Create a new document." ma:contentTypeScope="" ma:versionID="2adbe89c6a0d2f6ebf1fc7a36a0bc261">
  <xsd:schema xmlns:xsd="http://www.w3.org/2001/XMLSchema" xmlns:xs="http://www.w3.org/2001/XMLSchema" xmlns:p="http://schemas.microsoft.com/office/2006/metadata/properties" xmlns:ns2="dcdd4c36-77eb-41f1-bc55-8081e76bd12a" xmlns:ns3="18b35f99-e99b-45f3-a924-f7d993aa386b" targetNamespace="http://schemas.microsoft.com/office/2006/metadata/properties" ma:root="true" ma:fieldsID="122317d066b1f9e7cb680ca45405d4f6" ns2:_="" ns3:_="">
    <xsd:import namespace="dcdd4c36-77eb-41f1-bc55-8081e76bd12a"/>
    <xsd:import namespace="18b35f99-e99b-45f3-a924-f7d993aa386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d4c36-77eb-41f1-bc55-8081e76bd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b35f99-e99b-45f3-a924-f7d993aa386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17450ec-78f4-4701-808a-a3474558e460}" ma:internalName="TaxCatchAll" ma:showField="CatchAllData" ma:web="18b35f99-e99b-45f3-a924-f7d993aa38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1 6 " ? > < S l a t a D o c S e t t i n g s   x m l n s : x s d = " h t t p : / / w w w . w 3 . o r g / 2 0 0 1 / X M L S c h e m a "   x m l n s : x s i = " h t t p : / / w w w . w 3 . o r g / 2 0 0 1 / X M L S c h e m a - i n s t a n c e "   x m l n s = " S l a t a D o c X m l " >  
     < S o u r c e L o c a l e > z h - H a n s - C N < / S o u r c e L o c a l e >  
     < D e s t i n a t i o n L o c a l e > d e - L a t n - D E < / D e s t i n a t i o n L o c a l e >  
     < T r a n s l a t i o n M o d e > U n k n o w n < / T r a n s l a t i o n M o d e >  
 < / S l a t a D o c S e t t i n g 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2339ED-60C3-43CB-8B5D-2D73BAA61E8D}">
  <ds:schemaRefs>
    <ds:schemaRef ds:uri="http://schemas.openxmlformats.org/officeDocument/2006/bibliography"/>
  </ds:schemaRefs>
</ds:datastoreItem>
</file>

<file path=customXml/itemProps3.xml><?xml version="1.0" encoding="utf-8"?>
<ds:datastoreItem xmlns:ds="http://schemas.openxmlformats.org/officeDocument/2006/customXml" ds:itemID="{BAEA07A6-40D4-49E6-97AA-581ECAC1172D}">
  <ds:schemaRefs>
    <ds:schemaRef ds:uri="http://schemas.microsoft.com/office/2006/metadata/properties"/>
    <ds:schemaRef ds:uri="dcdd4c36-77eb-41f1-bc55-8081e76bd12a"/>
    <ds:schemaRef ds:uri="http://schemas.microsoft.com/office/infopath/2007/PartnerControls"/>
    <ds:schemaRef ds:uri="18b35f99-e99b-45f3-a924-f7d993aa386b"/>
  </ds:schemaRefs>
</ds:datastoreItem>
</file>

<file path=customXml/itemProps4.xml><?xml version="1.0" encoding="utf-8"?>
<ds:datastoreItem xmlns:ds="http://schemas.openxmlformats.org/officeDocument/2006/customXml" ds:itemID="{E9A81BE7-8F15-490C-8CC3-52530F71348A}">
  <ds:schemaRefs>
    <ds:schemaRef ds:uri="http://schemas.microsoft.com/sharepoint/v3/contenttype/forms"/>
  </ds:schemaRefs>
</ds:datastoreItem>
</file>

<file path=customXml/itemProps5.xml><?xml version="1.0" encoding="utf-8"?>
<ds:datastoreItem xmlns:ds="http://schemas.openxmlformats.org/officeDocument/2006/customXml" ds:itemID="{6FF84C66-3B78-4F09-8AEC-31B25A296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d4c36-77eb-41f1-bc55-8081e76bd12a"/>
    <ds:schemaRef ds:uri="18b35f99-e99b-45f3-a924-f7d993aa38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6C3F1E1-C99F-4D05-B30F-9B3D7FFE3852}">
  <ds:schemaRefs>
    <ds:schemaRef ds:uri="http://www.w3.org/2001/XMLSchema"/>
    <ds:schemaRef ds:uri="SlataDocXml"/>
  </ds:schemaRefs>
</ds:datastoreItem>
</file>

<file path=docMetadata/LabelInfo.xml><?xml version="1.0" encoding="utf-8"?>
<clbl:labelList xmlns:clbl="http://schemas.microsoft.com/office/2020/mipLabelMetadata">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MKT_TMP_Long Form Document.dotx</Template>
  <TotalTime>3</TotalTime>
  <Pages>46</Pages>
  <Words>21052</Words>
  <Characters>134106</Characters>
  <Application>Microsoft Office Word</Application>
  <DocSecurity>0</DocSecurity>
  <Lines>3831</Lines>
  <Paragraphs>1116</Paragraphs>
  <ScaleCrop>false</ScaleCrop>
  <Manager/>
  <Company>Global Aid Insights Pty Ltd </Company>
  <LinksUpToDate>false</LinksUpToDate>
  <CharactersWithSpaces>154042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Australia-Vietnam Energy Transition Platform Mid-Term Review Report </dc:title>
  <dc:subject>Section Name</dc:subject>
  <dc:creator>Yaseen Ayobi</dc:creator>
  <cp:keywords>[SEC=OFFICIAL]</cp:keywords>
  <dc:description/>
  <cp:lastModifiedBy>Cameron Owers</cp:lastModifiedBy>
  <cp:revision>3</cp:revision>
  <cp:lastPrinted>2026-05-26T16:10:00Z</cp:lastPrinted>
  <dcterms:created xsi:type="dcterms:W3CDTF">2026-06-22T03:17:00Z</dcterms:created>
  <dcterms:modified xsi:type="dcterms:W3CDTF">2026-06-29T04:17:00Z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0x01010024D2B9BE6066D8448F569511346266D7</vt:lpwstr>
  </property>
  <property fmtid="{D5CDD505-2E9C-101B-9397-08002B2CF9AE}" pid="3" name="MediaServiceImageTags">
    <vt:lpwstr/>
  </property>
  <property fmtid="{D5CDD505-2E9C-101B-9397-08002B2CF9AE}" pid="4" name="GrammarlyDocumentId">
    <vt:lpwstr>978cbab73b37128ea0b19a9f191edcb3101fb3374da5808f03a420ac53138f11</vt:lpwstr>
  </property>
  <property fmtid="{D5CDD505-2E9C-101B-9397-08002B2CF9AE}" pid="5" name="ClassificationContentMarkingHeaderShapeIds">
    <vt:lpwstr>659b9d46,9710541,f4e8e0</vt:lpwstr>
  </property>
  <property fmtid="{D5CDD505-2E9C-101B-9397-08002B2CF9AE}" pid="6" name="ClassificationContentMarkingHeaderFontProps">
    <vt:lpwstr>#ff0000,12,Aptos</vt:lpwstr>
  </property>
  <property fmtid="{D5CDD505-2E9C-101B-9397-08002B2CF9AE}" pid="7" name="ClassificationContentMarkingHeaderText">
    <vt:lpwstr>OFFICIAL</vt:lpwstr>
  </property>
  <property fmtid="{D5CDD505-2E9C-101B-9397-08002B2CF9AE}" pid="8" name="ClassificationContentMarkingFooterShapeIds">
    <vt:lpwstr>258c5030,76bc7e25,ff868ea</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PM_Caveats_Count">
    <vt:lpwstr>0</vt:lpwstr>
  </property>
  <property fmtid="{D5CDD505-2E9C-101B-9397-08002B2CF9AE}" pid="12" name="PM_Namespace">
    <vt:lpwstr>gov.au</vt:lpwstr>
  </property>
  <property fmtid="{D5CDD505-2E9C-101B-9397-08002B2CF9AE}" pid="13" name="PM_Version">
    <vt:lpwstr>2018.4</vt:lpwstr>
  </property>
  <property fmtid="{D5CDD505-2E9C-101B-9397-08002B2CF9AE}" pid="14" name="PM_Note">
    <vt:lpwstr/>
  </property>
  <property fmtid="{D5CDD505-2E9C-101B-9397-08002B2CF9AE}" pid="15" name="PMHMAC">
    <vt:lpwstr>v=2022.1;a=SHA256;h=1624323BDA6752F4EE555A10CE42998F1ED7F640C5650378D749783D5DB5F599</vt:lpwstr>
  </property>
  <property fmtid="{D5CDD505-2E9C-101B-9397-08002B2CF9AE}" pid="16" name="PM_Qualifier">
    <vt:lpwstr/>
  </property>
  <property fmtid="{D5CDD505-2E9C-101B-9397-08002B2CF9AE}" pid="17" name="PM_SecurityClassification">
    <vt:lpwstr>OFFICIAL</vt:lpwstr>
  </property>
  <property fmtid="{D5CDD505-2E9C-101B-9397-08002B2CF9AE}" pid="18" name="PM_ProtectiveMarkingValue_Header">
    <vt:lpwstr>OFFICIAL</vt:lpwstr>
  </property>
  <property fmtid="{D5CDD505-2E9C-101B-9397-08002B2CF9AE}" pid="19" name="PM_OriginationTimeStamp">
    <vt:lpwstr>2026-04-28T10:28:31Z</vt:lpwstr>
  </property>
  <property fmtid="{D5CDD505-2E9C-101B-9397-08002B2CF9AE}" pid="20" name="PM_DownTo">
    <vt:lpwstr/>
  </property>
  <property fmtid="{D5CDD505-2E9C-101B-9397-08002B2CF9AE}" pid="21" name="PM_Markers">
    <vt:lpwstr/>
  </property>
  <property fmtid="{D5CDD505-2E9C-101B-9397-08002B2CF9AE}" pid="22" name="PM_DisplayValueSecClassificationWithQualifier">
    <vt:lpwstr>OFFICIAL</vt:lpwstr>
  </property>
  <property fmtid="{D5CDD505-2E9C-101B-9397-08002B2CF9AE}" pid="23" name="PM_Expires">
    <vt:lpwstr/>
  </property>
  <property fmtid="{D5CDD505-2E9C-101B-9397-08002B2CF9AE}" pid="24" name="PM_InsertionValue">
    <vt:lpwstr>OFFICIAL</vt:lpwstr>
  </property>
  <property fmtid="{D5CDD505-2E9C-101B-9397-08002B2CF9AE}" pid="25" name="PM_Originator_Hash_SHA1">
    <vt:lpwstr>BB24B90B748909E5424472032769D6A2766E68BB</vt:lpwstr>
  </property>
  <property fmtid="{D5CDD505-2E9C-101B-9397-08002B2CF9AE}" pid="26" name="PM_Originating_FileId">
    <vt:lpwstr>5D423BCD45BD4B8BBAC731E8370B057B</vt:lpwstr>
  </property>
  <property fmtid="{D5CDD505-2E9C-101B-9397-08002B2CF9AE}" pid="27" name="PM_ProtectiveMarkingValue_Footer">
    <vt:lpwstr>OFFICIAL</vt:lpwstr>
  </property>
  <property fmtid="{D5CDD505-2E9C-101B-9397-08002B2CF9AE}" pid="28" name="PM_Display">
    <vt:lpwstr>OFFICIAL</vt:lpwstr>
  </property>
  <property fmtid="{D5CDD505-2E9C-101B-9397-08002B2CF9AE}" pid="29" name="PM_OriginatorUserAccountName_SHA256">
    <vt:lpwstr>3FE43CC8D1828BC1DEF8738F597E8D320C758EC42651C4B72770E51ADC8C0CA1</vt:lpwstr>
  </property>
  <property fmtid="{D5CDD505-2E9C-101B-9397-08002B2CF9AE}" pid="30" name="PM_OriginatorDomainName_SHA256">
    <vt:lpwstr>6F3591835F3B2A8A025B00B5BA6418010DA3A17C9C26EA9C049FFD28039489A2</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8CD8BF0231F6BEA26C2F6058B5999DBB</vt:lpwstr>
  </property>
  <property fmtid="{D5CDD505-2E9C-101B-9397-08002B2CF9AE}" pid="34" name="PM_Hash_Salt">
    <vt:lpwstr>8CD8BF0231F6BEA26C2F6058B5999DBB</vt:lpwstr>
  </property>
  <property fmtid="{D5CDD505-2E9C-101B-9397-08002B2CF9AE}" pid="35" name="PM_Hash_SHA1">
    <vt:lpwstr>8D61B544B8ECB89E738D7AFA746A4623282B597C</vt:lpwstr>
  </property>
</Properties>
</file>