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9BA87" w14:textId="77777777" w:rsidR="00F46A15" w:rsidRPr="001F2EC0" w:rsidRDefault="00F46A15" w:rsidP="001F2EC0">
      <w:pPr>
        <w:pStyle w:val="Heading1"/>
      </w:pPr>
      <w:r w:rsidRPr="001F2EC0">
        <w:t>DFAT Management Response: Mid-Term Review of the Australia–Vietnam Energy Transition Platform (AVETP)</w:t>
      </w:r>
    </w:p>
    <w:p w14:paraId="7D46FA3B" w14:textId="5FDAA1D5" w:rsidR="009B20AC" w:rsidRPr="001F2EC0" w:rsidRDefault="009B20AC" w:rsidP="001F2EC0">
      <w:pPr>
        <w:pStyle w:val="Heading2"/>
      </w:pPr>
      <w:r w:rsidRPr="001F2EC0">
        <w:t>Overview</w:t>
      </w:r>
    </w:p>
    <w:p w14:paraId="728A57CE" w14:textId="64787C57" w:rsidR="00BD73F8" w:rsidRPr="008768D9" w:rsidRDefault="00BD73F8" w:rsidP="00684C23">
      <w:pPr>
        <w:spacing w:before="240" w:after="0" w:line="240" w:lineRule="auto"/>
        <w:jc w:val="both"/>
      </w:pPr>
      <w:r w:rsidRPr="008768D9">
        <w:t xml:space="preserve">The Australia–Vietnam Energy Transition Platform (AVETP) is a DFAT-funded initiative established in 2023 to support Vietnam’s transition to a low-carbon and climate-resilient economy by </w:t>
      </w:r>
      <w:proofErr w:type="spellStart"/>
      <w:r w:rsidRPr="008768D9">
        <w:t>mobilising</w:t>
      </w:r>
      <w:proofErr w:type="spellEnd"/>
      <w:r w:rsidRPr="008768D9">
        <w:t xml:space="preserve"> private sector investment. The program is implemented primarily through the Private Infrastructure Development Group (PIDG), which deploys a combination of blended finance instruments—including equity, </w:t>
      </w:r>
      <w:r w:rsidR="00D63696" w:rsidRPr="008768D9">
        <w:t>loans</w:t>
      </w:r>
      <w:r w:rsidRPr="008768D9">
        <w:t xml:space="preserve">, guarantees, and technical assistance—to </w:t>
      </w:r>
      <w:proofErr w:type="spellStart"/>
      <w:r w:rsidRPr="008768D9">
        <w:t>catalyse</w:t>
      </w:r>
      <w:proofErr w:type="spellEnd"/>
      <w:r w:rsidRPr="008768D9">
        <w:t xml:space="preserve"> investment into sectors that are underserved by conventional financing. Designed as a catalytic platform rather than a traditional development program, AVETP focuses on unlocking commercially viable but constrained opportunities that can demonstrate new financing models and crowd in additional private capital over time.</w:t>
      </w:r>
    </w:p>
    <w:p w14:paraId="1F0992D4" w14:textId="4630D674" w:rsidR="00F612AE" w:rsidRPr="008768D9" w:rsidRDefault="00F612AE" w:rsidP="00684C23">
      <w:pPr>
        <w:spacing w:before="240" w:after="0" w:line="240" w:lineRule="auto"/>
        <w:jc w:val="both"/>
      </w:pPr>
      <w:r w:rsidRPr="008768D9">
        <w:t xml:space="preserve">Originally scheduled to conclude in 2025, the program </w:t>
      </w:r>
      <w:r w:rsidR="00684C23">
        <w:t>was</w:t>
      </w:r>
      <w:r w:rsidRPr="008768D9">
        <w:t xml:space="preserve"> extended to 30 June 2028 to allow </w:t>
      </w:r>
      <w:r w:rsidR="003A75D0" w:rsidRPr="008768D9">
        <w:t>further implementation of the program and accommodate the establishment of a Credit Enhancement Facility (CEF)</w:t>
      </w:r>
      <w:r w:rsidRPr="008768D9">
        <w:t xml:space="preserve">. </w:t>
      </w:r>
    </w:p>
    <w:p w14:paraId="40577099" w14:textId="4BF5B71B" w:rsidR="00BD73F8" w:rsidRPr="008768D9" w:rsidRDefault="00BD73F8" w:rsidP="00684C23">
      <w:pPr>
        <w:spacing w:before="240" w:after="0" w:line="240" w:lineRule="auto"/>
        <w:jc w:val="both"/>
      </w:pPr>
      <w:r>
        <w:t xml:space="preserve">AVETP operates in a context where Vietnam faces substantial </w:t>
      </w:r>
      <w:proofErr w:type="spellStart"/>
      <w:r w:rsidR="772BFAC7">
        <w:t>captial</w:t>
      </w:r>
      <w:proofErr w:type="spellEnd"/>
      <w:r w:rsidR="772BFAC7">
        <w:t xml:space="preserve"> </w:t>
      </w:r>
      <w:r>
        <w:t xml:space="preserve">needs to meet its net-zero commitments. </w:t>
      </w:r>
      <w:r w:rsidR="001B44A2">
        <w:t>T</w:t>
      </w:r>
      <w:r>
        <w:t>he program adopts a market-driven and opportunity-led approach, supporting transactions across a range of climate-relevant sectors such as renewable energy, e-mobility, water infrastructure, and the circular economy. While renewable energy remains central to its objectives, the portfolio has evolved to reflect changing market conditions and regulatory constraints, allowing the platform to continue delivering impact through alternative channels aligned with Vietnam’s broader climate transition agenda.</w:t>
      </w:r>
    </w:p>
    <w:p w14:paraId="7D28FCC3" w14:textId="3943D194" w:rsidR="0091620F" w:rsidRPr="008768D9" w:rsidRDefault="0091620F" w:rsidP="00684C23">
      <w:pPr>
        <w:spacing w:before="240" w:after="0" w:line="240" w:lineRule="auto"/>
        <w:jc w:val="both"/>
      </w:pPr>
      <w:r>
        <w:t>In 2026 DFAT commissioned an independent Mid-Term Review (MTR) of the AVETP</w:t>
      </w:r>
      <w:r w:rsidR="00F0569E">
        <w:t xml:space="preserve"> to </w:t>
      </w:r>
      <w:r>
        <w:t>assess its effectiveness, monitoring and evaluation (MEL) arrangements, and strategic alignment since its commencement in 2023.</w:t>
      </w:r>
    </w:p>
    <w:p w14:paraId="5A55B60B" w14:textId="6AABBE23" w:rsidR="001F2EC0" w:rsidRDefault="0091620F" w:rsidP="001F2EC0">
      <w:pPr>
        <w:spacing w:before="240" w:after="0" w:line="240" w:lineRule="auto"/>
        <w:jc w:val="both"/>
      </w:pPr>
      <w:r w:rsidRPr="008768D9">
        <w:t>The MTR found that AVETP is delivering high-quality, catalytic, and market-shaping transactions that fill critical financing gaps in Vietnam’s net-zero transition</w:t>
      </w:r>
      <w:r w:rsidR="004D737B" w:rsidRPr="008768D9">
        <w:t xml:space="preserve">. </w:t>
      </w:r>
      <w:r w:rsidR="00071056" w:rsidRPr="008768D9">
        <w:t xml:space="preserve">However, the report also noted that while the platform is performing strongly at the transaction level, further strengthening of country-facing systems, visibility, and reporting arrangements would enhance its effectiveness as a coherent bilateral program. DFAT welcomes these findings and is committed to working with </w:t>
      </w:r>
      <w:r w:rsidR="00EA3399" w:rsidRPr="008768D9">
        <w:t xml:space="preserve">PIDG and relevant stakeholders </w:t>
      </w:r>
      <w:r w:rsidR="00071056" w:rsidRPr="008768D9">
        <w:t>to further strengthen the platform’s local interface and overall bilateral impact.</w:t>
      </w:r>
    </w:p>
    <w:p w14:paraId="59AA4777" w14:textId="77777777" w:rsidR="001F2EC0" w:rsidRDefault="001F2EC0">
      <w:r>
        <w:br w:type="page"/>
      </w:r>
    </w:p>
    <w:p w14:paraId="44AB8939" w14:textId="77777777" w:rsidR="00F46A15" w:rsidRPr="00B33258" w:rsidRDefault="00F46A15" w:rsidP="001F2EC0">
      <w:pPr>
        <w:pStyle w:val="Heading2"/>
      </w:pPr>
      <w:r w:rsidRPr="00B33258">
        <w:lastRenderedPageBreak/>
        <w:t>Management Response to Recommendations</w:t>
      </w:r>
    </w:p>
    <w:p w14:paraId="608347FF" w14:textId="77777777" w:rsidR="00B33258" w:rsidRPr="00B33258" w:rsidRDefault="00B33258" w:rsidP="00F46A15">
      <w:pPr>
        <w:spacing w:after="0" w:line="240" w:lineRule="auto"/>
      </w:pPr>
    </w:p>
    <w:tbl>
      <w:tblPr>
        <w:tblW w:w="9360" w:type="dxa"/>
        <w:tblCellMar>
          <w:top w:w="15" w:type="dxa"/>
          <w:left w:w="15" w:type="dxa"/>
          <w:bottom w:w="15" w:type="dxa"/>
          <w:right w:w="15" w:type="dxa"/>
        </w:tblCellMar>
        <w:tblLook w:val="04A0" w:firstRow="1" w:lastRow="0" w:firstColumn="1" w:lastColumn="0" w:noHBand="0" w:noVBand="1"/>
      </w:tblPr>
      <w:tblGrid>
        <w:gridCol w:w="342"/>
        <w:gridCol w:w="2660"/>
        <w:gridCol w:w="1111"/>
        <w:gridCol w:w="5247"/>
      </w:tblGrid>
      <w:tr w:rsidR="00F46A15" w:rsidRPr="00F46A15" w14:paraId="31DF8587" w14:textId="77777777" w:rsidTr="001F2EC0">
        <w:trPr>
          <w:trHeight w:val="300"/>
          <w:tblHeader/>
        </w:trPr>
        <w:tc>
          <w:tcPr>
            <w:tcW w:w="318" w:type="dxa"/>
            <w:tcBorders>
              <w:bottom w:val="single" w:sz="4" w:space="0" w:color="5E5E5E"/>
            </w:tcBorders>
            <w:hideMark/>
          </w:tcPr>
          <w:p w14:paraId="03BC22F5" w14:textId="77777777" w:rsidR="00F46A15" w:rsidRPr="00E41856" w:rsidRDefault="00F46A15" w:rsidP="00F46A15">
            <w:pPr>
              <w:spacing w:after="0" w:line="240" w:lineRule="auto"/>
              <w:jc w:val="center"/>
              <w:rPr>
                <w:b/>
                <w:bCs/>
              </w:rPr>
            </w:pPr>
            <w:r w:rsidRPr="00E41856">
              <w:rPr>
                <w:b/>
                <w:bCs/>
              </w:rPr>
              <w:t>No</w:t>
            </w:r>
          </w:p>
        </w:tc>
        <w:tc>
          <w:tcPr>
            <w:tcW w:w="2677" w:type="dxa"/>
            <w:tcBorders>
              <w:bottom w:val="single" w:sz="4" w:space="0" w:color="5E5E5E"/>
            </w:tcBorders>
            <w:hideMark/>
          </w:tcPr>
          <w:p w14:paraId="6395BCE9" w14:textId="77777777" w:rsidR="00F46A15" w:rsidRPr="00E41856" w:rsidRDefault="00F46A15" w:rsidP="00F46A15">
            <w:pPr>
              <w:spacing w:after="0" w:line="240" w:lineRule="auto"/>
              <w:jc w:val="center"/>
              <w:rPr>
                <w:b/>
                <w:bCs/>
              </w:rPr>
            </w:pPr>
            <w:r w:rsidRPr="00E41856">
              <w:rPr>
                <w:b/>
                <w:bCs/>
              </w:rPr>
              <w:t>Recommendation</w:t>
            </w:r>
          </w:p>
        </w:tc>
        <w:tc>
          <w:tcPr>
            <w:tcW w:w="1035" w:type="dxa"/>
            <w:tcBorders>
              <w:bottom w:val="single" w:sz="4" w:space="0" w:color="5E5E5E"/>
            </w:tcBorders>
            <w:hideMark/>
          </w:tcPr>
          <w:p w14:paraId="027D216C" w14:textId="77777777" w:rsidR="00F46A15" w:rsidRPr="00E41856" w:rsidRDefault="00F46A15" w:rsidP="00F46A15">
            <w:pPr>
              <w:spacing w:after="0" w:line="240" w:lineRule="auto"/>
              <w:jc w:val="center"/>
              <w:rPr>
                <w:b/>
                <w:bCs/>
              </w:rPr>
            </w:pPr>
            <w:r w:rsidRPr="00E41856">
              <w:rPr>
                <w:b/>
                <w:bCs/>
              </w:rPr>
              <w:t>Response</w:t>
            </w:r>
          </w:p>
        </w:tc>
        <w:tc>
          <w:tcPr>
            <w:tcW w:w="5330" w:type="dxa"/>
            <w:tcBorders>
              <w:bottom w:val="single" w:sz="4" w:space="0" w:color="5E5E5E"/>
            </w:tcBorders>
            <w:hideMark/>
          </w:tcPr>
          <w:p w14:paraId="1577D97E" w14:textId="77777777" w:rsidR="00F46A15" w:rsidRPr="00E41856" w:rsidRDefault="00F46A15" w:rsidP="00F46A15">
            <w:pPr>
              <w:spacing w:after="0" w:line="240" w:lineRule="auto"/>
              <w:jc w:val="center"/>
              <w:rPr>
                <w:b/>
                <w:bCs/>
              </w:rPr>
            </w:pPr>
            <w:r w:rsidRPr="00E41856">
              <w:rPr>
                <w:b/>
                <w:bCs/>
              </w:rPr>
              <w:t>Action Plan / Comments</w:t>
            </w:r>
          </w:p>
        </w:tc>
      </w:tr>
      <w:tr w:rsidR="00F46A15" w:rsidRPr="00F46A15" w14:paraId="7701BA7A" w14:textId="77777777" w:rsidTr="07FC1787">
        <w:trPr>
          <w:trHeight w:val="300"/>
        </w:trPr>
        <w:tc>
          <w:tcPr>
            <w:tcW w:w="318" w:type="dxa"/>
            <w:tcBorders>
              <w:bottom w:val="single" w:sz="4" w:space="0" w:color="37383B"/>
            </w:tcBorders>
            <w:hideMark/>
          </w:tcPr>
          <w:p w14:paraId="671252D9" w14:textId="77777777" w:rsidR="00F46A15" w:rsidRPr="00DF07AC" w:rsidRDefault="00F46A15" w:rsidP="00F46A15">
            <w:pPr>
              <w:spacing w:after="0" w:line="240" w:lineRule="auto"/>
            </w:pPr>
            <w:r w:rsidRPr="00DF07AC">
              <w:t>1</w:t>
            </w:r>
          </w:p>
        </w:tc>
        <w:tc>
          <w:tcPr>
            <w:tcW w:w="2677" w:type="dxa"/>
            <w:tcBorders>
              <w:bottom w:val="single" w:sz="4" w:space="0" w:color="37383B"/>
            </w:tcBorders>
            <w:hideMark/>
          </w:tcPr>
          <w:p w14:paraId="4501419F" w14:textId="77777777" w:rsidR="00F46A15" w:rsidRPr="00DF07AC" w:rsidRDefault="00F46A15" w:rsidP="00F46A15">
            <w:pPr>
              <w:spacing w:after="0" w:line="240" w:lineRule="auto"/>
            </w:pPr>
            <w:r w:rsidRPr="00DF07AC">
              <w:t>Establish a stronger country-facing function in Vietnam.</w:t>
            </w:r>
          </w:p>
        </w:tc>
        <w:tc>
          <w:tcPr>
            <w:tcW w:w="1035" w:type="dxa"/>
            <w:tcBorders>
              <w:bottom w:val="single" w:sz="4" w:space="0" w:color="37383B"/>
            </w:tcBorders>
            <w:hideMark/>
          </w:tcPr>
          <w:p w14:paraId="5C3F5517" w14:textId="77777777" w:rsidR="00F46A15" w:rsidRPr="00E41856" w:rsidRDefault="00F46A15" w:rsidP="00F46A15">
            <w:pPr>
              <w:spacing w:after="0" w:line="240" w:lineRule="auto"/>
              <w:rPr>
                <w:b/>
                <w:bCs/>
              </w:rPr>
            </w:pPr>
            <w:r w:rsidRPr="00E41856">
              <w:rPr>
                <w:b/>
                <w:bCs/>
              </w:rPr>
              <w:t>Agree</w:t>
            </w:r>
          </w:p>
        </w:tc>
        <w:tc>
          <w:tcPr>
            <w:tcW w:w="5330" w:type="dxa"/>
            <w:tcBorders>
              <w:bottom w:val="single" w:sz="4" w:space="0" w:color="37383B"/>
            </w:tcBorders>
            <w:hideMark/>
          </w:tcPr>
          <w:p w14:paraId="2DDD7FBF" w14:textId="420F7C3A" w:rsidR="006D475A" w:rsidRPr="006D475A" w:rsidRDefault="00E645A1" w:rsidP="00DC09C1">
            <w:pPr>
              <w:spacing w:after="0" w:line="240" w:lineRule="auto"/>
            </w:pPr>
            <w:r>
              <w:t>DFAT</w:t>
            </w:r>
            <w:r w:rsidR="4C77B716">
              <w:t xml:space="preserve"> and other doners</w:t>
            </w:r>
            <w:r>
              <w:t xml:space="preserve"> ha</w:t>
            </w:r>
            <w:r w:rsidR="0B2FB6C6">
              <w:t>ve</w:t>
            </w:r>
            <w:r>
              <w:t xml:space="preserve"> rais</w:t>
            </w:r>
            <w:r w:rsidR="00FA0F84">
              <w:t>ed</w:t>
            </w:r>
            <w:r>
              <w:t xml:space="preserve"> this issue with </w:t>
            </w:r>
            <w:r w:rsidR="00F46A15">
              <w:t>PIDG</w:t>
            </w:r>
            <w:r>
              <w:t xml:space="preserve">. </w:t>
            </w:r>
            <w:r w:rsidR="004E297D">
              <w:t xml:space="preserve">PIDG </w:t>
            </w:r>
            <w:r w:rsidR="00B714DD">
              <w:t xml:space="preserve">has </w:t>
            </w:r>
            <w:r w:rsidR="00570A79">
              <w:t>responded to the</w:t>
            </w:r>
            <w:r w:rsidR="006D475A">
              <w:t xml:space="preserve"> issue</w:t>
            </w:r>
            <w:r w:rsidR="00DC09C1">
              <w:t xml:space="preserve"> and will engage</w:t>
            </w:r>
            <w:r w:rsidR="006D475A">
              <w:t xml:space="preserve"> a</w:t>
            </w:r>
            <w:r w:rsidR="00DC09C1">
              <w:t xml:space="preserve"> new</w:t>
            </w:r>
            <w:r w:rsidR="006D475A">
              <w:t xml:space="preserve"> country-facing senior resource </w:t>
            </w:r>
            <w:r w:rsidR="00712F13">
              <w:t>with</w:t>
            </w:r>
            <w:r w:rsidR="006D475A">
              <w:t xml:space="preserve"> extensive networks and connect</w:t>
            </w:r>
            <w:r w:rsidR="00712F13">
              <w:t>ion</w:t>
            </w:r>
            <w:r w:rsidR="006D475A">
              <w:t>s, for business development activities. This resource will complement existing onshore staff in the asset management and finance team. This will considerably strengthen PIDG’s country-facing presence in Vietnam</w:t>
            </w:r>
            <w:r w:rsidR="00741135">
              <w:t>.</w:t>
            </w:r>
          </w:p>
          <w:p w14:paraId="04B03584" w14:textId="03A09DF3" w:rsidR="00326CEF" w:rsidRPr="00DF07AC" w:rsidRDefault="00326CEF" w:rsidP="00F52416">
            <w:pPr>
              <w:spacing w:after="0" w:line="240" w:lineRule="auto"/>
            </w:pPr>
          </w:p>
        </w:tc>
      </w:tr>
      <w:tr w:rsidR="00F46A15" w:rsidRPr="00F46A15" w14:paraId="76B96345" w14:textId="77777777" w:rsidTr="07FC1787">
        <w:trPr>
          <w:trHeight w:val="300"/>
        </w:trPr>
        <w:tc>
          <w:tcPr>
            <w:tcW w:w="318" w:type="dxa"/>
            <w:tcBorders>
              <w:bottom w:val="single" w:sz="4" w:space="0" w:color="37383B"/>
            </w:tcBorders>
            <w:hideMark/>
          </w:tcPr>
          <w:p w14:paraId="185BDCFF" w14:textId="77777777" w:rsidR="00F46A15" w:rsidRPr="00DF07AC" w:rsidRDefault="00F46A15" w:rsidP="00F46A15">
            <w:pPr>
              <w:spacing w:after="0" w:line="240" w:lineRule="auto"/>
            </w:pPr>
            <w:r w:rsidRPr="00DF07AC">
              <w:t>2</w:t>
            </w:r>
          </w:p>
        </w:tc>
        <w:tc>
          <w:tcPr>
            <w:tcW w:w="2677" w:type="dxa"/>
            <w:tcBorders>
              <w:bottom w:val="single" w:sz="4" w:space="0" w:color="37383B"/>
            </w:tcBorders>
            <w:hideMark/>
          </w:tcPr>
          <w:p w14:paraId="1739F416" w14:textId="77777777" w:rsidR="00F46A15" w:rsidRPr="00DF07AC" w:rsidRDefault="00F46A15" w:rsidP="00F46A15">
            <w:pPr>
              <w:spacing w:after="0" w:line="240" w:lineRule="auto"/>
            </w:pPr>
            <w:r w:rsidRPr="00DF07AC">
              <w:t>Strengthen visibility of Australia’s contribution through a practical communications approach.</w:t>
            </w:r>
          </w:p>
        </w:tc>
        <w:tc>
          <w:tcPr>
            <w:tcW w:w="1035" w:type="dxa"/>
            <w:tcBorders>
              <w:bottom w:val="single" w:sz="4" w:space="0" w:color="37383B"/>
            </w:tcBorders>
            <w:hideMark/>
          </w:tcPr>
          <w:p w14:paraId="2555B47B" w14:textId="77777777" w:rsidR="00F46A15" w:rsidRPr="00C26031" w:rsidRDefault="00F46A15" w:rsidP="00F46A15">
            <w:pPr>
              <w:spacing w:after="0" w:line="240" w:lineRule="auto"/>
              <w:rPr>
                <w:b/>
                <w:bCs/>
              </w:rPr>
            </w:pPr>
            <w:r w:rsidRPr="00C26031">
              <w:rPr>
                <w:b/>
                <w:bCs/>
              </w:rPr>
              <w:t>Agree</w:t>
            </w:r>
          </w:p>
        </w:tc>
        <w:tc>
          <w:tcPr>
            <w:tcW w:w="5330" w:type="dxa"/>
            <w:tcBorders>
              <w:bottom w:val="single" w:sz="4" w:space="0" w:color="37383B"/>
            </w:tcBorders>
            <w:hideMark/>
          </w:tcPr>
          <w:p w14:paraId="5BAF364C" w14:textId="26F19D75" w:rsidR="00A013CB" w:rsidRPr="00A013CB" w:rsidRDefault="00A013CB" w:rsidP="00A013CB">
            <w:pPr>
              <w:spacing w:after="0" w:line="240" w:lineRule="auto"/>
            </w:pPr>
            <w:r>
              <w:t>DFAT and PIDG will work together to further enhance</w:t>
            </w:r>
            <w:r w:rsidR="00082E6E">
              <w:t xml:space="preserve"> the use of</w:t>
            </w:r>
            <w:r>
              <w:t xml:space="preserve"> communication</w:t>
            </w:r>
            <w:r w:rsidR="00082E6E">
              <w:t xml:space="preserve"> tools and mechanisms</w:t>
            </w:r>
            <w:r w:rsidR="00AA1A88">
              <w:t xml:space="preserve"> </w:t>
            </w:r>
            <w:r>
              <w:t>to ensure Australia’s contribution is appropriately and consistently recognised across transactions, events and engagement activities. This will include improved documentation of Australian-supported outcomes, and earlier coordination with DFAT Post on public diplomacy opportunities.</w:t>
            </w:r>
            <w:r w:rsidR="00082E6E">
              <w:t xml:space="preserve"> </w:t>
            </w:r>
            <w:r>
              <w:t>It is acknowledged that PIDG operates as a multi-donor platform, which requires a balanced and partner-sensitive approach to communications. Within this context, DFAT and PIDG will identify practical and proportionate ways to highlight Australia’s contribution</w:t>
            </w:r>
            <w:r w:rsidR="004D3B80">
              <w:t xml:space="preserve">, </w:t>
            </w:r>
            <w:r>
              <w:t>such as joint messaging, case studies, co-branding where appropriate, and targeted bilateral communications</w:t>
            </w:r>
            <w:r w:rsidR="004D3B80">
              <w:t xml:space="preserve">, </w:t>
            </w:r>
            <w:r>
              <w:t>while remaining consistent with PIDG’s multi-donor positioning and agreed communication protocols</w:t>
            </w:r>
            <w:r w:rsidR="05CE5B56">
              <w:t>.</w:t>
            </w:r>
          </w:p>
          <w:p w14:paraId="63F986E8" w14:textId="326C6087" w:rsidR="00326CEF" w:rsidRPr="00DF07AC" w:rsidRDefault="00326CEF" w:rsidP="00F52416">
            <w:pPr>
              <w:spacing w:after="0" w:line="240" w:lineRule="auto"/>
            </w:pPr>
          </w:p>
        </w:tc>
      </w:tr>
      <w:tr w:rsidR="00F46A15" w:rsidRPr="00F46A15" w14:paraId="5D9B43FF" w14:textId="77777777" w:rsidTr="07FC1787">
        <w:trPr>
          <w:trHeight w:val="300"/>
        </w:trPr>
        <w:tc>
          <w:tcPr>
            <w:tcW w:w="318" w:type="dxa"/>
            <w:tcBorders>
              <w:bottom w:val="single" w:sz="4" w:space="0" w:color="37383B"/>
            </w:tcBorders>
            <w:hideMark/>
          </w:tcPr>
          <w:p w14:paraId="41224AF9" w14:textId="77777777" w:rsidR="00F46A15" w:rsidRPr="00DF07AC" w:rsidRDefault="00F46A15" w:rsidP="00F46A15">
            <w:pPr>
              <w:spacing w:after="0" w:line="240" w:lineRule="auto"/>
            </w:pPr>
            <w:r w:rsidRPr="00DF07AC">
              <w:t>3</w:t>
            </w:r>
          </w:p>
        </w:tc>
        <w:tc>
          <w:tcPr>
            <w:tcW w:w="2677" w:type="dxa"/>
            <w:tcBorders>
              <w:bottom w:val="single" w:sz="4" w:space="0" w:color="37383B"/>
            </w:tcBorders>
            <w:hideMark/>
          </w:tcPr>
          <w:p w14:paraId="5BA30481" w14:textId="4A583E05" w:rsidR="00F46A15" w:rsidRPr="00DF07AC" w:rsidRDefault="00F46A15" w:rsidP="00F46A15">
            <w:pPr>
              <w:spacing w:after="0" w:line="240" w:lineRule="auto"/>
            </w:pPr>
            <w:r w:rsidRPr="00DF07AC">
              <w:t xml:space="preserve">Refine the </w:t>
            </w:r>
            <w:r w:rsidR="00C46F1F">
              <w:t xml:space="preserve">program </w:t>
            </w:r>
            <w:r w:rsidRPr="00DF07AC">
              <w:t>logic and establish a light AVETP-level MEL framework.</w:t>
            </w:r>
          </w:p>
        </w:tc>
        <w:tc>
          <w:tcPr>
            <w:tcW w:w="1035" w:type="dxa"/>
            <w:tcBorders>
              <w:bottom w:val="single" w:sz="4" w:space="0" w:color="37383B"/>
            </w:tcBorders>
            <w:hideMark/>
          </w:tcPr>
          <w:p w14:paraId="17F09EBC" w14:textId="6C4F972C" w:rsidR="00F46A15" w:rsidRPr="00C52328" w:rsidRDefault="0066201C" w:rsidP="00F46A15">
            <w:pPr>
              <w:spacing w:after="0" w:line="240" w:lineRule="auto"/>
              <w:rPr>
                <w:b/>
                <w:bCs/>
              </w:rPr>
            </w:pPr>
            <w:r w:rsidRPr="13E9CA2A">
              <w:rPr>
                <w:b/>
                <w:bCs/>
              </w:rPr>
              <w:t>A</w:t>
            </w:r>
            <w:r w:rsidR="00A60656" w:rsidRPr="13E9CA2A">
              <w:rPr>
                <w:b/>
                <w:bCs/>
              </w:rPr>
              <w:t>gree</w:t>
            </w:r>
          </w:p>
        </w:tc>
        <w:tc>
          <w:tcPr>
            <w:tcW w:w="5330" w:type="dxa"/>
            <w:tcBorders>
              <w:bottom w:val="single" w:sz="4" w:space="0" w:color="37383B"/>
            </w:tcBorders>
            <w:hideMark/>
          </w:tcPr>
          <w:p w14:paraId="2C85EE91" w14:textId="53052F07" w:rsidR="00EE3775" w:rsidRDefault="00AA23FE" w:rsidP="45777F5F">
            <w:pPr>
              <w:spacing w:after="0" w:line="240" w:lineRule="auto"/>
            </w:pPr>
            <w:r>
              <w:t>DFAT will work with PIDG to refin</w:t>
            </w:r>
            <w:r w:rsidR="26116CB6">
              <w:t>e</w:t>
            </w:r>
            <w:r>
              <w:t xml:space="preserve"> the intermediate outcomes to</w:t>
            </w:r>
            <w:r w:rsidR="008010A1">
              <w:t xml:space="preserve"> better align with</w:t>
            </w:r>
            <w:r w:rsidR="00542805">
              <w:t xml:space="preserve"> </w:t>
            </w:r>
            <w:r w:rsidR="009C0C77">
              <w:t>su</w:t>
            </w:r>
            <w:r w:rsidR="003424E1">
              <w:t xml:space="preserve">stainable </w:t>
            </w:r>
            <w:r w:rsidR="006C4C88">
              <w:t>infrastructure and climate finance outcomes</w:t>
            </w:r>
            <w:r w:rsidR="00236ED1">
              <w:t xml:space="preserve"> to support the broader objectives of the program</w:t>
            </w:r>
            <w:r w:rsidR="00CE6D4B">
              <w:t xml:space="preserve">. </w:t>
            </w:r>
          </w:p>
          <w:p w14:paraId="2C5ABFD5" w14:textId="7F9B3AC7" w:rsidR="00CE6D4B" w:rsidRPr="00CE6D4B" w:rsidRDefault="00CE6D4B" w:rsidP="00CE6D4B">
            <w:pPr>
              <w:spacing w:after="0" w:line="240" w:lineRule="auto"/>
            </w:pPr>
            <w:r>
              <w:t>DFAT will work with PIDG to</w:t>
            </w:r>
            <w:r w:rsidR="0EBEA8BB">
              <w:t xml:space="preserve"> </w:t>
            </w:r>
            <w:r>
              <w:t>assess the appropriate level at which a</w:t>
            </w:r>
            <w:r w:rsidR="626277BA">
              <w:t xml:space="preserve"> light</w:t>
            </w:r>
            <w:r>
              <w:t xml:space="preserve"> fit-for-purpose MEL framework can be applied, building on existing systems</w:t>
            </w:r>
            <w:r w:rsidR="38CAD46E">
              <w:t xml:space="preserve"> and reporting mechanisms</w:t>
            </w:r>
            <w:r>
              <w:t>.</w:t>
            </w:r>
          </w:p>
          <w:p w14:paraId="05064BEC" w14:textId="361779B2" w:rsidR="00326CEF" w:rsidRPr="00DF07AC" w:rsidRDefault="00326CEF" w:rsidP="00F52416">
            <w:pPr>
              <w:spacing w:after="0" w:line="240" w:lineRule="auto"/>
            </w:pPr>
          </w:p>
        </w:tc>
      </w:tr>
      <w:tr w:rsidR="00F46A15" w:rsidRPr="00F46A15" w14:paraId="36A4453F" w14:textId="77777777" w:rsidTr="07FC1787">
        <w:trPr>
          <w:trHeight w:val="300"/>
        </w:trPr>
        <w:tc>
          <w:tcPr>
            <w:tcW w:w="318" w:type="dxa"/>
            <w:tcBorders>
              <w:bottom w:val="single" w:sz="4" w:space="0" w:color="37383B"/>
            </w:tcBorders>
            <w:hideMark/>
          </w:tcPr>
          <w:p w14:paraId="288C6E5F" w14:textId="77777777" w:rsidR="00F46A15" w:rsidRPr="00DF07AC" w:rsidRDefault="00F46A15" w:rsidP="00F46A15">
            <w:pPr>
              <w:spacing w:after="0" w:line="240" w:lineRule="auto"/>
            </w:pPr>
            <w:r w:rsidRPr="00DF07AC">
              <w:lastRenderedPageBreak/>
              <w:t>4</w:t>
            </w:r>
          </w:p>
        </w:tc>
        <w:tc>
          <w:tcPr>
            <w:tcW w:w="2677" w:type="dxa"/>
            <w:tcBorders>
              <w:bottom w:val="single" w:sz="4" w:space="0" w:color="37383B"/>
            </w:tcBorders>
            <w:hideMark/>
          </w:tcPr>
          <w:p w14:paraId="2E72F918" w14:textId="77777777" w:rsidR="00F46A15" w:rsidRPr="00DF07AC" w:rsidRDefault="00F46A15" w:rsidP="00F46A15">
            <w:pPr>
              <w:spacing w:after="0" w:line="240" w:lineRule="auto"/>
            </w:pPr>
            <w:r w:rsidRPr="00DF07AC">
              <w:t>Introduce a minimum crosscutting and climate dataset for all transactions.</w:t>
            </w:r>
          </w:p>
        </w:tc>
        <w:tc>
          <w:tcPr>
            <w:tcW w:w="1035" w:type="dxa"/>
            <w:tcBorders>
              <w:bottom w:val="single" w:sz="4" w:space="0" w:color="37383B"/>
            </w:tcBorders>
            <w:hideMark/>
          </w:tcPr>
          <w:p w14:paraId="0BCAEB9B" w14:textId="77777777" w:rsidR="00F46A15" w:rsidRPr="008A3559" w:rsidRDefault="00F46A15" w:rsidP="00F46A15">
            <w:pPr>
              <w:spacing w:after="0" w:line="240" w:lineRule="auto"/>
              <w:rPr>
                <w:b/>
                <w:bCs/>
              </w:rPr>
            </w:pPr>
            <w:r w:rsidRPr="008A3559">
              <w:rPr>
                <w:b/>
                <w:bCs/>
              </w:rPr>
              <w:t>Agree</w:t>
            </w:r>
          </w:p>
        </w:tc>
        <w:tc>
          <w:tcPr>
            <w:tcW w:w="5330" w:type="dxa"/>
            <w:tcBorders>
              <w:bottom w:val="single" w:sz="4" w:space="0" w:color="37383B"/>
            </w:tcBorders>
            <w:hideMark/>
          </w:tcPr>
          <w:p w14:paraId="618AB45C" w14:textId="77777777" w:rsidR="00F46A15" w:rsidRDefault="00F46A15" w:rsidP="00F46A15">
            <w:pPr>
              <w:spacing w:after="0" w:line="240" w:lineRule="auto"/>
            </w:pPr>
            <w:r w:rsidRPr="00DF07AC">
              <w:t xml:space="preserve">PIDG and DFAT </w:t>
            </w:r>
            <w:r w:rsidR="009C5427">
              <w:t xml:space="preserve">are working together to </w:t>
            </w:r>
            <w:r w:rsidR="001E73EB">
              <w:t>agree on a revised and improved</w:t>
            </w:r>
            <w:r w:rsidRPr="00DF07AC">
              <w:t xml:space="preserve"> </w:t>
            </w:r>
            <w:r w:rsidR="001E73EB">
              <w:t>reporting template</w:t>
            </w:r>
            <w:r w:rsidRPr="00DF07AC">
              <w:t xml:space="preserve"> for AVETP. This will include specific </w:t>
            </w:r>
            <w:r w:rsidR="008A3559">
              <w:t>data</w:t>
            </w:r>
            <w:r w:rsidRPr="00DF07AC">
              <w:t xml:space="preserve"> for</w:t>
            </w:r>
            <w:r w:rsidR="008A3559">
              <w:t xml:space="preserve"> renewable energy, climate, gender and disability inclusion</w:t>
            </w:r>
            <w:r w:rsidRPr="00DF07AC">
              <w:t>, and transparent assumptions for avoided emissions.</w:t>
            </w:r>
          </w:p>
          <w:p w14:paraId="02BD63A4" w14:textId="1317117C" w:rsidR="00326CEF" w:rsidRPr="00DF07AC" w:rsidRDefault="00326CEF" w:rsidP="00F52416">
            <w:pPr>
              <w:spacing w:after="0" w:line="240" w:lineRule="auto"/>
            </w:pPr>
          </w:p>
        </w:tc>
      </w:tr>
      <w:tr w:rsidR="00F46A15" w:rsidRPr="00F46A15" w14:paraId="675FD51A" w14:textId="77777777" w:rsidTr="07FC1787">
        <w:trPr>
          <w:trHeight w:val="300"/>
        </w:trPr>
        <w:tc>
          <w:tcPr>
            <w:tcW w:w="318" w:type="dxa"/>
            <w:tcBorders>
              <w:bottom w:val="single" w:sz="4" w:space="0" w:color="37383B"/>
            </w:tcBorders>
            <w:hideMark/>
          </w:tcPr>
          <w:p w14:paraId="57016458" w14:textId="77777777" w:rsidR="00F46A15" w:rsidRPr="00DF07AC" w:rsidRDefault="00F46A15" w:rsidP="00F46A15">
            <w:pPr>
              <w:spacing w:after="0" w:line="240" w:lineRule="auto"/>
            </w:pPr>
            <w:r w:rsidRPr="00DF07AC">
              <w:t>5</w:t>
            </w:r>
          </w:p>
        </w:tc>
        <w:tc>
          <w:tcPr>
            <w:tcW w:w="2677" w:type="dxa"/>
            <w:tcBorders>
              <w:bottom w:val="single" w:sz="4" w:space="0" w:color="37383B"/>
            </w:tcBorders>
            <w:hideMark/>
          </w:tcPr>
          <w:p w14:paraId="6B73685F" w14:textId="1FD1DED6" w:rsidR="00F46A15" w:rsidRPr="00DF07AC" w:rsidRDefault="00F46A15" w:rsidP="00F46A15">
            <w:pPr>
              <w:spacing w:after="0" w:line="240" w:lineRule="auto"/>
            </w:pPr>
            <w:proofErr w:type="spellStart"/>
            <w:r w:rsidRPr="00DF07AC">
              <w:t>Prioriti</w:t>
            </w:r>
            <w:r w:rsidR="00E374BE">
              <w:t>s</w:t>
            </w:r>
            <w:r w:rsidRPr="00DF07AC">
              <w:t>e</w:t>
            </w:r>
            <w:proofErr w:type="spellEnd"/>
            <w:r w:rsidRPr="00DF07AC">
              <w:t xml:space="preserve"> quality, additionality, and market-shaping over simple volume targets.</w:t>
            </w:r>
          </w:p>
        </w:tc>
        <w:tc>
          <w:tcPr>
            <w:tcW w:w="1035" w:type="dxa"/>
            <w:tcBorders>
              <w:bottom w:val="single" w:sz="4" w:space="0" w:color="37383B"/>
            </w:tcBorders>
            <w:hideMark/>
          </w:tcPr>
          <w:p w14:paraId="4577EDA3" w14:textId="330D22A1" w:rsidR="00F46A15" w:rsidRPr="002D6AE5" w:rsidRDefault="68287DC1" w:rsidP="3B387B4A">
            <w:pPr>
              <w:spacing w:after="0" w:line="240" w:lineRule="auto"/>
              <w:rPr>
                <w:b/>
                <w:bCs/>
              </w:rPr>
            </w:pPr>
            <w:r w:rsidRPr="13E9CA2A">
              <w:rPr>
                <w:b/>
                <w:bCs/>
              </w:rPr>
              <w:t>A</w:t>
            </w:r>
            <w:r w:rsidR="002D6AE5" w:rsidRPr="13E9CA2A">
              <w:rPr>
                <w:b/>
                <w:bCs/>
              </w:rPr>
              <w:t>gree</w:t>
            </w:r>
          </w:p>
        </w:tc>
        <w:tc>
          <w:tcPr>
            <w:tcW w:w="5330" w:type="dxa"/>
            <w:tcBorders>
              <w:bottom w:val="single" w:sz="4" w:space="0" w:color="37383B"/>
            </w:tcBorders>
            <w:hideMark/>
          </w:tcPr>
          <w:p w14:paraId="66CC5A65" w14:textId="296AFDF7" w:rsidR="00E374BE" w:rsidRDefault="007649D7" w:rsidP="00F46A15">
            <w:pPr>
              <w:spacing w:after="0" w:line="240" w:lineRule="auto"/>
            </w:pPr>
            <w:r w:rsidRPr="007649D7">
              <w:t>AVETP’s comparative advantage lies in market-shaping and demonstration effects</w:t>
            </w:r>
            <w:r>
              <w:t xml:space="preserve">, which include </w:t>
            </w:r>
            <w:r w:rsidRPr="007649D7">
              <w:t>filling gaps local banks cannot serve—rather than simple transaction volume.</w:t>
            </w:r>
            <w:r>
              <w:t xml:space="preserve"> PIDG is already doing a good job </w:t>
            </w:r>
            <w:r w:rsidR="00E374BE">
              <w:t>on</w:t>
            </w:r>
            <w:r>
              <w:t xml:space="preserve"> this market front. </w:t>
            </w:r>
          </w:p>
          <w:p w14:paraId="51E5E37A" w14:textId="7E557CDF" w:rsidR="00F46A15" w:rsidRDefault="00FB1404" w:rsidP="00F46A15">
            <w:pPr>
              <w:spacing w:after="0" w:line="240" w:lineRule="auto"/>
            </w:pPr>
            <w:r w:rsidRPr="00FB1404">
              <w:t xml:space="preserve">DFAT will continue to engage closely with PIDG to support this strategic focus and ensure alignment with AVETP objectives. AVETP will continue to </w:t>
            </w:r>
            <w:proofErr w:type="spellStart"/>
            <w:r w:rsidRPr="00FB1404">
              <w:t>prioritise</w:t>
            </w:r>
            <w:proofErr w:type="spellEnd"/>
            <w:r w:rsidRPr="00FB1404">
              <w:t xml:space="preserve"> investments that demonstrate additionality, including first-of-kind structures and innovative financing approaches, while </w:t>
            </w:r>
            <w:proofErr w:type="spellStart"/>
            <w:r w:rsidRPr="00FB1404">
              <w:t>recognising</w:t>
            </w:r>
            <w:proofErr w:type="spellEnd"/>
            <w:r w:rsidRPr="00FB1404">
              <w:t xml:space="preserve"> that investment decisions</w:t>
            </w:r>
            <w:r w:rsidR="00B408A7">
              <w:t xml:space="preserve">, </w:t>
            </w:r>
            <w:r w:rsidRPr="00FB1404">
              <w:t>including the use of technical assistance</w:t>
            </w:r>
            <w:r w:rsidR="00B408A7">
              <w:t xml:space="preserve">, </w:t>
            </w:r>
            <w:r w:rsidRPr="00FB1404">
              <w:t>remain within PIDG’s portfolio management framework.</w:t>
            </w:r>
          </w:p>
          <w:p w14:paraId="24E45A10" w14:textId="70EC9CD0" w:rsidR="00F52416" w:rsidRPr="00DF07AC" w:rsidRDefault="00F52416" w:rsidP="00F46A15">
            <w:pPr>
              <w:spacing w:after="0" w:line="240" w:lineRule="auto"/>
            </w:pPr>
          </w:p>
        </w:tc>
      </w:tr>
      <w:tr w:rsidR="00F46A15" w:rsidRPr="00F46A15" w14:paraId="6CF5BD41" w14:textId="77777777" w:rsidTr="07FC1787">
        <w:trPr>
          <w:trHeight w:val="300"/>
        </w:trPr>
        <w:tc>
          <w:tcPr>
            <w:tcW w:w="318" w:type="dxa"/>
            <w:tcBorders>
              <w:bottom w:val="single" w:sz="4" w:space="0" w:color="37383B"/>
            </w:tcBorders>
            <w:hideMark/>
          </w:tcPr>
          <w:p w14:paraId="627F369C" w14:textId="77777777" w:rsidR="00F46A15" w:rsidRPr="00DF07AC" w:rsidRDefault="00F46A15" w:rsidP="00F46A15">
            <w:pPr>
              <w:spacing w:after="0" w:line="240" w:lineRule="auto"/>
            </w:pPr>
            <w:r w:rsidRPr="00DF07AC">
              <w:t>6</w:t>
            </w:r>
          </w:p>
        </w:tc>
        <w:tc>
          <w:tcPr>
            <w:tcW w:w="2677" w:type="dxa"/>
            <w:tcBorders>
              <w:bottom w:val="single" w:sz="4" w:space="0" w:color="37383B"/>
            </w:tcBorders>
            <w:hideMark/>
          </w:tcPr>
          <w:p w14:paraId="455EFBA7" w14:textId="77777777" w:rsidR="00F46A15" w:rsidRPr="00DF07AC" w:rsidRDefault="00F46A15" w:rsidP="00F46A15">
            <w:pPr>
              <w:spacing w:after="0" w:line="240" w:lineRule="auto"/>
            </w:pPr>
            <w:r w:rsidRPr="00DF07AC">
              <w:t>Manage the Credit Enhancement Facility (CEF) as a longer-horizon initiative.</w:t>
            </w:r>
          </w:p>
        </w:tc>
        <w:tc>
          <w:tcPr>
            <w:tcW w:w="1035" w:type="dxa"/>
            <w:tcBorders>
              <w:bottom w:val="single" w:sz="4" w:space="0" w:color="37383B"/>
            </w:tcBorders>
            <w:hideMark/>
          </w:tcPr>
          <w:p w14:paraId="67E90E9B" w14:textId="77777777" w:rsidR="00F46A15" w:rsidRPr="00F52416" w:rsidRDefault="00F46A15" w:rsidP="00F46A15">
            <w:pPr>
              <w:spacing w:after="0" w:line="240" w:lineRule="auto"/>
              <w:rPr>
                <w:b/>
                <w:bCs/>
              </w:rPr>
            </w:pPr>
            <w:r w:rsidRPr="00F52416">
              <w:rPr>
                <w:b/>
                <w:bCs/>
              </w:rPr>
              <w:t>Agree</w:t>
            </w:r>
          </w:p>
        </w:tc>
        <w:tc>
          <w:tcPr>
            <w:tcW w:w="5330" w:type="dxa"/>
            <w:tcBorders>
              <w:bottom w:val="single" w:sz="4" w:space="0" w:color="37383B"/>
            </w:tcBorders>
            <w:hideMark/>
          </w:tcPr>
          <w:p w14:paraId="43401614" w14:textId="089DA2FB" w:rsidR="00326A66" w:rsidRDefault="0D024503" w:rsidP="13E9CA2A">
            <w:pPr>
              <w:spacing w:after="0" w:line="240" w:lineRule="auto"/>
            </w:pPr>
            <w:r>
              <w:t xml:space="preserve">DFAT and PIDG will continue to work closely together, with government </w:t>
            </w:r>
            <w:r w:rsidR="50410971">
              <w:t xml:space="preserve">stakeholders </w:t>
            </w:r>
            <w:r w:rsidR="320F8AFE">
              <w:t>and other donors</w:t>
            </w:r>
            <w:r>
              <w:t xml:space="preserve">, to assess progress and agree on the most appropriate approach for taking the CEF forward, taking into account regulatory developments, institutional arrangements and market conditions. </w:t>
            </w:r>
            <w:r w:rsidR="037FA605">
              <w:t>Subject to these factors, i</w:t>
            </w:r>
            <w:r>
              <w:t xml:space="preserve">mplementation pathways and timelines </w:t>
            </w:r>
            <w:r w:rsidR="209ED48F">
              <w:t xml:space="preserve">may need to </w:t>
            </w:r>
            <w:r>
              <w:t>be refined, with a focus on identifying a practical and effective solution</w:t>
            </w:r>
            <w:r w:rsidR="409B24A7">
              <w:t xml:space="preserve"> to support the establishment of the CEF</w:t>
            </w:r>
            <w:r>
              <w:t>.</w:t>
            </w:r>
          </w:p>
          <w:p w14:paraId="72E24173" w14:textId="29D08599" w:rsidR="00F52416" w:rsidRPr="00DF07AC" w:rsidRDefault="00F52416" w:rsidP="00F46A15">
            <w:pPr>
              <w:spacing w:after="0" w:line="240" w:lineRule="auto"/>
            </w:pPr>
          </w:p>
        </w:tc>
      </w:tr>
    </w:tbl>
    <w:p w14:paraId="09EE1C3E" w14:textId="77777777" w:rsidR="00CE3A36" w:rsidRPr="00F52416" w:rsidRDefault="00CE3A36"/>
    <w:sectPr w:rsidR="00CE3A36" w:rsidRPr="00F524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3AEF" w14:textId="77777777" w:rsidR="0035262A" w:rsidRDefault="0035262A" w:rsidP="002172B7">
      <w:pPr>
        <w:spacing w:after="0" w:line="240" w:lineRule="auto"/>
      </w:pPr>
      <w:r>
        <w:separator/>
      </w:r>
    </w:p>
  </w:endnote>
  <w:endnote w:type="continuationSeparator" w:id="0">
    <w:p w14:paraId="04D44BDA" w14:textId="77777777" w:rsidR="0035262A" w:rsidRDefault="0035262A" w:rsidP="00217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3236" w14:textId="5CFC0D94" w:rsidR="00342402" w:rsidRDefault="00342402">
    <w:pPr>
      <w:pStyle w:val="Footer"/>
    </w:pPr>
    <w:r>
      <w:rPr>
        <w:noProof/>
      </w:rPr>
      <mc:AlternateContent>
        <mc:Choice Requires="wps">
          <w:drawing>
            <wp:anchor distT="0" distB="0" distL="0" distR="0" simplePos="0" relativeHeight="251658244" behindDoc="0" locked="0" layoutInCell="1" allowOverlap="1" wp14:anchorId="106C7485" wp14:editId="2BBEBE13">
              <wp:simplePos x="635" y="635"/>
              <wp:positionH relativeFrom="page">
                <wp:align>center</wp:align>
              </wp:positionH>
              <wp:positionV relativeFrom="page">
                <wp:align>bottom</wp:align>
              </wp:positionV>
              <wp:extent cx="622300" cy="405765"/>
              <wp:effectExtent l="0" t="0" r="6350" b="0"/>
              <wp:wrapNone/>
              <wp:docPr id="707903663" name="Text Box 11" descr="OFFICIAL">
                <a:extLst xmlns:a="http://schemas.openxmlformats.org/drawingml/2006/main">
                  <a:ext uri="{FF2B5EF4-FFF2-40B4-BE49-F238E27FC236}">
                    <a16:creationId xmlns:a16="http://schemas.microsoft.com/office/drawing/2014/main" id="{A5F896F7-A72C-4F8F-BBA8-5DE6840B8F15}"/>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05E98DC" w14:textId="77777777" w:rsidR="00342402" w:rsidRPr="00D63696" w:rsidRDefault="00342402" w:rsidP="00D63696">
                          <w:pPr>
                            <w:spacing w:after="0"/>
                            <w:rPr>
                              <w:rFonts w:ascii="Aptos" w:eastAsia="Aptos" w:hAnsi="Aptos" w:cs="Aptos"/>
                              <w:noProof/>
                              <w:color w:val="FF0000"/>
                            </w:rPr>
                          </w:pPr>
                          <w:r w:rsidRPr="00D6369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6C7485" id="_x0000_t202" coordsize="21600,21600" o:spt="202" path="m,l,21600r21600,l21600,xe">
              <v:stroke joinstyle="miter"/>
              <v:path gradientshapeok="t" o:connecttype="rect"/>
            </v:shapetype>
            <v:shape id="Text Box 11" o:spid="_x0000_s1028" type="#_x0000_t202" alt="OFFICIAL" style="position:absolute;margin-left:0;margin-top:0;width:49pt;height:31.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textbox style="mso-fit-shape-to-text:t" inset="0,0,0,15pt">
                <w:txbxContent>
                  <w:p w14:paraId="105E98DC" w14:textId="77777777" w:rsidR="00342402" w:rsidRPr="00D63696" w:rsidRDefault="00342402" w:rsidP="00D63696">
                    <w:pPr>
                      <w:spacing w:after="0"/>
                      <w:rPr>
                        <w:rFonts w:ascii="Aptos" w:eastAsia="Aptos" w:hAnsi="Aptos" w:cs="Aptos"/>
                        <w:noProof/>
                        <w:color w:val="FF0000"/>
                      </w:rPr>
                    </w:pPr>
                    <w:r w:rsidRPr="00D63696">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0D22" w14:textId="4CA1D549" w:rsidR="00342402" w:rsidRDefault="00342402">
    <w:pPr>
      <w:pStyle w:val="Footer"/>
    </w:pPr>
    <w:r>
      <w:rPr>
        <w:noProof/>
      </w:rPr>
      <mc:AlternateContent>
        <mc:Choice Requires="wps">
          <w:drawing>
            <wp:anchor distT="0" distB="0" distL="0" distR="0" simplePos="0" relativeHeight="251658245" behindDoc="0" locked="0" layoutInCell="1" allowOverlap="1" wp14:anchorId="4F8EBBBD" wp14:editId="31C51D86">
              <wp:simplePos x="914400" y="9418320"/>
              <wp:positionH relativeFrom="page">
                <wp:align>center</wp:align>
              </wp:positionH>
              <wp:positionV relativeFrom="page">
                <wp:align>bottom</wp:align>
              </wp:positionV>
              <wp:extent cx="622300" cy="405765"/>
              <wp:effectExtent l="0" t="0" r="6350" b="0"/>
              <wp:wrapNone/>
              <wp:docPr id="2069788192" name="Text Box 12" descr="OFFICIAL">
                <a:extLst xmlns:a="http://schemas.openxmlformats.org/drawingml/2006/main">
                  <a:ext uri="{FF2B5EF4-FFF2-40B4-BE49-F238E27FC236}">
                    <a16:creationId xmlns:a16="http://schemas.microsoft.com/office/drawing/2014/main" id="{2CB10712-3E07-475B-8E77-E9FB08B4A84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81AF8AF" w14:textId="77777777" w:rsidR="00342402" w:rsidRPr="00D63696" w:rsidRDefault="00342402" w:rsidP="00D63696">
                          <w:pPr>
                            <w:spacing w:after="0"/>
                            <w:rPr>
                              <w:rFonts w:ascii="Aptos" w:eastAsia="Aptos" w:hAnsi="Aptos" w:cs="Aptos"/>
                              <w:noProof/>
                              <w:color w:val="FF0000"/>
                            </w:rPr>
                          </w:pPr>
                          <w:r w:rsidRPr="00D6369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8EBBBD" id="_x0000_t202" coordsize="21600,21600" o:spt="202" path="m,l,21600r21600,l21600,xe">
              <v:stroke joinstyle="miter"/>
              <v:path gradientshapeok="t" o:connecttype="rect"/>
            </v:shapetype>
            <v:shape id="Text Box 12" o:spid="_x0000_s1029" type="#_x0000_t202" alt="OFFICIAL" style="position:absolute;margin-left:0;margin-top:0;width:49pt;height:31.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textbox style="mso-fit-shape-to-text:t" inset="0,0,0,15pt">
                <w:txbxContent>
                  <w:p w14:paraId="181AF8AF" w14:textId="77777777" w:rsidR="00342402" w:rsidRPr="00D63696" w:rsidRDefault="00342402" w:rsidP="00D63696">
                    <w:pPr>
                      <w:spacing w:after="0"/>
                      <w:rPr>
                        <w:rFonts w:ascii="Aptos" w:eastAsia="Aptos" w:hAnsi="Aptos" w:cs="Aptos"/>
                        <w:noProof/>
                        <w:color w:val="FF0000"/>
                      </w:rPr>
                    </w:pPr>
                    <w:r w:rsidRPr="00D63696">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75D6" w14:textId="0A965F66" w:rsidR="00342402" w:rsidRDefault="00342402">
    <w:pPr>
      <w:pStyle w:val="Footer"/>
    </w:pPr>
    <w:r>
      <w:rPr>
        <w:noProof/>
      </w:rPr>
      <mc:AlternateContent>
        <mc:Choice Requires="wps">
          <w:drawing>
            <wp:anchor distT="0" distB="0" distL="0" distR="0" simplePos="0" relativeHeight="251658243" behindDoc="0" locked="0" layoutInCell="1" allowOverlap="1" wp14:anchorId="500F3A93" wp14:editId="7346F928">
              <wp:simplePos x="635" y="635"/>
              <wp:positionH relativeFrom="page">
                <wp:align>center</wp:align>
              </wp:positionH>
              <wp:positionV relativeFrom="page">
                <wp:align>bottom</wp:align>
              </wp:positionV>
              <wp:extent cx="622300" cy="405765"/>
              <wp:effectExtent l="0" t="0" r="6350" b="0"/>
              <wp:wrapNone/>
              <wp:docPr id="1007093237" name="Text Box 10" descr="OFFICIAL">
                <a:extLst xmlns:a="http://schemas.openxmlformats.org/drawingml/2006/main">
                  <a:ext uri="{FF2B5EF4-FFF2-40B4-BE49-F238E27FC236}">
                    <a16:creationId xmlns:a16="http://schemas.microsoft.com/office/drawing/2014/main" id="{2CF38CC8-D17E-433F-82FD-B6E82B4FF724}"/>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D7D5735" w14:textId="77777777" w:rsidR="00342402" w:rsidRPr="00D63696" w:rsidRDefault="00342402" w:rsidP="00D63696">
                          <w:pPr>
                            <w:spacing w:after="0"/>
                            <w:rPr>
                              <w:rFonts w:ascii="Aptos" w:eastAsia="Aptos" w:hAnsi="Aptos" w:cs="Aptos"/>
                              <w:noProof/>
                              <w:color w:val="FF0000"/>
                            </w:rPr>
                          </w:pPr>
                          <w:r w:rsidRPr="00D6369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0F3A93" id="_x0000_t202" coordsize="21600,21600" o:spt="202" path="m,l,21600r21600,l21600,xe">
              <v:stroke joinstyle="miter"/>
              <v:path gradientshapeok="t" o:connecttype="rect"/>
            </v:shapetype>
            <v:shape id="Text Box 10" o:spid="_x0000_s1031" type="#_x0000_t202" alt="OFFICIAL" style="position:absolute;margin-left:0;margin-top:0;width:49pt;height:31.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l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Qpn36eTSNKdr3s0IfvCgyLRsmRtpLIEoe1&#10;D6fUISXWsrBq2jZtprV/OAgzerJrh9EK/bZnTVXyVDd6tlAdaSiE0769k6uGSq+FD48CacHULYk2&#10;PNChW+hKDmeLsxrw51v+mE+8U5SzjgRTckuK5qz9YWkfUVuDgYOxTcb4az6N9Ni9uQWS4ZhehJPJ&#10;JC+GdjA1gnkhOS9jIQoJK6lcybeDeRtOyqXnINVymZJIRk6Etd04GaEjXZHLp/5FoDsTHmhT9zCo&#10;SRSveD/lxpveLfeB2E9LuRJ5ZpwkmNZ6fi5R47//p6zro178Ag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UQqGJQwCAAAcBAAA&#10;DgAAAAAAAAAAAAAAAAAuAgAAZHJzL2Uyb0RvYy54bWxQSwECLQAUAAYACAAAACEAwLHFXtoAAAAD&#10;AQAADwAAAAAAAAAAAAAAAABmBAAAZHJzL2Rvd25yZXYueG1sUEsFBgAAAAAEAAQA8wAAAG0FAAAA&#10;AA==&#10;" filled="f" stroked="f">
              <v:textbox style="mso-fit-shape-to-text:t" inset="0,0,0,15pt">
                <w:txbxContent>
                  <w:p w14:paraId="1D7D5735" w14:textId="77777777" w:rsidR="00342402" w:rsidRPr="00D63696" w:rsidRDefault="00342402" w:rsidP="00D63696">
                    <w:pPr>
                      <w:spacing w:after="0"/>
                      <w:rPr>
                        <w:rFonts w:ascii="Aptos" w:eastAsia="Aptos" w:hAnsi="Aptos" w:cs="Aptos"/>
                        <w:noProof/>
                        <w:color w:val="FF0000"/>
                      </w:rPr>
                    </w:pPr>
                    <w:r w:rsidRPr="00D63696">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F9542" w14:textId="77777777" w:rsidR="0035262A" w:rsidRDefault="0035262A" w:rsidP="002172B7">
      <w:pPr>
        <w:spacing w:after="0" w:line="240" w:lineRule="auto"/>
      </w:pPr>
      <w:r>
        <w:separator/>
      </w:r>
    </w:p>
  </w:footnote>
  <w:footnote w:type="continuationSeparator" w:id="0">
    <w:p w14:paraId="0F30F854" w14:textId="77777777" w:rsidR="0035262A" w:rsidRDefault="0035262A" w:rsidP="00217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44CF" w14:textId="026EBCE4" w:rsidR="00342402" w:rsidRDefault="00342402">
    <w:pPr>
      <w:pStyle w:val="Header"/>
    </w:pPr>
    <w:r>
      <w:rPr>
        <w:noProof/>
      </w:rPr>
      <mc:AlternateContent>
        <mc:Choice Requires="wps">
          <w:drawing>
            <wp:anchor distT="0" distB="0" distL="0" distR="0" simplePos="0" relativeHeight="251658241" behindDoc="0" locked="0" layoutInCell="1" allowOverlap="1" wp14:anchorId="7908F512" wp14:editId="67AEA68D">
              <wp:simplePos x="635" y="635"/>
              <wp:positionH relativeFrom="page">
                <wp:align>center</wp:align>
              </wp:positionH>
              <wp:positionV relativeFrom="page">
                <wp:align>top</wp:align>
              </wp:positionV>
              <wp:extent cx="622300" cy="405765"/>
              <wp:effectExtent l="0" t="0" r="6350" b="13335"/>
              <wp:wrapNone/>
              <wp:docPr id="510452560" name="Text Box 8" descr="OFFICIAL">
                <a:extLst xmlns:a="http://schemas.openxmlformats.org/drawingml/2006/main">
                  <a:ext uri="{FF2B5EF4-FFF2-40B4-BE49-F238E27FC236}">
                    <a16:creationId xmlns:a16="http://schemas.microsoft.com/office/drawing/2014/main" id="{51EE5662-DA9D-4BAC-AE07-E7324F89C8E0}"/>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580A365" w14:textId="77777777" w:rsidR="00342402" w:rsidRPr="00D63696" w:rsidRDefault="00342402" w:rsidP="00D63696">
                          <w:pPr>
                            <w:spacing w:after="0"/>
                            <w:rPr>
                              <w:rFonts w:ascii="Aptos" w:eastAsia="Aptos" w:hAnsi="Aptos" w:cs="Aptos"/>
                              <w:noProof/>
                              <w:color w:val="FF0000"/>
                            </w:rPr>
                          </w:pPr>
                          <w:r w:rsidRPr="00D6369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08F512" id="_x0000_t202" coordsize="21600,21600" o:spt="202" path="m,l,21600r21600,l21600,xe">
              <v:stroke joinstyle="miter"/>
              <v:path gradientshapeok="t" o:connecttype="rect"/>
            </v:shapetype>
            <v:shape id="Text Box 8" o:spid="_x0000_s1026" type="#_x0000_t202" alt="OFFICIAL" style="position:absolute;margin-left:0;margin-top:0;width:49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1580A365" w14:textId="77777777" w:rsidR="00342402" w:rsidRPr="00D63696" w:rsidRDefault="00342402" w:rsidP="00D63696">
                    <w:pPr>
                      <w:spacing w:after="0"/>
                      <w:rPr>
                        <w:rFonts w:ascii="Aptos" w:eastAsia="Aptos" w:hAnsi="Aptos" w:cs="Aptos"/>
                        <w:noProof/>
                        <w:color w:val="FF0000"/>
                      </w:rPr>
                    </w:pPr>
                    <w:r w:rsidRPr="00D63696">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B965" w14:textId="6D5124C2" w:rsidR="00342402" w:rsidRDefault="00342402">
    <w:pPr>
      <w:pStyle w:val="Header"/>
    </w:pPr>
    <w:r>
      <w:rPr>
        <w:noProof/>
      </w:rPr>
      <mc:AlternateContent>
        <mc:Choice Requires="wps">
          <w:drawing>
            <wp:anchor distT="0" distB="0" distL="0" distR="0" simplePos="0" relativeHeight="251658242" behindDoc="0" locked="0" layoutInCell="1" allowOverlap="1" wp14:anchorId="32386888" wp14:editId="390F062B">
              <wp:simplePos x="914400" y="457200"/>
              <wp:positionH relativeFrom="page">
                <wp:align>center</wp:align>
              </wp:positionH>
              <wp:positionV relativeFrom="page">
                <wp:align>top</wp:align>
              </wp:positionV>
              <wp:extent cx="622300" cy="405765"/>
              <wp:effectExtent l="0" t="0" r="6350" b="13335"/>
              <wp:wrapNone/>
              <wp:docPr id="1903514435" name="Text Box 9" descr="OFFICIAL">
                <a:extLst xmlns:a="http://schemas.openxmlformats.org/drawingml/2006/main">
                  <a:ext uri="{FF2B5EF4-FFF2-40B4-BE49-F238E27FC236}">
                    <a16:creationId xmlns:a16="http://schemas.microsoft.com/office/drawing/2014/main" id="{8A5ED9E5-46CC-4965-A4E0-6A9E8DC6A1C9}"/>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30921B4" w14:textId="77777777" w:rsidR="00342402" w:rsidRPr="00D63696" w:rsidRDefault="00342402" w:rsidP="00D63696">
                          <w:pPr>
                            <w:spacing w:after="0"/>
                            <w:rPr>
                              <w:rFonts w:ascii="Aptos" w:eastAsia="Aptos" w:hAnsi="Aptos" w:cs="Aptos"/>
                              <w:noProof/>
                              <w:color w:val="FF0000"/>
                            </w:rPr>
                          </w:pPr>
                          <w:r w:rsidRPr="00D6369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386888" id="_x0000_t202" coordsize="21600,21600" o:spt="202" path="m,l,21600r21600,l21600,xe">
              <v:stroke joinstyle="miter"/>
              <v:path gradientshapeok="t" o:connecttype="rect"/>
            </v:shapetype>
            <v:shape id="Text Box 9" o:spid="_x0000_s1027" type="#_x0000_t202" alt="OFFICIAL" style="position:absolute;margin-left:0;margin-top:0;width:49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textbox style="mso-fit-shape-to-text:t" inset="0,15pt,0,0">
                <w:txbxContent>
                  <w:p w14:paraId="030921B4" w14:textId="77777777" w:rsidR="00342402" w:rsidRPr="00D63696" w:rsidRDefault="00342402" w:rsidP="00D63696">
                    <w:pPr>
                      <w:spacing w:after="0"/>
                      <w:rPr>
                        <w:rFonts w:ascii="Aptos" w:eastAsia="Aptos" w:hAnsi="Aptos" w:cs="Aptos"/>
                        <w:noProof/>
                        <w:color w:val="FF0000"/>
                      </w:rPr>
                    </w:pPr>
                    <w:r w:rsidRPr="00D63696">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FBF0" w14:textId="77802849" w:rsidR="00342402" w:rsidRDefault="00342402">
    <w:pPr>
      <w:pStyle w:val="Header"/>
    </w:pPr>
    <w:r>
      <w:rPr>
        <w:noProof/>
      </w:rPr>
      <mc:AlternateContent>
        <mc:Choice Requires="wps">
          <w:drawing>
            <wp:anchor distT="0" distB="0" distL="0" distR="0" simplePos="0" relativeHeight="251658240" behindDoc="0" locked="0" layoutInCell="1" allowOverlap="1" wp14:anchorId="720A6BAD" wp14:editId="14D1CF6D">
              <wp:simplePos x="635" y="635"/>
              <wp:positionH relativeFrom="page">
                <wp:align>center</wp:align>
              </wp:positionH>
              <wp:positionV relativeFrom="page">
                <wp:align>top</wp:align>
              </wp:positionV>
              <wp:extent cx="622300" cy="405765"/>
              <wp:effectExtent l="0" t="0" r="6350" b="13335"/>
              <wp:wrapNone/>
              <wp:docPr id="1559008914" name="Text Box 7" descr="OFFICIAL">
                <a:extLst xmlns:a="http://schemas.openxmlformats.org/drawingml/2006/main">
                  <a:ext uri="{FF2B5EF4-FFF2-40B4-BE49-F238E27FC236}">
                    <a16:creationId xmlns:a16="http://schemas.microsoft.com/office/drawing/2014/main" id="{D0ECA626-F20F-4BCF-8A04-2B7119FAF534}"/>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DC30400" w14:textId="77777777" w:rsidR="00342402" w:rsidRPr="00D63696" w:rsidRDefault="00342402" w:rsidP="00D63696">
                          <w:pPr>
                            <w:spacing w:after="0"/>
                            <w:rPr>
                              <w:rFonts w:ascii="Aptos" w:eastAsia="Aptos" w:hAnsi="Aptos" w:cs="Aptos"/>
                              <w:noProof/>
                              <w:color w:val="FF0000"/>
                            </w:rPr>
                          </w:pPr>
                          <w:r w:rsidRPr="00D6369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0A6BAD" id="_x0000_t202" coordsize="21600,21600" o:spt="202" path="m,l,21600r21600,l21600,xe">
              <v:stroke joinstyle="miter"/>
              <v:path gradientshapeok="t" o:connecttype="rect"/>
            </v:shapetype>
            <v:shape id="Text Box 7" o:spid="_x0000_s1030"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WsDA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" filled="f" stroked="f">
              <v:textbox style="mso-fit-shape-to-text:t" inset="0,15pt,0,0">
                <w:txbxContent>
                  <w:p w14:paraId="5DC30400" w14:textId="77777777" w:rsidR="00342402" w:rsidRPr="00D63696" w:rsidRDefault="00342402" w:rsidP="00D63696">
                    <w:pPr>
                      <w:spacing w:after="0"/>
                      <w:rPr>
                        <w:rFonts w:ascii="Aptos" w:eastAsia="Aptos" w:hAnsi="Aptos" w:cs="Aptos"/>
                        <w:noProof/>
                        <w:color w:val="FF0000"/>
                      </w:rPr>
                    </w:pPr>
                    <w:r w:rsidRPr="00D63696">
                      <w:rPr>
                        <w:rFonts w:ascii="Aptos" w:eastAsia="Aptos" w:hAnsi="Aptos" w:cs="Aptos"/>
                        <w:noProof/>
                        <w:color w:val="FF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A15"/>
    <w:rsid w:val="00006106"/>
    <w:rsid w:val="00015C3A"/>
    <w:rsid w:val="00035B8E"/>
    <w:rsid w:val="00037A8D"/>
    <w:rsid w:val="00043CC3"/>
    <w:rsid w:val="00071056"/>
    <w:rsid w:val="00082E6E"/>
    <w:rsid w:val="000841E9"/>
    <w:rsid w:val="00090CAB"/>
    <w:rsid w:val="00093971"/>
    <w:rsid w:val="000956F9"/>
    <w:rsid w:val="0009721C"/>
    <w:rsid w:val="000A62CF"/>
    <w:rsid w:val="000A6881"/>
    <w:rsid w:val="000E021E"/>
    <w:rsid w:val="000E3A7D"/>
    <w:rsid w:val="000E6F26"/>
    <w:rsid w:val="0011221C"/>
    <w:rsid w:val="0011387D"/>
    <w:rsid w:val="0011531E"/>
    <w:rsid w:val="00153AB2"/>
    <w:rsid w:val="00171E42"/>
    <w:rsid w:val="00187858"/>
    <w:rsid w:val="0019014F"/>
    <w:rsid w:val="001B44A2"/>
    <w:rsid w:val="001E73EB"/>
    <w:rsid w:val="001F2EC0"/>
    <w:rsid w:val="002057DA"/>
    <w:rsid w:val="002172B7"/>
    <w:rsid w:val="00236ED1"/>
    <w:rsid w:val="00251228"/>
    <w:rsid w:val="00267A3F"/>
    <w:rsid w:val="002807ED"/>
    <w:rsid w:val="00296499"/>
    <w:rsid w:val="00297FBC"/>
    <w:rsid w:val="002D6AE5"/>
    <w:rsid w:val="002E2078"/>
    <w:rsid w:val="002E3D83"/>
    <w:rsid w:val="00326A66"/>
    <w:rsid w:val="00326CEF"/>
    <w:rsid w:val="003301E6"/>
    <w:rsid w:val="0033423C"/>
    <w:rsid w:val="003355E9"/>
    <w:rsid w:val="00336989"/>
    <w:rsid w:val="00342402"/>
    <w:rsid w:val="003424E1"/>
    <w:rsid w:val="003435A4"/>
    <w:rsid w:val="0035262A"/>
    <w:rsid w:val="00352631"/>
    <w:rsid w:val="00362B97"/>
    <w:rsid w:val="00365903"/>
    <w:rsid w:val="00367CB6"/>
    <w:rsid w:val="00381297"/>
    <w:rsid w:val="003A714B"/>
    <w:rsid w:val="003A75D0"/>
    <w:rsid w:val="003B6D0D"/>
    <w:rsid w:val="003B7FB4"/>
    <w:rsid w:val="003D1559"/>
    <w:rsid w:val="00402A39"/>
    <w:rsid w:val="00437113"/>
    <w:rsid w:val="00440F24"/>
    <w:rsid w:val="0046065F"/>
    <w:rsid w:val="004810D5"/>
    <w:rsid w:val="00496D18"/>
    <w:rsid w:val="004A3107"/>
    <w:rsid w:val="004B07CC"/>
    <w:rsid w:val="004B2DAE"/>
    <w:rsid w:val="004D3B80"/>
    <w:rsid w:val="004D4FAC"/>
    <w:rsid w:val="004D737B"/>
    <w:rsid w:val="004E124A"/>
    <w:rsid w:val="004E297D"/>
    <w:rsid w:val="005074C1"/>
    <w:rsid w:val="00526191"/>
    <w:rsid w:val="00536C1C"/>
    <w:rsid w:val="00542805"/>
    <w:rsid w:val="00550DC3"/>
    <w:rsid w:val="00570A79"/>
    <w:rsid w:val="00576FC4"/>
    <w:rsid w:val="005A3AAD"/>
    <w:rsid w:val="005B198E"/>
    <w:rsid w:val="005B5237"/>
    <w:rsid w:val="005C6EC4"/>
    <w:rsid w:val="005E2539"/>
    <w:rsid w:val="005E42F5"/>
    <w:rsid w:val="005E4D50"/>
    <w:rsid w:val="005F1452"/>
    <w:rsid w:val="005F1BD5"/>
    <w:rsid w:val="0060670A"/>
    <w:rsid w:val="006328A9"/>
    <w:rsid w:val="00640DD2"/>
    <w:rsid w:val="0066201C"/>
    <w:rsid w:val="00662C54"/>
    <w:rsid w:val="00677B63"/>
    <w:rsid w:val="00684C23"/>
    <w:rsid w:val="00691591"/>
    <w:rsid w:val="006967FB"/>
    <w:rsid w:val="006A4AA9"/>
    <w:rsid w:val="006C4C88"/>
    <w:rsid w:val="006D475A"/>
    <w:rsid w:val="00712F13"/>
    <w:rsid w:val="007137FA"/>
    <w:rsid w:val="00722FE8"/>
    <w:rsid w:val="00741135"/>
    <w:rsid w:val="00752DD2"/>
    <w:rsid w:val="0075481D"/>
    <w:rsid w:val="007565D9"/>
    <w:rsid w:val="007649D7"/>
    <w:rsid w:val="007E0710"/>
    <w:rsid w:val="008010A1"/>
    <w:rsid w:val="00831C9F"/>
    <w:rsid w:val="00832273"/>
    <w:rsid w:val="008768D9"/>
    <w:rsid w:val="00885CB4"/>
    <w:rsid w:val="008A3559"/>
    <w:rsid w:val="008E1DA6"/>
    <w:rsid w:val="0090001C"/>
    <w:rsid w:val="00900858"/>
    <w:rsid w:val="0090623E"/>
    <w:rsid w:val="00910945"/>
    <w:rsid w:val="0091620F"/>
    <w:rsid w:val="0093154E"/>
    <w:rsid w:val="00933FF3"/>
    <w:rsid w:val="009360C8"/>
    <w:rsid w:val="00957E49"/>
    <w:rsid w:val="00966EF6"/>
    <w:rsid w:val="0098317E"/>
    <w:rsid w:val="009934F7"/>
    <w:rsid w:val="00993784"/>
    <w:rsid w:val="009B20AC"/>
    <w:rsid w:val="009C0C77"/>
    <w:rsid w:val="009C3976"/>
    <w:rsid w:val="009C5427"/>
    <w:rsid w:val="009F3D37"/>
    <w:rsid w:val="00A013CB"/>
    <w:rsid w:val="00A044AE"/>
    <w:rsid w:val="00A049A5"/>
    <w:rsid w:val="00A100FF"/>
    <w:rsid w:val="00A51F3B"/>
    <w:rsid w:val="00A60301"/>
    <w:rsid w:val="00A6061F"/>
    <w:rsid w:val="00A60656"/>
    <w:rsid w:val="00A61EF5"/>
    <w:rsid w:val="00AA1970"/>
    <w:rsid w:val="00AA1A88"/>
    <w:rsid w:val="00AA23FE"/>
    <w:rsid w:val="00AB69B4"/>
    <w:rsid w:val="00B001F9"/>
    <w:rsid w:val="00B07119"/>
    <w:rsid w:val="00B32AC8"/>
    <w:rsid w:val="00B33258"/>
    <w:rsid w:val="00B408A7"/>
    <w:rsid w:val="00B53708"/>
    <w:rsid w:val="00B554A1"/>
    <w:rsid w:val="00B67557"/>
    <w:rsid w:val="00B714DD"/>
    <w:rsid w:val="00B71645"/>
    <w:rsid w:val="00B84F8B"/>
    <w:rsid w:val="00B8725F"/>
    <w:rsid w:val="00BA6DE0"/>
    <w:rsid w:val="00BB1583"/>
    <w:rsid w:val="00BB273A"/>
    <w:rsid w:val="00BB51EA"/>
    <w:rsid w:val="00BD21E5"/>
    <w:rsid w:val="00BD73F8"/>
    <w:rsid w:val="00BE2069"/>
    <w:rsid w:val="00C05812"/>
    <w:rsid w:val="00C26031"/>
    <w:rsid w:val="00C33FBF"/>
    <w:rsid w:val="00C46F1F"/>
    <w:rsid w:val="00C52328"/>
    <w:rsid w:val="00C66D92"/>
    <w:rsid w:val="00CA7703"/>
    <w:rsid w:val="00CC31C9"/>
    <w:rsid w:val="00CC74CC"/>
    <w:rsid w:val="00CE14F0"/>
    <w:rsid w:val="00CE3075"/>
    <w:rsid w:val="00CE3A36"/>
    <w:rsid w:val="00CE6D4B"/>
    <w:rsid w:val="00CF2735"/>
    <w:rsid w:val="00CF6DFD"/>
    <w:rsid w:val="00D02B7C"/>
    <w:rsid w:val="00D049BC"/>
    <w:rsid w:val="00D07FE3"/>
    <w:rsid w:val="00D1731A"/>
    <w:rsid w:val="00D3382B"/>
    <w:rsid w:val="00D500D3"/>
    <w:rsid w:val="00D63696"/>
    <w:rsid w:val="00D63D8B"/>
    <w:rsid w:val="00D6774E"/>
    <w:rsid w:val="00D840D0"/>
    <w:rsid w:val="00DB3518"/>
    <w:rsid w:val="00DB5BE8"/>
    <w:rsid w:val="00DB760C"/>
    <w:rsid w:val="00DB77F0"/>
    <w:rsid w:val="00DC09C1"/>
    <w:rsid w:val="00DC5DFF"/>
    <w:rsid w:val="00DD3C08"/>
    <w:rsid w:val="00DD72EC"/>
    <w:rsid w:val="00DD7F62"/>
    <w:rsid w:val="00DF07AC"/>
    <w:rsid w:val="00DF1716"/>
    <w:rsid w:val="00E1343B"/>
    <w:rsid w:val="00E24370"/>
    <w:rsid w:val="00E31125"/>
    <w:rsid w:val="00E374BE"/>
    <w:rsid w:val="00E41856"/>
    <w:rsid w:val="00E54F8B"/>
    <w:rsid w:val="00E578EA"/>
    <w:rsid w:val="00E60419"/>
    <w:rsid w:val="00E645A1"/>
    <w:rsid w:val="00E73085"/>
    <w:rsid w:val="00E777F7"/>
    <w:rsid w:val="00EA3399"/>
    <w:rsid w:val="00EC0E0B"/>
    <w:rsid w:val="00EC1B09"/>
    <w:rsid w:val="00EC7D8B"/>
    <w:rsid w:val="00EE3775"/>
    <w:rsid w:val="00F0569E"/>
    <w:rsid w:val="00F27102"/>
    <w:rsid w:val="00F37435"/>
    <w:rsid w:val="00F40677"/>
    <w:rsid w:val="00F40BC2"/>
    <w:rsid w:val="00F46A15"/>
    <w:rsid w:val="00F52416"/>
    <w:rsid w:val="00F531B8"/>
    <w:rsid w:val="00F612AE"/>
    <w:rsid w:val="00F75C66"/>
    <w:rsid w:val="00F82007"/>
    <w:rsid w:val="00F83040"/>
    <w:rsid w:val="00F94E74"/>
    <w:rsid w:val="00FA0F84"/>
    <w:rsid w:val="00FA792A"/>
    <w:rsid w:val="00FA7D58"/>
    <w:rsid w:val="00FB1404"/>
    <w:rsid w:val="00FD533E"/>
    <w:rsid w:val="037FA605"/>
    <w:rsid w:val="0597EF69"/>
    <w:rsid w:val="05CE5B56"/>
    <w:rsid w:val="07FC1787"/>
    <w:rsid w:val="0A51DA9E"/>
    <w:rsid w:val="0B2FB6C6"/>
    <w:rsid w:val="0D024503"/>
    <w:rsid w:val="0EBEA8BB"/>
    <w:rsid w:val="0F137B40"/>
    <w:rsid w:val="13E9CA2A"/>
    <w:rsid w:val="1D3137C3"/>
    <w:rsid w:val="209ED48F"/>
    <w:rsid w:val="25CB856C"/>
    <w:rsid w:val="26116CB6"/>
    <w:rsid w:val="320F8AFE"/>
    <w:rsid w:val="355BF922"/>
    <w:rsid w:val="38CAD46E"/>
    <w:rsid w:val="3B387B4A"/>
    <w:rsid w:val="409B24A7"/>
    <w:rsid w:val="414FB768"/>
    <w:rsid w:val="44D17202"/>
    <w:rsid w:val="45777F5F"/>
    <w:rsid w:val="4C77B716"/>
    <w:rsid w:val="50410971"/>
    <w:rsid w:val="511BA868"/>
    <w:rsid w:val="55236BF6"/>
    <w:rsid w:val="5FA41492"/>
    <w:rsid w:val="626277BA"/>
    <w:rsid w:val="669CC77D"/>
    <w:rsid w:val="68287DC1"/>
    <w:rsid w:val="6D81F684"/>
    <w:rsid w:val="6EAED58D"/>
    <w:rsid w:val="7259478F"/>
    <w:rsid w:val="76BEE2A4"/>
    <w:rsid w:val="772BFA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CB4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EC0"/>
    <w:pPr>
      <w:spacing w:after="0" w:line="240" w:lineRule="auto"/>
      <w:jc w:val="center"/>
      <w:outlineLvl w:val="0"/>
    </w:pPr>
    <w:rPr>
      <w:b/>
      <w:bCs/>
    </w:rPr>
  </w:style>
  <w:style w:type="paragraph" w:styleId="Heading2">
    <w:name w:val="heading 2"/>
    <w:basedOn w:val="Normal"/>
    <w:next w:val="Normal"/>
    <w:link w:val="Heading2Char"/>
    <w:uiPriority w:val="9"/>
    <w:unhideWhenUsed/>
    <w:qFormat/>
    <w:rsid w:val="001F2EC0"/>
    <w:pPr>
      <w:spacing w:after="0" w:line="240" w:lineRule="auto"/>
      <w:outlineLvl w:val="1"/>
    </w:pPr>
    <w:rPr>
      <w:b/>
      <w:bCs/>
    </w:rPr>
  </w:style>
  <w:style w:type="paragraph" w:styleId="Heading3">
    <w:name w:val="heading 3"/>
    <w:basedOn w:val="Normal"/>
    <w:next w:val="Normal"/>
    <w:link w:val="Heading3Char"/>
    <w:uiPriority w:val="9"/>
    <w:semiHidden/>
    <w:unhideWhenUsed/>
    <w:qFormat/>
    <w:rsid w:val="00F46A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A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A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EC0"/>
    <w:rPr>
      <w:b/>
      <w:bCs/>
    </w:rPr>
  </w:style>
  <w:style w:type="character" w:customStyle="1" w:styleId="Heading2Char">
    <w:name w:val="Heading 2 Char"/>
    <w:basedOn w:val="DefaultParagraphFont"/>
    <w:link w:val="Heading2"/>
    <w:uiPriority w:val="9"/>
    <w:rsid w:val="001F2EC0"/>
    <w:rPr>
      <w:b/>
      <w:bCs/>
    </w:rPr>
  </w:style>
  <w:style w:type="character" w:customStyle="1" w:styleId="Heading3Char">
    <w:name w:val="Heading 3 Char"/>
    <w:basedOn w:val="DefaultParagraphFont"/>
    <w:link w:val="Heading3"/>
    <w:uiPriority w:val="9"/>
    <w:semiHidden/>
    <w:rsid w:val="00F46A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A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A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A15"/>
    <w:rPr>
      <w:rFonts w:eastAsiaTheme="majorEastAsia" w:cstheme="majorBidi"/>
      <w:color w:val="272727" w:themeColor="text1" w:themeTint="D8"/>
    </w:rPr>
  </w:style>
  <w:style w:type="paragraph" w:styleId="Title">
    <w:name w:val="Title"/>
    <w:basedOn w:val="Normal"/>
    <w:next w:val="Normal"/>
    <w:link w:val="TitleChar"/>
    <w:uiPriority w:val="10"/>
    <w:qFormat/>
    <w:rsid w:val="00F46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A15"/>
    <w:pPr>
      <w:spacing w:before="160"/>
      <w:jc w:val="center"/>
    </w:pPr>
    <w:rPr>
      <w:i/>
      <w:iCs/>
      <w:color w:val="404040" w:themeColor="text1" w:themeTint="BF"/>
    </w:rPr>
  </w:style>
  <w:style w:type="character" w:customStyle="1" w:styleId="QuoteChar">
    <w:name w:val="Quote Char"/>
    <w:basedOn w:val="DefaultParagraphFont"/>
    <w:link w:val="Quote"/>
    <w:uiPriority w:val="29"/>
    <w:rsid w:val="00F46A15"/>
    <w:rPr>
      <w:i/>
      <w:iCs/>
      <w:color w:val="404040" w:themeColor="text1" w:themeTint="BF"/>
    </w:rPr>
  </w:style>
  <w:style w:type="paragraph" w:styleId="ListParagraph">
    <w:name w:val="List Paragraph"/>
    <w:basedOn w:val="Normal"/>
    <w:uiPriority w:val="34"/>
    <w:qFormat/>
    <w:rsid w:val="00F46A15"/>
    <w:pPr>
      <w:ind w:left="720"/>
      <w:contextualSpacing/>
    </w:pPr>
  </w:style>
  <w:style w:type="character" w:styleId="IntenseEmphasis">
    <w:name w:val="Intense Emphasis"/>
    <w:basedOn w:val="DefaultParagraphFont"/>
    <w:uiPriority w:val="21"/>
    <w:qFormat/>
    <w:rsid w:val="00F46A15"/>
    <w:rPr>
      <w:i/>
      <w:iCs/>
      <w:color w:val="0F4761" w:themeColor="accent1" w:themeShade="BF"/>
    </w:rPr>
  </w:style>
  <w:style w:type="paragraph" w:styleId="IntenseQuote">
    <w:name w:val="Intense Quote"/>
    <w:basedOn w:val="Normal"/>
    <w:next w:val="Normal"/>
    <w:link w:val="IntenseQuoteChar"/>
    <w:uiPriority w:val="30"/>
    <w:qFormat/>
    <w:rsid w:val="00F46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A15"/>
    <w:rPr>
      <w:i/>
      <w:iCs/>
      <w:color w:val="0F4761" w:themeColor="accent1" w:themeShade="BF"/>
    </w:rPr>
  </w:style>
  <w:style w:type="character" w:styleId="IntenseReference">
    <w:name w:val="Intense Reference"/>
    <w:basedOn w:val="DefaultParagraphFont"/>
    <w:uiPriority w:val="32"/>
    <w:qFormat/>
    <w:rsid w:val="00F46A15"/>
    <w:rPr>
      <w:b/>
      <w:bCs/>
      <w:smallCaps/>
      <w:color w:val="0F4761" w:themeColor="accent1" w:themeShade="BF"/>
      <w:spacing w:val="5"/>
    </w:rPr>
  </w:style>
  <w:style w:type="character" w:customStyle="1" w:styleId="ng-star-inserted">
    <w:name w:val="ng-star-inserted"/>
    <w:basedOn w:val="DefaultParagraphFont"/>
    <w:rsid w:val="00F46A15"/>
  </w:style>
  <w:style w:type="paragraph" w:styleId="Header">
    <w:name w:val="header"/>
    <w:basedOn w:val="Normal"/>
    <w:link w:val="HeaderChar"/>
    <w:uiPriority w:val="99"/>
    <w:unhideWhenUsed/>
    <w:rsid w:val="00217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2B7"/>
  </w:style>
  <w:style w:type="paragraph" w:styleId="Footer">
    <w:name w:val="footer"/>
    <w:basedOn w:val="Normal"/>
    <w:link w:val="FooterChar"/>
    <w:uiPriority w:val="99"/>
    <w:unhideWhenUsed/>
    <w:rsid w:val="00217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2B7"/>
  </w:style>
  <w:style w:type="paragraph" w:styleId="Revision">
    <w:name w:val="Revision"/>
    <w:hidden/>
    <w:uiPriority w:val="99"/>
    <w:semiHidden/>
    <w:rsid w:val="003D15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5273</Characters>
  <Application>Microsoft Office Word</Application>
  <DocSecurity>0</DocSecurity>
  <Lines>150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DFAT Management Response: Mid-Term Review of the Australia–Vietnam Energy Transition Platform (AVETP)</dc:title>
  <dc:subject/>
  <dc:creator/>
  <cp:keywords/>
  <dc:description/>
  <cp:lastModifiedBy/>
  <cp:revision>1</cp:revision>
  <dcterms:created xsi:type="dcterms:W3CDTF">2026-06-29T04:16:00Z</dcterms:created>
  <dcterms:modified xsi:type="dcterms:W3CDTF">2026-06-29T04:16:00Z</dcterms:modified>
</cp:coreProperties>
</file>