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4040555" w:displacedByCustomXml="next"/>
    <w:sdt>
      <w:sdtPr>
        <w:rPr>
          <w:rFonts w:eastAsiaTheme="majorEastAsia" w:cstheme="majorBidi"/>
          <w:caps/>
          <w:color w:val="313E48"/>
          <w:sz w:val="56"/>
          <w:szCs w:val="56"/>
        </w:rPr>
        <w:id w:val="928695217"/>
        <w:docPartObj>
          <w:docPartGallery w:val="Cover Pages"/>
          <w:docPartUnique/>
        </w:docPartObj>
      </w:sdtPr>
      <w:sdtContent>
        <w:p w14:paraId="67C66C88" w14:textId="7CA0F7E1" w:rsidR="00113C66" w:rsidRPr="001B387F" w:rsidRDefault="00113C66" w:rsidP="00663FB8"/>
        <w:p w14:paraId="39F11DCF" w14:textId="77777777" w:rsidR="008C4D87" w:rsidRPr="001B387F" w:rsidRDefault="009F2289" w:rsidP="004C0E95">
          <w:pPr>
            <w:pStyle w:val="cover-countries"/>
          </w:pPr>
          <w:r w:rsidRPr="001B387F">
            <w:t>Australia</w:t>
          </w:r>
          <w:r w:rsidR="004C0E95" w:rsidRPr="001B387F">
            <w:t xml:space="preserve"> – </w:t>
          </w:r>
          <w:r w:rsidRPr="001B387F">
            <w:t>Vietnam</w:t>
          </w:r>
        </w:p>
        <w:p w14:paraId="1B4A74A7" w14:textId="77777777" w:rsidR="0003037A" w:rsidRPr="001B387F" w:rsidRDefault="009F2289" w:rsidP="0003037A">
          <w:pPr>
            <w:pStyle w:val="cover-DPPandyears"/>
          </w:pPr>
          <w:r w:rsidRPr="001B387F">
            <w:t>Development</w:t>
          </w:r>
          <w:r w:rsidR="008C4D87" w:rsidRPr="001B387F">
            <w:t xml:space="preserve"> </w:t>
          </w:r>
          <w:r w:rsidRPr="001B387F">
            <w:t>Partnership Plan</w:t>
          </w:r>
          <w:r w:rsidR="008C4D87" w:rsidRPr="001B387F">
            <w:t> </w:t>
          </w:r>
          <w:r w:rsidRPr="001B387F">
            <w:t>2025</w:t>
          </w:r>
          <w:r w:rsidR="008C4D87" w:rsidRPr="001B387F">
            <w:t>–20</w:t>
          </w:r>
          <w:r w:rsidRPr="001B387F">
            <w:t>30</w:t>
          </w:r>
        </w:p>
      </w:sdtContent>
    </w:sdt>
    <w:p w14:paraId="317B2AB5" w14:textId="6DDB90AF" w:rsidR="001131AE" w:rsidRPr="001B387F" w:rsidRDefault="001131AE" w:rsidP="00B42F68">
      <w:pPr>
        <w:pStyle w:val="H2-Heading2"/>
      </w:pPr>
      <w:r w:rsidRPr="001B387F">
        <w:lastRenderedPageBreak/>
        <w:t>Section 1: Introduction</w:t>
      </w:r>
    </w:p>
    <w:p w14:paraId="5D223C0B" w14:textId="00A9AE61" w:rsidR="001131AE" w:rsidRPr="001B387F" w:rsidRDefault="001131AE" w:rsidP="00B42F68">
      <w:pPr>
        <w:pStyle w:val="H3-Heading3"/>
        <w:rPr>
          <w:rFonts w:eastAsia="Yu Gothic Light"/>
        </w:rPr>
      </w:pPr>
      <w:r w:rsidRPr="001B387F">
        <w:rPr>
          <w:rFonts w:eastAsia="Yu Gothic Light"/>
        </w:rPr>
        <w:t xml:space="preserve">Australia’s </w:t>
      </w:r>
      <w:r w:rsidR="00756AC9" w:rsidRPr="001B387F">
        <w:rPr>
          <w:rFonts w:eastAsia="Yu Gothic Light"/>
        </w:rPr>
        <w:t>p</w:t>
      </w:r>
      <w:r w:rsidRPr="001B387F">
        <w:rPr>
          <w:rFonts w:eastAsia="Yu Gothic Light"/>
        </w:rPr>
        <w:t>artnership with Vietnam</w:t>
      </w:r>
    </w:p>
    <w:p w14:paraId="50820283" w14:textId="1DFBCC10" w:rsidR="00917AA9" w:rsidRPr="001B387F" w:rsidRDefault="00917AA9" w:rsidP="00B32D31">
      <w:pPr>
        <w:rPr>
          <w:rStyle w:val="normaltextrun"/>
        </w:rPr>
      </w:pPr>
      <w:r w:rsidRPr="001B387F">
        <w:rPr>
          <w:shd w:val="clear" w:color="auto" w:fill="FFFFFF"/>
        </w:rPr>
        <w:t xml:space="preserve">Over the past </w:t>
      </w:r>
      <w:r w:rsidR="007F69F4" w:rsidRPr="001B387F">
        <w:rPr>
          <w:shd w:val="clear" w:color="auto" w:fill="FFFFFF"/>
        </w:rPr>
        <w:t>50</w:t>
      </w:r>
      <w:r w:rsidR="00A47C1E" w:rsidRPr="001B387F">
        <w:rPr>
          <w:shd w:val="clear" w:color="auto" w:fill="FFFFFF"/>
        </w:rPr>
        <w:t> </w:t>
      </w:r>
      <w:r w:rsidRPr="001B387F">
        <w:rPr>
          <w:shd w:val="clear" w:color="auto" w:fill="FFFFFF"/>
        </w:rPr>
        <w:t xml:space="preserve">years, Australia and Vietnam have built a strong relationship based on mutual trust and understanding. </w:t>
      </w:r>
      <w:r w:rsidRPr="001B387F">
        <w:t xml:space="preserve">The elevation </w:t>
      </w:r>
      <w:r w:rsidR="00A47C1E" w:rsidRPr="001B387F">
        <w:t xml:space="preserve">of our partnership </w:t>
      </w:r>
      <w:r w:rsidRPr="001B387F">
        <w:t>to a Comprehensive Strategic Partnership (CSP) in March</w:t>
      </w:r>
      <w:r w:rsidR="004A0B47" w:rsidRPr="001B387F">
        <w:t> </w:t>
      </w:r>
      <w:r w:rsidRPr="001B387F">
        <w:t>2024 reflect</w:t>
      </w:r>
      <w:r w:rsidR="004A0B47" w:rsidRPr="001B387F">
        <w:t>s</w:t>
      </w:r>
      <w:r w:rsidRPr="001B387F">
        <w:t xml:space="preserve"> a high level of strategic trust and commitment to deepening cooperation between our </w:t>
      </w:r>
      <w:r w:rsidR="0053106C" w:rsidRPr="001B387F">
        <w:t>countries</w:t>
      </w:r>
      <w:r w:rsidRPr="001B387F">
        <w:t>.</w:t>
      </w:r>
    </w:p>
    <w:p w14:paraId="355036DA" w14:textId="5724469A" w:rsidR="00837D22" w:rsidRPr="001B387F" w:rsidRDefault="00917AA9" w:rsidP="00B32D31">
      <w:pPr>
        <w:rPr>
          <w:rFonts w:eastAsia="Times New Roman"/>
          <w:lang w:eastAsia="en-AU"/>
        </w:rPr>
      </w:pPr>
      <w:r w:rsidRPr="001B387F">
        <w:rPr>
          <w:rFonts w:eastAsia="Times New Roman"/>
          <w:lang w:eastAsia="en-AU"/>
        </w:rPr>
        <w:t>The CSP covers</w:t>
      </w:r>
      <w:r w:rsidR="00837D22" w:rsidRPr="001B387F">
        <w:rPr>
          <w:rFonts w:eastAsia="Times New Roman"/>
          <w:lang w:eastAsia="en-AU"/>
        </w:rPr>
        <w:t>:</w:t>
      </w:r>
    </w:p>
    <w:p w14:paraId="6B19C783" w14:textId="3AE2306E" w:rsidR="00837D22" w:rsidRPr="001B387F" w:rsidRDefault="00837D22" w:rsidP="00B32D31">
      <w:pPr>
        <w:pStyle w:val="NormalBullets-L1"/>
        <w:rPr>
          <w:rFonts w:eastAsia="Times New Roman"/>
        </w:rPr>
      </w:pPr>
      <w:r w:rsidRPr="001B387F">
        <w:rPr>
          <w:rFonts w:eastAsia="Times New Roman"/>
        </w:rPr>
        <w:t xml:space="preserve">enhancing </w:t>
      </w:r>
      <w:r w:rsidR="00917AA9" w:rsidRPr="001B387F">
        <w:t>economic engagement</w:t>
      </w:r>
    </w:p>
    <w:p w14:paraId="6CCC54A5" w14:textId="5A450673" w:rsidR="00BB4589" w:rsidRPr="001B387F" w:rsidRDefault="00837D22" w:rsidP="00B32D31">
      <w:pPr>
        <w:pStyle w:val="NormalBullets-L1"/>
        <w:rPr>
          <w:rFonts w:eastAsia="Times New Roman"/>
        </w:rPr>
      </w:pPr>
      <w:r w:rsidRPr="001B387F">
        <w:rPr>
          <w:rFonts w:eastAsia="Times New Roman"/>
        </w:rPr>
        <w:t xml:space="preserve">supporting </w:t>
      </w:r>
      <w:r w:rsidR="00917AA9" w:rsidRPr="001B387F">
        <w:t xml:space="preserve">science, technology, innovation and </w:t>
      </w:r>
      <w:r w:rsidR="00BB4589" w:rsidRPr="001B387F">
        <w:t xml:space="preserve">developing </w:t>
      </w:r>
      <w:r w:rsidR="00917AA9" w:rsidRPr="001B387F">
        <w:t>digital transformation</w:t>
      </w:r>
    </w:p>
    <w:p w14:paraId="278AF92B" w14:textId="406A610C" w:rsidR="00C83237" w:rsidRPr="001B387F" w:rsidRDefault="00BB4589" w:rsidP="00B32D31">
      <w:pPr>
        <w:pStyle w:val="NormalBullets-L1"/>
      </w:pPr>
      <w:r w:rsidRPr="001B387F">
        <w:rPr>
          <w:rFonts w:eastAsia="Times New Roman"/>
        </w:rPr>
        <w:t xml:space="preserve">strengthening </w:t>
      </w:r>
      <w:r w:rsidR="00917AA9" w:rsidRPr="001B387F">
        <w:t xml:space="preserve">climate, </w:t>
      </w:r>
      <w:proofErr w:type="gramStart"/>
      <w:r w:rsidR="00917AA9" w:rsidRPr="001B387F">
        <w:t>environment</w:t>
      </w:r>
      <w:proofErr w:type="gramEnd"/>
      <w:r w:rsidR="00917AA9" w:rsidRPr="001B387F">
        <w:t xml:space="preserve"> and energy</w:t>
      </w:r>
      <w:r w:rsidR="00C83237" w:rsidRPr="001B387F">
        <w:t xml:space="preserve"> cooperation</w:t>
      </w:r>
    </w:p>
    <w:p w14:paraId="330C217E" w14:textId="4C19E11A" w:rsidR="00C83237" w:rsidRPr="001B387F" w:rsidRDefault="00917AA9" w:rsidP="00B32D31">
      <w:pPr>
        <w:pStyle w:val="NormalBullets-L1"/>
      </w:pPr>
      <w:r w:rsidRPr="001B387F">
        <w:t>building knowledge and connecting people</w:t>
      </w:r>
    </w:p>
    <w:p w14:paraId="4FF98B16" w14:textId="17DD70D3" w:rsidR="00C83237" w:rsidRPr="001B387F" w:rsidRDefault="00C83237" w:rsidP="00B32D31">
      <w:pPr>
        <w:pStyle w:val="NormalBullets-L1"/>
      </w:pPr>
      <w:r w:rsidRPr="001B387F">
        <w:t xml:space="preserve">deepening </w:t>
      </w:r>
      <w:r w:rsidR="00917AA9" w:rsidRPr="001B387F">
        <w:t>political, defence security and justice cooperation</w:t>
      </w:r>
    </w:p>
    <w:p w14:paraId="592FF470" w14:textId="253E01FB" w:rsidR="00503212" w:rsidRPr="001B387F" w:rsidRDefault="00C83237" w:rsidP="00B32D31">
      <w:pPr>
        <w:pStyle w:val="NormalBullets-L1"/>
        <w:rPr>
          <w:rFonts w:eastAsia="Times New Roman"/>
        </w:rPr>
      </w:pPr>
      <w:r w:rsidRPr="001B387F">
        <w:t xml:space="preserve">reinforcing </w:t>
      </w:r>
      <w:r w:rsidR="00917AA9" w:rsidRPr="001B387F">
        <w:t>regional and international cooperation</w:t>
      </w:r>
      <w:r w:rsidR="00917AA9" w:rsidRPr="001B387F">
        <w:rPr>
          <w:rFonts w:eastAsia="Times New Roman"/>
        </w:rPr>
        <w:t>.</w:t>
      </w:r>
      <w:r w:rsidR="00301FC3" w:rsidRPr="001B387F">
        <w:rPr>
          <w:rStyle w:val="EndnoteReference"/>
          <w:rFonts w:eastAsia="Times New Roman"/>
        </w:rPr>
        <w:endnoteReference w:id="2"/>
      </w:r>
    </w:p>
    <w:p w14:paraId="62D59C9A" w14:textId="3A28C201" w:rsidR="00917AA9" w:rsidRPr="001B387F" w:rsidRDefault="00917AA9" w:rsidP="00B32D31">
      <w:pPr>
        <w:rPr>
          <w:rFonts w:eastAsia="Times New Roman"/>
          <w:lang w:eastAsia="en-AU"/>
        </w:rPr>
      </w:pPr>
      <w:r w:rsidRPr="001B387F">
        <w:rPr>
          <w:rFonts w:eastAsia="Times New Roman"/>
          <w:lang w:eastAsia="en-AU"/>
        </w:rPr>
        <w:t xml:space="preserve">The CSP </w:t>
      </w:r>
      <w:r w:rsidR="00503212" w:rsidRPr="001B387F">
        <w:rPr>
          <w:rFonts w:eastAsia="Times New Roman"/>
          <w:lang w:eastAsia="en-AU"/>
        </w:rPr>
        <w:t>recognises</w:t>
      </w:r>
      <w:r w:rsidRPr="001B387F">
        <w:rPr>
          <w:rFonts w:eastAsia="Times New Roman"/>
          <w:lang w:eastAsia="en-AU"/>
        </w:rPr>
        <w:t xml:space="preserve"> the important role of Australian development assistance:</w:t>
      </w:r>
      <w:r w:rsidR="00B74A22" w:rsidRPr="001B387F">
        <w:rPr>
          <w:rStyle w:val="EndnoteReference"/>
          <w:rFonts w:eastAsia="Times New Roman"/>
        </w:rPr>
        <w:endnoteReference w:id="3"/>
      </w:r>
    </w:p>
    <w:p w14:paraId="37E5AD44" w14:textId="0DD44F34" w:rsidR="00917AA9" w:rsidRPr="001B387F" w:rsidRDefault="00917AA9" w:rsidP="00E44082">
      <w:pPr>
        <w:pStyle w:val="blockquote"/>
      </w:pPr>
      <w:r w:rsidRPr="001B387F">
        <w:t>We acknowledge Australia</w:t>
      </w:r>
      <w:r w:rsidR="00DC1669" w:rsidRPr="001B387F">
        <w:t>’</w:t>
      </w:r>
      <w:r w:rsidRPr="001B387F">
        <w:t xml:space="preserve">s long-standing official development assistance (ODA) to Viet Nam. Australia will continue to support Viet Nam’s development efforts through bilateral, </w:t>
      </w:r>
      <w:proofErr w:type="gramStart"/>
      <w:r w:rsidRPr="001B387F">
        <w:t>subregional</w:t>
      </w:r>
      <w:proofErr w:type="gramEnd"/>
      <w:r w:rsidRPr="001B387F">
        <w:t xml:space="preserve"> and regional initiatives focused on areas that are consistent with Viet Nam’s socio-economic development orientation.</w:t>
      </w:r>
    </w:p>
    <w:p w14:paraId="0566471E" w14:textId="7884EC4F" w:rsidR="009E3323" w:rsidRPr="001B387F" w:rsidRDefault="00B926B2" w:rsidP="00B32D31">
      <w:r w:rsidRPr="001B387F">
        <w:t>As of 2022–23</w:t>
      </w:r>
      <w:r w:rsidR="001131AE" w:rsidRPr="001B387F">
        <w:t>,</w:t>
      </w:r>
      <w:r w:rsidR="001131AE" w:rsidRPr="001B387F">
        <w:rPr>
          <w:kern w:val="2"/>
          <w:shd w:val="clear" w:color="auto" w:fill="FFFFFF"/>
          <w14:ligatures w14:val="standardContextual"/>
        </w:rPr>
        <w:t xml:space="preserve"> Australia is among the top five grant donors to Vietnam</w:t>
      </w:r>
      <w:r w:rsidR="009E3323" w:rsidRPr="001B387F">
        <w:rPr>
          <w:kern w:val="2"/>
          <w:shd w:val="clear" w:color="auto" w:fill="FFFFFF"/>
          <w14:ligatures w14:val="standardContextual"/>
        </w:rPr>
        <w:t>.</w:t>
      </w:r>
    </w:p>
    <w:p w14:paraId="761D217E" w14:textId="6FE8C1A0" w:rsidR="00E91745" w:rsidRPr="001B387F" w:rsidRDefault="00E91745" w:rsidP="00B32D31">
      <w:r w:rsidRPr="001B387F">
        <w:rPr>
          <w:kern w:val="2"/>
          <w:shd w:val="clear" w:color="auto" w:fill="FFFFFF"/>
          <w14:ligatures w14:val="standardContextual"/>
        </w:rPr>
        <w:t>Australia has provided more than $3 billion in development assistance to Vietnam</w:t>
      </w:r>
      <w:r w:rsidR="008850B9" w:rsidRPr="001B387F">
        <w:rPr>
          <w:kern w:val="2"/>
          <w:shd w:val="clear" w:color="auto" w:fill="FFFFFF"/>
          <w14:ligatures w14:val="standardContextual"/>
        </w:rPr>
        <w:t xml:space="preserve"> since 1973</w:t>
      </w:r>
      <w:r w:rsidRPr="001B387F">
        <w:rPr>
          <w:kern w:val="2"/>
          <w:shd w:val="clear" w:color="auto" w:fill="FFFFFF"/>
          <w14:ligatures w14:val="standardContextual"/>
        </w:rPr>
        <w:t xml:space="preserve">. </w:t>
      </w:r>
      <w:r w:rsidRPr="001B387F">
        <w:t xml:space="preserve">This includes technical and financial support to construct two bridges, 26.4 million COVID-19 vaccinations and </w:t>
      </w:r>
      <w:r w:rsidR="00411900">
        <w:t>nearly</w:t>
      </w:r>
      <w:r w:rsidRPr="001B387F">
        <w:t xml:space="preserve"> </w:t>
      </w:r>
      <w:r w:rsidR="00411900">
        <w:t>7,0</w:t>
      </w:r>
      <w:r w:rsidRPr="001B387F">
        <w:t>00 Australia Awards scholarships.</w:t>
      </w:r>
    </w:p>
    <w:p w14:paraId="397DFD2D" w14:textId="77777777" w:rsidR="00E7388D" w:rsidRPr="001B387F" w:rsidRDefault="00E7388D" w:rsidP="00E7388D">
      <w:pPr>
        <w:rPr>
          <w:kern w:val="2"/>
          <w:shd w:val="clear" w:color="auto" w:fill="FFFFFF"/>
          <w14:ligatures w14:val="standardContextual"/>
        </w:rPr>
      </w:pPr>
      <w:r w:rsidRPr="001B387F">
        <w:rPr>
          <w:kern w:val="2"/>
          <w:shd w:val="clear" w:color="auto" w:fill="FFFFFF"/>
          <w14:ligatures w14:val="standardContextual"/>
        </w:rPr>
        <w:t xml:space="preserve">Our development cooperation is complemented by substantial </w:t>
      </w:r>
      <w:proofErr w:type="spellStart"/>
      <w:r w:rsidRPr="001B387F">
        <w:rPr>
          <w:kern w:val="2"/>
          <w:shd w:val="clear" w:color="auto" w:fill="FFFFFF"/>
          <w14:ligatures w14:val="standardContextual"/>
        </w:rPr>
        <w:t>non-ODA</w:t>
      </w:r>
      <w:proofErr w:type="spellEnd"/>
      <w:r w:rsidRPr="001B387F">
        <w:rPr>
          <w:kern w:val="2"/>
          <w:shd w:val="clear" w:color="auto" w:fill="FFFFFF"/>
          <w14:ligatures w14:val="standardContextual"/>
        </w:rPr>
        <w:t>. This includes capacity development for Vietnam’s military, law enforcement and border management authorities, support for Vietnam’s peacekeeping activities and collaboration among military medicine agencies to monitor multidrug-resistant malaria.</w:t>
      </w:r>
    </w:p>
    <w:p w14:paraId="349AF1B5" w14:textId="24EF3E42" w:rsidR="009E3323" w:rsidRPr="001B387F" w:rsidRDefault="009E3323" w:rsidP="00B42F68">
      <w:pPr>
        <w:pStyle w:val="H3-Heading3"/>
        <w:rPr>
          <w:rFonts w:eastAsia="Yu Gothic Light"/>
          <w:lang w:eastAsia="en-AU"/>
        </w:rPr>
      </w:pPr>
      <w:r w:rsidRPr="001B387F">
        <w:rPr>
          <w:rFonts w:eastAsia="Yu Gothic Light"/>
        </w:rPr>
        <w:t>Purpose of the Development Partnership Plan</w:t>
      </w:r>
    </w:p>
    <w:p w14:paraId="37377B6E" w14:textId="311267D5" w:rsidR="009E3323" w:rsidRPr="001B387F" w:rsidRDefault="009E3323" w:rsidP="00937F13">
      <w:pPr>
        <w:rPr>
          <w:lang w:eastAsia="en-AU"/>
        </w:rPr>
      </w:pPr>
      <w:r w:rsidRPr="001B387F">
        <w:rPr>
          <w:lang w:eastAsia="en-AU"/>
        </w:rPr>
        <w:t xml:space="preserve">Australia’s </w:t>
      </w:r>
      <w:hyperlink r:id="rId11">
        <w:r w:rsidR="00E247FE" w:rsidRPr="001B387F">
          <w:rPr>
            <w:rFonts w:cs="Calibri Light"/>
            <w:u w:val="single"/>
            <w:lang w:eastAsia="en-AU"/>
          </w:rPr>
          <w:t>I</w:t>
        </w:r>
        <w:r w:rsidRPr="001B387F">
          <w:rPr>
            <w:rFonts w:cs="Calibri Light"/>
            <w:u w:val="single"/>
            <w:lang w:eastAsia="en-AU"/>
          </w:rPr>
          <w:t xml:space="preserve">nternational </w:t>
        </w:r>
        <w:r w:rsidR="00E247FE" w:rsidRPr="001B387F">
          <w:rPr>
            <w:rFonts w:cs="Calibri Light"/>
            <w:u w:val="single"/>
            <w:lang w:eastAsia="en-AU"/>
          </w:rPr>
          <w:t>D</w:t>
        </w:r>
        <w:r w:rsidRPr="001B387F">
          <w:rPr>
            <w:rFonts w:cs="Calibri Light"/>
            <w:u w:val="single"/>
            <w:lang w:eastAsia="en-AU"/>
          </w:rPr>
          <w:t xml:space="preserve">evelopment </w:t>
        </w:r>
        <w:r w:rsidR="00E247FE" w:rsidRPr="001B387F">
          <w:rPr>
            <w:rFonts w:cs="Calibri Light"/>
            <w:u w:val="single"/>
            <w:lang w:eastAsia="en-AU"/>
          </w:rPr>
          <w:t>P</w:t>
        </w:r>
        <w:r w:rsidRPr="001B387F">
          <w:rPr>
            <w:rFonts w:cs="Calibri Light"/>
            <w:u w:val="single"/>
            <w:lang w:eastAsia="en-AU"/>
          </w:rPr>
          <w:t>olicy</w:t>
        </w:r>
      </w:hyperlink>
      <w:r w:rsidRPr="001B387F">
        <w:rPr>
          <w:lang w:eastAsia="en-AU"/>
        </w:rPr>
        <w:t xml:space="preserve"> presents a long-term vision for how the development program will meet the critical needs of our partners</w:t>
      </w:r>
      <w:r w:rsidRPr="001B387F">
        <w:rPr>
          <w:rFonts w:eastAsia="Calibri Light"/>
        </w:rPr>
        <w:t>, support sustainable development and help lift people out of poverty</w:t>
      </w:r>
      <w:r w:rsidRPr="001B387F">
        <w:rPr>
          <w:lang w:eastAsia="en-AU"/>
        </w:rPr>
        <w:t>. Australia seeks relationships based on respect and partnerships that create economic and social value for us all. To</w:t>
      </w:r>
      <w:r w:rsidR="00606977" w:rsidRPr="001B387F">
        <w:rPr>
          <w:lang w:eastAsia="en-AU"/>
        </w:rPr>
        <w:t> </w:t>
      </w:r>
      <w:r w:rsidRPr="001B387F">
        <w:rPr>
          <w:lang w:eastAsia="en-AU"/>
        </w:rPr>
        <w:t>achieve this, Australia supports our partners to:</w:t>
      </w:r>
    </w:p>
    <w:p w14:paraId="6686FA28" w14:textId="316EE134" w:rsidR="009E3323" w:rsidRPr="001B387F" w:rsidRDefault="009E3323" w:rsidP="006E0716">
      <w:pPr>
        <w:pStyle w:val="NormalBullets-L1"/>
      </w:pPr>
      <w:r w:rsidRPr="001B387F">
        <w:t xml:space="preserve">build effective, accountable states that drive their own </w:t>
      </w:r>
      <w:proofErr w:type="gramStart"/>
      <w:r w:rsidRPr="001B387F">
        <w:t>development</w:t>
      </w:r>
      <w:proofErr w:type="gramEnd"/>
    </w:p>
    <w:p w14:paraId="6337D082" w14:textId="0D6B51C4" w:rsidR="009E3323" w:rsidRPr="001B387F" w:rsidRDefault="009E3323" w:rsidP="006E0716">
      <w:pPr>
        <w:pStyle w:val="NormalBullets-L1"/>
      </w:pPr>
      <w:r w:rsidRPr="001B387F">
        <w:t xml:space="preserve">enhance state and community resilience to external pressures and </w:t>
      </w:r>
      <w:proofErr w:type="gramStart"/>
      <w:r w:rsidRPr="001B387F">
        <w:t>shocks</w:t>
      </w:r>
      <w:proofErr w:type="gramEnd"/>
    </w:p>
    <w:p w14:paraId="6F46EE5B" w14:textId="506BFA64" w:rsidR="009E3323" w:rsidRPr="001B387F" w:rsidRDefault="009E3323" w:rsidP="006E0716">
      <w:pPr>
        <w:pStyle w:val="NormalBullets-L1"/>
      </w:pPr>
      <w:r w:rsidRPr="001B387F">
        <w:t xml:space="preserve">connect with Australia and regional </w:t>
      </w:r>
      <w:proofErr w:type="gramStart"/>
      <w:r w:rsidRPr="001B387F">
        <w:t>architecture</w:t>
      </w:r>
      <w:proofErr w:type="gramEnd"/>
    </w:p>
    <w:p w14:paraId="0F32FED1" w14:textId="7A9A90C7" w:rsidR="009E3323" w:rsidRPr="001B387F" w:rsidRDefault="009E3323" w:rsidP="006E0716">
      <w:pPr>
        <w:pStyle w:val="NormalBullets-L1"/>
      </w:pPr>
      <w:r w:rsidRPr="001B387F">
        <w:t>generate collective action on global challenges that impact us and our region.</w:t>
      </w:r>
    </w:p>
    <w:p w14:paraId="32663ED1" w14:textId="6805C376" w:rsidR="009E3323" w:rsidRPr="001B387F" w:rsidRDefault="009E3323" w:rsidP="00163ABE">
      <w:pPr>
        <w:keepLines/>
        <w:widowControl w:val="0"/>
        <w:rPr>
          <w:lang w:eastAsia="en-AU"/>
        </w:rPr>
      </w:pPr>
      <w:r w:rsidRPr="001B387F">
        <w:rPr>
          <w:lang w:eastAsia="en-AU"/>
        </w:rPr>
        <w:lastRenderedPageBreak/>
        <w:t>The Australia – Vietnam Development Partnership Plan 2025–2030 (DPP) translates into action the development priorities Australia shares with Vietnam. The DPP sets out agreed objectives, how we will work together to deliver shared outcomes, and how progress will be monitored. It also identifies where Australia can add value to Vietnam’s national development priorities and how Australia will work with other development actors, ensuring the Australian Government contribution to Vietnam’s development ambitions is well coordinated.</w:t>
      </w:r>
    </w:p>
    <w:p w14:paraId="178495D2" w14:textId="57CE1095" w:rsidR="009E3323" w:rsidRPr="001B387F" w:rsidRDefault="009E3323" w:rsidP="00937F13">
      <w:pPr>
        <w:rPr>
          <w:lang w:eastAsia="en-AU"/>
        </w:rPr>
      </w:pPr>
      <w:r w:rsidRPr="001B387F">
        <w:rPr>
          <w:lang w:eastAsia="en-AU"/>
        </w:rPr>
        <w:t xml:space="preserve">The DPP reflects </w:t>
      </w:r>
      <w:r w:rsidRPr="001B387F">
        <w:rPr>
          <w:rFonts w:eastAsia="Calibri Light"/>
        </w:rPr>
        <w:t xml:space="preserve">the full spectrum of Australia’s development support – Australian Government bilateral </w:t>
      </w:r>
      <w:r w:rsidRPr="001B387F">
        <w:rPr>
          <w:lang w:eastAsia="en-AU"/>
        </w:rPr>
        <w:t xml:space="preserve">ODA as well as significant regional and global ODA and significant </w:t>
      </w:r>
      <w:proofErr w:type="spellStart"/>
      <w:r w:rsidRPr="001B387F">
        <w:rPr>
          <w:lang w:eastAsia="en-AU"/>
        </w:rPr>
        <w:t>non-ODA</w:t>
      </w:r>
      <w:proofErr w:type="spellEnd"/>
      <w:r w:rsidRPr="001B387F">
        <w:rPr>
          <w:lang w:eastAsia="en-AU"/>
        </w:rPr>
        <w:t xml:space="preserve"> development activities. A mid-cycle review of the DPP will be undertaken.</w:t>
      </w:r>
    </w:p>
    <w:p w14:paraId="51EF388F" w14:textId="2F85DAE0" w:rsidR="007722FD" w:rsidRPr="001B387F" w:rsidRDefault="0075669F" w:rsidP="00FD1FDB">
      <w:r w:rsidRPr="001B387F">
        <w:rPr>
          <w:lang w:eastAsia="en-AU"/>
        </w:rPr>
        <w:t xml:space="preserve">The DPP </w:t>
      </w:r>
      <w:r w:rsidR="0099263E" w:rsidRPr="001B387F">
        <w:rPr>
          <w:lang w:eastAsia="en-AU"/>
        </w:rPr>
        <w:t>continues</w:t>
      </w:r>
      <w:r w:rsidR="00CA78D7" w:rsidRPr="001B387F">
        <w:rPr>
          <w:lang w:eastAsia="en-AU"/>
        </w:rPr>
        <w:t xml:space="preserve"> </w:t>
      </w:r>
      <w:r w:rsidR="000A4962" w:rsidRPr="001B387F">
        <w:rPr>
          <w:lang w:eastAsia="en-AU"/>
        </w:rPr>
        <w:t>our focus</w:t>
      </w:r>
      <w:r w:rsidR="00CA78D7" w:rsidRPr="001B387F">
        <w:rPr>
          <w:lang w:eastAsia="en-AU"/>
        </w:rPr>
        <w:t xml:space="preserve"> </w:t>
      </w:r>
      <w:r w:rsidRPr="001B387F">
        <w:rPr>
          <w:lang w:eastAsia="en-AU"/>
        </w:rPr>
        <w:t xml:space="preserve">on economic growth, </w:t>
      </w:r>
      <w:proofErr w:type="gramStart"/>
      <w:r w:rsidRPr="001B387F">
        <w:rPr>
          <w:lang w:eastAsia="en-AU"/>
        </w:rPr>
        <w:t>skills</w:t>
      </w:r>
      <w:proofErr w:type="gramEnd"/>
      <w:r w:rsidRPr="001B387F">
        <w:rPr>
          <w:lang w:eastAsia="en-AU"/>
        </w:rPr>
        <w:t xml:space="preserve"> and equality</w:t>
      </w:r>
      <w:r w:rsidR="000A4962" w:rsidRPr="001B387F">
        <w:rPr>
          <w:lang w:eastAsia="en-AU"/>
        </w:rPr>
        <w:t xml:space="preserve"> in line with </w:t>
      </w:r>
      <w:r w:rsidR="00E52A5C" w:rsidRPr="001B387F">
        <w:rPr>
          <w:lang w:eastAsia="en-AU"/>
        </w:rPr>
        <w:t xml:space="preserve">Vietnam’s priorities presented in its </w:t>
      </w:r>
      <w:r w:rsidR="00464EF4" w:rsidRPr="001B387F">
        <w:rPr>
          <w:lang w:eastAsia="en-AU"/>
        </w:rPr>
        <w:t>Socio-</w:t>
      </w:r>
      <w:r w:rsidR="0091548A" w:rsidRPr="001B387F">
        <w:rPr>
          <w:lang w:eastAsia="en-AU"/>
        </w:rPr>
        <w:t>E</w:t>
      </w:r>
      <w:r w:rsidR="00464EF4" w:rsidRPr="001B387F">
        <w:rPr>
          <w:lang w:eastAsia="en-AU"/>
        </w:rPr>
        <w:t xml:space="preserve">conomic </w:t>
      </w:r>
      <w:r w:rsidR="00E52A5C" w:rsidRPr="001B387F">
        <w:rPr>
          <w:lang w:eastAsia="en-AU"/>
        </w:rPr>
        <w:t>D</w:t>
      </w:r>
      <w:r w:rsidR="00464EF4" w:rsidRPr="001B387F">
        <w:rPr>
          <w:lang w:eastAsia="en-AU"/>
        </w:rPr>
        <w:t xml:space="preserve">evelopment </w:t>
      </w:r>
      <w:r w:rsidR="00E52A5C" w:rsidRPr="001B387F">
        <w:rPr>
          <w:lang w:eastAsia="en-AU"/>
        </w:rPr>
        <w:t>S</w:t>
      </w:r>
      <w:r w:rsidR="00464EF4" w:rsidRPr="001B387F">
        <w:rPr>
          <w:lang w:eastAsia="en-AU"/>
        </w:rPr>
        <w:t>trategy 2021–2030</w:t>
      </w:r>
      <w:r w:rsidR="00BE53B1" w:rsidRPr="001B387F">
        <w:rPr>
          <w:rStyle w:val="EndnoteReference"/>
          <w:lang w:eastAsia="en-AU"/>
        </w:rPr>
        <w:endnoteReference w:id="4"/>
      </w:r>
      <w:r w:rsidRPr="001B387F">
        <w:rPr>
          <w:lang w:eastAsia="en-AU"/>
        </w:rPr>
        <w:t>.</w:t>
      </w:r>
      <w:r w:rsidR="004402EE" w:rsidRPr="001B387F">
        <w:rPr>
          <w:lang w:eastAsia="en-AU"/>
        </w:rPr>
        <w:t xml:space="preserve"> </w:t>
      </w:r>
      <w:r w:rsidRPr="001B387F">
        <w:rPr>
          <w:lang w:eastAsia="en-AU"/>
        </w:rPr>
        <w:t xml:space="preserve">It introduces </w:t>
      </w:r>
      <w:r w:rsidR="00C04F5F" w:rsidRPr="001B387F">
        <w:rPr>
          <w:lang w:eastAsia="en-AU"/>
        </w:rPr>
        <w:t xml:space="preserve">a </w:t>
      </w:r>
      <w:r w:rsidR="008C7560" w:rsidRPr="001B387F">
        <w:rPr>
          <w:lang w:eastAsia="en-AU"/>
        </w:rPr>
        <w:t>new</w:t>
      </w:r>
      <w:r w:rsidRPr="001B387F">
        <w:rPr>
          <w:lang w:eastAsia="en-AU"/>
        </w:rPr>
        <w:t xml:space="preserve"> focus on climate change, both adaptation and mitigation, and digital transformation, delivering on shared ambition and commitments outlined in our CSP. It </w:t>
      </w:r>
      <w:r w:rsidR="00A920E4" w:rsidRPr="001B387F">
        <w:t>continues to</w:t>
      </w:r>
      <w:r w:rsidR="00A920E4" w:rsidRPr="001B387F">
        <w:rPr>
          <w:lang w:eastAsia="en-AU"/>
        </w:rPr>
        <w:t xml:space="preserve"> </w:t>
      </w:r>
      <w:r w:rsidRPr="001B387F">
        <w:rPr>
          <w:lang w:eastAsia="en-AU"/>
        </w:rPr>
        <w:t xml:space="preserve">integrate </w:t>
      </w:r>
      <w:r w:rsidR="006D2862" w:rsidRPr="001B387F">
        <w:t>social inclusion and</w:t>
      </w:r>
      <w:r w:rsidR="007722FD" w:rsidRPr="001B387F">
        <w:t xml:space="preserve"> steps up our integration of </w:t>
      </w:r>
      <w:r w:rsidRPr="001B387F">
        <w:rPr>
          <w:lang w:eastAsia="en-AU"/>
        </w:rPr>
        <w:t xml:space="preserve">climate considerations </w:t>
      </w:r>
      <w:r w:rsidR="00A920E4" w:rsidRPr="001B387F">
        <w:t>into all facets of our development cooperation</w:t>
      </w:r>
      <w:r w:rsidRPr="001B387F">
        <w:rPr>
          <w:lang w:eastAsia="en-AU"/>
        </w:rPr>
        <w:t>.</w:t>
      </w:r>
      <w:r w:rsidR="00AF1AED" w:rsidRPr="001B387F">
        <w:rPr>
          <w:lang w:eastAsia="en-AU"/>
        </w:rPr>
        <w:t xml:space="preserve"> The DPP renews and elevates our commitment to dialogue and engagement with </w:t>
      </w:r>
      <w:r w:rsidR="0086337F" w:rsidRPr="001B387F">
        <w:rPr>
          <w:lang w:eastAsia="en-AU"/>
        </w:rPr>
        <w:t xml:space="preserve">a broader range of </w:t>
      </w:r>
      <w:r w:rsidR="00AF1AED" w:rsidRPr="001B387F">
        <w:rPr>
          <w:lang w:eastAsia="en-AU"/>
        </w:rPr>
        <w:t>government and non-government actors</w:t>
      </w:r>
      <w:r w:rsidR="00025FFF" w:rsidRPr="001B387F">
        <w:rPr>
          <w:lang w:eastAsia="en-AU"/>
        </w:rPr>
        <w:t>. A</w:t>
      </w:r>
      <w:r w:rsidR="00AF1AED" w:rsidRPr="001B387F">
        <w:rPr>
          <w:lang w:eastAsia="en-AU"/>
        </w:rPr>
        <w:t xml:space="preserve"> genuine and respectful partnership underpins this DPP.</w:t>
      </w:r>
    </w:p>
    <w:p w14:paraId="54744E1D" w14:textId="77777777" w:rsidR="009E3323" w:rsidRPr="001B387F" w:rsidRDefault="009E3323" w:rsidP="00B42F68">
      <w:pPr>
        <w:pStyle w:val="H3-Heading3"/>
        <w:rPr>
          <w:rFonts w:eastAsia="Yu Gothic Light"/>
        </w:rPr>
      </w:pPr>
      <w:r w:rsidRPr="001B387F">
        <w:rPr>
          <w:rFonts w:eastAsia="Yu Gothic Light"/>
        </w:rPr>
        <w:t>Preparing the Development Partnership Plan</w:t>
      </w:r>
    </w:p>
    <w:p w14:paraId="0B9F1C07" w14:textId="234921E9" w:rsidR="009E3323" w:rsidRPr="001B387F" w:rsidRDefault="009E3323" w:rsidP="00B32D31">
      <w:pPr>
        <w:rPr>
          <w:lang w:eastAsia="en-AU"/>
        </w:rPr>
      </w:pPr>
      <w:r w:rsidRPr="001B387F">
        <w:rPr>
          <w:lang w:eastAsia="en-AU"/>
        </w:rPr>
        <w:t>The preparation of this DPP followed consultation</w:t>
      </w:r>
      <w:r w:rsidR="00801757" w:rsidRPr="001B387F">
        <w:rPr>
          <w:lang w:eastAsia="en-AU"/>
        </w:rPr>
        <w:t>s</w:t>
      </w:r>
      <w:r w:rsidRPr="001B387F">
        <w:rPr>
          <w:lang w:eastAsia="en-AU"/>
        </w:rPr>
        <w:t xml:space="preserve"> in Vietnam and Australia. </w:t>
      </w:r>
      <w:r w:rsidR="00A339D7" w:rsidRPr="001B387F">
        <w:rPr>
          <w:lang w:eastAsia="en-AU"/>
        </w:rPr>
        <w:t xml:space="preserve">We held </w:t>
      </w:r>
      <w:r w:rsidR="008C3DBF" w:rsidRPr="001B387F">
        <w:rPr>
          <w:lang w:eastAsia="en-AU"/>
        </w:rPr>
        <w:t xml:space="preserve">two </w:t>
      </w:r>
      <w:r w:rsidRPr="001B387F">
        <w:rPr>
          <w:lang w:eastAsia="en-AU"/>
        </w:rPr>
        <w:t>consultation meetings with various Government of Vietnam (central and provincial)</w:t>
      </w:r>
      <w:r w:rsidR="003762E6" w:rsidRPr="001B387F">
        <w:rPr>
          <w:lang w:eastAsia="en-AU"/>
        </w:rPr>
        <w:t xml:space="preserve"> agencies</w:t>
      </w:r>
      <w:r w:rsidRPr="001B387F">
        <w:rPr>
          <w:lang w:eastAsia="en-AU"/>
        </w:rPr>
        <w:t xml:space="preserve">, the Communist Party of </w:t>
      </w:r>
      <w:proofErr w:type="gramStart"/>
      <w:r w:rsidRPr="001B387F">
        <w:rPr>
          <w:lang w:eastAsia="en-AU"/>
        </w:rPr>
        <w:t>Vietnam</w:t>
      </w:r>
      <w:proofErr w:type="gramEnd"/>
      <w:r w:rsidRPr="001B387F">
        <w:rPr>
          <w:lang w:eastAsia="en-AU"/>
        </w:rPr>
        <w:t xml:space="preserve"> and the National Assembly in late 2023 and early 2024. These </w:t>
      </w:r>
      <w:r w:rsidR="00F639EE" w:rsidRPr="001B387F">
        <w:rPr>
          <w:lang w:eastAsia="en-AU"/>
        </w:rPr>
        <w:t>meetings provided</w:t>
      </w:r>
      <w:r w:rsidRPr="001B387F">
        <w:rPr>
          <w:lang w:eastAsia="en-AU"/>
        </w:rPr>
        <w:t xml:space="preserve"> opportunities to directly learn about the needs </w:t>
      </w:r>
      <w:r w:rsidR="00C74E12" w:rsidRPr="001B387F">
        <w:rPr>
          <w:lang w:eastAsia="en-AU"/>
        </w:rPr>
        <w:t xml:space="preserve">and priorities </w:t>
      </w:r>
      <w:r w:rsidRPr="001B387F">
        <w:rPr>
          <w:lang w:eastAsia="en-AU"/>
        </w:rPr>
        <w:t xml:space="preserve">of </w:t>
      </w:r>
      <w:proofErr w:type="gramStart"/>
      <w:r w:rsidRPr="001B387F">
        <w:rPr>
          <w:lang w:eastAsia="en-AU"/>
        </w:rPr>
        <w:t>Vietnam</w:t>
      </w:r>
      <w:r w:rsidR="00025FFF" w:rsidRPr="001B387F">
        <w:rPr>
          <w:lang w:eastAsia="en-AU"/>
        </w:rPr>
        <w:t>,</w:t>
      </w:r>
      <w:r w:rsidRPr="001B387F">
        <w:rPr>
          <w:lang w:eastAsia="en-AU"/>
        </w:rPr>
        <w:t xml:space="preserve"> and</w:t>
      </w:r>
      <w:proofErr w:type="gramEnd"/>
      <w:r w:rsidRPr="001B387F">
        <w:rPr>
          <w:lang w:eastAsia="en-AU"/>
        </w:rPr>
        <w:t xml:space="preserve"> shaped this DPP’s focus as well as approaches to consultation and management. </w:t>
      </w:r>
      <w:r w:rsidR="00A339D7" w:rsidRPr="001B387F">
        <w:rPr>
          <w:lang w:eastAsia="en-AU"/>
        </w:rPr>
        <w:t>We</w:t>
      </w:r>
      <w:r w:rsidRPr="001B387F">
        <w:rPr>
          <w:lang w:eastAsia="en-AU"/>
        </w:rPr>
        <w:t xml:space="preserve"> </w:t>
      </w:r>
      <w:r w:rsidR="00145C98" w:rsidRPr="001B387F">
        <w:rPr>
          <w:lang w:eastAsia="en-AU"/>
        </w:rPr>
        <w:t xml:space="preserve">also </w:t>
      </w:r>
      <w:r w:rsidRPr="001B387F">
        <w:rPr>
          <w:lang w:eastAsia="en-AU"/>
        </w:rPr>
        <w:t>conducted contextual analysis and strategic assessment to inform the DPP. This included analysis o</w:t>
      </w:r>
      <w:r w:rsidR="00EA72AA" w:rsidRPr="001B387F">
        <w:rPr>
          <w:lang w:eastAsia="en-AU"/>
        </w:rPr>
        <w:t>f</w:t>
      </w:r>
      <w:r w:rsidRPr="001B387F">
        <w:rPr>
          <w:lang w:eastAsia="en-AU"/>
        </w:rPr>
        <w:t xml:space="preserve"> climate change</w:t>
      </w:r>
      <w:r w:rsidR="00172897" w:rsidRPr="001B387F">
        <w:rPr>
          <w:lang w:eastAsia="en-AU"/>
        </w:rPr>
        <w:t>;</w:t>
      </w:r>
      <w:r w:rsidRPr="001B387F">
        <w:rPr>
          <w:lang w:eastAsia="en-AU"/>
        </w:rPr>
        <w:t xml:space="preserve"> gender equality, </w:t>
      </w:r>
      <w:proofErr w:type="gramStart"/>
      <w:r w:rsidRPr="001B387F">
        <w:rPr>
          <w:lang w:eastAsia="en-AU"/>
        </w:rPr>
        <w:t>disability</w:t>
      </w:r>
      <w:proofErr w:type="gramEnd"/>
      <w:r w:rsidRPr="001B387F">
        <w:rPr>
          <w:lang w:eastAsia="en-AU"/>
        </w:rPr>
        <w:t xml:space="preserve"> and social inclusion</w:t>
      </w:r>
      <w:r w:rsidR="00172897" w:rsidRPr="001B387F">
        <w:rPr>
          <w:lang w:eastAsia="en-AU"/>
        </w:rPr>
        <w:t xml:space="preserve"> (GEDSI);</w:t>
      </w:r>
      <w:r w:rsidRPr="001B387F">
        <w:rPr>
          <w:lang w:eastAsia="en-AU"/>
        </w:rPr>
        <w:t xml:space="preserve"> economics</w:t>
      </w:r>
      <w:r w:rsidR="00172897" w:rsidRPr="001B387F">
        <w:rPr>
          <w:lang w:eastAsia="en-AU"/>
        </w:rPr>
        <w:t>;</w:t>
      </w:r>
      <w:r w:rsidRPr="001B387F">
        <w:rPr>
          <w:lang w:eastAsia="en-AU"/>
        </w:rPr>
        <w:t xml:space="preserve"> governance</w:t>
      </w:r>
      <w:r w:rsidR="004B1B20" w:rsidRPr="001B387F">
        <w:rPr>
          <w:lang w:eastAsia="en-AU"/>
        </w:rPr>
        <w:t>;</w:t>
      </w:r>
      <w:r w:rsidRPr="001B387F">
        <w:rPr>
          <w:lang w:eastAsia="en-AU"/>
        </w:rPr>
        <w:t xml:space="preserve"> and civil society.</w:t>
      </w:r>
    </w:p>
    <w:p w14:paraId="0CE58A8D" w14:textId="34D753EF" w:rsidR="009E3323" w:rsidRPr="001B387F" w:rsidRDefault="00172897" w:rsidP="00B32D31">
      <w:pPr>
        <w:rPr>
          <w:lang w:eastAsia="en-AU"/>
        </w:rPr>
      </w:pPr>
      <w:r w:rsidRPr="001B387F">
        <w:rPr>
          <w:lang w:eastAsia="en-AU"/>
        </w:rPr>
        <w:t>We also held c</w:t>
      </w:r>
      <w:r w:rsidR="009E3323" w:rsidRPr="001B387F">
        <w:rPr>
          <w:lang w:eastAsia="en-AU"/>
        </w:rPr>
        <w:t>onsultations in Vietnam and Australia with Australian Government partners, multilateral development partners, non-government organisations and managing contractors.</w:t>
      </w:r>
    </w:p>
    <w:p w14:paraId="47D420E6" w14:textId="2FFEE183" w:rsidR="009E3323" w:rsidRPr="001B387F" w:rsidRDefault="009E3323">
      <w:pPr>
        <w:spacing w:before="0" w:after="0" w:line="240" w:lineRule="auto"/>
        <w:rPr>
          <w:rFonts w:cs="Calibri Light"/>
          <w:lang w:eastAsia="en-AU"/>
        </w:rPr>
      </w:pPr>
      <w:r w:rsidRPr="001B387F">
        <w:rPr>
          <w:rFonts w:cs="Calibri Light"/>
          <w:lang w:eastAsia="en-AU"/>
        </w:rPr>
        <w:br w:type="page"/>
      </w:r>
    </w:p>
    <w:p w14:paraId="55AF8B35" w14:textId="3BBBFA33" w:rsidR="009E3323" w:rsidRPr="001B387F" w:rsidRDefault="009E3323" w:rsidP="00B42F68">
      <w:pPr>
        <w:pStyle w:val="H2-Heading2"/>
        <w:rPr>
          <w:rFonts w:eastAsia="Yu Gothic Light"/>
        </w:rPr>
      </w:pPr>
      <w:r w:rsidRPr="001B387F">
        <w:rPr>
          <w:rFonts w:eastAsia="Yu Gothic Light"/>
        </w:rPr>
        <w:lastRenderedPageBreak/>
        <w:t>Section 2: Vietnam development context and Australian partnership</w:t>
      </w:r>
    </w:p>
    <w:p w14:paraId="1F8C115D" w14:textId="4AFE79D1" w:rsidR="009E3323" w:rsidRPr="001B387F" w:rsidRDefault="009E3323" w:rsidP="00C104CD">
      <w:pPr>
        <w:rPr>
          <w:lang w:eastAsia="en-AU"/>
        </w:rPr>
      </w:pPr>
      <w:r w:rsidRPr="001B387F">
        <w:rPr>
          <w:lang w:eastAsia="en-AU"/>
        </w:rPr>
        <w:t>Vietnam</w:t>
      </w:r>
      <w:r w:rsidR="005B06A4" w:rsidRPr="001B387F">
        <w:rPr>
          <w:lang w:eastAsia="en-AU"/>
        </w:rPr>
        <w:t>’s economy</w:t>
      </w:r>
      <w:r w:rsidRPr="001B387F">
        <w:rPr>
          <w:lang w:eastAsia="en-AU"/>
        </w:rPr>
        <w:t xml:space="preserve"> has been the fastest growing in Southeast Asia over the </w:t>
      </w:r>
      <w:r w:rsidR="00316352" w:rsidRPr="001B387F">
        <w:rPr>
          <w:lang w:eastAsia="en-AU"/>
        </w:rPr>
        <w:t>past</w:t>
      </w:r>
      <w:r w:rsidRPr="001B387F">
        <w:rPr>
          <w:lang w:eastAsia="en-AU"/>
        </w:rPr>
        <w:t xml:space="preserve"> </w:t>
      </w:r>
      <w:r w:rsidR="00FE5834" w:rsidRPr="001B387F">
        <w:rPr>
          <w:lang w:eastAsia="en-AU"/>
        </w:rPr>
        <w:t>five</w:t>
      </w:r>
      <w:r w:rsidR="00316352" w:rsidRPr="001B387F">
        <w:rPr>
          <w:lang w:eastAsia="en-AU"/>
        </w:rPr>
        <w:t> </w:t>
      </w:r>
      <w:r w:rsidRPr="001B387F">
        <w:rPr>
          <w:lang w:eastAsia="en-AU"/>
        </w:rPr>
        <w:t xml:space="preserve">years. </w:t>
      </w:r>
      <w:r w:rsidR="001F69DE" w:rsidRPr="001B387F">
        <w:rPr>
          <w:lang w:eastAsia="en-AU"/>
        </w:rPr>
        <w:t>Gr</w:t>
      </w:r>
      <w:r w:rsidR="00FA5D68" w:rsidRPr="001B387F">
        <w:rPr>
          <w:lang w:eastAsia="en-AU"/>
        </w:rPr>
        <w:t>oss domestic product (GDP) grew by</w:t>
      </w:r>
      <w:r w:rsidRPr="001B387F">
        <w:rPr>
          <w:lang w:eastAsia="en-AU"/>
        </w:rPr>
        <w:t xml:space="preserve"> </w:t>
      </w:r>
      <w:r w:rsidR="0091497E" w:rsidRPr="001B387F">
        <w:rPr>
          <w:lang w:eastAsia="en-AU"/>
        </w:rPr>
        <w:t>5 </w:t>
      </w:r>
      <w:r w:rsidRPr="001B387F">
        <w:rPr>
          <w:lang w:eastAsia="en-AU"/>
        </w:rPr>
        <w:t>per</w:t>
      </w:r>
      <w:r w:rsidR="00F6259F" w:rsidRPr="001B387F">
        <w:rPr>
          <w:lang w:eastAsia="en-AU"/>
        </w:rPr>
        <w:t> </w:t>
      </w:r>
      <w:r w:rsidRPr="001B387F">
        <w:rPr>
          <w:lang w:eastAsia="en-AU"/>
        </w:rPr>
        <w:t>cent in 2023 (</w:t>
      </w:r>
      <w:r w:rsidR="005C1B82" w:rsidRPr="001B387F">
        <w:rPr>
          <w:lang w:eastAsia="en-AU"/>
        </w:rPr>
        <w:t>following</w:t>
      </w:r>
      <w:r w:rsidRPr="001B387F">
        <w:rPr>
          <w:lang w:eastAsia="en-AU"/>
        </w:rPr>
        <w:t xml:space="preserve"> </w:t>
      </w:r>
      <w:r w:rsidR="00FA281C" w:rsidRPr="001B387F">
        <w:rPr>
          <w:lang w:eastAsia="en-AU"/>
        </w:rPr>
        <w:t>8 </w:t>
      </w:r>
      <w:r w:rsidRPr="001B387F">
        <w:rPr>
          <w:lang w:eastAsia="en-AU"/>
        </w:rPr>
        <w:t>per</w:t>
      </w:r>
      <w:r w:rsidR="00F6259F" w:rsidRPr="001B387F">
        <w:rPr>
          <w:lang w:eastAsia="en-AU"/>
        </w:rPr>
        <w:t> </w:t>
      </w:r>
      <w:r w:rsidRPr="001B387F">
        <w:rPr>
          <w:lang w:eastAsia="en-AU"/>
        </w:rPr>
        <w:t xml:space="preserve">cent </w:t>
      </w:r>
      <w:r w:rsidR="005C1B82" w:rsidRPr="001B387F">
        <w:rPr>
          <w:lang w:eastAsia="en-AU"/>
        </w:rPr>
        <w:t xml:space="preserve">growth </w:t>
      </w:r>
      <w:r w:rsidRPr="001B387F">
        <w:rPr>
          <w:lang w:eastAsia="en-AU"/>
        </w:rPr>
        <w:t>in 2022)</w:t>
      </w:r>
      <w:r w:rsidR="00FA281C" w:rsidRPr="001B387F">
        <w:rPr>
          <w:lang w:eastAsia="en-AU"/>
        </w:rPr>
        <w:t>.</w:t>
      </w:r>
      <w:r w:rsidRPr="001B387F">
        <w:rPr>
          <w:vertAlign w:val="superscript"/>
          <w:lang w:eastAsia="en-AU"/>
        </w:rPr>
        <w:endnoteReference w:id="5"/>
      </w:r>
      <w:r w:rsidRPr="001B387F">
        <w:t xml:space="preserve"> The</w:t>
      </w:r>
      <w:r w:rsidRPr="001B387F">
        <w:rPr>
          <w:lang w:eastAsia="en-AU"/>
        </w:rPr>
        <w:t xml:space="preserve"> multidimensional poverty rate declined from 9.</w:t>
      </w:r>
      <w:r w:rsidR="00D743D0" w:rsidRPr="001B387F">
        <w:rPr>
          <w:lang w:eastAsia="en-AU"/>
        </w:rPr>
        <w:t>0</w:t>
      </w:r>
      <w:r w:rsidR="00E57863" w:rsidRPr="001B387F">
        <w:rPr>
          <w:lang w:eastAsia="en-AU"/>
        </w:rPr>
        <w:t> </w:t>
      </w:r>
      <w:r w:rsidRPr="001B387F">
        <w:rPr>
          <w:lang w:eastAsia="en-AU"/>
        </w:rPr>
        <w:t>per</w:t>
      </w:r>
      <w:r w:rsidR="00F6259F" w:rsidRPr="001B387F">
        <w:rPr>
          <w:lang w:eastAsia="en-AU"/>
        </w:rPr>
        <w:t> </w:t>
      </w:r>
      <w:r w:rsidRPr="001B387F">
        <w:rPr>
          <w:lang w:eastAsia="en-AU"/>
        </w:rPr>
        <w:t xml:space="preserve">cent in 2016 to </w:t>
      </w:r>
      <w:r w:rsidR="0073568C" w:rsidRPr="001B387F">
        <w:rPr>
          <w:lang w:eastAsia="en-AU"/>
        </w:rPr>
        <w:t>3.6</w:t>
      </w:r>
      <w:r w:rsidR="00E57863" w:rsidRPr="001B387F">
        <w:rPr>
          <w:lang w:eastAsia="en-AU"/>
        </w:rPr>
        <w:t> </w:t>
      </w:r>
      <w:r w:rsidRPr="001B387F">
        <w:rPr>
          <w:lang w:eastAsia="en-AU"/>
        </w:rPr>
        <w:t>per</w:t>
      </w:r>
      <w:r w:rsidR="00563EE3" w:rsidRPr="001B387F">
        <w:rPr>
          <w:lang w:eastAsia="en-AU"/>
        </w:rPr>
        <w:t> </w:t>
      </w:r>
      <w:r w:rsidRPr="001B387F">
        <w:rPr>
          <w:lang w:eastAsia="en-AU"/>
        </w:rPr>
        <w:t>cent in 2022</w:t>
      </w:r>
      <w:r w:rsidR="00590297" w:rsidRPr="001B387F">
        <w:rPr>
          <w:lang w:eastAsia="en-AU"/>
        </w:rPr>
        <w:t>.</w:t>
      </w:r>
      <w:r w:rsidR="00720455" w:rsidRPr="001B387F">
        <w:rPr>
          <w:rStyle w:val="EndnoteReference"/>
          <w:lang w:eastAsia="en-AU"/>
        </w:rPr>
        <w:endnoteReference w:id="6"/>
      </w:r>
      <w:r w:rsidRPr="001B387F">
        <w:t xml:space="preserve"> </w:t>
      </w:r>
      <w:bookmarkStart w:id="1" w:name="_Hlk173224263"/>
      <w:r w:rsidRPr="001B387F">
        <w:t xml:space="preserve">Despite these remarkable achievements, </w:t>
      </w:r>
      <w:r w:rsidR="006366B9" w:rsidRPr="001B387F">
        <w:t xml:space="preserve">inequalities </w:t>
      </w:r>
      <w:r w:rsidRPr="001B387F">
        <w:t>remain</w:t>
      </w:r>
      <w:r w:rsidR="006366B9" w:rsidRPr="001B387F">
        <w:t>, including</w:t>
      </w:r>
      <w:r w:rsidRPr="001B387F">
        <w:t xml:space="preserve"> higher rates of poverty among certain groups and in certain locations. </w:t>
      </w:r>
      <w:r w:rsidR="00BD3DF9" w:rsidRPr="001B387F">
        <w:t>Among</w:t>
      </w:r>
      <w:r w:rsidRPr="001B387F">
        <w:t xml:space="preserve"> </w:t>
      </w:r>
      <w:r w:rsidR="009A6445" w:rsidRPr="001B387F">
        <w:t xml:space="preserve">people from </w:t>
      </w:r>
      <w:r w:rsidRPr="001B387F">
        <w:t xml:space="preserve">ethnic </w:t>
      </w:r>
      <w:r w:rsidR="009A6445" w:rsidRPr="001B387F">
        <w:t>minority backgrounds</w:t>
      </w:r>
      <w:r w:rsidRPr="001B387F">
        <w:t>, who make up approximately 15</w:t>
      </w:r>
      <w:r w:rsidR="00E57863" w:rsidRPr="001B387F">
        <w:t> </w:t>
      </w:r>
      <w:r w:rsidRPr="001B387F">
        <w:t>per</w:t>
      </w:r>
      <w:r w:rsidR="00F6259F" w:rsidRPr="001B387F">
        <w:t> </w:t>
      </w:r>
      <w:r w:rsidRPr="001B387F">
        <w:t xml:space="preserve">cent of the population, the poverty rate </w:t>
      </w:r>
      <w:r w:rsidR="003B7A44" w:rsidRPr="001B387F">
        <w:t>was</w:t>
      </w:r>
      <w:r w:rsidRPr="001B387F">
        <w:t xml:space="preserve"> 27</w:t>
      </w:r>
      <w:r w:rsidR="00E57863" w:rsidRPr="001B387F">
        <w:t> </w:t>
      </w:r>
      <w:r w:rsidRPr="001B387F">
        <w:t>per</w:t>
      </w:r>
      <w:r w:rsidR="00F6259F" w:rsidRPr="001B387F">
        <w:t> </w:t>
      </w:r>
      <w:r w:rsidRPr="001B387F">
        <w:t>cent</w:t>
      </w:r>
      <w:r w:rsidR="003B7A44" w:rsidRPr="001B387F">
        <w:t xml:space="preserve"> in 20</w:t>
      </w:r>
      <w:r w:rsidR="000F2D75" w:rsidRPr="001B387F">
        <w:t>22</w:t>
      </w:r>
      <w:r w:rsidR="00FA281C" w:rsidRPr="001B387F">
        <w:t>.</w:t>
      </w:r>
      <w:r w:rsidRPr="001B387F">
        <w:rPr>
          <w:vertAlign w:val="superscript"/>
        </w:rPr>
        <w:endnoteReference w:id="7"/>
      </w:r>
      <w:r w:rsidRPr="001B387F">
        <w:rPr>
          <w:lang w:eastAsia="en-AU"/>
        </w:rPr>
        <w:t xml:space="preserve"> </w:t>
      </w:r>
      <w:bookmarkEnd w:id="1"/>
      <w:r w:rsidRPr="001B387F">
        <w:rPr>
          <w:lang w:eastAsia="en-AU"/>
        </w:rPr>
        <w:t xml:space="preserve">Beyond </w:t>
      </w:r>
      <w:r w:rsidR="00D51A37" w:rsidRPr="001B387F">
        <w:rPr>
          <w:lang w:eastAsia="en-AU"/>
        </w:rPr>
        <w:t>those in poverty</w:t>
      </w:r>
      <w:r w:rsidRPr="001B387F">
        <w:rPr>
          <w:lang w:eastAsia="en-AU"/>
        </w:rPr>
        <w:t xml:space="preserve">, </w:t>
      </w:r>
      <w:r w:rsidR="00BC7A94" w:rsidRPr="001B387F">
        <w:rPr>
          <w:lang w:eastAsia="en-AU"/>
        </w:rPr>
        <w:t xml:space="preserve">a further </w:t>
      </w:r>
      <w:r w:rsidRPr="001B387F">
        <w:rPr>
          <w:lang w:eastAsia="en-AU"/>
        </w:rPr>
        <w:t>20</w:t>
      </w:r>
      <w:r w:rsidR="00E57863" w:rsidRPr="001B387F">
        <w:rPr>
          <w:lang w:eastAsia="en-AU"/>
        </w:rPr>
        <w:t> </w:t>
      </w:r>
      <w:r w:rsidRPr="001B387F">
        <w:rPr>
          <w:lang w:eastAsia="en-AU"/>
        </w:rPr>
        <w:t>per</w:t>
      </w:r>
      <w:r w:rsidR="00F6259F" w:rsidRPr="001B387F">
        <w:rPr>
          <w:lang w:eastAsia="en-AU"/>
        </w:rPr>
        <w:t> </w:t>
      </w:r>
      <w:r w:rsidRPr="001B387F">
        <w:rPr>
          <w:lang w:eastAsia="en-AU"/>
        </w:rPr>
        <w:t xml:space="preserve">cent of Vietnamese </w:t>
      </w:r>
      <w:r w:rsidR="003B7A44" w:rsidRPr="001B387F">
        <w:rPr>
          <w:lang w:eastAsia="en-AU"/>
        </w:rPr>
        <w:t>were</w:t>
      </w:r>
      <w:r w:rsidRPr="001B387F">
        <w:rPr>
          <w:lang w:eastAsia="en-AU"/>
        </w:rPr>
        <w:t xml:space="preserve"> not yet economically secure and </w:t>
      </w:r>
      <w:r w:rsidR="000F2D75" w:rsidRPr="001B387F">
        <w:rPr>
          <w:lang w:eastAsia="en-AU"/>
        </w:rPr>
        <w:t xml:space="preserve">are at </w:t>
      </w:r>
      <w:r w:rsidRPr="001B387F">
        <w:rPr>
          <w:lang w:eastAsia="en-AU"/>
        </w:rPr>
        <w:t xml:space="preserve">risk </w:t>
      </w:r>
      <w:r w:rsidR="000F2D75" w:rsidRPr="001B387F">
        <w:rPr>
          <w:lang w:eastAsia="en-AU"/>
        </w:rPr>
        <w:t xml:space="preserve">of </w:t>
      </w:r>
      <w:r w:rsidRPr="001B387F">
        <w:rPr>
          <w:lang w:eastAsia="en-AU"/>
        </w:rPr>
        <w:t>falling into poverty due to shocks</w:t>
      </w:r>
      <w:r w:rsidR="00FA281C" w:rsidRPr="001B387F">
        <w:rPr>
          <w:lang w:eastAsia="en-AU"/>
        </w:rPr>
        <w:t>.</w:t>
      </w:r>
      <w:r w:rsidRPr="001B387F">
        <w:rPr>
          <w:vertAlign w:val="superscript"/>
          <w:lang w:eastAsia="en-AU"/>
        </w:rPr>
        <w:endnoteReference w:id="8"/>
      </w:r>
    </w:p>
    <w:p w14:paraId="5B82E4DD" w14:textId="3D15A1F6" w:rsidR="009E3323" w:rsidRPr="001B387F" w:rsidRDefault="009E3323" w:rsidP="00C104CD">
      <w:pPr>
        <w:rPr>
          <w:lang w:eastAsia="en-AU"/>
        </w:rPr>
      </w:pPr>
      <w:r w:rsidRPr="001B387F">
        <w:rPr>
          <w:lang w:eastAsia="en-AU"/>
        </w:rPr>
        <w:t xml:space="preserve">Vietnam remains a stable state with broadly strong governance. </w:t>
      </w:r>
      <w:r w:rsidR="002F14F5" w:rsidRPr="001B387F">
        <w:rPr>
          <w:lang w:eastAsia="en-AU"/>
        </w:rPr>
        <w:t>However, c</w:t>
      </w:r>
      <w:r w:rsidRPr="001B387F">
        <w:rPr>
          <w:lang w:eastAsia="en-AU"/>
        </w:rPr>
        <w:t xml:space="preserve">ivil society space is increasingly constrained. The second </w:t>
      </w:r>
      <w:r w:rsidR="009D5113" w:rsidRPr="001B387F">
        <w:rPr>
          <w:lang w:eastAsia="en-AU"/>
        </w:rPr>
        <w:t>v</w:t>
      </w:r>
      <w:r w:rsidRPr="001B387F">
        <w:rPr>
          <w:lang w:eastAsia="en-AU"/>
        </w:rPr>
        <w:t xml:space="preserve">oluntary </w:t>
      </w:r>
      <w:r w:rsidR="009D5113" w:rsidRPr="001B387F">
        <w:rPr>
          <w:lang w:eastAsia="en-AU"/>
        </w:rPr>
        <w:t>n</w:t>
      </w:r>
      <w:r w:rsidRPr="001B387F">
        <w:rPr>
          <w:lang w:eastAsia="en-AU"/>
        </w:rPr>
        <w:t xml:space="preserve">ational </w:t>
      </w:r>
      <w:r w:rsidR="009D5113" w:rsidRPr="001B387F">
        <w:rPr>
          <w:lang w:eastAsia="en-AU"/>
        </w:rPr>
        <w:t>r</w:t>
      </w:r>
      <w:r w:rsidRPr="001B387F">
        <w:rPr>
          <w:lang w:eastAsia="en-AU"/>
        </w:rPr>
        <w:t xml:space="preserve">eview </w:t>
      </w:r>
      <w:r w:rsidR="00B973FF" w:rsidRPr="001B387F">
        <w:rPr>
          <w:lang w:eastAsia="en-AU"/>
        </w:rPr>
        <w:t>of implementation of the Sustainable Development Goals (SDGs)</w:t>
      </w:r>
      <w:r w:rsidR="0090038C" w:rsidRPr="001B387F">
        <w:rPr>
          <w:lang w:eastAsia="en-AU"/>
        </w:rPr>
        <w:t>,</w:t>
      </w:r>
      <w:r w:rsidRPr="001B387F">
        <w:rPr>
          <w:lang w:eastAsia="en-AU"/>
        </w:rPr>
        <w:t xml:space="preserve"> prepared by Vietnam </w:t>
      </w:r>
      <w:r w:rsidR="00824033" w:rsidRPr="001B387F">
        <w:rPr>
          <w:lang w:eastAsia="en-AU"/>
        </w:rPr>
        <w:t>and published in 2023</w:t>
      </w:r>
      <w:r w:rsidR="0090038C" w:rsidRPr="001B387F">
        <w:rPr>
          <w:lang w:eastAsia="en-AU"/>
        </w:rPr>
        <w:t>,</w:t>
      </w:r>
      <w:r w:rsidR="00824033" w:rsidRPr="001B387F">
        <w:rPr>
          <w:lang w:eastAsia="en-AU"/>
        </w:rPr>
        <w:t xml:space="preserve"> </w:t>
      </w:r>
      <w:r w:rsidRPr="001B387F">
        <w:rPr>
          <w:lang w:eastAsia="en-AU"/>
        </w:rPr>
        <w:t xml:space="preserve">shows substantial progress </w:t>
      </w:r>
      <w:r w:rsidR="00424CED" w:rsidRPr="001B387F">
        <w:rPr>
          <w:lang w:eastAsia="en-AU"/>
        </w:rPr>
        <w:t xml:space="preserve">towards </w:t>
      </w:r>
      <w:r w:rsidRPr="001B387F">
        <w:rPr>
          <w:lang w:eastAsia="en-AU"/>
        </w:rPr>
        <w:t xml:space="preserve">some </w:t>
      </w:r>
      <w:r w:rsidR="00B973FF" w:rsidRPr="001B387F">
        <w:rPr>
          <w:lang w:eastAsia="en-AU"/>
        </w:rPr>
        <w:t xml:space="preserve">of the </w:t>
      </w:r>
      <w:r w:rsidRPr="001B387F">
        <w:rPr>
          <w:lang w:eastAsia="en-AU"/>
        </w:rPr>
        <w:t>SDGs</w:t>
      </w:r>
      <w:r w:rsidR="002616BA" w:rsidRPr="001B387F">
        <w:rPr>
          <w:lang w:eastAsia="en-AU"/>
        </w:rPr>
        <w:t>,</w:t>
      </w:r>
      <w:r w:rsidRPr="001B387F">
        <w:rPr>
          <w:lang w:eastAsia="en-AU"/>
        </w:rPr>
        <w:t xml:space="preserve"> including </w:t>
      </w:r>
      <w:r w:rsidR="00353E6A" w:rsidRPr="001B387F">
        <w:rPr>
          <w:lang w:eastAsia="en-AU"/>
        </w:rPr>
        <w:t xml:space="preserve">ending </w:t>
      </w:r>
      <w:r w:rsidRPr="001B387F">
        <w:rPr>
          <w:lang w:eastAsia="en-AU"/>
        </w:rPr>
        <w:t>poverty</w:t>
      </w:r>
      <w:r w:rsidR="00B973FF" w:rsidRPr="001B387F">
        <w:rPr>
          <w:lang w:eastAsia="en-AU"/>
        </w:rPr>
        <w:t>.</w:t>
      </w:r>
      <w:r w:rsidRPr="001B387F">
        <w:rPr>
          <w:lang w:eastAsia="en-AU"/>
        </w:rPr>
        <w:t xml:space="preserve"> </w:t>
      </w:r>
      <w:r w:rsidR="00D31F09" w:rsidRPr="001B387F">
        <w:rPr>
          <w:lang w:eastAsia="en-AU"/>
        </w:rPr>
        <w:t>O</w:t>
      </w:r>
      <w:r w:rsidRPr="001B387F">
        <w:rPr>
          <w:lang w:eastAsia="en-AU"/>
        </w:rPr>
        <w:t xml:space="preserve">f the </w:t>
      </w:r>
      <w:r w:rsidR="00E57863" w:rsidRPr="001B387F">
        <w:rPr>
          <w:lang w:eastAsia="en-AU"/>
        </w:rPr>
        <w:t>17 </w:t>
      </w:r>
      <w:r w:rsidRPr="001B387F">
        <w:rPr>
          <w:lang w:eastAsia="en-AU"/>
        </w:rPr>
        <w:t>SDGs</w:t>
      </w:r>
      <w:r w:rsidR="00D31F09" w:rsidRPr="001B387F">
        <w:rPr>
          <w:lang w:eastAsia="en-AU"/>
        </w:rPr>
        <w:t>, 6 </w:t>
      </w:r>
      <w:r w:rsidR="00176A2D" w:rsidRPr="001B387F">
        <w:rPr>
          <w:lang w:eastAsia="en-AU"/>
        </w:rPr>
        <w:t>were</w:t>
      </w:r>
      <w:r w:rsidRPr="001B387F">
        <w:rPr>
          <w:lang w:eastAsia="en-AU"/>
        </w:rPr>
        <w:t xml:space="preserve"> on track to be achieved by 2030. However, </w:t>
      </w:r>
      <w:r w:rsidR="00BD32F7" w:rsidRPr="001B387F">
        <w:rPr>
          <w:lang w:eastAsia="en-AU"/>
        </w:rPr>
        <w:t xml:space="preserve">achieving </w:t>
      </w:r>
      <w:r w:rsidRPr="001B387F">
        <w:rPr>
          <w:lang w:eastAsia="en-AU"/>
        </w:rPr>
        <w:t xml:space="preserve">many of the </w:t>
      </w:r>
      <w:r w:rsidR="0055540B" w:rsidRPr="001B387F">
        <w:rPr>
          <w:lang w:eastAsia="en-AU"/>
        </w:rPr>
        <w:t xml:space="preserve">other </w:t>
      </w:r>
      <w:r w:rsidRPr="001B387F">
        <w:rPr>
          <w:lang w:eastAsia="en-AU"/>
        </w:rPr>
        <w:t>SDGs remain</w:t>
      </w:r>
      <w:r w:rsidR="0055540B" w:rsidRPr="001B387F">
        <w:rPr>
          <w:lang w:eastAsia="en-AU"/>
        </w:rPr>
        <w:t>s</w:t>
      </w:r>
      <w:r w:rsidRPr="001B387F">
        <w:rPr>
          <w:lang w:eastAsia="en-AU"/>
        </w:rPr>
        <w:t xml:space="preserve"> elusive.</w:t>
      </w:r>
    </w:p>
    <w:p w14:paraId="4792E872" w14:textId="7B204097" w:rsidR="009E3323" w:rsidRPr="001B387F" w:rsidRDefault="009E3323" w:rsidP="00C104CD">
      <w:pPr>
        <w:rPr>
          <w:lang w:eastAsia="en-AU"/>
        </w:rPr>
      </w:pPr>
      <w:bookmarkStart w:id="2" w:name="_Hlk180136510"/>
      <w:r w:rsidRPr="001B387F">
        <w:rPr>
          <w:lang w:eastAsia="en-AU"/>
        </w:rPr>
        <w:t>Vietnam’s Socio-Economic Development Strategy</w:t>
      </w:r>
      <w:r w:rsidR="00A26C68" w:rsidRPr="001B387F">
        <w:rPr>
          <w:lang w:eastAsia="en-AU"/>
        </w:rPr>
        <w:t> 2021–2030</w:t>
      </w:r>
      <w:r w:rsidRPr="001B387F">
        <w:rPr>
          <w:lang w:eastAsia="en-AU"/>
        </w:rPr>
        <w:t xml:space="preserve"> sets </w:t>
      </w:r>
      <w:bookmarkEnd w:id="2"/>
      <w:r w:rsidRPr="001B387F">
        <w:rPr>
          <w:lang w:eastAsia="en-AU"/>
        </w:rPr>
        <w:t>the following key targets:</w:t>
      </w:r>
    </w:p>
    <w:p w14:paraId="69EC4869" w14:textId="12CE1D41" w:rsidR="009E3323" w:rsidRPr="001B387F" w:rsidRDefault="00CA0144" w:rsidP="0089296A">
      <w:pPr>
        <w:pStyle w:val="NormalBullets-L1"/>
      </w:pPr>
      <w:r w:rsidRPr="001B387F">
        <w:t xml:space="preserve">a developing country with modern industry overcoming lower-middle income status by </w:t>
      </w:r>
      <w:proofErr w:type="gramStart"/>
      <w:r w:rsidRPr="001B387F">
        <w:t>2025</w:t>
      </w:r>
      <w:proofErr w:type="gramEnd"/>
    </w:p>
    <w:p w14:paraId="28A2CCAC" w14:textId="311A8731" w:rsidR="009E3323" w:rsidRPr="001B387F" w:rsidRDefault="009E3323" w:rsidP="0089296A">
      <w:pPr>
        <w:pStyle w:val="NormalBullets-L1"/>
      </w:pPr>
      <w:r w:rsidRPr="001B387F">
        <w:t xml:space="preserve">modern, competitive, </w:t>
      </w:r>
      <w:proofErr w:type="gramStart"/>
      <w:r w:rsidRPr="001B387F">
        <w:t>effective</w:t>
      </w:r>
      <w:proofErr w:type="gramEnd"/>
      <w:r w:rsidRPr="001B387F">
        <w:t xml:space="preserve"> and efficient management institutions</w:t>
      </w:r>
    </w:p>
    <w:p w14:paraId="0892A4E0" w14:textId="5F4D1072" w:rsidR="009E3323" w:rsidRPr="001B387F" w:rsidRDefault="009E3323" w:rsidP="0089296A">
      <w:pPr>
        <w:pStyle w:val="NormalBullets-L1"/>
      </w:pPr>
      <w:r w:rsidRPr="001B387F">
        <w:t xml:space="preserve">dynamic, fast and sustainable economic development, independence and self-reliance </w:t>
      </w:r>
      <w:r w:rsidR="00D53901" w:rsidRPr="001B387F">
        <w:t>based on</w:t>
      </w:r>
      <w:r w:rsidRPr="001B387F">
        <w:t xml:space="preserve"> science, technology and innovation </w:t>
      </w:r>
      <w:r w:rsidR="00CC1F51" w:rsidRPr="001B387F">
        <w:t>and</w:t>
      </w:r>
      <w:r w:rsidRPr="001B387F">
        <w:t xml:space="preserve"> improv</w:t>
      </w:r>
      <w:r w:rsidR="00CC1F51" w:rsidRPr="001B387F">
        <w:t>ed</w:t>
      </w:r>
      <w:r w:rsidRPr="001B387F">
        <w:t xml:space="preserve"> efficiency in foreign affairs and international </w:t>
      </w:r>
      <w:proofErr w:type="gramStart"/>
      <w:r w:rsidRPr="001B387F">
        <w:t>integration</w:t>
      </w:r>
      <w:proofErr w:type="gramEnd"/>
    </w:p>
    <w:p w14:paraId="7CCBD64D" w14:textId="12E3C2B2" w:rsidR="009E3323" w:rsidRPr="001B387F" w:rsidRDefault="009E3323" w:rsidP="0089296A">
      <w:pPr>
        <w:pStyle w:val="NormalBullets-L1"/>
      </w:pPr>
      <w:r w:rsidRPr="001B387F">
        <w:t xml:space="preserve">a prosperous, democratic, fair, civilised, orderly, disciplined, safe and secure </w:t>
      </w:r>
      <w:proofErr w:type="gramStart"/>
      <w:r w:rsidRPr="001B387F">
        <w:t>society</w:t>
      </w:r>
      <w:proofErr w:type="gramEnd"/>
    </w:p>
    <w:p w14:paraId="32E93944" w14:textId="28F5318E" w:rsidR="009E3323" w:rsidRPr="001B387F" w:rsidRDefault="009E3323" w:rsidP="0089296A">
      <w:pPr>
        <w:pStyle w:val="NormalBullets-L1"/>
      </w:pPr>
      <w:r w:rsidRPr="001B387F">
        <w:t>improv</w:t>
      </w:r>
      <w:r w:rsidR="00552D74" w:rsidRPr="001B387F">
        <w:t>ed</w:t>
      </w:r>
      <w:r w:rsidRPr="001B387F">
        <w:t xml:space="preserve"> position and prestige in the international arena.</w:t>
      </w:r>
    </w:p>
    <w:p w14:paraId="3846B1C2" w14:textId="47A6A4F0" w:rsidR="009E3323" w:rsidRPr="001B387F" w:rsidRDefault="009E3323" w:rsidP="00C104CD">
      <w:pPr>
        <w:rPr>
          <w:lang w:eastAsia="en-AU"/>
        </w:rPr>
      </w:pPr>
      <w:r w:rsidRPr="001B387F">
        <w:rPr>
          <w:lang w:eastAsia="en-AU"/>
        </w:rPr>
        <w:t>Based on Vietnam’s needs</w:t>
      </w:r>
      <w:r w:rsidR="00502E23" w:rsidRPr="001B387F">
        <w:rPr>
          <w:lang w:eastAsia="en-AU"/>
        </w:rPr>
        <w:t xml:space="preserve"> and priorities</w:t>
      </w:r>
      <w:r w:rsidRPr="001B387F">
        <w:rPr>
          <w:lang w:eastAsia="en-AU"/>
        </w:rPr>
        <w:t xml:space="preserve">, as raised in DPP consultations, and alignment with the </w:t>
      </w:r>
      <w:r w:rsidR="0055540B" w:rsidRPr="001B387F">
        <w:rPr>
          <w:lang w:eastAsia="en-AU"/>
        </w:rPr>
        <w:t>CSP</w:t>
      </w:r>
      <w:r w:rsidRPr="001B387F">
        <w:rPr>
          <w:lang w:eastAsia="en-AU"/>
        </w:rPr>
        <w:t xml:space="preserve">, Australia will work in partnership with Vietnam across four areas </w:t>
      </w:r>
      <w:r w:rsidR="00F77572" w:rsidRPr="001B387F">
        <w:rPr>
          <w:lang w:eastAsia="en-AU"/>
        </w:rPr>
        <w:t xml:space="preserve">in which </w:t>
      </w:r>
      <w:r w:rsidRPr="001B387F">
        <w:rPr>
          <w:lang w:eastAsia="en-AU"/>
        </w:rPr>
        <w:t xml:space="preserve">progress is critical for </w:t>
      </w:r>
      <w:r w:rsidR="003839D8" w:rsidRPr="001B387F">
        <w:rPr>
          <w:lang w:eastAsia="en-AU"/>
        </w:rPr>
        <w:t>achieving</w:t>
      </w:r>
      <w:r w:rsidRPr="001B387F">
        <w:rPr>
          <w:lang w:eastAsia="en-AU"/>
        </w:rPr>
        <w:t xml:space="preserve"> Vietnam’s targets and its goal of becoming a high-income country by 2045. These four areas reflect the strengths of Australian support, as recognised by the Government of Vietnam, and complement the efforts of other development partners working in Vietnam. The focus areas are aligned with Australia’s International Development Policy, </w:t>
      </w:r>
      <w:proofErr w:type="gramStart"/>
      <w:r w:rsidRPr="001B387F">
        <w:rPr>
          <w:i/>
          <w:iCs/>
          <w:lang w:eastAsia="en-AU"/>
        </w:rPr>
        <w:t>Invested</w:t>
      </w:r>
      <w:proofErr w:type="gramEnd"/>
      <w:r w:rsidRPr="001B387F">
        <w:rPr>
          <w:i/>
          <w:iCs/>
          <w:lang w:eastAsia="en-AU"/>
        </w:rPr>
        <w:t>: Australia’s Southeast Asia Economic Strategy to 2040</w:t>
      </w:r>
      <w:r w:rsidR="002B124C" w:rsidRPr="001B387F">
        <w:rPr>
          <w:i/>
          <w:iCs/>
          <w:lang w:eastAsia="en-AU"/>
        </w:rPr>
        <w:t xml:space="preserve">, </w:t>
      </w:r>
      <w:r w:rsidR="000168B1" w:rsidRPr="001B387F">
        <w:rPr>
          <w:lang w:eastAsia="en-AU"/>
        </w:rPr>
        <w:t>the</w:t>
      </w:r>
      <w:r w:rsidR="00AB5F74" w:rsidRPr="001B387F">
        <w:rPr>
          <w:i/>
          <w:iCs/>
          <w:lang w:eastAsia="en-AU"/>
        </w:rPr>
        <w:t xml:space="preserve"> </w:t>
      </w:r>
      <w:r w:rsidR="00255A71" w:rsidRPr="001B387F">
        <w:rPr>
          <w:rFonts w:cs="Calibri Light"/>
          <w:i/>
          <w:iCs/>
        </w:rPr>
        <w:t>Australia–Vietnam Enhanced Economic Engagement Strategy</w:t>
      </w:r>
      <w:r w:rsidR="00255A71" w:rsidRPr="001B387F">
        <w:rPr>
          <w:rFonts w:cs="Calibri Light"/>
        </w:rPr>
        <w:t xml:space="preserve"> </w:t>
      </w:r>
      <w:r w:rsidRPr="001B387F">
        <w:rPr>
          <w:lang w:eastAsia="en-AU"/>
        </w:rPr>
        <w:t xml:space="preserve">and </w:t>
      </w:r>
      <w:r w:rsidR="00375574" w:rsidRPr="001B387F">
        <w:rPr>
          <w:lang w:eastAsia="en-AU"/>
        </w:rPr>
        <w:t xml:space="preserve">the </w:t>
      </w:r>
      <w:r w:rsidRPr="001B387F">
        <w:rPr>
          <w:i/>
          <w:iCs/>
          <w:lang w:eastAsia="en-AU"/>
        </w:rPr>
        <w:t>Australia in Vietnam Equality Strategy</w:t>
      </w:r>
      <w:r w:rsidR="00FF7503" w:rsidRPr="001B387F">
        <w:rPr>
          <w:i/>
          <w:iCs/>
          <w:lang w:eastAsia="en-AU"/>
        </w:rPr>
        <w:t> 2022–2027</w:t>
      </w:r>
      <w:r w:rsidRPr="001B387F">
        <w:rPr>
          <w:lang w:eastAsia="en-AU"/>
        </w:rPr>
        <w:t xml:space="preserve">. </w:t>
      </w:r>
      <w:r w:rsidR="008534E7" w:rsidRPr="001B387F">
        <w:rPr>
          <w:lang w:eastAsia="en-AU"/>
        </w:rPr>
        <w:t>This section of the DPP se</w:t>
      </w:r>
      <w:r w:rsidR="001F2F59" w:rsidRPr="001B387F">
        <w:rPr>
          <w:lang w:eastAsia="en-AU"/>
        </w:rPr>
        <w:t>ts out t</w:t>
      </w:r>
      <w:r w:rsidRPr="001B387F">
        <w:rPr>
          <w:lang w:eastAsia="en-AU"/>
        </w:rPr>
        <w:t>he development context of these four areas.</w:t>
      </w:r>
    </w:p>
    <w:p w14:paraId="0B1E20F8" w14:textId="574D7FBD" w:rsidR="009E3323" w:rsidRPr="001B387F" w:rsidRDefault="009E3323" w:rsidP="00B42F68">
      <w:pPr>
        <w:pStyle w:val="H3-Heading3"/>
        <w:rPr>
          <w:rFonts w:eastAsia="Times New Roman"/>
          <w:lang w:eastAsia="en-AU"/>
        </w:rPr>
      </w:pPr>
      <w:r w:rsidRPr="001B387F">
        <w:rPr>
          <w:rFonts w:eastAsia="Times New Roman"/>
          <w:lang w:eastAsia="en-AU"/>
        </w:rPr>
        <w:t>Economic growth</w:t>
      </w:r>
    </w:p>
    <w:p w14:paraId="1DE37422" w14:textId="643885C4" w:rsidR="009E3323" w:rsidRPr="001B387F" w:rsidRDefault="009E3323" w:rsidP="00C104CD">
      <w:r w:rsidRPr="001B387F">
        <w:t xml:space="preserve">Vietnam’s economic growth over the </w:t>
      </w:r>
      <w:r w:rsidR="00316352" w:rsidRPr="001B387F">
        <w:t>past</w:t>
      </w:r>
      <w:r w:rsidRPr="001B387F">
        <w:t xml:space="preserve"> 30</w:t>
      </w:r>
      <w:r w:rsidR="00316352" w:rsidRPr="001B387F">
        <w:t> </w:t>
      </w:r>
      <w:r w:rsidRPr="001B387F">
        <w:t xml:space="preserve">years is impressive. </w:t>
      </w:r>
      <w:r w:rsidR="007F7691" w:rsidRPr="001B387F">
        <w:t>Its</w:t>
      </w:r>
      <w:r w:rsidRPr="001B387F">
        <w:t xml:space="preserve"> economic success is based on strengthened global economic integration, including with Australia. Vietnam ha</w:t>
      </w:r>
      <w:r w:rsidR="005C4BC3" w:rsidRPr="001B387F">
        <w:t>d</w:t>
      </w:r>
      <w:r w:rsidRPr="001B387F">
        <w:t xml:space="preserve"> a trade</w:t>
      </w:r>
      <w:r w:rsidR="004C57FD" w:rsidRPr="001B387F">
        <w:t>-</w:t>
      </w:r>
      <w:r w:rsidRPr="001B387F">
        <w:t>to</w:t>
      </w:r>
      <w:r w:rsidR="004C57FD" w:rsidRPr="001B387F">
        <w:t>-</w:t>
      </w:r>
      <w:r w:rsidRPr="001B387F">
        <w:t>GDP ratio of 186</w:t>
      </w:r>
      <w:r w:rsidR="00E57863" w:rsidRPr="001B387F">
        <w:t> </w:t>
      </w:r>
      <w:r w:rsidRPr="001B387F">
        <w:t>per</w:t>
      </w:r>
      <w:r w:rsidR="00563EE3" w:rsidRPr="001B387F">
        <w:t> </w:t>
      </w:r>
      <w:r w:rsidRPr="001B387F">
        <w:t xml:space="preserve">cent </w:t>
      </w:r>
      <w:r w:rsidR="000F6A96" w:rsidRPr="001B387F">
        <w:t>in 20</w:t>
      </w:r>
      <w:r w:rsidR="008530E5" w:rsidRPr="001B387F">
        <w:t>22</w:t>
      </w:r>
      <w:r w:rsidR="000F6A96" w:rsidRPr="001B387F">
        <w:t xml:space="preserve"> </w:t>
      </w:r>
      <w:r w:rsidR="00C60050" w:rsidRPr="001B387F">
        <w:t>and</w:t>
      </w:r>
      <w:r w:rsidRPr="001B387F">
        <w:t xml:space="preserve"> export values </w:t>
      </w:r>
      <w:r w:rsidR="005C4BC3" w:rsidRPr="001B387F">
        <w:t>rose</w:t>
      </w:r>
      <w:r w:rsidRPr="001B387F">
        <w:t xml:space="preserve"> by </w:t>
      </w:r>
      <w:r w:rsidR="00095C92" w:rsidRPr="001B387F">
        <w:t xml:space="preserve">more than </w:t>
      </w:r>
      <w:r w:rsidRPr="001B387F">
        <w:t>72</w:t>
      </w:r>
      <w:r w:rsidR="00E57863" w:rsidRPr="001B387F">
        <w:t> </w:t>
      </w:r>
      <w:r w:rsidRPr="001B387F">
        <w:t>per</w:t>
      </w:r>
      <w:r w:rsidR="00563EE3" w:rsidRPr="001B387F">
        <w:t> </w:t>
      </w:r>
      <w:r w:rsidRPr="001B387F">
        <w:t xml:space="preserve">cent </w:t>
      </w:r>
      <w:r w:rsidR="00B45E0D" w:rsidRPr="001B387F">
        <w:t>from 2018 to 2022</w:t>
      </w:r>
      <w:r w:rsidR="004A4479" w:rsidRPr="001B387F">
        <w:t>,</w:t>
      </w:r>
      <w:r w:rsidR="00B45E0D" w:rsidRPr="001B387F">
        <w:t xml:space="preserve"> </w:t>
      </w:r>
      <w:r w:rsidRPr="001B387F">
        <w:t>with a</w:t>
      </w:r>
      <w:r w:rsidR="00B45E0D" w:rsidRPr="001B387F">
        <w:t>n average</w:t>
      </w:r>
      <w:r w:rsidRPr="001B387F">
        <w:t xml:space="preserve"> trade surplus of USD9</w:t>
      </w:r>
      <w:r w:rsidR="00D37462" w:rsidRPr="001B387F">
        <w:t> </w:t>
      </w:r>
      <w:r w:rsidRPr="001B387F">
        <w:t xml:space="preserve">billion </w:t>
      </w:r>
      <w:r w:rsidR="00123423" w:rsidRPr="001B387F">
        <w:t xml:space="preserve">over this </w:t>
      </w:r>
      <w:r w:rsidR="00095C92" w:rsidRPr="001B387F">
        <w:t>period</w:t>
      </w:r>
      <w:r w:rsidR="006434FB" w:rsidRPr="001B387F">
        <w:t>.</w:t>
      </w:r>
      <w:r w:rsidRPr="001B387F">
        <w:rPr>
          <w:vertAlign w:val="superscript"/>
        </w:rPr>
        <w:endnoteReference w:id="9"/>
      </w:r>
      <w:r w:rsidRPr="001B387F">
        <w:t xml:space="preserve"> To become a high-income country by 2045, Vietnam </w:t>
      </w:r>
      <w:r w:rsidR="00B47BFD" w:rsidRPr="001B387F">
        <w:t xml:space="preserve">must </w:t>
      </w:r>
      <w:r w:rsidRPr="001B387F">
        <w:t xml:space="preserve">maintain </w:t>
      </w:r>
      <w:r w:rsidR="00D45839" w:rsidRPr="001B387F">
        <w:t>an</w:t>
      </w:r>
      <w:r w:rsidR="007213F9" w:rsidRPr="001B387F">
        <w:t xml:space="preserve"> economic</w:t>
      </w:r>
      <w:r w:rsidRPr="001B387F">
        <w:t xml:space="preserve"> growth rate of </w:t>
      </w:r>
      <w:r w:rsidR="00AC745D" w:rsidRPr="001B387F">
        <w:t>6 </w:t>
      </w:r>
      <w:r w:rsidRPr="001B387F">
        <w:t>per</w:t>
      </w:r>
      <w:r w:rsidR="00F6259F" w:rsidRPr="001B387F">
        <w:t> </w:t>
      </w:r>
      <w:r w:rsidRPr="001B387F">
        <w:t xml:space="preserve">cent per </w:t>
      </w:r>
      <w:r w:rsidR="00AC745D" w:rsidRPr="001B387F">
        <w:t>year</w:t>
      </w:r>
      <w:r w:rsidRPr="001B387F">
        <w:t xml:space="preserve"> </w:t>
      </w:r>
      <w:r w:rsidR="0073176D" w:rsidRPr="001B387F">
        <w:t xml:space="preserve">for </w:t>
      </w:r>
      <w:r w:rsidR="00DE0DEB" w:rsidRPr="001B387F">
        <w:t xml:space="preserve">a further </w:t>
      </w:r>
      <w:r w:rsidR="0072208A" w:rsidRPr="001B387F">
        <w:t>20</w:t>
      </w:r>
      <w:r w:rsidR="00D45839" w:rsidRPr="001B387F">
        <w:t> </w:t>
      </w:r>
      <w:r w:rsidR="0072208A" w:rsidRPr="001B387F">
        <w:t xml:space="preserve">years </w:t>
      </w:r>
      <w:r w:rsidRPr="001B387F">
        <w:t>and undergo significant structural reforms to strengthen the quality, inclusiveness and environmental sustainability of its economic growth model</w:t>
      </w:r>
      <w:r w:rsidR="00BD002C" w:rsidRPr="001B387F">
        <w:t xml:space="preserve">, while dealing with </w:t>
      </w:r>
      <w:r w:rsidRPr="001B387F">
        <w:t>climate change.</w:t>
      </w:r>
      <w:r w:rsidRPr="001B387F">
        <w:rPr>
          <w:vertAlign w:val="superscript"/>
        </w:rPr>
        <w:endnoteReference w:id="10"/>
      </w:r>
    </w:p>
    <w:p w14:paraId="39EAEC02" w14:textId="6770A158" w:rsidR="009E3323" w:rsidRPr="001B387F" w:rsidRDefault="00A0282D" w:rsidP="00CB78B7">
      <w:r w:rsidRPr="001B387F">
        <w:rPr>
          <w:rFonts w:eastAsia="Times New Roman"/>
        </w:rPr>
        <w:t xml:space="preserve">Vietnam's economy needs to develop rapidly, effectively and sustainably while at the same time having the policies and resources to ensure social security </w:t>
      </w:r>
      <w:r w:rsidR="004D022D" w:rsidRPr="001B387F">
        <w:rPr>
          <w:rFonts w:eastAsia="Times New Roman"/>
        </w:rPr>
        <w:t xml:space="preserve">and </w:t>
      </w:r>
      <w:r w:rsidRPr="001B387F">
        <w:rPr>
          <w:rFonts w:eastAsia="Times New Roman"/>
        </w:rPr>
        <w:t xml:space="preserve">provide public services </w:t>
      </w:r>
      <w:r w:rsidR="000E1405" w:rsidRPr="001B387F">
        <w:rPr>
          <w:rFonts w:eastAsia="Times New Roman"/>
        </w:rPr>
        <w:t xml:space="preserve">(especially healthcare and education services) </w:t>
      </w:r>
      <w:r w:rsidRPr="001B387F">
        <w:rPr>
          <w:rFonts w:eastAsia="Times New Roman"/>
        </w:rPr>
        <w:t xml:space="preserve">to disadvantaged areas, </w:t>
      </w:r>
      <w:r w:rsidR="00F15F2F" w:rsidRPr="001B387F">
        <w:rPr>
          <w:rFonts w:eastAsia="Times New Roman"/>
        </w:rPr>
        <w:t>to</w:t>
      </w:r>
      <w:r w:rsidRPr="001B387F">
        <w:rPr>
          <w:rFonts w:eastAsia="Times New Roman"/>
        </w:rPr>
        <w:t xml:space="preserve"> gradually bridg</w:t>
      </w:r>
      <w:r w:rsidR="00F15F2F" w:rsidRPr="001B387F">
        <w:rPr>
          <w:rFonts w:eastAsia="Times New Roman"/>
        </w:rPr>
        <w:t>e</w:t>
      </w:r>
      <w:r w:rsidRPr="001B387F">
        <w:rPr>
          <w:rFonts w:eastAsia="Times New Roman"/>
        </w:rPr>
        <w:t xml:space="preserve"> the development gap between disadvantaged and advantaged areas</w:t>
      </w:r>
      <w:r w:rsidR="00B95A4E" w:rsidRPr="001B387F">
        <w:rPr>
          <w:rFonts w:eastAsia="Times New Roman"/>
        </w:rPr>
        <w:t>.</w:t>
      </w:r>
      <w:r w:rsidR="00F15F2F" w:rsidRPr="001B387F">
        <w:rPr>
          <w:rStyle w:val="EndnoteReference"/>
          <w:rFonts w:eastAsia="Times New Roman"/>
        </w:rPr>
        <w:endnoteReference w:id="11"/>
      </w:r>
      <w:r w:rsidR="00CB78B7" w:rsidRPr="001B387F">
        <w:rPr>
          <w:rFonts w:eastAsia="Times New Roman"/>
        </w:rPr>
        <w:t xml:space="preserve"> </w:t>
      </w:r>
      <w:r w:rsidR="009E3323" w:rsidRPr="001B387F">
        <w:t>Australia is well positioned to continue to share expertise on inclusive and sustainable economic growth with Vietnam, having successfully supported Vietnam’s economic reform process over the past 50</w:t>
      </w:r>
      <w:r w:rsidR="00E57863" w:rsidRPr="001B387F">
        <w:t> </w:t>
      </w:r>
      <w:r w:rsidR="009E3323" w:rsidRPr="001B387F">
        <w:t>years. Australia is a trusted and respected partner of Vietnam in this field and Australian economic institutions are well placed to continue to share knowledge and experience.</w:t>
      </w:r>
    </w:p>
    <w:p w14:paraId="046CD049" w14:textId="6F1359D1" w:rsidR="009E3323" w:rsidRPr="001B387F" w:rsidRDefault="009E3323" w:rsidP="00F26D67">
      <w:pPr>
        <w:pStyle w:val="H3-Heading3"/>
        <w:rPr>
          <w:rFonts w:eastAsia="Times New Roman"/>
          <w:lang w:eastAsia="en-AU"/>
        </w:rPr>
      </w:pPr>
      <w:r w:rsidRPr="001B387F">
        <w:rPr>
          <w:rFonts w:eastAsia="Times New Roman"/>
          <w:lang w:eastAsia="en-AU"/>
        </w:rPr>
        <w:lastRenderedPageBreak/>
        <w:t>Skills and human resource development</w:t>
      </w:r>
    </w:p>
    <w:p w14:paraId="5D7F45E7" w14:textId="13FEF4E1" w:rsidR="009E3323" w:rsidRPr="001B387F" w:rsidRDefault="009E3323" w:rsidP="00C104CD">
      <w:r w:rsidRPr="001B387F">
        <w:rPr>
          <w:lang w:eastAsia="en-AU"/>
        </w:rPr>
        <w:t xml:space="preserve">Vietnam has performed well </w:t>
      </w:r>
      <w:r w:rsidR="00E54E0F" w:rsidRPr="001B387F">
        <w:rPr>
          <w:lang w:eastAsia="en-AU"/>
        </w:rPr>
        <w:t>in providing</w:t>
      </w:r>
      <w:r w:rsidRPr="001B387F">
        <w:rPr>
          <w:lang w:eastAsia="en-AU"/>
        </w:rPr>
        <w:t xml:space="preserve"> </w:t>
      </w:r>
      <w:r w:rsidR="00EC73A5" w:rsidRPr="001B387F">
        <w:rPr>
          <w:lang w:eastAsia="en-AU"/>
        </w:rPr>
        <w:t xml:space="preserve">good </w:t>
      </w:r>
      <w:r w:rsidRPr="001B387F">
        <w:rPr>
          <w:lang w:eastAsia="en-AU"/>
        </w:rPr>
        <w:t xml:space="preserve">access </w:t>
      </w:r>
      <w:r w:rsidR="00E54E0F" w:rsidRPr="001B387F">
        <w:rPr>
          <w:lang w:eastAsia="en-AU"/>
        </w:rPr>
        <w:t xml:space="preserve">to </w:t>
      </w:r>
      <w:r w:rsidR="00EC73A5" w:rsidRPr="001B387F">
        <w:rPr>
          <w:lang w:eastAsia="en-AU"/>
        </w:rPr>
        <w:t>high-</w:t>
      </w:r>
      <w:r w:rsidRPr="001B387F">
        <w:rPr>
          <w:lang w:eastAsia="en-AU"/>
        </w:rPr>
        <w:t xml:space="preserve">quality primary and secondary education. </w:t>
      </w:r>
      <w:r w:rsidR="009A69BB" w:rsidRPr="001B387F">
        <w:rPr>
          <w:lang w:eastAsia="en-AU"/>
        </w:rPr>
        <w:t xml:space="preserve">The </w:t>
      </w:r>
      <w:r w:rsidRPr="001B387F">
        <w:rPr>
          <w:lang w:eastAsia="en-AU"/>
        </w:rPr>
        <w:t>Vietnam</w:t>
      </w:r>
      <w:r w:rsidR="009A69BB" w:rsidRPr="001B387F">
        <w:rPr>
          <w:lang w:eastAsia="en-AU"/>
        </w:rPr>
        <w:t>ese population’s</w:t>
      </w:r>
      <w:r w:rsidRPr="001B387F">
        <w:rPr>
          <w:lang w:eastAsia="en-AU"/>
        </w:rPr>
        <w:t xml:space="preserve"> average years of schooling </w:t>
      </w:r>
      <w:r w:rsidR="00292143" w:rsidRPr="001B387F">
        <w:rPr>
          <w:lang w:eastAsia="en-AU"/>
        </w:rPr>
        <w:t>is</w:t>
      </w:r>
      <w:r w:rsidRPr="001B387F">
        <w:rPr>
          <w:lang w:eastAsia="en-AU"/>
        </w:rPr>
        <w:t xml:space="preserve"> second only to Singapore among </w:t>
      </w:r>
      <w:r w:rsidR="009E3ECC" w:rsidRPr="001B387F">
        <w:rPr>
          <w:lang w:eastAsia="en-AU"/>
        </w:rPr>
        <w:t xml:space="preserve">Association of </w:t>
      </w:r>
      <w:r w:rsidR="00D87A66" w:rsidRPr="001B387F">
        <w:rPr>
          <w:lang w:eastAsia="en-AU"/>
        </w:rPr>
        <w:t xml:space="preserve">Southeast Asian Nations </w:t>
      </w:r>
      <w:r w:rsidR="009E3ECC" w:rsidRPr="001B387F">
        <w:rPr>
          <w:lang w:eastAsia="en-AU"/>
        </w:rPr>
        <w:t>(</w:t>
      </w:r>
      <w:r w:rsidRPr="001B387F">
        <w:rPr>
          <w:lang w:eastAsia="en-AU"/>
        </w:rPr>
        <w:t>ASEAN</w:t>
      </w:r>
      <w:r w:rsidR="009E3ECC" w:rsidRPr="001B387F">
        <w:rPr>
          <w:lang w:eastAsia="en-AU"/>
        </w:rPr>
        <w:t>)</w:t>
      </w:r>
      <w:r w:rsidRPr="001B387F">
        <w:rPr>
          <w:lang w:eastAsia="en-AU"/>
        </w:rPr>
        <w:t xml:space="preserve"> countries. </w:t>
      </w:r>
      <w:r w:rsidR="009C30F6" w:rsidRPr="001B387F">
        <w:rPr>
          <w:rFonts w:eastAsia="Times New Roman"/>
        </w:rPr>
        <w:t>However, the higher education and vocational system is not fully meeting Vietnam</w:t>
      </w:r>
      <w:r w:rsidR="00D151D5" w:rsidRPr="001B387F">
        <w:rPr>
          <w:rFonts w:eastAsia="Times New Roman"/>
        </w:rPr>
        <w:t>’</w:t>
      </w:r>
      <w:r w:rsidR="009C30F6" w:rsidRPr="001B387F">
        <w:rPr>
          <w:rFonts w:eastAsia="Times New Roman"/>
        </w:rPr>
        <w:t xml:space="preserve">s human resource and labour market needs. </w:t>
      </w:r>
      <w:r w:rsidR="00C626BC" w:rsidRPr="001B387F">
        <w:rPr>
          <w:rFonts w:eastAsia="Times New Roman"/>
        </w:rPr>
        <w:t>A</w:t>
      </w:r>
      <w:r w:rsidR="009C30F6" w:rsidRPr="001B387F">
        <w:rPr>
          <w:rFonts w:eastAsia="Times New Roman"/>
        </w:rPr>
        <w:t xml:space="preserve"> focus on investing in modernising higher education and vocational education and training</w:t>
      </w:r>
      <w:r w:rsidR="001A3203" w:rsidRPr="001B387F">
        <w:rPr>
          <w:rFonts w:eastAsia="Times New Roman"/>
        </w:rPr>
        <w:t xml:space="preserve"> (VET)</w:t>
      </w:r>
      <w:r w:rsidR="009C30F6" w:rsidRPr="001B387F">
        <w:rPr>
          <w:rFonts w:eastAsia="Times New Roman"/>
        </w:rPr>
        <w:t xml:space="preserve"> institutions</w:t>
      </w:r>
      <w:r w:rsidR="00C626BC" w:rsidRPr="001B387F">
        <w:rPr>
          <w:rFonts w:eastAsia="Times New Roman"/>
        </w:rPr>
        <w:t xml:space="preserve"> is needed</w:t>
      </w:r>
      <w:r w:rsidR="009C30F6" w:rsidRPr="001B387F">
        <w:rPr>
          <w:rFonts w:eastAsia="Times New Roman"/>
        </w:rPr>
        <w:t xml:space="preserve">. </w:t>
      </w:r>
      <w:proofErr w:type="gramStart"/>
      <w:r w:rsidR="009C30F6" w:rsidRPr="001B387F">
        <w:rPr>
          <w:rFonts w:eastAsia="Times New Roman"/>
        </w:rPr>
        <w:t>In particular, vocational</w:t>
      </w:r>
      <w:proofErr w:type="gramEnd"/>
      <w:r w:rsidR="009C30F6" w:rsidRPr="001B387F">
        <w:rPr>
          <w:rFonts w:eastAsia="Times New Roman"/>
        </w:rPr>
        <w:t xml:space="preserve"> education </w:t>
      </w:r>
      <w:r w:rsidR="009E7FB1" w:rsidRPr="001B387F">
        <w:rPr>
          <w:rFonts w:eastAsia="Times New Roman"/>
        </w:rPr>
        <w:t xml:space="preserve">needs to be developed </w:t>
      </w:r>
      <w:r w:rsidR="009C30F6" w:rsidRPr="001B387F">
        <w:rPr>
          <w:rFonts w:eastAsia="Times New Roman"/>
        </w:rPr>
        <w:t xml:space="preserve">in an open, flexible, modern, effective </w:t>
      </w:r>
      <w:r w:rsidR="00AB3444" w:rsidRPr="001B387F">
        <w:rPr>
          <w:rFonts w:eastAsia="Times New Roman"/>
        </w:rPr>
        <w:t xml:space="preserve">and </w:t>
      </w:r>
      <w:r w:rsidR="009C30F6" w:rsidRPr="001B387F">
        <w:rPr>
          <w:rFonts w:eastAsia="Times New Roman"/>
        </w:rPr>
        <w:t>integrated direction</w:t>
      </w:r>
      <w:r w:rsidR="00AB3444" w:rsidRPr="001B387F">
        <w:rPr>
          <w:rFonts w:eastAsia="Times New Roman"/>
        </w:rPr>
        <w:t>,</w:t>
      </w:r>
      <w:r w:rsidR="009C30F6" w:rsidRPr="001B387F">
        <w:rPr>
          <w:rFonts w:eastAsia="Times New Roman"/>
        </w:rPr>
        <w:t xml:space="preserve"> focusing on the structure and quality of training, including the regular retraining of workers, in order to meet changes in market demand and technology.</w:t>
      </w:r>
      <w:r w:rsidR="00A419C9" w:rsidRPr="001B387F">
        <w:rPr>
          <w:rStyle w:val="EndnoteReference"/>
          <w:rFonts w:eastAsia="Times New Roman"/>
        </w:rPr>
        <w:endnoteReference w:id="12"/>
      </w:r>
    </w:p>
    <w:p w14:paraId="62157EF5" w14:textId="58A11D17" w:rsidR="009E3323" w:rsidRPr="001B387F" w:rsidRDefault="009E3323" w:rsidP="00C104CD">
      <w:pPr>
        <w:rPr>
          <w:lang w:eastAsia="en-AU"/>
        </w:rPr>
      </w:pPr>
      <w:r w:rsidRPr="001B387F">
        <w:rPr>
          <w:lang w:eastAsia="en-AU"/>
        </w:rPr>
        <w:t>Vietnam’s Socio-Economic Development Strategy</w:t>
      </w:r>
      <w:r w:rsidR="008E457E" w:rsidRPr="001B387F">
        <w:rPr>
          <w:lang w:eastAsia="en-AU"/>
        </w:rPr>
        <w:t> 2021–2030</w:t>
      </w:r>
      <w:r w:rsidR="0019496B" w:rsidRPr="001B387F">
        <w:rPr>
          <w:lang w:eastAsia="en-AU"/>
        </w:rPr>
        <w:t xml:space="preserve"> identifies high</w:t>
      </w:r>
      <w:r w:rsidR="00E92847" w:rsidRPr="001B387F">
        <w:rPr>
          <w:lang w:eastAsia="en-AU"/>
        </w:rPr>
        <w:t>-</w:t>
      </w:r>
      <w:r w:rsidR="0019496B" w:rsidRPr="001B387F">
        <w:rPr>
          <w:lang w:eastAsia="en-AU"/>
        </w:rPr>
        <w:t>quality human resource development</w:t>
      </w:r>
      <w:r w:rsidRPr="001B387F">
        <w:rPr>
          <w:lang w:eastAsia="en-AU"/>
        </w:rPr>
        <w:t xml:space="preserve"> as one of three </w:t>
      </w:r>
      <w:r w:rsidR="0019496B" w:rsidRPr="001B387F">
        <w:rPr>
          <w:lang w:eastAsia="en-AU"/>
        </w:rPr>
        <w:t xml:space="preserve">areas of priority. </w:t>
      </w:r>
      <w:r w:rsidRPr="001B387F">
        <w:t>Vietnam’s skills and human resource development ambitions complement Australia’s goal of being an international education partner of choice. Australia is well</w:t>
      </w:r>
      <w:r w:rsidR="00F73B4B" w:rsidRPr="001B387F">
        <w:t xml:space="preserve"> </w:t>
      </w:r>
      <w:r w:rsidRPr="001B387F">
        <w:t xml:space="preserve">positioned to continue to support Vietnam’s priority skills and human resource needs, having successfully worked with Vietnam for </w:t>
      </w:r>
      <w:r w:rsidR="0020420F" w:rsidRPr="001B387F">
        <w:t xml:space="preserve">more than </w:t>
      </w:r>
      <w:r w:rsidRPr="001B387F">
        <w:t>50</w:t>
      </w:r>
      <w:r w:rsidR="00840901" w:rsidRPr="001B387F">
        <w:t> </w:t>
      </w:r>
      <w:r w:rsidRPr="001B387F">
        <w:t xml:space="preserve">years in education. Australia’s tertiary education system is highly regarded in Vietnam, with </w:t>
      </w:r>
      <w:r w:rsidR="0020420F" w:rsidRPr="001B387F">
        <w:t xml:space="preserve">more than </w:t>
      </w:r>
      <w:r w:rsidRPr="001B387F">
        <w:t>100,000</w:t>
      </w:r>
      <w:r w:rsidR="00F73B4B" w:rsidRPr="001B387F">
        <w:t> </w:t>
      </w:r>
      <w:r w:rsidR="004C5587" w:rsidRPr="001B387F">
        <w:t>alumni</w:t>
      </w:r>
      <w:r w:rsidR="0010063A" w:rsidRPr="001B387F">
        <w:t xml:space="preserve"> of Australian institutions</w:t>
      </w:r>
      <w:r w:rsidRPr="001B387F">
        <w:t xml:space="preserve">. Our </w:t>
      </w:r>
      <w:r w:rsidR="001A3203" w:rsidRPr="001B387F">
        <w:t>VET</w:t>
      </w:r>
      <w:r w:rsidRPr="001B387F">
        <w:t xml:space="preserve"> system is recognised as one of the best in the world. The Vietnam</w:t>
      </w:r>
      <w:r w:rsidR="00D3313C" w:rsidRPr="001B387F">
        <w:t xml:space="preserve"> </w:t>
      </w:r>
      <w:r w:rsidRPr="001B387F">
        <w:t xml:space="preserve">Australia Centre is a joint initiative </w:t>
      </w:r>
      <w:r w:rsidRPr="001B387F">
        <w:rPr>
          <w:rStyle w:val="ui-provider"/>
        </w:rPr>
        <w:t xml:space="preserve">of the Australian and Vietnamese governments, </w:t>
      </w:r>
      <w:r w:rsidRPr="001B387F">
        <w:t xml:space="preserve">funded by </w:t>
      </w:r>
      <w:r w:rsidR="00DB1FAE" w:rsidRPr="001B387F">
        <w:t>the Australian Government Department of Foreign Affairs and Trade (</w:t>
      </w:r>
      <w:r w:rsidRPr="001B387F">
        <w:t>DFAT</w:t>
      </w:r>
      <w:r w:rsidR="00DB1FAE" w:rsidRPr="001B387F">
        <w:t>)</w:t>
      </w:r>
      <w:r w:rsidRPr="001B387F">
        <w:t xml:space="preserve"> and</w:t>
      </w:r>
      <w:r w:rsidRPr="001B387F">
        <w:rPr>
          <w:rStyle w:val="ui-provider"/>
        </w:rPr>
        <w:t xml:space="preserve"> focused on establishing an elite and prestigious leadership capability development program for Vietnam. The V</w:t>
      </w:r>
      <w:r w:rsidR="00CA6654" w:rsidRPr="001B387F">
        <w:rPr>
          <w:rStyle w:val="ui-provider"/>
        </w:rPr>
        <w:t xml:space="preserve">ietnam </w:t>
      </w:r>
      <w:r w:rsidRPr="001B387F">
        <w:rPr>
          <w:rStyle w:val="ui-provider"/>
        </w:rPr>
        <w:t>A</w:t>
      </w:r>
      <w:r w:rsidR="00CA6654" w:rsidRPr="001B387F">
        <w:rPr>
          <w:rStyle w:val="ui-provider"/>
        </w:rPr>
        <w:t xml:space="preserve">ustralia </w:t>
      </w:r>
      <w:r w:rsidRPr="001B387F">
        <w:rPr>
          <w:rStyle w:val="ui-provider"/>
        </w:rPr>
        <w:t>C</w:t>
      </w:r>
      <w:r w:rsidR="00CA6654" w:rsidRPr="001B387F">
        <w:rPr>
          <w:rStyle w:val="ui-provider"/>
        </w:rPr>
        <w:t>entre</w:t>
      </w:r>
      <w:r w:rsidRPr="001B387F">
        <w:t xml:space="preserve"> demonstrates the mutual commitment and prioritisation of further cooperation between</w:t>
      </w:r>
      <w:r w:rsidRPr="001B387F">
        <w:rPr>
          <w:lang w:eastAsia="en-AU"/>
        </w:rPr>
        <w:t xml:space="preserve"> </w:t>
      </w:r>
      <w:r w:rsidR="00646E01" w:rsidRPr="001B387F">
        <w:rPr>
          <w:lang w:eastAsia="en-AU"/>
        </w:rPr>
        <w:t>our</w:t>
      </w:r>
      <w:r w:rsidRPr="001B387F">
        <w:rPr>
          <w:lang w:eastAsia="en-AU"/>
        </w:rPr>
        <w:t xml:space="preserve"> countries in public sector leadership</w:t>
      </w:r>
      <w:r w:rsidR="00A96501" w:rsidRPr="001B387F">
        <w:rPr>
          <w:lang w:eastAsia="en-AU"/>
        </w:rPr>
        <w:t>,</w:t>
      </w:r>
      <w:r w:rsidRPr="001B387F">
        <w:rPr>
          <w:lang w:eastAsia="en-AU"/>
        </w:rPr>
        <w:t xml:space="preserve"> including advancing women in leadership, </w:t>
      </w:r>
      <w:proofErr w:type="gramStart"/>
      <w:r w:rsidRPr="001B387F">
        <w:rPr>
          <w:lang w:eastAsia="en-AU"/>
        </w:rPr>
        <w:t>research</w:t>
      </w:r>
      <w:proofErr w:type="gramEnd"/>
      <w:r w:rsidRPr="001B387F">
        <w:rPr>
          <w:lang w:eastAsia="en-AU"/>
        </w:rPr>
        <w:t xml:space="preserve"> and knowledge exchange.</w:t>
      </w:r>
    </w:p>
    <w:p w14:paraId="6DB4580A" w14:textId="00A3713C" w:rsidR="009E3323" w:rsidRPr="001B387F" w:rsidRDefault="009E3323" w:rsidP="00F26D67">
      <w:pPr>
        <w:pStyle w:val="H3-Heading3"/>
        <w:rPr>
          <w:rFonts w:eastAsia="Times New Roman"/>
          <w:lang w:eastAsia="en-AU"/>
        </w:rPr>
      </w:pPr>
      <w:r w:rsidRPr="001B387F">
        <w:rPr>
          <w:rFonts w:eastAsia="Times New Roman"/>
          <w:lang w:eastAsia="en-AU"/>
        </w:rPr>
        <w:t>Climate change</w:t>
      </w:r>
    </w:p>
    <w:p w14:paraId="3AA26C12" w14:textId="6227C31F" w:rsidR="009E3323" w:rsidRPr="001B387F" w:rsidRDefault="009E3323" w:rsidP="00C104CD">
      <w:r w:rsidRPr="001B387F">
        <w:t>Vietnam is highly vulnerable to climate change and one of the most hazard</w:t>
      </w:r>
      <w:r w:rsidR="00671DCA" w:rsidRPr="001B387F">
        <w:t>-</w:t>
      </w:r>
      <w:r w:rsidRPr="001B387F">
        <w:t>prone countries in Southeast Asia</w:t>
      </w:r>
      <w:r w:rsidR="00166F3D" w:rsidRPr="001B387F">
        <w:t xml:space="preserve">. It is vulnerable to </w:t>
      </w:r>
      <w:r w:rsidR="00C74184" w:rsidRPr="001B387F">
        <w:t xml:space="preserve">hazards such as </w:t>
      </w:r>
      <w:r w:rsidRPr="001B387F">
        <w:t>floods, drought</w:t>
      </w:r>
      <w:r w:rsidR="00C74184" w:rsidRPr="001B387F">
        <w:t>s</w:t>
      </w:r>
      <w:r w:rsidRPr="001B387F">
        <w:t>, typhoon</w:t>
      </w:r>
      <w:r w:rsidR="00C74184" w:rsidRPr="001B387F">
        <w:t>s</w:t>
      </w:r>
      <w:r w:rsidRPr="001B387F">
        <w:t xml:space="preserve">, </w:t>
      </w:r>
      <w:proofErr w:type="gramStart"/>
      <w:r w:rsidRPr="001B387F">
        <w:t>storms</w:t>
      </w:r>
      <w:proofErr w:type="gramEnd"/>
      <w:r w:rsidRPr="001B387F">
        <w:t xml:space="preserve"> and landslides. </w:t>
      </w:r>
      <w:r w:rsidR="00166F3D" w:rsidRPr="001B387F">
        <w:t>With an average elevation of only two metres above sea level, t</w:t>
      </w:r>
      <w:r w:rsidRPr="001B387F">
        <w:t xml:space="preserve">he Mekong Delta, </w:t>
      </w:r>
      <w:r w:rsidR="00155A75" w:rsidRPr="001B387F">
        <w:t>which has</w:t>
      </w:r>
      <w:r w:rsidRPr="001B387F">
        <w:t xml:space="preserve"> a population of 17</w:t>
      </w:r>
      <w:r w:rsidR="003C783D" w:rsidRPr="001B387F">
        <w:t> </w:t>
      </w:r>
      <w:r w:rsidRPr="001B387F">
        <w:t>million</w:t>
      </w:r>
      <w:r w:rsidR="00155A75" w:rsidRPr="001B387F">
        <w:t xml:space="preserve"> and is responsible for over half of Vietnam’s food production</w:t>
      </w:r>
      <w:r w:rsidRPr="001B387F">
        <w:t xml:space="preserve">, </w:t>
      </w:r>
      <w:r w:rsidR="00D8658A" w:rsidRPr="001B387F">
        <w:t>is extremely vulnerable to climate change</w:t>
      </w:r>
      <w:r w:rsidRPr="001B387F">
        <w:t xml:space="preserve">. Vietnam’s overall level of vulnerability to climate change has increased over the </w:t>
      </w:r>
      <w:r w:rsidR="00316352" w:rsidRPr="001B387F">
        <w:t>past</w:t>
      </w:r>
      <w:r w:rsidRPr="001B387F">
        <w:t xml:space="preserve"> </w:t>
      </w:r>
      <w:r w:rsidR="00B47B61" w:rsidRPr="001B387F">
        <w:t>10 </w:t>
      </w:r>
      <w:r w:rsidRPr="001B387F">
        <w:t>years</w:t>
      </w:r>
      <w:r w:rsidR="001A16F1" w:rsidRPr="001B387F">
        <w:t>.</w:t>
      </w:r>
      <w:r w:rsidRPr="001B387F">
        <w:rPr>
          <w:rStyle w:val="EndnoteReference"/>
          <w:rFonts w:cs="Calibri Light"/>
        </w:rPr>
        <w:endnoteReference w:id="13"/>
      </w:r>
      <w:r w:rsidRPr="001B387F">
        <w:t xml:space="preserve"> Without concerted climate action, climate change could deprive Vietnam of as much as 12 to 14.5</w:t>
      </w:r>
      <w:r w:rsidR="00840901" w:rsidRPr="001B387F">
        <w:t> </w:t>
      </w:r>
      <w:r w:rsidRPr="001B387F">
        <w:t>per</w:t>
      </w:r>
      <w:r w:rsidR="00F6259F" w:rsidRPr="001B387F">
        <w:t> </w:t>
      </w:r>
      <w:r w:rsidRPr="001B387F">
        <w:t xml:space="preserve">cent of GDP by 2050 and place </w:t>
      </w:r>
      <w:r w:rsidR="00BF3713" w:rsidRPr="001B387F">
        <w:t>its</w:t>
      </w:r>
      <w:r w:rsidRPr="001B387F">
        <w:t xml:space="preserve"> goal of becoming a high-income country by 2045</w:t>
      </w:r>
      <w:r w:rsidR="00CB19E3" w:rsidRPr="001B387F">
        <w:t xml:space="preserve"> at risk</w:t>
      </w:r>
      <w:r w:rsidR="00602388" w:rsidRPr="001B387F">
        <w:t>.</w:t>
      </w:r>
      <w:r w:rsidRPr="001B387F">
        <w:rPr>
          <w:vertAlign w:val="superscript"/>
        </w:rPr>
        <w:endnoteReference w:id="14"/>
      </w:r>
      <w:r w:rsidRPr="001B387F">
        <w:t xml:space="preserve"> </w:t>
      </w:r>
      <w:r w:rsidR="00E3378B" w:rsidRPr="001B387F">
        <w:t xml:space="preserve">The </w:t>
      </w:r>
      <w:r w:rsidR="00281AF0" w:rsidRPr="001B387F">
        <w:t xml:space="preserve">potential </w:t>
      </w:r>
      <w:r w:rsidR="00E3378B" w:rsidRPr="001B387F">
        <w:t>impacts of climate change in Vietnam</w:t>
      </w:r>
      <w:r w:rsidRPr="001B387F">
        <w:t xml:space="preserve"> include damage to infrastructure, loss of productivity, health impacts, the displacement of local communities and sudden</w:t>
      </w:r>
      <w:r w:rsidR="001F527E" w:rsidRPr="001B387F">
        <w:t>-</w:t>
      </w:r>
      <w:r w:rsidRPr="001B387F">
        <w:t>onset hazards causing disasters that require humanitarian responses.</w:t>
      </w:r>
    </w:p>
    <w:p w14:paraId="0418D2DF" w14:textId="081E5932" w:rsidR="009E3323" w:rsidRPr="001B387F" w:rsidRDefault="009E3323" w:rsidP="00C104CD">
      <w:r w:rsidRPr="001B387F">
        <w:t>Vietnam</w:t>
      </w:r>
      <w:r w:rsidR="00A51462" w:rsidRPr="001B387F">
        <w:t>’</w:t>
      </w:r>
      <w:r w:rsidRPr="001B387F">
        <w:t xml:space="preserve">s rapid economic growth, urbanisation and industrialisation over the </w:t>
      </w:r>
      <w:r w:rsidR="00B47B61" w:rsidRPr="001B387F">
        <w:t>past</w:t>
      </w:r>
      <w:r w:rsidRPr="001B387F">
        <w:t xml:space="preserve"> 30</w:t>
      </w:r>
      <w:r w:rsidR="00B47B61" w:rsidRPr="001B387F">
        <w:t> </w:t>
      </w:r>
      <w:r w:rsidRPr="001B387F">
        <w:t>years have been powered by a coal-dependent energy supply that creates significant greenhouse gas emissions. Emission</w:t>
      </w:r>
      <w:r w:rsidR="005801E1" w:rsidRPr="001B387F">
        <w:t>s</w:t>
      </w:r>
      <w:r w:rsidRPr="001B387F">
        <w:t xml:space="preserve"> have increased substantially over the </w:t>
      </w:r>
      <w:r w:rsidR="00B47B61" w:rsidRPr="001B387F">
        <w:t>past</w:t>
      </w:r>
      <w:r w:rsidRPr="001B387F">
        <w:t xml:space="preserve"> decade, and Vietnam has committed its power sector to using significant amounts of fossil fuels over the next decade. In 2020, energy accounted for </w:t>
      </w:r>
      <w:r w:rsidR="00F84CC6" w:rsidRPr="001B387F">
        <w:t xml:space="preserve">around </w:t>
      </w:r>
      <w:r w:rsidRPr="001B387F">
        <w:t>65</w:t>
      </w:r>
      <w:r w:rsidR="00840901" w:rsidRPr="001B387F">
        <w:t> </w:t>
      </w:r>
      <w:r w:rsidRPr="001B387F">
        <w:t>per</w:t>
      </w:r>
      <w:r w:rsidR="00F6259F" w:rsidRPr="001B387F">
        <w:t> </w:t>
      </w:r>
      <w:r w:rsidRPr="001B387F">
        <w:t xml:space="preserve">cent of the country’s emissions. The extent to which Vietnam can successfully transition from its dependence on fossil fuels will have a large bearing on </w:t>
      </w:r>
      <w:r w:rsidR="00097F1E" w:rsidRPr="001B387F">
        <w:t>whether it</w:t>
      </w:r>
      <w:r w:rsidRPr="001B387F">
        <w:t xml:space="preserve"> achieve</w:t>
      </w:r>
      <w:r w:rsidR="00097F1E" w:rsidRPr="001B387F">
        <w:t>s</w:t>
      </w:r>
      <w:r w:rsidRPr="001B387F">
        <w:t xml:space="preserve"> high-income country status by 2045.</w:t>
      </w:r>
      <w:r w:rsidRPr="001B387F">
        <w:rPr>
          <w:vertAlign w:val="superscript"/>
        </w:rPr>
        <w:endnoteReference w:id="15"/>
      </w:r>
    </w:p>
    <w:p w14:paraId="475E70CE" w14:textId="20F93FDA" w:rsidR="009E3323" w:rsidRPr="001B387F" w:rsidRDefault="009E3323" w:rsidP="00C104CD">
      <w:r w:rsidRPr="001B387F">
        <w:t xml:space="preserve">While Vietnam has made important progress in policy development, </w:t>
      </w:r>
      <w:r w:rsidR="003B3CF5" w:rsidRPr="001B387F">
        <w:t>implementing</w:t>
      </w:r>
      <w:r w:rsidRPr="001B387F">
        <w:t xml:space="preserve"> climate adaptation and mitigation actions </w:t>
      </w:r>
      <w:r w:rsidR="003B3CF5" w:rsidRPr="001B387F">
        <w:t>is</w:t>
      </w:r>
      <w:r w:rsidRPr="001B387F">
        <w:t xml:space="preserve"> challenging.</w:t>
      </w:r>
      <w:r w:rsidRPr="001B387F">
        <w:rPr>
          <w:rFonts w:eastAsia="Calibri Light"/>
        </w:rPr>
        <w:t xml:space="preserve"> Accelerating Vietnam’s efforts will require major public and private investment. The effective use of available financial resources will be critical.</w:t>
      </w:r>
    </w:p>
    <w:p w14:paraId="0D1A66BB" w14:textId="7665E7B9" w:rsidR="009E3323" w:rsidRPr="001B387F" w:rsidRDefault="009E3323" w:rsidP="00C104CD">
      <w:r w:rsidRPr="001B387F">
        <w:t xml:space="preserve">Tackling climate change is a core challenge for Vietnam, which announced its target to achieve net zero </w:t>
      </w:r>
      <w:r w:rsidR="00EE0BA9" w:rsidRPr="001B387F">
        <w:t>e</w:t>
      </w:r>
      <w:r w:rsidR="009378DE" w:rsidRPr="001B387F">
        <w:t xml:space="preserve">missions </w:t>
      </w:r>
      <w:r w:rsidRPr="001B387F">
        <w:t>by 2050 during the COP26 World Leaders Summit in 2021. Australia is committed to achieving the same net zero target. Both countries have agreed to greater collaboration</w:t>
      </w:r>
      <w:r w:rsidR="00F945DC" w:rsidRPr="001B387F">
        <w:t>,</w:t>
      </w:r>
      <w:r w:rsidRPr="001B387F">
        <w:t xml:space="preserve"> as evidenced by the inclusion of climate change in our </w:t>
      </w:r>
      <w:r w:rsidR="007062C3" w:rsidRPr="001B387F">
        <w:t>CSP</w:t>
      </w:r>
      <w:r w:rsidRPr="001B387F">
        <w:t xml:space="preserve">. </w:t>
      </w:r>
      <w:r w:rsidRPr="001B387F">
        <w:rPr>
          <w:rFonts w:eastAsia="Calibri Light"/>
        </w:rPr>
        <w:t>Australia is well positioned to provide support and bring substantive whole-of-nation expertise</w:t>
      </w:r>
      <w:r w:rsidR="00402E0D" w:rsidRPr="001B387F">
        <w:rPr>
          <w:rFonts w:eastAsia="Calibri Light"/>
        </w:rPr>
        <w:t>,</w:t>
      </w:r>
      <w:r w:rsidRPr="001B387F">
        <w:rPr>
          <w:rFonts w:eastAsia="Calibri Light"/>
        </w:rPr>
        <w:t xml:space="preserve"> based on our own experience</w:t>
      </w:r>
      <w:r w:rsidR="00402E0D" w:rsidRPr="001B387F">
        <w:rPr>
          <w:rFonts w:eastAsia="Calibri Light"/>
        </w:rPr>
        <w:t>,</w:t>
      </w:r>
      <w:r w:rsidRPr="001B387F">
        <w:rPr>
          <w:rFonts w:eastAsia="Calibri Light"/>
        </w:rPr>
        <w:t xml:space="preserve"> in </w:t>
      </w:r>
      <w:r w:rsidR="0069597C" w:rsidRPr="001B387F">
        <w:rPr>
          <w:rFonts w:eastAsia="Calibri Light"/>
        </w:rPr>
        <w:t xml:space="preserve">working to </w:t>
      </w:r>
      <w:r w:rsidRPr="001B387F">
        <w:rPr>
          <w:rFonts w:eastAsia="Calibri Light"/>
        </w:rPr>
        <w:t xml:space="preserve">transition to net zero by 2050 and </w:t>
      </w:r>
      <w:r w:rsidR="00A86C32" w:rsidRPr="001B387F">
        <w:rPr>
          <w:rFonts w:eastAsia="Calibri Light"/>
        </w:rPr>
        <w:t xml:space="preserve">in </w:t>
      </w:r>
      <w:r w:rsidRPr="001B387F">
        <w:rPr>
          <w:rFonts w:eastAsia="Calibri Light"/>
        </w:rPr>
        <w:t xml:space="preserve">adaptation, </w:t>
      </w:r>
      <w:r w:rsidR="00402E0D" w:rsidRPr="001B387F">
        <w:rPr>
          <w:rFonts w:eastAsia="Calibri Light"/>
        </w:rPr>
        <w:t xml:space="preserve">especially </w:t>
      </w:r>
      <w:r w:rsidRPr="001B387F">
        <w:rPr>
          <w:rFonts w:eastAsia="Calibri Light"/>
        </w:rPr>
        <w:t>in agriculture and water</w:t>
      </w:r>
      <w:r w:rsidRPr="001B387F">
        <w:t>.</w:t>
      </w:r>
    </w:p>
    <w:p w14:paraId="48E3C9E2" w14:textId="06472754" w:rsidR="009E3323" w:rsidRPr="001B387F" w:rsidRDefault="009E3323" w:rsidP="00F26D67">
      <w:pPr>
        <w:pStyle w:val="H3-Heading3"/>
        <w:rPr>
          <w:rFonts w:eastAsia="Times New Roman"/>
          <w:lang w:eastAsia="en-AU"/>
        </w:rPr>
      </w:pPr>
      <w:r w:rsidRPr="001B387F">
        <w:rPr>
          <w:rFonts w:eastAsia="Times New Roman"/>
          <w:lang w:eastAsia="en-AU"/>
        </w:rPr>
        <w:lastRenderedPageBreak/>
        <w:t xml:space="preserve">Gender </w:t>
      </w:r>
      <w:r w:rsidR="00271E17" w:rsidRPr="001B387F">
        <w:rPr>
          <w:rFonts w:eastAsia="Times New Roman"/>
          <w:lang w:eastAsia="en-AU"/>
        </w:rPr>
        <w:t>e</w:t>
      </w:r>
      <w:r w:rsidRPr="001B387F">
        <w:rPr>
          <w:rFonts w:eastAsia="Times New Roman"/>
          <w:lang w:eastAsia="en-AU"/>
        </w:rPr>
        <w:t xml:space="preserve">quality, </w:t>
      </w:r>
      <w:proofErr w:type="gramStart"/>
      <w:r w:rsidR="00271E17" w:rsidRPr="001B387F">
        <w:rPr>
          <w:rFonts w:eastAsia="Times New Roman"/>
          <w:lang w:eastAsia="en-AU"/>
        </w:rPr>
        <w:t>d</w:t>
      </w:r>
      <w:r w:rsidRPr="001B387F">
        <w:rPr>
          <w:rFonts w:eastAsia="Times New Roman"/>
          <w:lang w:eastAsia="en-AU"/>
        </w:rPr>
        <w:t>isability</w:t>
      </w:r>
      <w:proofErr w:type="gramEnd"/>
      <w:r w:rsidRPr="001B387F">
        <w:rPr>
          <w:rFonts w:eastAsia="Times New Roman"/>
          <w:lang w:eastAsia="en-AU"/>
        </w:rPr>
        <w:t xml:space="preserve"> and </w:t>
      </w:r>
      <w:r w:rsidR="00271E17" w:rsidRPr="001B387F">
        <w:rPr>
          <w:rFonts w:eastAsia="Times New Roman"/>
          <w:lang w:eastAsia="en-AU"/>
        </w:rPr>
        <w:t>s</w:t>
      </w:r>
      <w:r w:rsidRPr="001B387F">
        <w:rPr>
          <w:rFonts w:eastAsia="Times New Roman"/>
          <w:lang w:eastAsia="en-AU"/>
        </w:rPr>
        <w:t xml:space="preserve">ocial </w:t>
      </w:r>
      <w:r w:rsidR="00271E17" w:rsidRPr="001B387F">
        <w:rPr>
          <w:rFonts w:eastAsia="Times New Roman"/>
          <w:lang w:eastAsia="en-AU"/>
        </w:rPr>
        <w:t>i</w:t>
      </w:r>
      <w:r w:rsidRPr="001B387F">
        <w:rPr>
          <w:rFonts w:eastAsia="Times New Roman"/>
          <w:lang w:eastAsia="en-AU"/>
        </w:rPr>
        <w:t>nclusion (GEDSI)</w:t>
      </w:r>
    </w:p>
    <w:p w14:paraId="65C4B48C" w14:textId="568B5A71" w:rsidR="009E3323" w:rsidRPr="001B387F" w:rsidRDefault="009E3323" w:rsidP="00C104CD">
      <w:pPr>
        <w:rPr>
          <w:lang w:eastAsia="en-AU"/>
        </w:rPr>
      </w:pPr>
      <w:r w:rsidRPr="001B387F">
        <w:rPr>
          <w:lang w:eastAsia="en-AU"/>
        </w:rPr>
        <w:t xml:space="preserve">Vietnam has a proud record of achievements on gender equality. It outperforms most countries in Southeast Asia, including some high-income peers, in narrowing the gaps </w:t>
      </w:r>
      <w:r w:rsidR="00B81E98" w:rsidRPr="001B387F">
        <w:rPr>
          <w:lang w:eastAsia="en-AU"/>
        </w:rPr>
        <w:t xml:space="preserve">between </w:t>
      </w:r>
      <w:r w:rsidRPr="001B387F">
        <w:rPr>
          <w:lang w:eastAsia="en-AU"/>
        </w:rPr>
        <w:t>women</w:t>
      </w:r>
      <w:r w:rsidR="00E573D9" w:rsidRPr="001B387F">
        <w:rPr>
          <w:lang w:eastAsia="en-AU"/>
        </w:rPr>
        <w:t>’s</w:t>
      </w:r>
      <w:r w:rsidR="00B81E98" w:rsidRPr="001B387F">
        <w:rPr>
          <w:lang w:eastAsia="en-AU"/>
        </w:rPr>
        <w:t xml:space="preserve"> and men</w:t>
      </w:r>
      <w:r w:rsidRPr="001B387F">
        <w:rPr>
          <w:lang w:eastAsia="en-AU"/>
        </w:rPr>
        <w:t xml:space="preserve">’s economic participation. This is based on its performance on women’s labour force participation and the ratio of women </w:t>
      </w:r>
      <w:r w:rsidR="004601B5" w:rsidRPr="001B387F">
        <w:rPr>
          <w:lang w:eastAsia="en-AU"/>
        </w:rPr>
        <w:t xml:space="preserve">to men </w:t>
      </w:r>
      <w:r w:rsidRPr="001B387F">
        <w:rPr>
          <w:lang w:eastAsia="en-AU"/>
        </w:rPr>
        <w:t>in senior, professional and technical roles. However, this progress stands in stark contrast to, for example, the prevalence of</w:t>
      </w:r>
      <w:r w:rsidR="00C93A7E" w:rsidRPr="001B387F">
        <w:rPr>
          <w:lang w:eastAsia="en-AU"/>
        </w:rPr>
        <w:t> </w:t>
      </w:r>
      <w:r w:rsidRPr="001B387F">
        <w:rPr>
          <w:lang w:eastAsia="en-AU"/>
        </w:rPr>
        <w:t>gender-based sex</w:t>
      </w:r>
      <w:r w:rsidR="009A737E" w:rsidRPr="001B387F">
        <w:rPr>
          <w:lang w:eastAsia="en-AU"/>
        </w:rPr>
        <w:t>-</w:t>
      </w:r>
      <w:r w:rsidRPr="001B387F">
        <w:rPr>
          <w:lang w:eastAsia="en-AU"/>
        </w:rPr>
        <w:t>selective abortion (</w:t>
      </w:r>
      <w:r w:rsidR="000B2715" w:rsidRPr="001B387F">
        <w:rPr>
          <w:lang w:eastAsia="en-AU"/>
        </w:rPr>
        <w:t xml:space="preserve">reflected in </w:t>
      </w:r>
      <w:r w:rsidR="007E1EBD" w:rsidRPr="001B387F">
        <w:rPr>
          <w:lang w:eastAsia="en-AU"/>
        </w:rPr>
        <w:t>a sex ratio at birth of</w:t>
      </w:r>
      <w:r w:rsidR="007618D7" w:rsidRPr="001B387F">
        <w:rPr>
          <w:lang w:eastAsia="en-AU"/>
        </w:rPr>
        <w:t xml:space="preserve"> </w:t>
      </w:r>
      <w:r w:rsidR="00374577" w:rsidRPr="001B387F">
        <w:rPr>
          <w:lang w:eastAsia="en-AU"/>
        </w:rPr>
        <w:t>112</w:t>
      </w:r>
      <w:r w:rsidR="008E158B" w:rsidRPr="001B387F">
        <w:rPr>
          <w:lang w:eastAsia="en-AU"/>
        </w:rPr>
        <w:t> </w:t>
      </w:r>
      <w:r w:rsidR="00374577" w:rsidRPr="001B387F">
        <w:rPr>
          <w:lang w:eastAsia="en-AU"/>
        </w:rPr>
        <w:t>male</w:t>
      </w:r>
      <w:r w:rsidR="007618D7" w:rsidRPr="001B387F">
        <w:rPr>
          <w:lang w:eastAsia="en-AU"/>
        </w:rPr>
        <w:t xml:space="preserve">s </w:t>
      </w:r>
      <w:r w:rsidR="00E93847" w:rsidRPr="001B387F">
        <w:rPr>
          <w:lang w:eastAsia="en-AU"/>
        </w:rPr>
        <w:t>for every</w:t>
      </w:r>
      <w:r w:rsidR="007618D7" w:rsidRPr="001B387F">
        <w:rPr>
          <w:lang w:eastAsia="en-AU"/>
        </w:rPr>
        <w:t xml:space="preserve"> </w:t>
      </w:r>
      <w:r w:rsidR="00374577" w:rsidRPr="001B387F">
        <w:rPr>
          <w:lang w:eastAsia="en-AU"/>
        </w:rPr>
        <w:t>100</w:t>
      </w:r>
      <w:r w:rsidR="008E158B" w:rsidRPr="001B387F">
        <w:rPr>
          <w:lang w:eastAsia="en-AU"/>
        </w:rPr>
        <w:t> </w:t>
      </w:r>
      <w:r w:rsidR="00374577" w:rsidRPr="001B387F">
        <w:rPr>
          <w:lang w:eastAsia="en-AU"/>
        </w:rPr>
        <w:t>females</w:t>
      </w:r>
      <w:r w:rsidRPr="001B387F">
        <w:rPr>
          <w:lang w:eastAsia="en-AU"/>
        </w:rPr>
        <w:t>)</w:t>
      </w:r>
      <w:r w:rsidRPr="001B387F">
        <w:rPr>
          <w:vertAlign w:val="superscript"/>
          <w:lang w:eastAsia="en-AU"/>
        </w:rPr>
        <w:endnoteReference w:id="16"/>
      </w:r>
      <w:r w:rsidRPr="001B387F">
        <w:rPr>
          <w:lang w:eastAsia="en-AU"/>
        </w:rPr>
        <w:t xml:space="preserve"> and</w:t>
      </w:r>
      <w:r w:rsidR="00C93A7E" w:rsidRPr="001B387F">
        <w:rPr>
          <w:lang w:eastAsia="en-AU"/>
        </w:rPr>
        <w:t> </w:t>
      </w:r>
      <w:r w:rsidRPr="001B387F">
        <w:rPr>
          <w:lang w:eastAsia="en-AU"/>
        </w:rPr>
        <w:t>high rates of gender-based violence (</w:t>
      </w:r>
      <w:r w:rsidR="00F6297B" w:rsidRPr="001B387F">
        <w:rPr>
          <w:lang w:eastAsia="en-AU"/>
        </w:rPr>
        <w:t>two-thirds of</w:t>
      </w:r>
      <w:r w:rsidRPr="001B387F">
        <w:rPr>
          <w:lang w:eastAsia="en-AU"/>
        </w:rPr>
        <w:t xml:space="preserve"> married women experienc</w:t>
      </w:r>
      <w:r w:rsidR="00B13733" w:rsidRPr="001B387F">
        <w:rPr>
          <w:lang w:eastAsia="en-AU"/>
        </w:rPr>
        <w:t>e</w:t>
      </w:r>
      <w:r w:rsidRPr="001B387F">
        <w:rPr>
          <w:lang w:eastAsia="en-AU"/>
        </w:rPr>
        <w:t xml:space="preserve"> at least one form of violence by</w:t>
      </w:r>
      <w:r w:rsidR="00C93A7E" w:rsidRPr="001B387F">
        <w:rPr>
          <w:lang w:eastAsia="en-AU"/>
        </w:rPr>
        <w:t> </w:t>
      </w:r>
      <w:r w:rsidRPr="001B387F">
        <w:rPr>
          <w:lang w:eastAsia="en-AU"/>
        </w:rPr>
        <w:t>their partners in their lifetime, with 90</w:t>
      </w:r>
      <w:r w:rsidR="0091497E" w:rsidRPr="001B387F">
        <w:rPr>
          <w:lang w:eastAsia="en-AU"/>
        </w:rPr>
        <w:t> </w:t>
      </w:r>
      <w:r w:rsidRPr="001B387F">
        <w:rPr>
          <w:lang w:eastAsia="en-AU"/>
        </w:rPr>
        <w:t>per</w:t>
      </w:r>
      <w:r w:rsidR="00563EE3" w:rsidRPr="001B387F">
        <w:rPr>
          <w:lang w:eastAsia="en-AU"/>
        </w:rPr>
        <w:t> </w:t>
      </w:r>
      <w:r w:rsidRPr="001B387F">
        <w:rPr>
          <w:lang w:eastAsia="en-AU"/>
        </w:rPr>
        <w:t>cent not seeking support)</w:t>
      </w:r>
      <w:r w:rsidR="00527616" w:rsidRPr="001B387F">
        <w:rPr>
          <w:lang w:eastAsia="en-AU"/>
        </w:rPr>
        <w:t>,</w:t>
      </w:r>
      <w:r w:rsidR="00A8673C" w:rsidRPr="001B387F">
        <w:rPr>
          <w:lang w:eastAsia="en-AU"/>
        </w:rPr>
        <w:t xml:space="preserve"> </w:t>
      </w:r>
      <w:r w:rsidRPr="001B387F">
        <w:rPr>
          <w:lang w:eastAsia="en-AU"/>
        </w:rPr>
        <w:t xml:space="preserve">which reflect </w:t>
      </w:r>
      <w:r w:rsidR="00F253C0" w:rsidRPr="001B387F">
        <w:rPr>
          <w:lang w:eastAsia="en-AU"/>
        </w:rPr>
        <w:t xml:space="preserve">harmful gender preferences and </w:t>
      </w:r>
      <w:r w:rsidRPr="001B387F">
        <w:rPr>
          <w:lang w:eastAsia="en-AU"/>
        </w:rPr>
        <w:t>norms.</w:t>
      </w:r>
      <w:r w:rsidRPr="001B387F">
        <w:rPr>
          <w:vertAlign w:val="superscript"/>
          <w:lang w:eastAsia="en-AU"/>
        </w:rPr>
        <w:endnoteReference w:id="17"/>
      </w:r>
    </w:p>
    <w:p w14:paraId="464F49B5" w14:textId="5C3306FF" w:rsidR="009E3323" w:rsidRPr="001B387F" w:rsidRDefault="009E3323" w:rsidP="00C104CD">
      <w:pPr>
        <w:rPr>
          <w:lang w:eastAsia="en-AU"/>
        </w:rPr>
      </w:pPr>
      <w:r w:rsidRPr="001B387F">
        <w:rPr>
          <w:lang w:eastAsia="en-AU"/>
        </w:rPr>
        <w:t xml:space="preserve">Despite Vietnam’s overall progress in social inclusion, there </w:t>
      </w:r>
      <w:r w:rsidR="00C93A7E" w:rsidRPr="001B387F">
        <w:rPr>
          <w:lang w:eastAsia="en-AU"/>
        </w:rPr>
        <w:t>remain</w:t>
      </w:r>
      <w:r w:rsidRPr="001B387F">
        <w:rPr>
          <w:lang w:eastAsia="en-AU"/>
        </w:rPr>
        <w:t xml:space="preserve"> groups in Vietnamese society that are not able to fully participate in, and benefit from, Vietnam’s development. For example, ethnic minority groups experience higher poverty rates</w:t>
      </w:r>
      <w:r w:rsidR="00C93A7E" w:rsidRPr="001B387F">
        <w:rPr>
          <w:lang w:eastAsia="en-AU"/>
        </w:rPr>
        <w:t>,</w:t>
      </w:r>
      <w:r w:rsidRPr="001B387F">
        <w:rPr>
          <w:lang w:eastAsia="en-AU"/>
        </w:rPr>
        <w:t xml:space="preserve"> </w:t>
      </w:r>
      <w:r w:rsidR="0089126C" w:rsidRPr="001B387F">
        <w:rPr>
          <w:lang w:eastAsia="en-AU"/>
        </w:rPr>
        <w:t xml:space="preserve">and </w:t>
      </w:r>
      <w:r w:rsidRPr="001B387F">
        <w:rPr>
          <w:lang w:eastAsia="en-AU"/>
        </w:rPr>
        <w:t xml:space="preserve">people with </w:t>
      </w:r>
      <w:r w:rsidR="009F6156" w:rsidRPr="001B387F">
        <w:rPr>
          <w:lang w:eastAsia="en-AU"/>
        </w:rPr>
        <w:t>disability</w:t>
      </w:r>
      <w:r w:rsidRPr="001B387F">
        <w:rPr>
          <w:lang w:eastAsia="en-AU"/>
        </w:rPr>
        <w:t xml:space="preserve"> have lower formal employment rates. Both groups are burdened </w:t>
      </w:r>
      <w:r w:rsidR="00C93A7E" w:rsidRPr="001B387F">
        <w:rPr>
          <w:lang w:eastAsia="en-AU"/>
        </w:rPr>
        <w:t xml:space="preserve">by </w:t>
      </w:r>
      <w:r w:rsidRPr="001B387F">
        <w:rPr>
          <w:lang w:eastAsia="en-AU"/>
        </w:rPr>
        <w:t>higher costs of living and are disproportionately affected by crises. As recognised by Vietnam, ensuring no</w:t>
      </w:r>
      <w:r w:rsidR="000B0706" w:rsidRPr="001B387F">
        <w:rPr>
          <w:lang w:eastAsia="en-AU"/>
        </w:rPr>
        <w:t>-</w:t>
      </w:r>
      <w:r w:rsidRPr="001B387F">
        <w:rPr>
          <w:lang w:eastAsia="en-AU"/>
        </w:rPr>
        <w:t>one is left behind is both a social and economic imperative. All Vietnamese need to be able to contribute to Vietnam’s development</w:t>
      </w:r>
      <w:r w:rsidR="00D16AE9" w:rsidRPr="001B387F">
        <w:rPr>
          <w:lang w:eastAsia="en-AU"/>
        </w:rPr>
        <w:t xml:space="preserve"> and share the benefits equitably</w:t>
      </w:r>
      <w:r w:rsidRPr="001B387F">
        <w:rPr>
          <w:lang w:eastAsia="en-AU"/>
        </w:rPr>
        <w:t xml:space="preserve"> if it is to become a high-income country by 2045.</w:t>
      </w:r>
    </w:p>
    <w:p w14:paraId="6ACB7F57" w14:textId="1C5552A9" w:rsidR="009E3323" w:rsidRPr="001B387F" w:rsidRDefault="009E3323" w:rsidP="00C104CD">
      <w:pPr>
        <w:rPr>
          <w:rFonts w:eastAsia="Calibri Light"/>
        </w:rPr>
      </w:pPr>
      <w:r w:rsidRPr="001B387F">
        <w:t>Addressing inclusion is a priority in Vietnam’s Socio-Economic Development Strategy</w:t>
      </w:r>
      <w:r w:rsidR="00A47B7F" w:rsidRPr="001B387F">
        <w:t> 2021–2030</w:t>
      </w:r>
      <w:r w:rsidR="00C52E38" w:rsidRPr="001B387F">
        <w:t xml:space="preserve">, which has </w:t>
      </w:r>
      <w:r w:rsidR="00731E5B" w:rsidRPr="001B387F">
        <w:t>a</w:t>
      </w:r>
      <w:r w:rsidRPr="001B387F">
        <w:t xml:space="preserve"> strong emphasis on social security and welfare</w:t>
      </w:r>
      <w:r w:rsidR="00E1498F" w:rsidRPr="001B387F">
        <w:t>,</w:t>
      </w:r>
      <w:r w:rsidRPr="001B387F">
        <w:t xml:space="preserve"> which reflects Vietnam’s socialist orientation. Inclusion is also a</w:t>
      </w:r>
      <w:r w:rsidR="000B75AB" w:rsidRPr="001B387F">
        <w:t> </w:t>
      </w:r>
      <w:r w:rsidRPr="001B387F">
        <w:t>key</w:t>
      </w:r>
      <w:r w:rsidR="000B75AB" w:rsidRPr="001B387F">
        <w:t> </w:t>
      </w:r>
      <w:r w:rsidRPr="001B387F">
        <w:t xml:space="preserve">strategic policy agenda for Australia as set out in our International Development Policy. </w:t>
      </w:r>
      <w:r w:rsidRPr="001B387F">
        <w:rPr>
          <w:rFonts w:eastAsia="Calibri Light"/>
        </w:rPr>
        <w:t xml:space="preserve">For over </w:t>
      </w:r>
      <w:r w:rsidR="0091497E" w:rsidRPr="001B387F">
        <w:rPr>
          <w:rFonts w:eastAsia="Calibri Light"/>
        </w:rPr>
        <w:t>10 </w:t>
      </w:r>
      <w:r w:rsidRPr="001B387F">
        <w:rPr>
          <w:rFonts w:eastAsia="Calibri Light"/>
        </w:rPr>
        <w:t xml:space="preserve">years, gender equality has been a focus of Australian support </w:t>
      </w:r>
      <w:r w:rsidR="00B13733" w:rsidRPr="001B387F">
        <w:rPr>
          <w:rFonts w:eastAsia="Calibri Light"/>
        </w:rPr>
        <w:t>to Vietnam</w:t>
      </w:r>
      <w:r w:rsidR="00E1498F" w:rsidRPr="001B387F">
        <w:rPr>
          <w:rFonts w:eastAsia="Calibri Light"/>
        </w:rPr>
        <w:t>,</w:t>
      </w:r>
      <w:r w:rsidR="00B13733" w:rsidRPr="001B387F">
        <w:rPr>
          <w:rFonts w:eastAsia="Calibri Light"/>
        </w:rPr>
        <w:t xml:space="preserve"> </w:t>
      </w:r>
      <w:r w:rsidRPr="001B387F">
        <w:rPr>
          <w:rFonts w:eastAsia="Calibri Light"/>
        </w:rPr>
        <w:t>which has led to important policy reforms and</w:t>
      </w:r>
      <w:r w:rsidR="000B75AB" w:rsidRPr="001B387F">
        <w:rPr>
          <w:rFonts w:eastAsia="Calibri Light"/>
        </w:rPr>
        <w:t> </w:t>
      </w:r>
      <w:r w:rsidRPr="001B387F">
        <w:rPr>
          <w:rFonts w:eastAsia="Calibri Light"/>
        </w:rPr>
        <w:t>equality gains.</w:t>
      </w:r>
    </w:p>
    <w:p w14:paraId="0E43BA82" w14:textId="5756D096" w:rsidR="009E3323" w:rsidRPr="001B387F" w:rsidRDefault="009E3323">
      <w:pPr>
        <w:spacing w:before="0" w:after="0" w:line="240" w:lineRule="auto"/>
        <w:rPr>
          <w:rFonts w:eastAsia="Calibri Light" w:cs="Calibri Light"/>
          <w:szCs w:val="21"/>
        </w:rPr>
      </w:pPr>
      <w:r w:rsidRPr="001B387F">
        <w:rPr>
          <w:rFonts w:eastAsia="Calibri Light" w:cs="Calibri Light"/>
          <w:szCs w:val="21"/>
        </w:rPr>
        <w:br w:type="page"/>
      </w:r>
    </w:p>
    <w:p w14:paraId="1C7A5571" w14:textId="494F90C9" w:rsidR="009E3323" w:rsidRPr="001B387F" w:rsidRDefault="009E3323" w:rsidP="00F26D67">
      <w:pPr>
        <w:pStyle w:val="H2-Heading2"/>
        <w:rPr>
          <w:rFonts w:eastAsia="Yu Gothic Light"/>
        </w:rPr>
      </w:pPr>
      <w:r w:rsidRPr="001B387F">
        <w:rPr>
          <w:rFonts w:eastAsia="Yu Gothic Light"/>
        </w:rPr>
        <w:lastRenderedPageBreak/>
        <w:t xml:space="preserve">Section 3: Joint objectives of the Australia – Vietnam </w:t>
      </w:r>
      <w:r w:rsidR="00A86B29" w:rsidRPr="001B387F">
        <w:rPr>
          <w:rFonts w:eastAsia="Yu Gothic Light"/>
        </w:rPr>
        <w:t>d</w:t>
      </w:r>
      <w:r w:rsidRPr="001B387F">
        <w:rPr>
          <w:rFonts w:eastAsia="Yu Gothic Light"/>
        </w:rPr>
        <w:t>evelopment</w:t>
      </w:r>
      <w:r w:rsidR="0078404E" w:rsidRPr="001B387F">
        <w:rPr>
          <w:rFonts w:eastAsia="Yu Gothic Light"/>
        </w:rPr>
        <w:t> </w:t>
      </w:r>
      <w:r w:rsidR="00A86B29" w:rsidRPr="001B387F">
        <w:rPr>
          <w:rFonts w:eastAsia="Yu Gothic Light"/>
        </w:rPr>
        <w:t>p</w:t>
      </w:r>
      <w:r w:rsidRPr="001B387F">
        <w:rPr>
          <w:rFonts w:eastAsia="Yu Gothic Light"/>
        </w:rPr>
        <w:t>artnership</w:t>
      </w:r>
    </w:p>
    <w:p w14:paraId="1C2C980F" w14:textId="59821E29" w:rsidR="009E3323" w:rsidRPr="001B387F" w:rsidRDefault="002444E4" w:rsidP="001F21CA">
      <w:pPr>
        <w:rPr>
          <w:lang w:eastAsia="en-AU"/>
        </w:rPr>
      </w:pPr>
      <w:r w:rsidRPr="001B387F">
        <w:rPr>
          <w:lang w:eastAsia="en-AU"/>
        </w:rPr>
        <w:t xml:space="preserve">The overarching goal for the Australia – Vietnam development partnership is a prosperous, </w:t>
      </w:r>
      <w:proofErr w:type="gramStart"/>
      <w:r w:rsidRPr="001B387F">
        <w:rPr>
          <w:lang w:eastAsia="en-AU"/>
        </w:rPr>
        <w:t>resilient</w:t>
      </w:r>
      <w:proofErr w:type="gramEnd"/>
      <w:r w:rsidRPr="001B387F">
        <w:rPr>
          <w:lang w:eastAsia="en-AU"/>
        </w:rPr>
        <w:t xml:space="preserve"> and stable Vietnam. </w:t>
      </w:r>
      <w:r w:rsidR="009E3323" w:rsidRPr="001B387F">
        <w:rPr>
          <w:lang w:eastAsia="en-AU"/>
        </w:rPr>
        <w:t xml:space="preserve">Our four development partnership objectives, and how we will work together to progress each objective, </w:t>
      </w:r>
      <w:r w:rsidR="006E78D9" w:rsidRPr="001B387F">
        <w:rPr>
          <w:lang w:eastAsia="en-AU"/>
        </w:rPr>
        <w:t xml:space="preserve">are </w:t>
      </w:r>
      <w:r w:rsidR="009E3323" w:rsidRPr="001B387F">
        <w:rPr>
          <w:lang w:eastAsia="en-AU"/>
        </w:rPr>
        <w:t>set out below and summarised in Table</w:t>
      </w:r>
      <w:r w:rsidR="009E696E" w:rsidRPr="001B387F">
        <w:rPr>
          <w:lang w:eastAsia="en-AU"/>
        </w:rPr>
        <w:t> </w:t>
      </w:r>
      <w:r w:rsidR="009E3323" w:rsidRPr="001B387F">
        <w:rPr>
          <w:lang w:eastAsia="en-AU"/>
        </w:rPr>
        <w:t>1.</w:t>
      </w:r>
    </w:p>
    <w:p w14:paraId="48FC2015" w14:textId="6FCBF238" w:rsidR="009E3323" w:rsidRPr="001B387F" w:rsidRDefault="009E3323" w:rsidP="00F26D67">
      <w:pPr>
        <w:pStyle w:val="Tabletitle"/>
      </w:pPr>
      <w:r w:rsidRPr="001B387F">
        <w:t>Table</w:t>
      </w:r>
      <w:r w:rsidR="009E696E" w:rsidRPr="001B387F">
        <w:t> </w:t>
      </w:r>
      <w:r w:rsidRPr="001B387F">
        <w:t>1: Australia – Vietnam development partnership</w:t>
      </w:r>
    </w:p>
    <w:p w14:paraId="7D5E80EE" w14:textId="04DB9185" w:rsidR="009E3323" w:rsidRPr="001B387F" w:rsidRDefault="002444E4" w:rsidP="00EB60C2">
      <w:pPr>
        <w:pStyle w:val="Table1goalhead"/>
        <w:rPr>
          <w:iCs/>
        </w:rPr>
      </w:pPr>
      <w:r w:rsidRPr="001B387F">
        <w:t>Goal: A prosperous</w:t>
      </w:r>
      <w:r w:rsidR="00056009" w:rsidRPr="001B387F">
        <w:t xml:space="preserve">, </w:t>
      </w:r>
      <w:proofErr w:type="gramStart"/>
      <w:r w:rsidR="00056009" w:rsidRPr="001B387F">
        <w:t>resilient</w:t>
      </w:r>
      <w:proofErr w:type="gramEnd"/>
      <w:r w:rsidR="00056009" w:rsidRPr="001B387F">
        <w:t xml:space="preserve"> and stable</w:t>
      </w:r>
      <w:r w:rsidRPr="001B387F">
        <w:t xml:space="preserve"> Vietnam</w:t>
      </w:r>
    </w:p>
    <w:tbl>
      <w:tblPr>
        <w:tblStyle w:val="DPPtable1"/>
        <w:tblpPr w:leftFromText="181" w:rightFromText="181" w:bottomFromText="284" w:vertAnchor="text" w:tblpY="1"/>
        <w:tblW w:w="5000" w:type="pct"/>
        <w:tblLook w:val="04A0" w:firstRow="1" w:lastRow="0" w:firstColumn="1" w:lastColumn="0" w:noHBand="0" w:noVBand="1"/>
        <w:tblCaption w:val="Australia – Vietnam development partnership "/>
        <w:tblDescription w:val="The objectives, outcomes and focus areas to support the goal of a prosperous, resilient and stable Vietnam"/>
      </w:tblPr>
      <w:tblGrid>
        <w:gridCol w:w="1277"/>
        <w:gridCol w:w="2231"/>
        <w:gridCol w:w="2230"/>
        <w:gridCol w:w="2230"/>
        <w:gridCol w:w="2226"/>
      </w:tblGrid>
      <w:tr w:rsidR="00CF403E" w:rsidRPr="001B387F" w14:paraId="175F7788" w14:textId="77777777" w:rsidTr="00A41D38">
        <w:trPr>
          <w:trHeight w:val="300"/>
        </w:trPr>
        <w:tc>
          <w:tcPr>
            <w:cnfStyle w:val="001000000000" w:firstRow="0" w:lastRow="0" w:firstColumn="1" w:lastColumn="0" w:oddVBand="0" w:evenVBand="0" w:oddHBand="0" w:evenHBand="0" w:firstRowFirstColumn="0" w:firstRowLastColumn="0" w:lastRowFirstColumn="0" w:lastRowLastColumn="0"/>
            <w:tcW w:w="626" w:type="pct"/>
          </w:tcPr>
          <w:p w14:paraId="7FD48465" w14:textId="77777777" w:rsidR="009E3323" w:rsidRPr="001B387F" w:rsidRDefault="009E3323" w:rsidP="00485581">
            <w:pPr>
              <w:pStyle w:val="Table1col1head"/>
            </w:pPr>
            <w:r w:rsidRPr="001B387F">
              <w:t>Objective</w:t>
            </w:r>
          </w:p>
        </w:tc>
        <w:tc>
          <w:tcPr>
            <w:tcW w:w="1094" w:type="pct"/>
            <w:shd w:val="clear" w:color="auto" w:fill="D6E8D2"/>
            <w:hideMark/>
          </w:tcPr>
          <w:p w14:paraId="76A8754B" w14:textId="77777777" w:rsidR="009E3323" w:rsidRPr="001B387F" w:rsidRDefault="009E3323" w:rsidP="00AC19D0">
            <w:pPr>
              <w:pStyle w:val="TableBodyCopy"/>
              <w:cnfStyle w:val="000000000000" w:firstRow="0" w:lastRow="0" w:firstColumn="0" w:lastColumn="0" w:oddVBand="0" w:evenVBand="0" w:oddHBand="0" w:evenHBand="0" w:firstRowFirstColumn="0" w:firstRowLastColumn="0" w:lastRowFirstColumn="0" w:lastRowLastColumn="0"/>
            </w:pPr>
            <w:r w:rsidRPr="001B387F">
              <w:t>Objective 1</w:t>
            </w:r>
          </w:p>
          <w:p w14:paraId="5DDD824E" w14:textId="27AA835D" w:rsidR="009E3323" w:rsidRPr="001B387F" w:rsidRDefault="003F4F61" w:rsidP="00AC19D0">
            <w:pPr>
              <w:pStyle w:val="TableBodyCopy"/>
              <w:cnfStyle w:val="000000000000" w:firstRow="0" w:lastRow="0" w:firstColumn="0" w:lastColumn="0" w:oddVBand="0" w:evenVBand="0" w:oddHBand="0" w:evenHBand="0" w:firstRowFirstColumn="0" w:firstRowLastColumn="0" w:lastRowFirstColumn="0" w:lastRowLastColumn="0"/>
              <w:rPr>
                <w:b/>
                <w:bCs/>
              </w:rPr>
            </w:pPr>
            <w:r w:rsidRPr="001B387F">
              <w:t>A</w:t>
            </w:r>
            <w:r w:rsidR="009E3323" w:rsidRPr="001B387F">
              <w:t xml:space="preserve">n inclusive, resilient, </w:t>
            </w:r>
            <w:proofErr w:type="gramStart"/>
            <w:r w:rsidR="009E3323" w:rsidRPr="001B387F">
              <w:t>sustainable</w:t>
            </w:r>
            <w:proofErr w:type="gramEnd"/>
            <w:r w:rsidR="009E3323" w:rsidRPr="001B387F">
              <w:t xml:space="preserve"> and prosperous economy</w:t>
            </w:r>
          </w:p>
        </w:tc>
        <w:tc>
          <w:tcPr>
            <w:tcW w:w="1094" w:type="pct"/>
            <w:shd w:val="clear" w:color="auto" w:fill="FBEED2"/>
            <w:hideMark/>
          </w:tcPr>
          <w:p w14:paraId="156DF744" w14:textId="77777777" w:rsidR="009E3323" w:rsidRPr="001B387F" w:rsidRDefault="009E3323" w:rsidP="00AC19D0">
            <w:pPr>
              <w:pStyle w:val="TableBodyCopy"/>
              <w:cnfStyle w:val="000000000000" w:firstRow="0" w:lastRow="0" w:firstColumn="0" w:lastColumn="0" w:oddVBand="0" w:evenVBand="0" w:oddHBand="0" w:evenHBand="0" w:firstRowFirstColumn="0" w:firstRowLastColumn="0" w:lastRowFirstColumn="0" w:lastRowLastColumn="0"/>
            </w:pPr>
            <w:r w:rsidRPr="001B387F">
              <w:t>Objective 2</w:t>
            </w:r>
          </w:p>
          <w:p w14:paraId="50B52BA6" w14:textId="723080E0" w:rsidR="009E3323" w:rsidRPr="001B387F" w:rsidRDefault="003F4F61" w:rsidP="00AC19D0">
            <w:pPr>
              <w:pStyle w:val="TableBodyCopy"/>
              <w:cnfStyle w:val="000000000000" w:firstRow="0" w:lastRow="0" w:firstColumn="0" w:lastColumn="0" w:oddVBand="0" w:evenVBand="0" w:oddHBand="0" w:evenHBand="0" w:firstRowFirstColumn="0" w:firstRowLastColumn="0" w:lastRowFirstColumn="0" w:lastRowLastColumn="0"/>
              <w:rPr>
                <w:b/>
                <w:bCs/>
              </w:rPr>
            </w:pPr>
            <w:r w:rsidRPr="001B387F">
              <w:t>Strengthened</w:t>
            </w:r>
            <w:r w:rsidR="009E3323" w:rsidRPr="001B387F">
              <w:t xml:space="preserve"> human resources to meet socioeconomic development objectives</w:t>
            </w:r>
          </w:p>
        </w:tc>
        <w:tc>
          <w:tcPr>
            <w:tcW w:w="1094" w:type="pct"/>
            <w:shd w:val="clear" w:color="auto" w:fill="F0DBD4"/>
            <w:hideMark/>
          </w:tcPr>
          <w:p w14:paraId="2F12CF35" w14:textId="77777777" w:rsidR="009E3323" w:rsidRPr="001B387F" w:rsidRDefault="009E3323" w:rsidP="00AC19D0">
            <w:pPr>
              <w:pStyle w:val="TableBodyCopy"/>
              <w:cnfStyle w:val="000000000000" w:firstRow="0" w:lastRow="0" w:firstColumn="0" w:lastColumn="0" w:oddVBand="0" w:evenVBand="0" w:oddHBand="0" w:evenHBand="0" w:firstRowFirstColumn="0" w:firstRowLastColumn="0" w:lastRowFirstColumn="0" w:lastRowLastColumn="0"/>
            </w:pPr>
            <w:r w:rsidRPr="001B387F">
              <w:t>Objective 3</w:t>
            </w:r>
          </w:p>
          <w:p w14:paraId="4740BC84" w14:textId="25AA9D33" w:rsidR="009E3323" w:rsidRPr="001B387F" w:rsidRDefault="003F4F61" w:rsidP="00AC19D0">
            <w:pPr>
              <w:pStyle w:val="TableBodyCopy"/>
              <w:cnfStyle w:val="000000000000" w:firstRow="0" w:lastRow="0" w:firstColumn="0" w:lastColumn="0" w:oddVBand="0" w:evenVBand="0" w:oddHBand="0" w:evenHBand="0" w:firstRowFirstColumn="0" w:firstRowLastColumn="0" w:lastRowFirstColumn="0" w:lastRowLastColumn="0"/>
              <w:rPr>
                <w:b/>
                <w:bCs/>
              </w:rPr>
            </w:pPr>
            <w:r w:rsidRPr="001B387F">
              <w:t>Strengthened</w:t>
            </w:r>
            <w:r w:rsidR="009E3323" w:rsidRPr="001B387F">
              <w:t xml:space="preserve"> climate resilience, </w:t>
            </w:r>
            <w:proofErr w:type="gramStart"/>
            <w:r w:rsidR="009E3323" w:rsidRPr="001B387F">
              <w:t>adaptation</w:t>
            </w:r>
            <w:proofErr w:type="gramEnd"/>
            <w:r w:rsidR="009E3323" w:rsidRPr="001B387F">
              <w:t xml:space="preserve"> and emissions reduction</w:t>
            </w:r>
          </w:p>
        </w:tc>
        <w:tc>
          <w:tcPr>
            <w:tcW w:w="1092" w:type="pct"/>
            <w:shd w:val="clear" w:color="auto" w:fill="D9D9D9"/>
          </w:tcPr>
          <w:p w14:paraId="5A359C72" w14:textId="77777777" w:rsidR="009E3323" w:rsidRPr="001B387F" w:rsidRDefault="009E3323" w:rsidP="00AC19D0">
            <w:pPr>
              <w:pStyle w:val="TableBodyCopy"/>
              <w:cnfStyle w:val="000000000000" w:firstRow="0" w:lastRow="0" w:firstColumn="0" w:lastColumn="0" w:oddVBand="0" w:evenVBand="0" w:oddHBand="0" w:evenHBand="0" w:firstRowFirstColumn="0" w:firstRowLastColumn="0" w:lastRowFirstColumn="0" w:lastRowLastColumn="0"/>
            </w:pPr>
            <w:r w:rsidRPr="001B387F">
              <w:t>Objective 4</w:t>
            </w:r>
          </w:p>
          <w:p w14:paraId="4ED3332F" w14:textId="62BCA418" w:rsidR="009E3323" w:rsidRPr="001B387F" w:rsidRDefault="003F4F61" w:rsidP="00AC19D0">
            <w:pPr>
              <w:pStyle w:val="TableBodyCopy"/>
              <w:cnfStyle w:val="000000000000" w:firstRow="0" w:lastRow="0" w:firstColumn="0" w:lastColumn="0" w:oddVBand="0" w:evenVBand="0" w:oddHBand="0" w:evenHBand="0" w:firstRowFirstColumn="0" w:firstRowLastColumn="0" w:lastRowFirstColumn="0" w:lastRowLastColumn="0"/>
              <w:rPr>
                <w:b/>
                <w:bCs/>
              </w:rPr>
            </w:pPr>
            <w:r w:rsidRPr="001B387F">
              <w:t>Inclusive and participatory</w:t>
            </w:r>
            <w:r w:rsidR="009E3323" w:rsidRPr="001B387F">
              <w:t xml:space="preserve"> social and economic development</w:t>
            </w:r>
          </w:p>
        </w:tc>
      </w:tr>
      <w:tr w:rsidR="00CF403E" w:rsidRPr="001B387F" w14:paraId="58682480" w14:textId="77777777" w:rsidTr="00A41D38">
        <w:trPr>
          <w:trHeight w:val="699"/>
        </w:trPr>
        <w:tc>
          <w:tcPr>
            <w:cnfStyle w:val="001000000000" w:firstRow="0" w:lastRow="0" w:firstColumn="1" w:lastColumn="0" w:oddVBand="0" w:evenVBand="0" w:oddHBand="0" w:evenHBand="0" w:firstRowFirstColumn="0" w:firstRowLastColumn="0" w:lastRowFirstColumn="0" w:lastRowLastColumn="0"/>
            <w:tcW w:w="626" w:type="pct"/>
          </w:tcPr>
          <w:p w14:paraId="44794DA2" w14:textId="77777777" w:rsidR="009E3323" w:rsidRPr="001B387F" w:rsidRDefault="009E3323" w:rsidP="00485581">
            <w:pPr>
              <w:pStyle w:val="Table1col1head"/>
            </w:pPr>
            <w:r w:rsidRPr="001B387F">
              <w:t>Outcomes</w:t>
            </w:r>
          </w:p>
        </w:tc>
        <w:tc>
          <w:tcPr>
            <w:tcW w:w="1094" w:type="pct"/>
            <w:shd w:val="clear" w:color="auto" w:fill="D6E8D2"/>
          </w:tcPr>
          <w:p w14:paraId="4BFEA895"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1.1</w:t>
            </w:r>
          </w:p>
          <w:p w14:paraId="3214C3E2" w14:textId="5A57D57E"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 xml:space="preserve">Enhanced private sector development, productivity and </w:t>
            </w:r>
            <w:proofErr w:type="gramStart"/>
            <w:r w:rsidRPr="001B387F">
              <w:rPr>
                <w:rFonts w:eastAsia="Times New Roman"/>
                <w:lang w:eastAsia="en-AU"/>
              </w:rPr>
              <w:t>competitiveness</w:t>
            </w:r>
            <w:proofErr w:type="gramEnd"/>
          </w:p>
          <w:p w14:paraId="1AD902CB" w14:textId="5447B473"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1.2</w:t>
            </w:r>
          </w:p>
          <w:p w14:paraId="21E1E08E" w14:textId="145CD500" w:rsidR="009E3323" w:rsidRPr="001B387F" w:rsidRDefault="009E3323" w:rsidP="00C340B8">
            <w:pPr>
              <w:pStyle w:val="TableBodyCopy"/>
              <w:cnfStyle w:val="000000000000" w:firstRow="0" w:lastRow="0" w:firstColumn="0" w:lastColumn="0" w:oddVBand="0" w:evenVBand="0" w:oddHBand="0" w:evenHBand="0" w:firstRowFirstColumn="0" w:firstRowLastColumn="0" w:lastRowFirstColumn="0" w:lastRowLastColumn="0"/>
            </w:pPr>
            <w:r w:rsidRPr="001B387F">
              <w:rPr>
                <w:rFonts w:eastAsia="Times New Roman"/>
                <w:lang w:eastAsia="en-AU"/>
              </w:rPr>
              <w:t>Strengthened innovation and digital capa</w:t>
            </w:r>
            <w:r w:rsidR="00F773C9" w:rsidRPr="001B387F">
              <w:rPr>
                <w:rFonts w:eastAsia="Times New Roman"/>
                <w:lang w:eastAsia="en-AU"/>
              </w:rPr>
              <w:t>city</w:t>
            </w:r>
          </w:p>
        </w:tc>
        <w:tc>
          <w:tcPr>
            <w:tcW w:w="1094" w:type="pct"/>
            <w:shd w:val="clear" w:color="auto" w:fill="FBEED2"/>
          </w:tcPr>
          <w:p w14:paraId="009B3DEC"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2.1</w:t>
            </w:r>
          </w:p>
          <w:p w14:paraId="62886145" w14:textId="3D5853FF"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Enhanced capability of human resources through exchange of knowledge and skills with Australia</w:t>
            </w:r>
          </w:p>
          <w:p w14:paraId="7E1AB796"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2.2</w:t>
            </w:r>
          </w:p>
          <w:p w14:paraId="357EBCB0" w14:textId="0C1DE0C0"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pPr>
            <w:r w:rsidRPr="001B387F">
              <w:rPr>
                <w:rFonts w:eastAsia="Times New Roman"/>
                <w:lang w:eastAsia="en-AU"/>
              </w:rPr>
              <w:t xml:space="preserve">Improved inclusive </w:t>
            </w:r>
            <w:r w:rsidR="00C26B9B" w:rsidRPr="001B387F">
              <w:rPr>
                <w:rFonts w:eastAsia="Times New Roman"/>
                <w:lang w:eastAsia="en-AU"/>
              </w:rPr>
              <w:t>vocation</w:t>
            </w:r>
            <w:r w:rsidR="00303468" w:rsidRPr="001B387F">
              <w:rPr>
                <w:rFonts w:eastAsia="Times New Roman"/>
                <w:lang w:eastAsia="en-AU"/>
              </w:rPr>
              <w:t>al</w:t>
            </w:r>
            <w:r w:rsidR="00C26B9B" w:rsidRPr="001B387F">
              <w:rPr>
                <w:rFonts w:eastAsia="Times New Roman"/>
                <w:lang w:eastAsia="en-AU"/>
              </w:rPr>
              <w:t xml:space="preserve"> education and training (</w:t>
            </w:r>
            <w:r w:rsidR="004C216D" w:rsidRPr="001B387F">
              <w:rPr>
                <w:rFonts w:eastAsia="Times New Roman"/>
                <w:lang w:eastAsia="en-AU"/>
              </w:rPr>
              <w:t>VET</w:t>
            </w:r>
            <w:r w:rsidR="00C26B9B" w:rsidRPr="001B387F">
              <w:rPr>
                <w:rFonts w:eastAsia="Times New Roman"/>
                <w:lang w:eastAsia="en-AU"/>
              </w:rPr>
              <w:t>)</w:t>
            </w:r>
            <w:r w:rsidRPr="001B387F">
              <w:rPr>
                <w:rFonts w:eastAsia="Times New Roman"/>
                <w:lang w:eastAsia="en-AU"/>
              </w:rPr>
              <w:t xml:space="preserve"> system</w:t>
            </w:r>
          </w:p>
        </w:tc>
        <w:tc>
          <w:tcPr>
            <w:tcW w:w="1094" w:type="pct"/>
            <w:shd w:val="clear" w:color="auto" w:fill="F0DBD4"/>
          </w:tcPr>
          <w:p w14:paraId="6471E356"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3.1</w:t>
            </w:r>
          </w:p>
          <w:p w14:paraId="42628B73" w14:textId="7143CE49"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Locally</w:t>
            </w:r>
            <w:r w:rsidR="00433EE8" w:rsidRPr="001B387F">
              <w:rPr>
                <w:rFonts w:eastAsia="Times New Roman"/>
                <w:lang w:eastAsia="en-AU"/>
              </w:rPr>
              <w:t xml:space="preserve"> </w:t>
            </w:r>
            <w:r w:rsidRPr="001B387F">
              <w:rPr>
                <w:rFonts w:eastAsia="Times New Roman"/>
                <w:lang w:eastAsia="en-AU"/>
              </w:rPr>
              <w:t>led inclusive approaches to climate adaptation are applied and scaled in the Mekong Delta</w:t>
            </w:r>
          </w:p>
          <w:p w14:paraId="3A76C797"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szCs w:val="22"/>
                <w:lang w:eastAsia="en-AU"/>
              </w:rPr>
            </w:pPr>
            <w:r w:rsidRPr="001B387F">
              <w:rPr>
                <w:rFonts w:eastAsia="Times New Roman"/>
                <w:szCs w:val="22"/>
                <w:lang w:eastAsia="en-AU"/>
              </w:rPr>
              <w:t>Outcome 3.2</w:t>
            </w:r>
          </w:p>
          <w:p w14:paraId="10ADA68E" w14:textId="1050D179"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szCs w:val="22"/>
                <w:lang w:eastAsia="en-AU"/>
              </w:rPr>
            </w:pPr>
            <w:r w:rsidRPr="001B387F">
              <w:rPr>
                <w:rFonts w:eastAsia="Times New Roman"/>
                <w:szCs w:val="22"/>
                <w:lang w:eastAsia="en-AU"/>
              </w:rPr>
              <w:t xml:space="preserve">Strengthened transition </w:t>
            </w:r>
            <w:r w:rsidR="00450173" w:rsidRPr="001B387F">
              <w:rPr>
                <w:rFonts w:eastAsia="Times New Roman"/>
                <w:szCs w:val="22"/>
                <w:lang w:eastAsia="en-AU"/>
              </w:rPr>
              <w:t>to low</w:t>
            </w:r>
            <w:r w:rsidR="00E659DA" w:rsidRPr="001B387F">
              <w:rPr>
                <w:rFonts w:eastAsia="Times New Roman"/>
                <w:szCs w:val="22"/>
                <w:lang w:eastAsia="en-AU"/>
              </w:rPr>
              <w:t>-</w:t>
            </w:r>
            <w:r w:rsidR="00450173" w:rsidRPr="001B387F">
              <w:rPr>
                <w:rFonts w:eastAsia="Times New Roman"/>
                <w:szCs w:val="22"/>
                <w:lang w:eastAsia="en-AU"/>
              </w:rPr>
              <w:t>carbon economy</w:t>
            </w:r>
            <w:r w:rsidRPr="001B387F">
              <w:rPr>
                <w:rFonts w:eastAsia="Times New Roman"/>
                <w:szCs w:val="22"/>
                <w:lang w:eastAsia="en-AU"/>
              </w:rPr>
              <w:t xml:space="preserve"> in response to climate change and the 2050 net zero emissions target</w:t>
            </w:r>
          </w:p>
        </w:tc>
        <w:tc>
          <w:tcPr>
            <w:tcW w:w="1092" w:type="pct"/>
            <w:shd w:val="clear" w:color="auto" w:fill="D9D9D9"/>
          </w:tcPr>
          <w:p w14:paraId="721B3D2B"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Outcome 4.1</w:t>
            </w:r>
          </w:p>
          <w:p w14:paraId="750522A6" w14:textId="21CC7F70"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 xml:space="preserve">Women, children, people with </w:t>
            </w:r>
            <w:r w:rsidR="009F6156" w:rsidRPr="001B387F">
              <w:rPr>
                <w:rFonts w:eastAsia="Times New Roman"/>
                <w:lang w:eastAsia="en-AU"/>
              </w:rPr>
              <w:t>disability</w:t>
            </w:r>
            <w:r w:rsidRPr="001B387F">
              <w:rPr>
                <w:rFonts w:eastAsia="Times New Roman"/>
                <w:lang w:eastAsia="en-AU"/>
              </w:rPr>
              <w:t xml:space="preserve"> </w:t>
            </w:r>
            <w:r w:rsidR="00A97435" w:rsidRPr="001B387F">
              <w:rPr>
                <w:rFonts w:eastAsia="Times New Roman"/>
                <w:lang w:eastAsia="en-AU"/>
              </w:rPr>
              <w:t xml:space="preserve">and members of </w:t>
            </w:r>
            <w:r w:rsidRPr="001B387F">
              <w:rPr>
                <w:rFonts w:eastAsia="Times New Roman"/>
                <w:lang w:eastAsia="en-AU"/>
              </w:rPr>
              <w:t xml:space="preserve">ethnic </w:t>
            </w:r>
            <w:r w:rsidR="00A97435" w:rsidRPr="001B387F">
              <w:rPr>
                <w:rFonts w:eastAsia="Times New Roman"/>
                <w:lang w:eastAsia="en-AU"/>
              </w:rPr>
              <w:t xml:space="preserve">minority groups </w:t>
            </w:r>
            <w:r w:rsidRPr="001B387F">
              <w:rPr>
                <w:rFonts w:eastAsia="Times New Roman"/>
                <w:lang w:eastAsia="en-AU"/>
              </w:rPr>
              <w:t xml:space="preserve">and </w:t>
            </w:r>
            <w:r w:rsidR="000C6BB1" w:rsidRPr="001B387F">
              <w:rPr>
                <w:rFonts w:eastAsia="Times New Roman"/>
                <w:lang w:eastAsia="en-AU"/>
              </w:rPr>
              <w:t>lesbian, gay, bisexual</w:t>
            </w:r>
            <w:r w:rsidR="00072D54" w:rsidRPr="001B387F">
              <w:rPr>
                <w:rFonts w:eastAsia="Times New Roman"/>
                <w:lang w:eastAsia="en-AU"/>
              </w:rPr>
              <w:t xml:space="preserve">, transgender, queer/questioning, </w:t>
            </w:r>
            <w:r w:rsidR="005856D2" w:rsidRPr="001B387F">
              <w:rPr>
                <w:rFonts w:eastAsia="Times New Roman"/>
                <w:lang w:eastAsia="en-AU"/>
              </w:rPr>
              <w:t xml:space="preserve">intersex, </w:t>
            </w:r>
            <w:r w:rsidR="00072D54" w:rsidRPr="001B387F">
              <w:rPr>
                <w:rFonts w:eastAsia="Times New Roman"/>
                <w:lang w:eastAsia="en-AU"/>
              </w:rPr>
              <w:t xml:space="preserve">asexual and </w:t>
            </w:r>
            <w:proofErr w:type="gramStart"/>
            <w:r w:rsidR="00072D54" w:rsidRPr="001B387F">
              <w:rPr>
                <w:rFonts w:eastAsia="Times New Roman"/>
                <w:lang w:eastAsia="en-AU"/>
              </w:rPr>
              <w:t>identity-diverse</w:t>
            </w:r>
            <w:proofErr w:type="gramEnd"/>
            <w:r w:rsidR="00072D54" w:rsidRPr="001B387F">
              <w:rPr>
                <w:rFonts w:eastAsia="Times New Roman"/>
                <w:lang w:eastAsia="en-AU"/>
              </w:rPr>
              <w:t xml:space="preserve"> (</w:t>
            </w:r>
            <w:r w:rsidRPr="001B387F">
              <w:rPr>
                <w:rFonts w:eastAsia="Times New Roman"/>
                <w:lang w:eastAsia="en-AU"/>
              </w:rPr>
              <w:t>LGBTQIA+</w:t>
            </w:r>
            <w:r w:rsidR="00072D54" w:rsidRPr="001B387F">
              <w:rPr>
                <w:rFonts w:eastAsia="Times New Roman"/>
                <w:lang w:eastAsia="en-AU"/>
              </w:rPr>
              <w:t>)</w:t>
            </w:r>
            <w:r w:rsidRPr="001B387F">
              <w:rPr>
                <w:rFonts w:eastAsia="Times New Roman"/>
                <w:lang w:eastAsia="en-AU"/>
              </w:rPr>
              <w:t xml:space="preserve"> communit</w:t>
            </w:r>
            <w:r w:rsidR="00EA4B43" w:rsidRPr="001B387F">
              <w:rPr>
                <w:rFonts w:eastAsia="Times New Roman"/>
                <w:lang w:eastAsia="en-AU"/>
              </w:rPr>
              <w:t>ies</w:t>
            </w:r>
            <w:r w:rsidRPr="001B387F">
              <w:rPr>
                <w:rFonts w:eastAsia="Times New Roman"/>
                <w:lang w:eastAsia="en-AU"/>
              </w:rPr>
              <w:t xml:space="preserve"> live a more secure and dignified life</w:t>
            </w:r>
          </w:p>
          <w:p w14:paraId="09D44216" w14:textId="77777777"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szCs w:val="22"/>
                <w:lang w:eastAsia="en-AU"/>
              </w:rPr>
            </w:pPr>
            <w:r w:rsidRPr="001B387F">
              <w:rPr>
                <w:rFonts w:eastAsia="Times New Roman"/>
                <w:szCs w:val="22"/>
                <w:lang w:eastAsia="en-AU"/>
              </w:rPr>
              <w:t>Outcome 4.2</w:t>
            </w:r>
          </w:p>
          <w:p w14:paraId="3D49EF25" w14:textId="1ADFB049" w:rsidR="009E3323" w:rsidRPr="001B387F" w:rsidRDefault="009E3323" w:rsidP="00E346A2">
            <w:pPr>
              <w:pStyle w:val="TableBodyCopy"/>
              <w:cnfStyle w:val="000000000000" w:firstRow="0" w:lastRow="0" w:firstColumn="0" w:lastColumn="0" w:oddVBand="0" w:evenVBand="0" w:oddHBand="0" w:evenHBand="0" w:firstRowFirstColumn="0" w:firstRowLastColumn="0" w:lastRowFirstColumn="0" w:lastRowLastColumn="0"/>
              <w:rPr>
                <w:rFonts w:eastAsia="Times New Roman"/>
                <w:szCs w:val="22"/>
                <w:lang w:eastAsia="en-AU"/>
              </w:rPr>
            </w:pPr>
            <w:r w:rsidRPr="001B387F">
              <w:rPr>
                <w:rFonts w:eastAsia="Times New Roman"/>
                <w:szCs w:val="22"/>
                <w:lang w:eastAsia="en-AU"/>
              </w:rPr>
              <w:t xml:space="preserve">Women, </w:t>
            </w:r>
            <w:r w:rsidR="00B430BD" w:rsidRPr="001B387F">
              <w:rPr>
                <w:rFonts w:eastAsia="Times New Roman"/>
                <w:szCs w:val="22"/>
                <w:lang w:eastAsia="en-AU"/>
              </w:rPr>
              <w:t xml:space="preserve">members of </w:t>
            </w:r>
            <w:r w:rsidRPr="001B387F">
              <w:rPr>
                <w:rFonts w:eastAsia="Times New Roman"/>
                <w:szCs w:val="22"/>
                <w:lang w:eastAsia="en-AU"/>
              </w:rPr>
              <w:t xml:space="preserve">ethnic </w:t>
            </w:r>
            <w:r w:rsidR="00B430BD" w:rsidRPr="001B387F">
              <w:rPr>
                <w:rFonts w:eastAsia="Times New Roman"/>
                <w:szCs w:val="22"/>
                <w:lang w:eastAsia="en-AU"/>
              </w:rPr>
              <w:t xml:space="preserve">minority groups </w:t>
            </w:r>
            <w:r w:rsidRPr="001B387F">
              <w:rPr>
                <w:rFonts w:eastAsia="Times New Roman"/>
                <w:szCs w:val="22"/>
                <w:lang w:eastAsia="en-AU"/>
              </w:rPr>
              <w:t xml:space="preserve">and people with </w:t>
            </w:r>
            <w:r w:rsidR="009F6156" w:rsidRPr="001B387F">
              <w:rPr>
                <w:rFonts w:eastAsia="Times New Roman"/>
                <w:szCs w:val="22"/>
                <w:lang w:eastAsia="en-AU"/>
              </w:rPr>
              <w:t>disability</w:t>
            </w:r>
            <w:r w:rsidRPr="001B387F">
              <w:rPr>
                <w:rFonts w:eastAsia="Times New Roman"/>
                <w:szCs w:val="22"/>
                <w:lang w:eastAsia="en-AU"/>
              </w:rPr>
              <w:t xml:space="preserve"> participate in and benefit from sustainable economic opportunities</w:t>
            </w:r>
          </w:p>
        </w:tc>
      </w:tr>
      <w:tr w:rsidR="00CF403E" w:rsidRPr="001B387F" w14:paraId="14646866" w14:textId="77777777" w:rsidTr="00CF403E">
        <w:trPr>
          <w:trHeight w:val="5526"/>
        </w:trPr>
        <w:tc>
          <w:tcPr>
            <w:cnfStyle w:val="001000000000" w:firstRow="0" w:lastRow="0" w:firstColumn="1" w:lastColumn="0" w:oddVBand="0" w:evenVBand="0" w:oddHBand="0" w:evenHBand="0" w:firstRowFirstColumn="0" w:firstRowLastColumn="0" w:lastRowFirstColumn="0" w:lastRowLastColumn="0"/>
            <w:tcW w:w="626" w:type="pct"/>
          </w:tcPr>
          <w:p w14:paraId="2E4D15F9" w14:textId="77777777" w:rsidR="009E3323" w:rsidRPr="001B387F" w:rsidRDefault="009E3323" w:rsidP="00485581">
            <w:pPr>
              <w:pStyle w:val="Table1col1head"/>
            </w:pPr>
            <w:r w:rsidRPr="001B387F">
              <w:lastRenderedPageBreak/>
              <w:t>Focus areas</w:t>
            </w:r>
          </w:p>
        </w:tc>
        <w:tc>
          <w:tcPr>
            <w:tcW w:w="1094" w:type="pct"/>
            <w:shd w:val="clear" w:color="auto" w:fill="D6E8D2"/>
          </w:tcPr>
          <w:p w14:paraId="7118BDE4" w14:textId="50992A7D" w:rsidR="009E3323" w:rsidRPr="001B387F" w:rsidRDefault="009E3323" w:rsidP="00907186">
            <w:pPr>
              <w:pStyle w:val="TableBodyCopy"/>
              <w:spacing w:before="9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Objective 1 focus areas</w:t>
            </w:r>
          </w:p>
          <w:p w14:paraId="56FC935F" w14:textId="127A93A0"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Competitive, </w:t>
            </w:r>
            <w:proofErr w:type="gramStart"/>
            <w:r w:rsidRPr="001B387F">
              <w:t>green</w:t>
            </w:r>
            <w:proofErr w:type="gramEnd"/>
            <w:r w:rsidRPr="001B387F">
              <w:t xml:space="preserve"> and inclusive business environment and promotion of private sector</w:t>
            </w:r>
          </w:p>
          <w:p w14:paraId="32AE89A4" w14:textId="06CA9294"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Participation in rules-based trade and economic architecture</w:t>
            </w:r>
          </w:p>
          <w:p w14:paraId="6CE32228" w14:textId="2465E82C"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Innovation capacity, including digital </w:t>
            </w:r>
            <w:proofErr w:type="gramStart"/>
            <w:r w:rsidRPr="001B387F">
              <w:t>transformation</w:t>
            </w:r>
            <w:proofErr w:type="gramEnd"/>
          </w:p>
          <w:p w14:paraId="204DEF15" w14:textId="7488A07F"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Business ties between Australia and Vietnam</w:t>
            </w:r>
          </w:p>
        </w:tc>
        <w:tc>
          <w:tcPr>
            <w:tcW w:w="1094" w:type="pct"/>
            <w:shd w:val="clear" w:color="auto" w:fill="FBEED2"/>
          </w:tcPr>
          <w:p w14:paraId="5E903C26" w14:textId="396F371D" w:rsidR="009E3323" w:rsidRPr="001B387F" w:rsidRDefault="009E3323" w:rsidP="00907186">
            <w:pPr>
              <w:pStyle w:val="TableBodyCopy"/>
              <w:spacing w:before="9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Objective 2 focus areas</w:t>
            </w:r>
          </w:p>
          <w:p w14:paraId="05E17D8D" w14:textId="38821109"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Leadership capacity development and policy research, including inclusion and climate </w:t>
            </w:r>
            <w:proofErr w:type="gramStart"/>
            <w:r w:rsidRPr="001B387F">
              <w:t>integration</w:t>
            </w:r>
            <w:proofErr w:type="gramEnd"/>
          </w:p>
          <w:p w14:paraId="369A372E" w14:textId="4A978603"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Diversified scholarship models and alumni leadership</w:t>
            </w:r>
            <w:r w:rsidR="00182A6D" w:rsidRPr="001B387F">
              <w:t>,</w:t>
            </w:r>
            <w:r w:rsidRPr="001B387F">
              <w:rPr>
                <w:sz w:val="8"/>
                <w:szCs w:val="10"/>
              </w:rPr>
              <w:t xml:space="preserve"> </w:t>
            </w:r>
            <w:r w:rsidRPr="001B387F">
              <w:t xml:space="preserve">including strengthened links with </w:t>
            </w:r>
            <w:proofErr w:type="gramStart"/>
            <w:r w:rsidRPr="001B387F">
              <w:t>Australia</w:t>
            </w:r>
            <w:proofErr w:type="gramEnd"/>
          </w:p>
          <w:p w14:paraId="5543B8F3" w14:textId="2442936E"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VET industry linkages and </w:t>
            </w:r>
            <w:proofErr w:type="gramStart"/>
            <w:r w:rsidRPr="001B387F">
              <w:t>capacity</w:t>
            </w:r>
            <w:proofErr w:type="gramEnd"/>
          </w:p>
          <w:p w14:paraId="4B549EE2" w14:textId="0780CBA7"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Promotion of </w:t>
            </w:r>
            <w:r w:rsidR="009F675E" w:rsidRPr="001B387F">
              <w:t xml:space="preserve">educational </w:t>
            </w:r>
            <w:r w:rsidR="005F343E" w:rsidRPr="001B387F">
              <w:t>exchanges between Vietnam and Australia through tertiary education</w:t>
            </w:r>
          </w:p>
        </w:tc>
        <w:tc>
          <w:tcPr>
            <w:tcW w:w="1094" w:type="pct"/>
            <w:shd w:val="clear" w:color="auto" w:fill="F0DBD4"/>
          </w:tcPr>
          <w:p w14:paraId="7D9D90CE" w14:textId="1003460E" w:rsidR="009E3323" w:rsidRPr="001B387F" w:rsidRDefault="009E3323" w:rsidP="00907186">
            <w:pPr>
              <w:pStyle w:val="TableBodyCopy"/>
              <w:spacing w:before="9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Objective 3 focus areas</w:t>
            </w:r>
          </w:p>
          <w:p w14:paraId="10A7E846" w14:textId="037E0FF6"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Locally</w:t>
            </w:r>
            <w:r w:rsidR="00433EE8" w:rsidRPr="001B387F">
              <w:t xml:space="preserve"> </w:t>
            </w:r>
            <w:r w:rsidRPr="001B387F">
              <w:t>led adaptation knowledge exchanges between Australia and Vietnam</w:t>
            </w:r>
          </w:p>
          <w:p w14:paraId="14868F16" w14:textId="7B56A4D8"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Mitigation and adaptation in agriculture from community, </w:t>
            </w:r>
            <w:proofErr w:type="gramStart"/>
            <w:r w:rsidRPr="001B387F">
              <w:t>business</w:t>
            </w:r>
            <w:proofErr w:type="gramEnd"/>
            <w:r w:rsidRPr="001B387F">
              <w:t xml:space="preserve"> and government</w:t>
            </w:r>
          </w:p>
          <w:p w14:paraId="092C07AD" w14:textId="45FEF020"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Inclusive transition in the energy and transport sectors to net zero </w:t>
            </w:r>
            <w:proofErr w:type="gramStart"/>
            <w:r w:rsidRPr="001B387F">
              <w:t>2050</w:t>
            </w:r>
            <w:proofErr w:type="gramEnd"/>
          </w:p>
          <w:p w14:paraId="671E9D3D" w14:textId="604EC6A0"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Renewable energy private sector investment promotion</w:t>
            </w:r>
          </w:p>
        </w:tc>
        <w:tc>
          <w:tcPr>
            <w:tcW w:w="1092" w:type="pct"/>
            <w:shd w:val="clear" w:color="auto" w:fill="D9D9D9"/>
          </w:tcPr>
          <w:p w14:paraId="67D83D24" w14:textId="143EC08F" w:rsidR="009E3323" w:rsidRPr="001B387F" w:rsidRDefault="009E3323" w:rsidP="00907186">
            <w:pPr>
              <w:pStyle w:val="TableBodyCopy"/>
              <w:spacing w:before="90"/>
              <w:cnfStyle w:val="000000000000" w:firstRow="0" w:lastRow="0" w:firstColumn="0" w:lastColumn="0" w:oddVBand="0" w:evenVBand="0" w:oddHBand="0" w:evenHBand="0" w:firstRowFirstColumn="0" w:firstRowLastColumn="0" w:lastRowFirstColumn="0" w:lastRowLastColumn="0"/>
              <w:rPr>
                <w:rFonts w:eastAsia="Times New Roman"/>
                <w:lang w:eastAsia="en-AU"/>
              </w:rPr>
            </w:pPr>
            <w:r w:rsidRPr="001B387F">
              <w:rPr>
                <w:rFonts w:eastAsia="Times New Roman"/>
                <w:lang w:eastAsia="en-AU"/>
              </w:rPr>
              <w:t>Objective 4 focus areas</w:t>
            </w:r>
          </w:p>
          <w:p w14:paraId="08C7E997" w14:textId="4926E182"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Gender-based violence and violence against children</w:t>
            </w:r>
          </w:p>
          <w:p w14:paraId="7858EC24" w14:textId="73A61BF4"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Rights-based social norms and policies</w:t>
            </w:r>
          </w:p>
          <w:p w14:paraId="06681A51" w14:textId="1636F1A3"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 xml:space="preserve">Inclusive livelihoods (entrepreneurship, formal waged </w:t>
            </w:r>
            <w:proofErr w:type="gramStart"/>
            <w:r w:rsidRPr="001B387F">
              <w:t>employment</w:t>
            </w:r>
            <w:proofErr w:type="gramEnd"/>
            <w:r w:rsidR="008D7EDC" w:rsidRPr="001B387F">
              <w:t xml:space="preserve"> and</w:t>
            </w:r>
            <w:r w:rsidRPr="001B387F">
              <w:t xml:space="preserve"> inclusive businesses)</w:t>
            </w:r>
          </w:p>
          <w:p w14:paraId="0896987B" w14:textId="69D8ED8B" w:rsidR="009E3323" w:rsidRPr="001B387F" w:rsidRDefault="009E3323" w:rsidP="00907186">
            <w:pPr>
              <w:pStyle w:val="Tablebullet"/>
              <w:spacing w:before="90"/>
              <w:cnfStyle w:val="000000000000" w:firstRow="0" w:lastRow="0" w:firstColumn="0" w:lastColumn="0" w:oddVBand="0" w:evenVBand="0" w:oddHBand="0" w:evenHBand="0" w:firstRowFirstColumn="0" w:firstRowLastColumn="0" w:lastRowFirstColumn="0" w:lastRowLastColumn="0"/>
            </w:pPr>
            <w:r w:rsidRPr="001B387F">
              <w:t>Social protection for economic inclusion</w:t>
            </w:r>
          </w:p>
        </w:tc>
      </w:tr>
    </w:tbl>
    <w:p w14:paraId="74096E6F" w14:textId="660C7972" w:rsidR="00DA1A7B" w:rsidRPr="001B387F" w:rsidRDefault="00DA1A7B" w:rsidP="00433593">
      <w:pPr>
        <w:spacing w:before="80"/>
        <w:rPr>
          <w:b/>
          <w:bCs/>
        </w:rPr>
      </w:pPr>
      <w:r w:rsidRPr="001B387F">
        <w:rPr>
          <w:b/>
          <w:bCs/>
        </w:rPr>
        <w:t>Ways of working</w:t>
      </w:r>
    </w:p>
    <w:p w14:paraId="0F5F9A0C" w14:textId="0CA0E74D" w:rsidR="00DA1A7B" w:rsidRPr="001B387F" w:rsidRDefault="00DA1A7B" w:rsidP="00433593">
      <w:pPr>
        <w:spacing w:before="80" w:after="80"/>
      </w:pPr>
      <w:r w:rsidRPr="001B387F">
        <w:t>We will work together to progress the objective</w:t>
      </w:r>
      <w:r w:rsidR="007847D9" w:rsidRPr="001B387F">
        <w:t>s</w:t>
      </w:r>
      <w:r w:rsidRPr="001B387F">
        <w:t xml:space="preserve"> set out in Table 1 th</w:t>
      </w:r>
      <w:r w:rsidR="005E3DA7" w:rsidRPr="001B387F">
        <w:t>r</w:t>
      </w:r>
      <w:r w:rsidRPr="001B387F">
        <w:t>ough:</w:t>
      </w:r>
    </w:p>
    <w:p w14:paraId="7B2F481B" w14:textId="54D782CE" w:rsidR="00DA1A7B" w:rsidRPr="001B387F" w:rsidRDefault="00DA1A7B" w:rsidP="00433593">
      <w:pPr>
        <w:pStyle w:val="NormalBullets-L1"/>
        <w:spacing w:before="80" w:after="80"/>
        <w:ind w:left="714" w:hanging="357"/>
      </w:pPr>
      <w:r w:rsidRPr="001B387F">
        <w:t>alignment with the Vietnam</w:t>
      </w:r>
      <w:r w:rsidR="006C46E4" w:rsidRPr="001B387F">
        <w:t>–</w:t>
      </w:r>
      <w:r w:rsidRPr="001B387F">
        <w:t xml:space="preserve">Australia </w:t>
      </w:r>
      <w:r w:rsidR="007D13B7" w:rsidRPr="001B387F">
        <w:t>CSP</w:t>
      </w:r>
    </w:p>
    <w:p w14:paraId="5FEE2A0B" w14:textId="011F0995" w:rsidR="00DA1A7B" w:rsidRPr="001B387F" w:rsidRDefault="00DA1A7B" w:rsidP="00433593">
      <w:pPr>
        <w:pStyle w:val="NormalBullets-L1"/>
        <w:spacing w:before="80" w:after="80"/>
        <w:ind w:left="714" w:hanging="357"/>
      </w:pPr>
      <w:r w:rsidRPr="001B387F">
        <w:t xml:space="preserve">greater policy coherence across Australia’s tools of statecraft, between regional and bilateral programs and across </w:t>
      </w:r>
      <w:r w:rsidR="00B63963" w:rsidRPr="001B387F">
        <w:t>Australian Government</w:t>
      </w:r>
      <w:r w:rsidRPr="001B387F">
        <w:t xml:space="preserve"> effort</w:t>
      </w:r>
      <w:r w:rsidR="006A36EB" w:rsidRPr="001B387F">
        <w:t>s</w:t>
      </w:r>
      <w:r w:rsidRPr="001B387F">
        <w:t xml:space="preserve"> </w:t>
      </w:r>
      <w:r w:rsidR="00C93A7E" w:rsidRPr="001B387F">
        <w:t xml:space="preserve">that </w:t>
      </w:r>
      <w:r w:rsidRPr="001B387F">
        <w:t xml:space="preserve">draw on Australia’s </w:t>
      </w:r>
      <w:proofErr w:type="gramStart"/>
      <w:r w:rsidRPr="001B387F">
        <w:t>strengths</w:t>
      </w:r>
      <w:proofErr w:type="gramEnd"/>
    </w:p>
    <w:p w14:paraId="4ECFDA1C" w14:textId="2FCC4E66" w:rsidR="00DA1A7B" w:rsidRPr="001B387F" w:rsidRDefault="00DA1A7B" w:rsidP="00433593">
      <w:pPr>
        <w:pStyle w:val="NormalBullets-L1"/>
        <w:spacing w:before="80" w:after="80"/>
        <w:ind w:left="714" w:hanging="357"/>
      </w:pPr>
      <w:r w:rsidRPr="001B387F">
        <w:t>promotion of the Vietnam</w:t>
      </w:r>
      <w:r w:rsidR="00B63963" w:rsidRPr="001B387F">
        <w:t>–</w:t>
      </w:r>
      <w:r w:rsidRPr="001B387F">
        <w:t>Australia economic partnership</w:t>
      </w:r>
    </w:p>
    <w:p w14:paraId="16EF5684" w14:textId="4BE85D9F" w:rsidR="00DA1A7B" w:rsidRPr="001B387F" w:rsidRDefault="00DA1A7B" w:rsidP="00433593">
      <w:pPr>
        <w:pStyle w:val="NormalBullets-L1"/>
        <w:spacing w:before="80" w:after="80"/>
        <w:ind w:left="714" w:hanging="357"/>
      </w:pPr>
      <w:r w:rsidRPr="001B387F">
        <w:t>integration of climate change and GEDSI across all DPP objectives</w:t>
      </w:r>
    </w:p>
    <w:p w14:paraId="76D6C078" w14:textId="1EBF48B6" w:rsidR="00DA1A7B" w:rsidRPr="001B387F" w:rsidRDefault="00DA1A7B" w:rsidP="00433593">
      <w:pPr>
        <w:pStyle w:val="NormalBullets-L1"/>
        <w:spacing w:before="80" w:after="80"/>
        <w:ind w:left="714" w:hanging="357"/>
      </w:pPr>
      <w:r w:rsidRPr="001B387F">
        <w:t>support</w:t>
      </w:r>
      <w:r w:rsidR="009C58F7" w:rsidRPr="001B387F">
        <w:t xml:space="preserve"> </w:t>
      </w:r>
      <w:r w:rsidR="00A26D5E" w:rsidRPr="001B387F">
        <w:t>for</w:t>
      </w:r>
      <w:r w:rsidRPr="001B387F">
        <w:t xml:space="preserve"> diverse voices and locally led </w:t>
      </w:r>
      <w:proofErr w:type="gramStart"/>
      <w:r w:rsidRPr="001B387F">
        <w:t>development</w:t>
      </w:r>
      <w:proofErr w:type="gramEnd"/>
    </w:p>
    <w:p w14:paraId="047E8D60" w14:textId="153B62F7" w:rsidR="00DA1A7B" w:rsidRPr="001B387F" w:rsidRDefault="00DA1A7B" w:rsidP="00433593">
      <w:pPr>
        <w:pStyle w:val="NormalBullets-L1"/>
        <w:spacing w:before="80" w:after="80"/>
        <w:ind w:left="714" w:hanging="357"/>
      </w:pPr>
      <w:r w:rsidRPr="001B387F">
        <w:t>listening and respectful partnerships, including wider and regular consultation.</w:t>
      </w:r>
    </w:p>
    <w:p w14:paraId="0DE05BB0" w14:textId="20677645" w:rsidR="009E3323" w:rsidRPr="001B387F" w:rsidRDefault="009E3323" w:rsidP="00F26D67">
      <w:pPr>
        <w:pStyle w:val="H3-Heading3"/>
        <w:rPr>
          <w:rFonts w:eastAsia="Yu Mincho"/>
        </w:rPr>
      </w:pPr>
      <w:r w:rsidRPr="001B387F">
        <w:rPr>
          <w:rFonts w:eastAsia="Yu Mincho"/>
        </w:rPr>
        <w:t xml:space="preserve">Objective 1: </w:t>
      </w:r>
      <w:r w:rsidR="005378E5" w:rsidRPr="001B387F">
        <w:rPr>
          <w:rFonts w:eastAsia="Yu Mincho"/>
        </w:rPr>
        <w:t>A</w:t>
      </w:r>
      <w:r w:rsidRPr="001B387F">
        <w:rPr>
          <w:rFonts w:eastAsia="Yu Mincho"/>
        </w:rPr>
        <w:t xml:space="preserve">n inclusive, resilient, </w:t>
      </w:r>
      <w:proofErr w:type="gramStart"/>
      <w:r w:rsidRPr="001B387F">
        <w:rPr>
          <w:rFonts w:eastAsia="Yu Mincho"/>
        </w:rPr>
        <w:t>sustainable</w:t>
      </w:r>
      <w:proofErr w:type="gramEnd"/>
      <w:r w:rsidRPr="001B387F">
        <w:rPr>
          <w:rFonts w:eastAsia="Yu Mincho"/>
        </w:rPr>
        <w:t xml:space="preserve"> and</w:t>
      </w:r>
      <w:r w:rsidR="003C4084" w:rsidRPr="001B387F">
        <w:rPr>
          <w:rFonts w:eastAsia="Yu Mincho"/>
        </w:rPr>
        <w:t xml:space="preserve"> p</w:t>
      </w:r>
      <w:r w:rsidRPr="001B387F">
        <w:rPr>
          <w:rFonts w:eastAsia="Yu Mincho"/>
        </w:rPr>
        <w:t>rosperous economy</w:t>
      </w:r>
    </w:p>
    <w:p w14:paraId="4239B0F6" w14:textId="6E176539" w:rsidR="007A5B96" w:rsidRPr="001B387F" w:rsidRDefault="00BA419E" w:rsidP="00907186">
      <w:pPr>
        <w:spacing w:after="80" w:line="264" w:lineRule="auto"/>
        <w:contextualSpacing/>
        <w:textAlignment w:val="baseline"/>
        <w:rPr>
          <w:rFonts w:cs="Calibri Light"/>
        </w:rPr>
      </w:pPr>
      <w:r w:rsidRPr="001B387F">
        <w:rPr>
          <w:rFonts w:cs="Calibri Light"/>
        </w:rPr>
        <w:t>Objective 1 contributes to the following focus areas of Australia’s International Development Policy:</w:t>
      </w:r>
    </w:p>
    <w:p w14:paraId="0D813BBF" w14:textId="0B52AF79" w:rsidR="00BA419E" w:rsidRPr="001B387F" w:rsidRDefault="00BA419E" w:rsidP="00433593">
      <w:pPr>
        <w:pStyle w:val="NormalBullets-L1"/>
        <w:spacing w:before="80" w:after="80"/>
        <w:ind w:left="714" w:hanging="357"/>
      </w:pPr>
      <w:r w:rsidRPr="001B387F">
        <w:t xml:space="preserve">build effective, accountable states that drive their own </w:t>
      </w:r>
      <w:proofErr w:type="gramStart"/>
      <w:r w:rsidRPr="001B387F">
        <w:t>development</w:t>
      </w:r>
      <w:proofErr w:type="gramEnd"/>
    </w:p>
    <w:p w14:paraId="229BC99A" w14:textId="09514459" w:rsidR="00EA2BC3" w:rsidRPr="001B387F" w:rsidRDefault="004E1889" w:rsidP="00433593">
      <w:pPr>
        <w:pStyle w:val="NormalBullets-L1"/>
        <w:spacing w:before="80" w:after="80"/>
        <w:ind w:left="714" w:hanging="357"/>
      </w:pPr>
      <w:r w:rsidRPr="001B387F">
        <w:t>generate collective action on global challenges that impact us and our region</w:t>
      </w:r>
      <w:r w:rsidR="00EA2BC3" w:rsidRPr="001B387F">
        <w:t>.</w:t>
      </w:r>
    </w:p>
    <w:p w14:paraId="732A1539" w14:textId="12933F6F" w:rsidR="009E3323" w:rsidRPr="001B387F" w:rsidRDefault="009E3323" w:rsidP="00907186">
      <w:pPr>
        <w:spacing w:after="80" w:line="264" w:lineRule="auto"/>
        <w:contextualSpacing/>
        <w:textAlignment w:val="baseline"/>
        <w:rPr>
          <w:rFonts w:cs="Calibri Light"/>
        </w:rPr>
      </w:pPr>
      <w:r w:rsidRPr="001B387F">
        <w:rPr>
          <w:rFonts w:cs="Calibri Light"/>
        </w:rPr>
        <w:t>Under this DPP, Australia will support Vietnam’s reform efforts to:</w:t>
      </w:r>
    </w:p>
    <w:p w14:paraId="4BFF077E" w14:textId="345144C1" w:rsidR="009E3323" w:rsidRPr="001B387F" w:rsidRDefault="009E3323" w:rsidP="00433593">
      <w:pPr>
        <w:pStyle w:val="NormalBullets-L1"/>
        <w:spacing w:before="80" w:after="80"/>
      </w:pPr>
      <w:r w:rsidRPr="001B387F">
        <w:t xml:space="preserve">enhance private sector development, productivity and competitiveness by strengthening the business-enabling environment and alignment with rules-based trade and economic </w:t>
      </w:r>
      <w:proofErr w:type="gramStart"/>
      <w:r w:rsidRPr="001B387F">
        <w:t>architecture</w:t>
      </w:r>
      <w:proofErr w:type="gramEnd"/>
    </w:p>
    <w:p w14:paraId="11CF53BA" w14:textId="35F54564" w:rsidR="009E3323" w:rsidRPr="001B387F" w:rsidRDefault="009E3323" w:rsidP="00433593">
      <w:pPr>
        <w:pStyle w:val="NormalBullets-L1"/>
        <w:spacing w:before="80" w:after="80"/>
        <w:ind w:left="714" w:hanging="357"/>
      </w:pPr>
      <w:r w:rsidRPr="001B387F">
        <w:t>strengthen innovation capability leading to the adoption of new technologies and digital solutions.</w:t>
      </w:r>
    </w:p>
    <w:p w14:paraId="7AFA4A02" w14:textId="1D73CC6C" w:rsidR="009E3323" w:rsidRPr="001B387F" w:rsidRDefault="009E3323" w:rsidP="00A32186">
      <w:pPr>
        <w:rPr>
          <w:rFonts w:cs="Calibri Light"/>
        </w:rPr>
      </w:pPr>
      <w:r w:rsidRPr="001B387F">
        <w:rPr>
          <w:rFonts w:cs="Calibri Light"/>
        </w:rPr>
        <w:t xml:space="preserve">Australia’s approach will be tailored to the economic reform needs and circumstances of Vietnam. Where Vietnam’s economic reforms are already in place, Australia will look for opportunities to strengthen policy implementation with respect to efficacy, social </w:t>
      </w:r>
      <w:proofErr w:type="gramStart"/>
      <w:r w:rsidRPr="001B387F">
        <w:rPr>
          <w:rFonts w:cs="Calibri Light"/>
        </w:rPr>
        <w:t>inclusion</w:t>
      </w:r>
      <w:proofErr w:type="gramEnd"/>
      <w:r w:rsidRPr="001B387F">
        <w:rPr>
          <w:rFonts w:cs="Calibri Light"/>
        </w:rPr>
        <w:t xml:space="preserve"> and climate change. Climate-related disruptions will have a significant impact on the economy, growth, </w:t>
      </w:r>
      <w:proofErr w:type="gramStart"/>
      <w:r w:rsidRPr="001B387F">
        <w:rPr>
          <w:rFonts w:cs="Calibri Light"/>
        </w:rPr>
        <w:t>stability</w:t>
      </w:r>
      <w:proofErr w:type="gramEnd"/>
      <w:r w:rsidRPr="001B387F">
        <w:rPr>
          <w:rFonts w:cs="Calibri Light"/>
        </w:rPr>
        <w:t xml:space="preserve"> and poverty. Australia’s engagement will be underpinned by support for positive technological change.</w:t>
      </w:r>
    </w:p>
    <w:p w14:paraId="6EF61826" w14:textId="2B552EB5" w:rsidR="009E3323" w:rsidRPr="001B387F" w:rsidRDefault="009E3323" w:rsidP="00A32186">
      <w:pPr>
        <w:rPr>
          <w:rFonts w:cs="Calibri Light"/>
        </w:rPr>
      </w:pPr>
      <w:r w:rsidRPr="001B387F">
        <w:rPr>
          <w:rFonts w:cs="Calibri Light"/>
        </w:rPr>
        <w:lastRenderedPageBreak/>
        <w:t xml:space="preserve">Engagement will contribute to the economic partnership between Vietnam and Australia and be closely linked to </w:t>
      </w:r>
      <w:r w:rsidRPr="001B387F">
        <w:rPr>
          <w:rFonts w:cs="Calibri Light"/>
          <w:i/>
          <w:iCs/>
          <w:szCs w:val="21"/>
          <w:lang w:eastAsia="en-AU"/>
        </w:rPr>
        <w:t>Invested: Australia’s Southeast Asia Economic Strategy to 2040</w:t>
      </w:r>
      <w:r w:rsidRPr="001B387F">
        <w:rPr>
          <w:lang w:eastAsia="en-AU"/>
        </w:rPr>
        <w:t xml:space="preserve"> </w:t>
      </w:r>
      <w:r w:rsidRPr="001B387F">
        <w:rPr>
          <w:rFonts w:cs="Calibri Light"/>
        </w:rPr>
        <w:t xml:space="preserve">and the </w:t>
      </w:r>
      <w:r w:rsidR="00C8237E" w:rsidRPr="001B387F">
        <w:rPr>
          <w:rFonts w:cs="Calibri Light"/>
          <w:i/>
          <w:iCs/>
        </w:rPr>
        <w:t>Australia–</w:t>
      </w:r>
      <w:r w:rsidRPr="001B387F">
        <w:rPr>
          <w:rFonts w:cs="Calibri Light"/>
          <w:i/>
          <w:iCs/>
        </w:rPr>
        <w:t>Vietnam Enhanced Economic Engagement Strategy</w:t>
      </w:r>
      <w:r w:rsidRPr="001B387F">
        <w:rPr>
          <w:rFonts w:cs="Calibri Light"/>
        </w:rPr>
        <w:t xml:space="preserve">. This will drive </w:t>
      </w:r>
      <w:r w:rsidR="00DB23B9" w:rsidRPr="001B387F">
        <w:rPr>
          <w:rFonts w:cs="Calibri Light"/>
        </w:rPr>
        <w:t>an</w:t>
      </w:r>
      <w:r w:rsidRPr="001B387F">
        <w:rPr>
          <w:rFonts w:cs="Calibri Light"/>
        </w:rPr>
        <w:t xml:space="preserve"> approach </w:t>
      </w:r>
      <w:r w:rsidR="00DB23B9" w:rsidRPr="001B387F">
        <w:rPr>
          <w:rFonts w:cs="Calibri Light"/>
        </w:rPr>
        <w:t xml:space="preserve">that works across </w:t>
      </w:r>
      <w:r w:rsidR="007845BA" w:rsidRPr="001B387F">
        <w:rPr>
          <w:rFonts w:cs="Calibri Light"/>
        </w:rPr>
        <w:t>the Australian Government and has</w:t>
      </w:r>
      <w:r w:rsidRPr="001B387F">
        <w:rPr>
          <w:rFonts w:cs="Calibri Light"/>
        </w:rPr>
        <w:t xml:space="preserve"> strong </w:t>
      </w:r>
      <w:r w:rsidR="00157350" w:rsidRPr="001B387F">
        <w:rPr>
          <w:rFonts w:cs="Calibri Light"/>
        </w:rPr>
        <w:t>g</w:t>
      </w:r>
      <w:r w:rsidRPr="001B387F">
        <w:rPr>
          <w:rFonts w:cs="Calibri Light"/>
        </w:rPr>
        <w:t>overnment</w:t>
      </w:r>
      <w:r w:rsidR="00157350" w:rsidRPr="001B387F">
        <w:rPr>
          <w:rFonts w:cs="Calibri Light"/>
        </w:rPr>
        <w:t>-</w:t>
      </w:r>
      <w:r w:rsidRPr="001B387F">
        <w:rPr>
          <w:rFonts w:cs="Calibri Light"/>
        </w:rPr>
        <w:t>to</w:t>
      </w:r>
      <w:r w:rsidR="00157350" w:rsidRPr="001B387F">
        <w:rPr>
          <w:rFonts w:cs="Calibri Light"/>
        </w:rPr>
        <w:t>-g</w:t>
      </w:r>
      <w:r w:rsidRPr="001B387F">
        <w:rPr>
          <w:rFonts w:cs="Calibri Light"/>
        </w:rPr>
        <w:t xml:space="preserve">overnment partnerships. This will </w:t>
      </w:r>
      <w:r w:rsidR="00110E4C" w:rsidRPr="001B387F">
        <w:rPr>
          <w:rFonts w:cs="Calibri Light"/>
        </w:rPr>
        <w:t>involve</w:t>
      </w:r>
      <w:r w:rsidRPr="001B387F">
        <w:rPr>
          <w:rFonts w:cs="Calibri Light"/>
        </w:rPr>
        <w:t xml:space="preserve">, but not be limited to, key Australian economic policy agencies, Austrade and </w:t>
      </w:r>
      <w:r w:rsidR="004707C0" w:rsidRPr="001B387F">
        <w:rPr>
          <w:rFonts w:cs="Calibri Light"/>
        </w:rPr>
        <w:t>the Commonwealth Scientific and Industrial Research Organisation</w:t>
      </w:r>
      <w:r w:rsidR="004707C0" w:rsidRPr="001B387F" w:rsidDel="004707C0">
        <w:rPr>
          <w:rFonts w:cs="Calibri Light"/>
        </w:rPr>
        <w:t xml:space="preserve"> </w:t>
      </w:r>
      <w:r w:rsidR="004707C0" w:rsidRPr="001B387F">
        <w:rPr>
          <w:rFonts w:cs="Calibri Light"/>
        </w:rPr>
        <w:t>(</w:t>
      </w:r>
      <w:r w:rsidRPr="001B387F">
        <w:rPr>
          <w:rFonts w:cs="Calibri Light"/>
        </w:rPr>
        <w:t>CSIRO</w:t>
      </w:r>
      <w:r w:rsidR="004707C0" w:rsidRPr="001B387F">
        <w:rPr>
          <w:rFonts w:cs="Calibri Light"/>
        </w:rPr>
        <w:t>)</w:t>
      </w:r>
      <w:r w:rsidRPr="001B387F">
        <w:rPr>
          <w:rFonts w:cs="Calibri Light"/>
        </w:rPr>
        <w:t>. The private sector in both countries will be increasingly engaged.</w:t>
      </w:r>
    </w:p>
    <w:p w14:paraId="72095985" w14:textId="748D715B" w:rsidR="009E3323" w:rsidRPr="001B387F" w:rsidRDefault="00E42ACE" w:rsidP="00A32186">
      <w:pPr>
        <w:rPr>
          <w:rFonts w:cs="Calibri Light"/>
        </w:rPr>
      </w:pPr>
      <w:r w:rsidRPr="001B387F">
        <w:rPr>
          <w:rFonts w:cs="Calibri Light"/>
        </w:rPr>
        <w:t>O</w:t>
      </w:r>
      <w:r w:rsidR="009E3323" w:rsidRPr="001B387F">
        <w:rPr>
          <w:rFonts w:cs="Calibri Light"/>
        </w:rPr>
        <w:t>bjective</w:t>
      </w:r>
      <w:r w:rsidRPr="001B387F">
        <w:rPr>
          <w:rFonts w:cs="Calibri Light"/>
        </w:rPr>
        <w:t> 1</w:t>
      </w:r>
      <w:r w:rsidR="009E3323" w:rsidRPr="001B387F">
        <w:rPr>
          <w:rFonts w:cs="Calibri Light"/>
        </w:rPr>
        <w:t xml:space="preserve"> will be </w:t>
      </w:r>
      <w:r w:rsidR="00496153" w:rsidRPr="001B387F">
        <w:rPr>
          <w:rFonts w:cs="Calibri Light"/>
        </w:rPr>
        <w:t xml:space="preserve">achieved </w:t>
      </w:r>
      <w:r w:rsidR="009E3323" w:rsidRPr="001B387F">
        <w:rPr>
          <w:rFonts w:cs="Calibri Light"/>
        </w:rPr>
        <w:t>principally through the Aus4Growth</w:t>
      </w:r>
      <w:r w:rsidR="00CE5B29" w:rsidRPr="001B387F">
        <w:rPr>
          <w:rFonts w:cs="Calibri Light"/>
        </w:rPr>
        <w:t xml:space="preserve"> </w:t>
      </w:r>
      <w:r w:rsidR="009E3323" w:rsidRPr="001B387F">
        <w:rPr>
          <w:rFonts w:cs="Calibri Light"/>
        </w:rPr>
        <w:t>and the Aus4Innovation investments</w:t>
      </w:r>
      <w:r w:rsidR="001702CD" w:rsidRPr="001B387F">
        <w:rPr>
          <w:rFonts w:cs="Calibri Light"/>
        </w:rPr>
        <w:t>.</w:t>
      </w:r>
      <w:r w:rsidR="009E3323" w:rsidRPr="001B387F">
        <w:rPr>
          <w:rFonts w:cs="Calibri Light"/>
        </w:rPr>
        <w:t xml:space="preserve"> </w:t>
      </w:r>
      <w:r w:rsidR="001702CD" w:rsidRPr="001B387F">
        <w:rPr>
          <w:rFonts w:cs="Calibri Light"/>
        </w:rPr>
        <w:t>These investments</w:t>
      </w:r>
      <w:r w:rsidR="009E3323" w:rsidRPr="001B387F">
        <w:rPr>
          <w:rFonts w:cs="Calibri Light"/>
        </w:rPr>
        <w:t xml:space="preserve"> are underpinned by technical and policy engagement through the Australia</w:t>
      </w:r>
      <w:r w:rsidR="001702CD" w:rsidRPr="001B387F">
        <w:rPr>
          <w:rFonts w:cs="Calibri Light"/>
        </w:rPr>
        <w:t>–</w:t>
      </w:r>
      <w:r w:rsidR="009E3323" w:rsidRPr="001B387F">
        <w:rPr>
          <w:rFonts w:cs="Calibri Light"/>
        </w:rPr>
        <w:t xml:space="preserve">World Bank </w:t>
      </w:r>
      <w:r w:rsidR="001702CD" w:rsidRPr="001B387F">
        <w:rPr>
          <w:rFonts w:cs="Calibri Light"/>
        </w:rPr>
        <w:t xml:space="preserve">Strategic </w:t>
      </w:r>
      <w:r w:rsidR="009E3323" w:rsidRPr="001B387F">
        <w:rPr>
          <w:rFonts w:cs="Calibri Light"/>
        </w:rPr>
        <w:t>Partnership and the International Finance Corporation (IFC) Vietnam Private Sector Development Partnership. Regional development investments including Grow Asia (World Economic Forum), the Mekong</w:t>
      </w:r>
      <w:r w:rsidR="009724B0" w:rsidRPr="001B387F">
        <w:rPr>
          <w:rFonts w:cs="Calibri Light"/>
        </w:rPr>
        <w:t>–</w:t>
      </w:r>
      <w:r w:rsidR="009E3323" w:rsidRPr="001B387F">
        <w:rPr>
          <w:rFonts w:cs="Calibri Light"/>
        </w:rPr>
        <w:t xml:space="preserve">Australia Partnership (MAP), the Regional Trade for Development (RT4D) </w:t>
      </w:r>
      <w:r w:rsidR="009724B0" w:rsidRPr="001B387F">
        <w:rPr>
          <w:rFonts w:cs="Calibri Light"/>
        </w:rPr>
        <w:t>i</w:t>
      </w:r>
      <w:r w:rsidR="009E3323" w:rsidRPr="001B387F">
        <w:rPr>
          <w:rFonts w:cs="Calibri Light"/>
        </w:rPr>
        <w:t xml:space="preserve">nitiative, Partnerships for Infrastructure (P4I), the </w:t>
      </w:r>
      <w:r w:rsidR="00257F61" w:rsidRPr="001B387F">
        <w:rPr>
          <w:rFonts w:cs="Calibri Light"/>
        </w:rPr>
        <w:t xml:space="preserve">Southeast Asia and Australia </w:t>
      </w:r>
      <w:r w:rsidR="009E3323" w:rsidRPr="001B387F">
        <w:rPr>
          <w:rFonts w:cs="Calibri Light"/>
        </w:rPr>
        <w:t>Government</w:t>
      </w:r>
      <w:r w:rsidR="00257F61" w:rsidRPr="001B387F">
        <w:rPr>
          <w:rFonts w:cs="Calibri Light"/>
        </w:rPr>
        <w:t>-</w:t>
      </w:r>
      <w:r w:rsidR="009E3323" w:rsidRPr="001B387F">
        <w:rPr>
          <w:rFonts w:cs="Calibri Light"/>
        </w:rPr>
        <w:t>to</w:t>
      </w:r>
      <w:r w:rsidR="00257F61" w:rsidRPr="001B387F">
        <w:rPr>
          <w:rFonts w:cs="Calibri Light"/>
        </w:rPr>
        <w:t>-</w:t>
      </w:r>
      <w:r w:rsidR="009E3323" w:rsidRPr="001B387F">
        <w:rPr>
          <w:rFonts w:cs="Calibri Light"/>
        </w:rPr>
        <w:t xml:space="preserve">Government </w:t>
      </w:r>
      <w:r w:rsidR="00257F61" w:rsidRPr="001B387F">
        <w:rPr>
          <w:rFonts w:cs="Calibri Light"/>
        </w:rPr>
        <w:t xml:space="preserve">Partnerships program </w:t>
      </w:r>
      <w:r w:rsidR="009E3323" w:rsidRPr="001B387F">
        <w:rPr>
          <w:rFonts w:cs="Calibri Light"/>
        </w:rPr>
        <w:t>(</w:t>
      </w:r>
      <w:r w:rsidR="00257F61" w:rsidRPr="001B387F">
        <w:rPr>
          <w:rFonts w:cs="Calibri Light"/>
        </w:rPr>
        <w:t>SEA</w:t>
      </w:r>
      <w:r w:rsidR="009E3323" w:rsidRPr="001B387F">
        <w:rPr>
          <w:rFonts w:cs="Calibri Light"/>
        </w:rPr>
        <w:t>G2G) and the ASEAN</w:t>
      </w:r>
      <w:r w:rsidR="008C3352" w:rsidRPr="001B387F">
        <w:rPr>
          <w:rFonts w:cs="Calibri Light"/>
        </w:rPr>
        <w:t>–</w:t>
      </w:r>
      <w:r w:rsidR="009E3323" w:rsidRPr="001B387F">
        <w:rPr>
          <w:rFonts w:cs="Calibri Light"/>
        </w:rPr>
        <w:t>Australia Digital Trade Standards Initiative will also contribute to this objective. The operation of Australia’s Investment Deal Team</w:t>
      </w:r>
      <w:r w:rsidR="003F4C33" w:rsidRPr="001B387F">
        <w:rPr>
          <w:rFonts w:cs="Calibri Light"/>
        </w:rPr>
        <w:t xml:space="preserve"> </w:t>
      </w:r>
      <w:r w:rsidR="009E3323" w:rsidRPr="001B387F">
        <w:rPr>
          <w:rFonts w:cs="Calibri Light"/>
        </w:rPr>
        <w:t xml:space="preserve">in Vietnam and implementation of other initiatives in </w:t>
      </w:r>
      <w:r w:rsidR="009E3323" w:rsidRPr="001B387F">
        <w:rPr>
          <w:rFonts w:cs="Calibri Light"/>
          <w:i/>
          <w:iCs/>
          <w:szCs w:val="21"/>
          <w:lang w:eastAsia="en-AU"/>
        </w:rPr>
        <w:t>Invested: Australia’s Southeast Asia Economic Strategy to 2040</w:t>
      </w:r>
      <w:r w:rsidR="009E3323" w:rsidRPr="001B387F">
        <w:rPr>
          <w:lang w:eastAsia="en-AU"/>
        </w:rPr>
        <w:t xml:space="preserve"> </w:t>
      </w:r>
      <w:r w:rsidR="009E3323" w:rsidRPr="001B387F">
        <w:rPr>
          <w:rFonts w:cs="Calibri Light"/>
        </w:rPr>
        <w:t>will continue to promote opportunities for direct ties between business sectors</w:t>
      </w:r>
      <w:r w:rsidR="008148DF" w:rsidRPr="001B387F">
        <w:rPr>
          <w:rFonts w:cs="Calibri Light"/>
        </w:rPr>
        <w:t xml:space="preserve"> in Australia and Vietnam.</w:t>
      </w:r>
    </w:p>
    <w:p w14:paraId="6BBC3CEC" w14:textId="179BC68A" w:rsidR="009E3323" w:rsidRPr="001B387F" w:rsidRDefault="009E3323" w:rsidP="00A32186">
      <w:pPr>
        <w:spacing w:after="0"/>
        <w:rPr>
          <w:rFonts w:cs="Calibri Light"/>
        </w:rPr>
      </w:pPr>
      <w:r w:rsidRPr="001B387F">
        <w:rPr>
          <w:rFonts w:cs="Calibri Light"/>
        </w:rPr>
        <w:t xml:space="preserve">Close </w:t>
      </w:r>
      <w:r w:rsidR="003A5071" w:rsidRPr="001B387F">
        <w:rPr>
          <w:rFonts w:cs="Calibri Light"/>
        </w:rPr>
        <w:t>coordination</w:t>
      </w:r>
      <w:r w:rsidRPr="001B387F">
        <w:rPr>
          <w:rFonts w:cs="Calibri Light"/>
        </w:rPr>
        <w:t xml:space="preserve"> with the investments under Objective</w:t>
      </w:r>
      <w:r w:rsidR="00ED793B" w:rsidRPr="001B387F">
        <w:rPr>
          <w:rFonts w:cs="Calibri Light"/>
        </w:rPr>
        <w:t> 4</w:t>
      </w:r>
      <w:r w:rsidRPr="001B387F">
        <w:rPr>
          <w:rFonts w:cs="Calibri Light"/>
        </w:rPr>
        <w:t xml:space="preserve"> will ensure social inclusion is mainstreamed into the reform and policymaking agendas. Economic reform related to the challenges, risks and opportunities associated with climate change will require close c</w:t>
      </w:r>
      <w:r w:rsidR="009E2E20" w:rsidRPr="001B387F">
        <w:rPr>
          <w:rFonts w:cs="Calibri Light"/>
        </w:rPr>
        <w:t>oordination</w:t>
      </w:r>
      <w:r w:rsidRPr="001B387F">
        <w:rPr>
          <w:rFonts w:cs="Calibri Light"/>
        </w:rPr>
        <w:t xml:space="preserve"> with the </w:t>
      </w:r>
      <w:r w:rsidR="00F6701C" w:rsidRPr="001B387F">
        <w:rPr>
          <w:rFonts w:cs="Calibri Light"/>
        </w:rPr>
        <w:t>investments under</w:t>
      </w:r>
      <w:r w:rsidRPr="001B387F">
        <w:rPr>
          <w:rFonts w:cs="Calibri Light"/>
        </w:rPr>
        <w:t xml:space="preserve"> </w:t>
      </w:r>
      <w:r w:rsidR="00A95C1A" w:rsidRPr="001B387F">
        <w:rPr>
          <w:rFonts w:cs="Calibri Light"/>
        </w:rPr>
        <w:t>O</w:t>
      </w:r>
      <w:r w:rsidRPr="001B387F">
        <w:rPr>
          <w:rFonts w:cs="Calibri Light"/>
        </w:rPr>
        <w:t>bjective</w:t>
      </w:r>
      <w:r w:rsidR="00A95C1A" w:rsidRPr="001B387F">
        <w:rPr>
          <w:rFonts w:cs="Calibri Light"/>
        </w:rPr>
        <w:t> </w:t>
      </w:r>
      <w:r w:rsidR="006A4833" w:rsidRPr="001B387F">
        <w:rPr>
          <w:rFonts w:cs="Calibri Light"/>
        </w:rPr>
        <w:t>3</w:t>
      </w:r>
      <w:r w:rsidR="008221C1" w:rsidRPr="001B387F">
        <w:rPr>
          <w:rFonts w:cs="Calibri Light"/>
        </w:rPr>
        <w:t>.</w:t>
      </w:r>
      <w:r w:rsidRPr="001B387F">
        <w:rPr>
          <w:rFonts w:cs="Calibri Light"/>
        </w:rPr>
        <w:t xml:space="preserve"> Opportunities to address capacity building needs will lead to close co</w:t>
      </w:r>
      <w:r w:rsidR="009E2E20" w:rsidRPr="001B387F">
        <w:rPr>
          <w:rFonts w:cs="Calibri Light"/>
        </w:rPr>
        <w:t>ordination</w:t>
      </w:r>
      <w:r w:rsidRPr="001B387F">
        <w:rPr>
          <w:rFonts w:cs="Calibri Light"/>
        </w:rPr>
        <w:t xml:space="preserve"> with </w:t>
      </w:r>
      <w:r w:rsidR="00F6701C" w:rsidRPr="001B387F">
        <w:rPr>
          <w:rFonts w:cs="Calibri Light"/>
        </w:rPr>
        <w:t xml:space="preserve">the investments under </w:t>
      </w:r>
      <w:r w:rsidRPr="001B387F">
        <w:rPr>
          <w:rFonts w:cs="Calibri Light"/>
        </w:rPr>
        <w:t>Objective</w:t>
      </w:r>
      <w:r w:rsidR="006A4833" w:rsidRPr="001B387F">
        <w:rPr>
          <w:rFonts w:cs="Calibri Light"/>
        </w:rPr>
        <w:t> 2</w:t>
      </w:r>
      <w:r w:rsidRPr="001B387F">
        <w:rPr>
          <w:rFonts w:cs="Calibri Light"/>
        </w:rPr>
        <w:t>.</w:t>
      </w:r>
    </w:p>
    <w:p w14:paraId="2F7A2272" w14:textId="139270BA" w:rsidR="009E3323" w:rsidRPr="001B387F" w:rsidRDefault="009E3323" w:rsidP="00F26D67">
      <w:pPr>
        <w:pStyle w:val="H3-Heading3"/>
        <w:rPr>
          <w:rFonts w:eastAsia="Calibri Light"/>
        </w:rPr>
      </w:pPr>
      <w:r w:rsidRPr="001B387F">
        <w:rPr>
          <w:rFonts w:eastAsia="Calibri Light"/>
        </w:rPr>
        <w:t xml:space="preserve">Objective 2: </w:t>
      </w:r>
      <w:r w:rsidR="0090324C" w:rsidRPr="001B387F">
        <w:rPr>
          <w:rFonts w:eastAsia="Calibri Light"/>
        </w:rPr>
        <w:t>S</w:t>
      </w:r>
      <w:r w:rsidRPr="001B387F">
        <w:rPr>
          <w:rFonts w:eastAsia="Calibri Light"/>
        </w:rPr>
        <w:t>trengthen</w:t>
      </w:r>
      <w:r w:rsidR="0090324C" w:rsidRPr="001B387F">
        <w:rPr>
          <w:rFonts w:eastAsia="Calibri Light"/>
        </w:rPr>
        <w:t>ed</w:t>
      </w:r>
      <w:r w:rsidRPr="001B387F">
        <w:rPr>
          <w:rFonts w:eastAsia="Calibri Light"/>
        </w:rPr>
        <w:t xml:space="preserve"> human resources to meet socioeconomic development </w:t>
      </w:r>
      <w:proofErr w:type="gramStart"/>
      <w:r w:rsidRPr="001B387F">
        <w:rPr>
          <w:rFonts w:eastAsia="Calibri Light"/>
        </w:rPr>
        <w:t>objectives</w:t>
      </w:r>
      <w:proofErr w:type="gramEnd"/>
    </w:p>
    <w:p w14:paraId="21533E64" w14:textId="0FAED840" w:rsidR="00C86739" w:rsidRPr="001B387F" w:rsidRDefault="00C86739" w:rsidP="00784476">
      <w:pPr>
        <w:spacing w:before="120" w:after="120" w:line="264" w:lineRule="auto"/>
        <w:contextualSpacing/>
        <w:textAlignment w:val="baseline"/>
        <w:rPr>
          <w:rFonts w:cs="Calibri Light"/>
        </w:rPr>
      </w:pPr>
      <w:r w:rsidRPr="001B387F">
        <w:rPr>
          <w:rFonts w:cs="Calibri Light"/>
        </w:rPr>
        <w:t>Objective </w:t>
      </w:r>
      <w:r w:rsidR="00784476" w:rsidRPr="001B387F">
        <w:rPr>
          <w:rFonts w:cs="Calibri Light"/>
        </w:rPr>
        <w:t>2</w:t>
      </w:r>
      <w:r w:rsidRPr="001B387F">
        <w:rPr>
          <w:rFonts w:cs="Calibri Light"/>
        </w:rPr>
        <w:t xml:space="preserve"> contributes to the following focus area of Australia’s International Development Policy:</w:t>
      </w:r>
      <w:r w:rsidR="00784476" w:rsidRPr="001B387F">
        <w:rPr>
          <w:rFonts w:cs="Calibri Light"/>
        </w:rPr>
        <w:t xml:space="preserve"> connect with Australia and regional architecture</w:t>
      </w:r>
      <w:r w:rsidRPr="001B387F">
        <w:t>.</w:t>
      </w:r>
    </w:p>
    <w:p w14:paraId="7B883ADD" w14:textId="077EAA2D" w:rsidR="009E3323" w:rsidRPr="001B387F" w:rsidRDefault="009E3323" w:rsidP="00A32186">
      <w:pPr>
        <w:rPr>
          <w:rFonts w:cs="Calibri Light"/>
        </w:rPr>
      </w:pPr>
      <w:r w:rsidRPr="001B387F">
        <w:rPr>
          <w:rFonts w:cs="Calibri Light"/>
        </w:rPr>
        <w:t>Under the DPP, Australia will support Vietnam’s efforts to:</w:t>
      </w:r>
    </w:p>
    <w:p w14:paraId="34472D1E" w14:textId="7142AFCF" w:rsidR="009E3323" w:rsidRPr="001B387F" w:rsidRDefault="009E3323" w:rsidP="005A0746">
      <w:pPr>
        <w:pStyle w:val="NormalBullets-L1"/>
      </w:pPr>
      <w:r w:rsidRPr="001B387F">
        <w:t xml:space="preserve">enhance </w:t>
      </w:r>
      <w:r w:rsidR="004B0A7F" w:rsidRPr="001B387F">
        <w:t xml:space="preserve">the </w:t>
      </w:r>
      <w:r w:rsidRPr="001B387F">
        <w:t xml:space="preserve">capability of </w:t>
      </w:r>
      <w:r w:rsidR="004B0A7F" w:rsidRPr="001B387F">
        <w:t>its</w:t>
      </w:r>
      <w:r w:rsidRPr="001B387F">
        <w:t xml:space="preserve"> leaders to engage on national, regional and international challenges through knowledge exchange and skills development with Australia through </w:t>
      </w:r>
      <w:r w:rsidR="00031BAB" w:rsidRPr="001B387F">
        <w:t xml:space="preserve">Australian </w:t>
      </w:r>
      <w:r w:rsidRPr="001B387F">
        <w:t xml:space="preserve">Government agencies, Australian education institutions, think tanks and the private </w:t>
      </w:r>
      <w:proofErr w:type="gramStart"/>
      <w:r w:rsidRPr="001B387F">
        <w:t>sector</w:t>
      </w:r>
      <w:proofErr w:type="gramEnd"/>
    </w:p>
    <w:p w14:paraId="299AA30E" w14:textId="4EBB0E37" w:rsidR="009E3323" w:rsidRPr="001B387F" w:rsidRDefault="009E3323" w:rsidP="005A0746">
      <w:pPr>
        <w:pStyle w:val="NormalBullets-L1"/>
      </w:pPr>
      <w:r w:rsidRPr="001B387F">
        <w:t xml:space="preserve">improve </w:t>
      </w:r>
      <w:r w:rsidR="00A00460" w:rsidRPr="001B387F">
        <w:t xml:space="preserve">the </w:t>
      </w:r>
      <w:r w:rsidRPr="001B387F">
        <w:t>quality and accessibility of Vietnam’s VET system to increase productivity in selected sectors through industry-led approaches and improved capacity of VET providers, industry partners and graduate</w:t>
      </w:r>
      <w:r w:rsidR="00EC0A27" w:rsidRPr="001B387F">
        <w:t>s</w:t>
      </w:r>
      <w:r w:rsidRPr="001B387F">
        <w:t>.</w:t>
      </w:r>
    </w:p>
    <w:p w14:paraId="149C90B4" w14:textId="7CE2C522" w:rsidR="009E3323" w:rsidRPr="001B387F" w:rsidRDefault="009E3323" w:rsidP="00A32186">
      <w:pPr>
        <w:spacing w:after="0"/>
        <w:rPr>
          <w:rFonts w:cs="Calibri Light"/>
        </w:rPr>
      </w:pPr>
      <w:r w:rsidRPr="001B387F">
        <w:rPr>
          <w:rFonts w:cs="Calibri Light"/>
        </w:rPr>
        <w:t xml:space="preserve">Australia’s approach will build on existing strong partnerships with the </w:t>
      </w:r>
      <w:r w:rsidRPr="001B387F">
        <w:rPr>
          <w:rFonts w:cs="Calibri Light"/>
          <w:lang w:eastAsia="en-AU"/>
        </w:rPr>
        <w:t>Communist Party of Vietnam</w:t>
      </w:r>
      <w:r w:rsidRPr="001B387F">
        <w:rPr>
          <w:rFonts w:cs="Calibri Light"/>
        </w:rPr>
        <w:t xml:space="preserve">, National Assembly, Government of Vietnam, </w:t>
      </w:r>
      <w:proofErr w:type="gramStart"/>
      <w:r w:rsidRPr="001B387F">
        <w:rPr>
          <w:rFonts w:cs="Calibri Light"/>
        </w:rPr>
        <w:t>industry</w:t>
      </w:r>
      <w:proofErr w:type="gramEnd"/>
      <w:r w:rsidRPr="001B387F">
        <w:rPr>
          <w:rFonts w:cs="Calibri Light"/>
        </w:rPr>
        <w:t xml:space="preserve"> and education partners as well as an extensive network of </w:t>
      </w:r>
      <w:r w:rsidR="004C5587" w:rsidRPr="001B387F">
        <w:rPr>
          <w:rFonts w:cs="Calibri Light"/>
        </w:rPr>
        <w:t>alumni of Australian institutions</w:t>
      </w:r>
      <w:r w:rsidRPr="001B387F">
        <w:rPr>
          <w:rFonts w:cs="Calibri Light"/>
        </w:rPr>
        <w:t xml:space="preserve">. Australia will remain flexible and responsive to the human resource development needs and circumstances of Vietnam. Where Vietnam’s skills and human resource reforms and models are already being implemented, Australia will </w:t>
      </w:r>
      <w:r w:rsidR="00F32A8D" w:rsidRPr="001B387F">
        <w:rPr>
          <w:rFonts w:cs="Calibri Light"/>
        </w:rPr>
        <w:t xml:space="preserve">work with Vietnam to </w:t>
      </w:r>
      <w:r w:rsidRPr="001B387F">
        <w:rPr>
          <w:rFonts w:cs="Calibri Light"/>
        </w:rPr>
        <w:t>look for opportunities to strengthen their efficacy.</w:t>
      </w:r>
    </w:p>
    <w:p w14:paraId="101D90AE" w14:textId="1050A7F9" w:rsidR="009E3323" w:rsidRPr="001B387F" w:rsidRDefault="009E3323" w:rsidP="00A32186">
      <w:pPr>
        <w:spacing w:after="0"/>
      </w:pPr>
      <w:r w:rsidRPr="001B387F">
        <w:rPr>
          <w:rFonts w:cs="Calibri Light"/>
        </w:rPr>
        <w:t xml:space="preserve">Strong collaboration </w:t>
      </w:r>
      <w:r w:rsidR="00F811DF" w:rsidRPr="001B387F">
        <w:rPr>
          <w:rFonts w:cs="Calibri Light"/>
        </w:rPr>
        <w:t xml:space="preserve">across the Australian Government </w:t>
      </w:r>
      <w:r w:rsidRPr="001B387F">
        <w:rPr>
          <w:rFonts w:cs="Calibri Light"/>
        </w:rPr>
        <w:t xml:space="preserve">will continue in </w:t>
      </w:r>
      <w:r w:rsidRPr="001B387F">
        <w:rPr>
          <w:rFonts w:cs="Calibri Light"/>
          <w:lang w:eastAsia="en-AU"/>
        </w:rPr>
        <w:t xml:space="preserve">tertiary education and VET. We will work with </w:t>
      </w:r>
      <w:r w:rsidR="00F32A8D" w:rsidRPr="001B387F">
        <w:rPr>
          <w:rFonts w:cs="Calibri Light"/>
          <w:lang w:eastAsia="en-AU"/>
        </w:rPr>
        <w:t>the Australian Government</w:t>
      </w:r>
      <w:r w:rsidRPr="001B387F">
        <w:rPr>
          <w:rFonts w:cs="Calibri Light"/>
          <w:lang w:eastAsia="en-AU"/>
        </w:rPr>
        <w:t xml:space="preserve"> Department of Education to</w:t>
      </w:r>
      <w:r w:rsidR="001F24E1" w:rsidRPr="001B387F">
        <w:rPr>
          <w:rFonts w:cs="Calibri Light"/>
          <w:lang w:eastAsia="en-AU"/>
        </w:rPr>
        <w:t xml:space="preserve"> help Vietnam</w:t>
      </w:r>
      <w:r w:rsidR="00090BC8" w:rsidRPr="001B387F">
        <w:rPr>
          <w:rFonts w:cs="Calibri Light"/>
          <w:lang w:eastAsia="en-AU"/>
        </w:rPr>
        <w:t xml:space="preserve"> implement VET reforms,</w:t>
      </w:r>
      <w:r w:rsidRPr="001B387F">
        <w:rPr>
          <w:rFonts w:cs="Calibri Light"/>
          <w:lang w:eastAsia="en-AU"/>
        </w:rPr>
        <w:t xml:space="preserve"> enhance internationalisation</w:t>
      </w:r>
      <w:r w:rsidR="00AA6FCF" w:rsidRPr="001B387F">
        <w:rPr>
          <w:rFonts w:cs="Calibri Light"/>
          <w:lang w:eastAsia="en-AU"/>
        </w:rPr>
        <w:t xml:space="preserve"> of the higher education sector</w:t>
      </w:r>
      <w:r w:rsidRPr="001B387F">
        <w:rPr>
          <w:rFonts w:cs="Calibri Light"/>
          <w:lang w:eastAsia="en-AU"/>
        </w:rPr>
        <w:t>, strengthen quality assurance</w:t>
      </w:r>
      <w:r w:rsidR="007E5EFF">
        <w:rPr>
          <w:rFonts w:cs="Calibri Light"/>
          <w:lang w:eastAsia="en-AU"/>
        </w:rPr>
        <w:t xml:space="preserve">, </w:t>
      </w:r>
      <w:r w:rsidRPr="001B387F">
        <w:rPr>
          <w:rFonts w:cs="Calibri Light"/>
          <w:lang w:eastAsia="en-AU"/>
        </w:rPr>
        <w:t>accreditation policies and capacity</w:t>
      </w:r>
      <w:r w:rsidR="00334B70" w:rsidRPr="001B387F">
        <w:rPr>
          <w:rFonts w:cs="Calibri Light"/>
          <w:lang w:eastAsia="en-AU"/>
        </w:rPr>
        <w:t xml:space="preserve"> </w:t>
      </w:r>
      <w:r w:rsidR="007E5EFF">
        <w:rPr>
          <w:rFonts w:cs="Calibri Light"/>
          <w:lang w:eastAsia="en-AU"/>
        </w:rPr>
        <w:t>within</w:t>
      </w:r>
      <w:r w:rsidR="00334B70" w:rsidRPr="001B387F">
        <w:rPr>
          <w:rFonts w:cs="Calibri Light"/>
          <w:lang w:eastAsia="en-AU"/>
        </w:rPr>
        <w:t xml:space="preserve"> education institutions</w:t>
      </w:r>
      <w:r w:rsidRPr="001B387F">
        <w:rPr>
          <w:rFonts w:cs="Calibri Light"/>
          <w:lang w:eastAsia="en-AU"/>
        </w:rPr>
        <w:t xml:space="preserve">, </w:t>
      </w:r>
      <w:r w:rsidR="004F5CF8" w:rsidRPr="001B387F">
        <w:rPr>
          <w:rFonts w:cs="Calibri Light"/>
          <w:lang w:eastAsia="en-AU"/>
        </w:rPr>
        <w:t xml:space="preserve">and </w:t>
      </w:r>
      <w:r w:rsidRPr="001B387F">
        <w:rPr>
          <w:rFonts w:cs="Calibri Light"/>
          <w:lang w:eastAsia="en-AU"/>
        </w:rPr>
        <w:t>improve research collaboration</w:t>
      </w:r>
      <w:r w:rsidR="00C67A77" w:rsidRPr="001B387F">
        <w:rPr>
          <w:rFonts w:cs="Calibri Light"/>
          <w:lang w:eastAsia="en-AU"/>
        </w:rPr>
        <w:t xml:space="preserve"> between </w:t>
      </w:r>
      <w:r w:rsidR="001F24E1" w:rsidRPr="001B387F">
        <w:rPr>
          <w:rFonts w:cs="Calibri Light"/>
          <w:lang w:eastAsia="en-AU"/>
        </w:rPr>
        <w:t xml:space="preserve">Australian and Vietnamese </w:t>
      </w:r>
      <w:r w:rsidR="00C67A77" w:rsidRPr="001B387F">
        <w:rPr>
          <w:rFonts w:cs="Calibri Light"/>
          <w:lang w:eastAsia="en-AU"/>
        </w:rPr>
        <w:t>universities</w:t>
      </w:r>
      <w:r w:rsidRPr="001B387F">
        <w:rPr>
          <w:rFonts w:cs="Calibri Light"/>
          <w:lang w:eastAsia="en-AU"/>
        </w:rPr>
        <w:t xml:space="preserve">. </w:t>
      </w:r>
      <w:r w:rsidRPr="001B387F">
        <w:rPr>
          <w:rFonts w:cs="Calibri Light"/>
        </w:rPr>
        <w:t xml:space="preserve">Australia will also work closely with like-minded development partners that are supporting VET skills development, such as Germany, </w:t>
      </w:r>
      <w:proofErr w:type="gramStart"/>
      <w:r w:rsidRPr="001B387F">
        <w:rPr>
          <w:rFonts w:cs="Calibri Light"/>
        </w:rPr>
        <w:t>Denmark</w:t>
      </w:r>
      <w:proofErr w:type="gramEnd"/>
      <w:r w:rsidRPr="001B387F">
        <w:rPr>
          <w:rFonts w:cs="Calibri Light"/>
        </w:rPr>
        <w:t xml:space="preserve"> and the International Labour Organi</w:t>
      </w:r>
      <w:r w:rsidR="00073774" w:rsidRPr="001B387F">
        <w:rPr>
          <w:rFonts w:cs="Calibri Light"/>
        </w:rPr>
        <w:t>s</w:t>
      </w:r>
      <w:r w:rsidRPr="001B387F">
        <w:rPr>
          <w:rFonts w:cs="Calibri Light"/>
        </w:rPr>
        <w:t>ation (ILO), to promote the exchange of knowledge and experience</w:t>
      </w:r>
      <w:r w:rsidR="00D424A2" w:rsidRPr="001B387F">
        <w:rPr>
          <w:rFonts w:cs="Calibri Light"/>
        </w:rPr>
        <w:t>,</w:t>
      </w:r>
      <w:r w:rsidRPr="001B387F">
        <w:rPr>
          <w:rFonts w:cs="Calibri Light"/>
        </w:rPr>
        <w:t xml:space="preserve"> and </w:t>
      </w:r>
      <w:r w:rsidR="00BC628F" w:rsidRPr="001B387F">
        <w:rPr>
          <w:rFonts w:cs="Calibri Light"/>
        </w:rPr>
        <w:t>advocate jointly</w:t>
      </w:r>
      <w:r w:rsidRPr="001B387F">
        <w:rPr>
          <w:rFonts w:cs="Calibri Light"/>
        </w:rPr>
        <w:t xml:space="preserve"> on VET reform.</w:t>
      </w:r>
    </w:p>
    <w:p w14:paraId="23A5D56E" w14:textId="599BED3D" w:rsidR="009E3323" w:rsidRPr="001B387F" w:rsidRDefault="009E3323" w:rsidP="00A32186">
      <w:pPr>
        <w:spacing w:after="0"/>
        <w:rPr>
          <w:rFonts w:cs="Calibri Light"/>
          <w:lang w:eastAsia="en-AU"/>
        </w:rPr>
      </w:pPr>
      <w:r w:rsidRPr="001B387F">
        <w:rPr>
          <w:rFonts w:cs="Calibri Light"/>
        </w:rPr>
        <w:lastRenderedPageBreak/>
        <w:t xml:space="preserve">Current </w:t>
      </w:r>
      <w:r w:rsidRPr="001B387F">
        <w:rPr>
          <w:rFonts w:cs="Calibri Light"/>
          <w:lang w:eastAsia="en-AU"/>
        </w:rPr>
        <w:t xml:space="preserve">and emerging skills and human resource demands will be </w:t>
      </w:r>
      <w:r w:rsidR="005E0A46" w:rsidRPr="001B387F">
        <w:rPr>
          <w:rFonts w:cs="Calibri Light"/>
          <w:lang w:eastAsia="en-AU"/>
        </w:rPr>
        <w:t xml:space="preserve">met </w:t>
      </w:r>
      <w:r w:rsidRPr="001B387F">
        <w:rPr>
          <w:rFonts w:cs="Calibri Light"/>
          <w:lang w:eastAsia="en-AU"/>
        </w:rPr>
        <w:t>principally through the Aus4Skills investment. This investment includes support for the V</w:t>
      </w:r>
      <w:r w:rsidR="00CA6654" w:rsidRPr="001B387F">
        <w:rPr>
          <w:rFonts w:cs="Calibri Light"/>
          <w:lang w:eastAsia="en-AU"/>
        </w:rPr>
        <w:t xml:space="preserve">ietnam </w:t>
      </w:r>
      <w:r w:rsidRPr="001B387F">
        <w:rPr>
          <w:rFonts w:cs="Calibri Light"/>
          <w:lang w:eastAsia="en-AU"/>
        </w:rPr>
        <w:t>A</w:t>
      </w:r>
      <w:r w:rsidR="00CA6654" w:rsidRPr="001B387F">
        <w:rPr>
          <w:rFonts w:cs="Calibri Light"/>
          <w:lang w:eastAsia="en-AU"/>
        </w:rPr>
        <w:t xml:space="preserve">ustralia </w:t>
      </w:r>
      <w:r w:rsidRPr="001B387F">
        <w:rPr>
          <w:rFonts w:cs="Calibri Light"/>
          <w:lang w:eastAsia="en-AU"/>
        </w:rPr>
        <w:t>C</w:t>
      </w:r>
      <w:r w:rsidR="00CA6654" w:rsidRPr="001B387F">
        <w:rPr>
          <w:rFonts w:cs="Calibri Light"/>
          <w:lang w:eastAsia="en-AU"/>
        </w:rPr>
        <w:t>entre</w:t>
      </w:r>
      <w:r w:rsidRPr="001B387F">
        <w:rPr>
          <w:rFonts w:cs="Calibri Light"/>
          <w:lang w:eastAsia="en-AU"/>
        </w:rPr>
        <w:t xml:space="preserve">, the VET sector, the higher education sector (including Australia Awards Scholarships), </w:t>
      </w:r>
      <w:r w:rsidR="000917E7" w:rsidRPr="001B387F">
        <w:rPr>
          <w:rFonts w:cs="Calibri Light"/>
          <w:lang w:eastAsia="en-AU"/>
        </w:rPr>
        <w:t xml:space="preserve">the </w:t>
      </w:r>
      <w:r w:rsidRPr="001B387F">
        <w:rPr>
          <w:rFonts w:cs="Calibri Light"/>
          <w:lang w:eastAsia="en-AU"/>
        </w:rPr>
        <w:t>M</w:t>
      </w:r>
      <w:r w:rsidR="000917E7" w:rsidRPr="001B387F">
        <w:rPr>
          <w:rFonts w:cs="Calibri Light"/>
          <w:lang w:eastAsia="en-AU"/>
        </w:rPr>
        <w:t>ekong–</w:t>
      </w:r>
      <w:r w:rsidRPr="001B387F">
        <w:rPr>
          <w:rFonts w:cs="Calibri Light"/>
          <w:lang w:eastAsia="en-AU"/>
        </w:rPr>
        <w:t>A</w:t>
      </w:r>
      <w:r w:rsidR="000917E7" w:rsidRPr="001B387F">
        <w:rPr>
          <w:rFonts w:cs="Calibri Light"/>
          <w:lang w:eastAsia="en-AU"/>
        </w:rPr>
        <w:t xml:space="preserve">ustralia </w:t>
      </w:r>
      <w:r w:rsidRPr="001B387F">
        <w:rPr>
          <w:rFonts w:cs="Calibri Light"/>
          <w:lang w:eastAsia="en-AU"/>
        </w:rPr>
        <w:t>P</w:t>
      </w:r>
      <w:r w:rsidR="000917E7" w:rsidRPr="001B387F">
        <w:rPr>
          <w:rFonts w:cs="Calibri Light"/>
          <w:lang w:eastAsia="en-AU"/>
        </w:rPr>
        <w:t>artnership</w:t>
      </w:r>
      <w:r w:rsidRPr="001B387F">
        <w:rPr>
          <w:rFonts w:cs="Calibri Light"/>
          <w:lang w:eastAsia="en-AU"/>
        </w:rPr>
        <w:t xml:space="preserve"> and ASEAN initiatives.</w:t>
      </w:r>
      <w:r w:rsidRPr="001B387F">
        <w:rPr>
          <w:kern w:val="2"/>
          <w14:ligatures w14:val="standardContextual"/>
        </w:rPr>
        <w:t xml:space="preserve"> </w:t>
      </w:r>
      <w:r w:rsidRPr="001B387F">
        <w:rPr>
          <w:rFonts w:cs="Calibri Light"/>
          <w:lang w:eastAsia="en-AU"/>
        </w:rPr>
        <w:t xml:space="preserve">Support through global programs such as the Australian Volunteers Program and </w:t>
      </w:r>
      <w:r w:rsidR="000917E7" w:rsidRPr="001B387F">
        <w:rPr>
          <w:rFonts w:cs="Calibri Light"/>
          <w:lang w:eastAsia="en-AU"/>
        </w:rPr>
        <w:t xml:space="preserve">the </w:t>
      </w:r>
      <w:r w:rsidRPr="001B387F">
        <w:rPr>
          <w:rFonts w:cs="Calibri Light"/>
          <w:lang w:eastAsia="en-AU"/>
        </w:rPr>
        <w:t>New Colombo Plan</w:t>
      </w:r>
      <w:r w:rsidR="00985442" w:rsidRPr="001B387F">
        <w:rPr>
          <w:rFonts w:cs="Calibri Light"/>
          <w:lang w:eastAsia="en-AU"/>
        </w:rPr>
        <w:t> </w:t>
      </w:r>
      <w:r w:rsidRPr="001B387F">
        <w:rPr>
          <w:rFonts w:cs="Calibri Light"/>
          <w:lang w:eastAsia="en-AU"/>
        </w:rPr>
        <w:t xml:space="preserve">will contribute to </w:t>
      </w:r>
      <w:r w:rsidRPr="001B387F">
        <w:rPr>
          <w:rFonts w:cs="Calibri Light"/>
        </w:rPr>
        <w:t>strengthening</w:t>
      </w:r>
      <w:r w:rsidRPr="001B387F">
        <w:rPr>
          <w:rFonts w:cs="Calibri Light"/>
          <w:lang w:eastAsia="en-AU"/>
        </w:rPr>
        <w:t xml:space="preserve"> people</w:t>
      </w:r>
      <w:r w:rsidR="00FF4C6C" w:rsidRPr="001B387F">
        <w:rPr>
          <w:rFonts w:cs="Calibri Light"/>
          <w:lang w:eastAsia="en-AU"/>
        </w:rPr>
        <w:t>-</w:t>
      </w:r>
      <w:r w:rsidRPr="001B387F">
        <w:rPr>
          <w:rFonts w:cs="Calibri Light"/>
          <w:lang w:eastAsia="en-AU"/>
        </w:rPr>
        <w:t>to</w:t>
      </w:r>
      <w:r w:rsidR="00FF4C6C" w:rsidRPr="001B387F">
        <w:rPr>
          <w:rFonts w:cs="Calibri Light"/>
          <w:lang w:eastAsia="en-AU"/>
        </w:rPr>
        <w:t>-</w:t>
      </w:r>
      <w:r w:rsidRPr="001B387F">
        <w:rPr>
          <w:rFonts w:cs="Calibri Light"/>
          <w:lang w:eastAsia="en-AU"/>
        </w:rPr>
        <w:t xml:space="preserve">people links. We will identify opportunities for further </w:t>
      </w:r>
      <w:r w:rsidR="00FF4C6C" w:rsidRPr="001B387F">
        <w:rPr>
          <w:rFonts w:cs="Calibri Light"/>
          <w:lang w:eastAsia="en-AU"/>
        </w:rPr>
        <w:t>g</w:t>
      </w:r>
      <w:r w:rsidRPr="001B387F">
        <w:rPr>
          <w:rFonts w:cs="Calibri Light"/>
          <w:lang w:eastAsia="en-AU"/>
        </w:rPr>
        <w:t>overnment</w:t>
      </w:r>
      <w:r w:rsidR="00FF4C6C" w:rsidRPr="001B387F">
        <w:rPr>
          <w:rFonts w:cs="Calibri Light"/>
          <w:lang w:eastAsia="en-AU"/>
        </w:rPr>
        <w:t>-</w:t>
      </w:r>
      <w:r w:rsidR="00985442" w:rsidRPr="001B387F">
        <w:rPr>
          <w:rFonts w:cs="Calibri Light"/>
          <w:lang w:eastAsia="en-AU"/>
        </w:rPr>
        <w:t>‍</w:t>
      </w:r>
      <w:r w:rsidRPr="001B387F">
        <w:rPr>
          <w:rFonts w:cs="Calibri Light"/>
          <w:lang w:eastAsia="en-AU"/>
        </w:rPr>
        <w:t>to</w:t>
      </w:r>
      <w:r w:rsidR="00FF4C6C" w:rsidRPr="001B387F">
        <w:rPr>
          <w:rFonts w:cs="Calibri Light"/>
          <w:lang w:eastAsia="en-AU"/>
        </w:rPr>
        <w:t>-g</w:t>
      </w:r>
      <w:r w:rsidRPr="001B387F">
        <w:rPr>
          <w:rFonts w:cs="Calibri Light"/>
          <w:lang w:eastAsia="en-AU"/>
        </w:rPr>
        <w:t xml:space="preserve">overnment exchange under the </w:t>
      </w:r>
      <w:r w:rsidR="00F659BE" w:rsidRPr="001B387F">
        <w:rPr>
          <w:rFonts w:cs="Calibri Light"/>
          <w:lang w:eastAsia="en-AU"/>
        </w:rPr>
        <w:t>SEA</w:t>
      </w:r>
      <w:r w:rsidRPr="001B387F">
        <w:rPr>
          <w:rFonts w:cs="Calibri Light"/>
          <w:lang w:eastAsia="en-AU"/>
        </w:rPr>
        <w:t>G2G initiative.</w:t>
      </w:r>
    </w:p>
    <w:p w14:paraId="24E113EA" w14:textId="7FB793C3" w:rsidR="009E3323" w:rsidRPr="001B387F" w:rsidRDefault="009E3323" w:rsidP="00A32186">
      <w:pPr>
        <w:rPr>
          <w:rFonts w:cs="Calibri Light"/>
        </w:rPr>
      </w:pPr>
      <w:r w:rsidRPr="001B387F">
        <w:rPr>
          <w:rFonts w:cs="Calibri Light"/>
        </w:rPr>
        <w:t xml:space="preserve">We will continue to promote GEDSI as a priority, at the individual, organisational and institutional levels, including advancing women in leadership in the public sector in response to the </w:t>
      </w:r>
      <w:r w:rsidRPr="001B387F">
        <w:rPr>
          <w:rFonts w:cs="Calibri Light"/>
          <w:i/>
          <w:iCs/>
        </w:rPr>
        <w:t>Australia in Vietnam Equality Strategy</w:t>
      </w:r>
      <w:r w:rsidR="00D61923" w:rsidRPr="001B387F">
        <w:rPr>
          <w:rFonts w:cs="Calibri Light"/>
          <w:i/>
          <w:iCs/>
        </w:rPr>
        <w:t> </w:t>
      </w:r>
      <w:r w:rsidRPr="001B387F">
        <w:rPr>
          <w:rFonts w:cs="Calibri Light"/>
          <w:i/>
          <w:iCs/>
        </w:rPr>
        <w:t>2022</w:t>
      </w:r>
      <w:r w:rsidR="000C7CF2" w:rsidRPr="001B387F">
        <w:rPr>
          <w:rFonts w:cs="Calibri Light"/>
          <w:i/>
          <w:iCs/>
        </w:rPr>
        <w:t>–</w:t>
      </w:r>
      <w:r w:rsidR="00D61923" w:rsidRPr="001B387F">
        <w:rPr>
          <w:rFonts w:cs="Calibri Light"/>
          <w:i/>
          <w:iCs/>
        </w:rPr>
        <w:t>20</w:t>
      </w:r>
      <w:r w:rsidRPr="001B387F">
        <w:rPr>
          <w:rFonts w:cs="Calibri Light"/>
          <w:i/>
          <w:iCs/>
        </w:rPr>
        <w:t>27</w:t>
      </w:r>
      <w:r w:rsidRPr="001B387F">
        <w:rPr>
          <w:rFonts w:cs="Calibri Light"/>
        </w:rPr>
        <w:t>. We will ensure that GEDSI is advanced effectively</w:t>
      </w:r>
      <w:r w:rsidRPr="001B387F">
        <w:t xml:space="preserve"> </w:t>
      </w:r>
      <w:r w:rsidR="00DA55A8" w:rsidRPr="001B387F">
        <w:rPr>
          <w:rFonts w:cs="Calibri Light"/>
        </w:rPr>
        <w:t>by</w:t>
      </w:r>
      <w:r w:rsidR="00BF4C8C" w:rsidRPr="001B387F">
        <w:rPr>
          <w:rFonts w:cs="Calibri Light"/>
        </w:rPr>
        <w:t>, for example,</w:t>
      </w:r>
      <w:r w:rsidR="00DA55A8" w:rsidRPr="001B387F">
        <w:rPr>
          <w:rFonts w:cs="Calibri Light"/>
        </w:rPr>
        <w:t xml:space="preserve"> </w:t>
      </w:r>
      <w:r w:rsidRPr="001B387F">
        <w:rPr>
          <w:rFonts w:cs="Calibri Light"/>
        </w:rPr>
        <w:t xml:space="preserve">removing barriers based on gender stereotyping of VET career streams and </w:t>
      </w:r>
      <w:r w:rsidR="00632FAB" w:rsidRPr="001B387F">
        <w:rPr>
          <w:rFonts w:cs="Calibri Light"/>
        </w:rPr>
        <w:t xml:space="preserve">using VET to </w:t>
      </w:r>
      <w:r w:rsidRPr="001B387F">
        <w:rPr>
          <w:rFonts w:cs="Calibri Light"/>
        </w:rPr>
        <w:t xml:space="preserve">strengthen (re)skilling and employment pathways for workers </w:t>
      </w:r>
      <w:r w:rsidR="00E919CC" w:rsidRPr="001B387F">
        <w:rPr>
          <w:rFonts w:cs="Calibri Light"/>
        </w:rPr>
        <w:t xml:space="preserve">and </w:t>
      </w:r>
      <w:r w:rsidRPr="001B387F">
        <w:rPr>
          <w:rFonts w:cs="Calibri Light"/>
        </w:rPr>
        <w:t xml:space="preserve">people with </w:t>
      </w:r>
      <w:r w:rsidR="009F6156" w:rsidRPr="001B387F">
        <w:rPr>
          <w:rFonts w:cs="Calibri Light"/>
        </w:rPr>
        <w:t>disability</w:t>
      </w:r>
      <w:r w:rsidRPr="001B387F">
        <w:rPr>
          <w:rFonts w:cs="Calibri Light"/>
        </w:rPr>
        <w:t xml:space="preserve">. This will be done in close cooperation with </w:t>
      </w:r>
      <w:r w:rsidR="008170B5" w:rsidRPr="001B387F">
        <w:rPr>
          <w:rFonts w:cs="Calibri Light"/>
        </w:rPr>
        <w:t>O</w:t>
      </w:r>
      <w:r w:rsidRPr="001B387F">
        <w:rPr>
          <w:rFonts w:cs="Calibri Light"/>
        </w:rPr>
        <w:t>bjectives</w:t>
      </w:r>
      <w:r w:rsidR="008170B5" w:rsidRPr="001B387F">
        <w:rPr>
          <w:rFonts w:cs="Calibri Light"/>
        </w:rPr>
        <w:t xml:space="preserve"> 1, </w:t>
      </w:r>
      <w:r w:rsidR="00064A01" w:rsidRPr="001B387F">
        <w:rPr>
          <w:rFonts w:cs="Calibri Light"/>
        </w:rPr>
        <w:t>3 and 4</w:t>
      </w:r>
      <w:r w:rsidRPr="001B387F">
        <w:rPr>
          <w:rFonts w:cs="Calibri Light"/>
        </w:rPr>
        <w:t xml:space="preserve"> in response to relevant capability development.</w:t>
      </w:r>
    </w:p>
    <w:p w14:paraId="69C5C8C7" w14:textId="03A18711" w:rsidR="009E3323" w:rsidRPr="001B387F" w:rsidRDefault="009E3323" w:rsidP="00A32186">
      <w:pPr>
        <w:spacing w:after="0"/>
        <w:rPr>
          <w:rFonts w:cs="Calibri Light"/>
          <w:lang w:eastAsia="en-AU"/>
        </w:rPr>
      </w:pPr>
      <w:r w:rsidRPr="001B387F">
        <w:rPr>
          <w:rFonts w:cs="Calibri Light"/>
          <w:lang w:eastAsia="en-AU"/>
        </w:rPr>
        <w:t>In 2024, we started designing the next phase of Australia’s human resource development support to inform our approach from January</w:t>
      </w:r>
      <w:r w:rsidR="000C7CF2" w:rsidRPr="001B387F">
        <w:rPr>
          <w:rFonts w:cs="Calibri Light"/>
          <w:lang w:eastAsia="en-AU"/>
        </w:rPr>
        <w:t> </w:t>
      </w:r>
      <w:r w:rsidRPr="001B387F">
        <w:rPr>
          <w:rFonts w:cs="Calibri Light"/>
          <w:lang w:eastAsia="en-AU"/>
        </w:rPr>
        <w:t>2026. The design will explore opportunities to meet DFAT</w:t>
      </w:r>
      <w:r w:rsidR="00064A01" w:rsidRPr="001B387F">
        <w:rPr>
          <w:rFonts w:cs="Calibri Light"/>
          <w:lang w:eastAsia="en-AU"/>
        </w:rPr>
        <w:t>’</w:t>
      </w:r>
      <w:r w:rsidRPr="001B387F">
        <w:rPr>
          <w:rFonts w:cs="Calibri Light"/>
          <w:lang w:eastAsia="en-AU"/>
        </w:rPr>
        <w:t xml:space="preserve">s climate objectives as outlined in </w:t>
      </w:r>
      <w:r w:rsidR="005B5363" w:rsidRPr="001B387F">
        <w:rPr>
          <w:rFonts w:cs="Calibri Light"/>
          <w:lang w:eastAsia="en-AU"/>
        </w:rPr>
        <w:t>Australia’s</w:t>
      </w:r>
      <w:r w:rsidRPr="001B387F">
        <w:rPr>
          <w:rFonts w:cs="Calibri Light"/>
          <w:lang w:eastAsia="en-AU"/>
        </w:rPr>
        <w:t xml:space="preserve"> International Development Policy.</w:t>
      </w:r>
    </w:p>
    <w:p w14:paraId="63B47327" w14:textId="06094009" w:rsidR="009E3323" w:rsidRPr="001B387F" w:rsidRDefault="009E3323" w:rsidP="00F26D67">
      <w:pPr>
        <w:pStyle w:val="H3-Heading3"/>
        <w:rPr>
          <w:rFonts w:eastAsia="Yu Mincho"/>
        </w:rPr>
      </w:pPr>
      <w:r w:rsidRPr="001B387F">
        <w:rPr>
          <w:rFonts w:eastAsia="Yu Mincho"/>
        </w:rPr>
        <w:t xml:space="preserve">Objective 3: </w:t>
      </w:r>
      <w:r w:rsidR="00537031" w:rsidRPr="001B387F">
        <w:rPr>
          <w:rFonts w:eastAsia="Yu Mincho"/>
        </w:rPr>
        <w:t>S</w:t>
      </w:r>
      <w:r w:rsidRPr="001B387F">
        <w:rPr>
          <w:rFonts w:eastAsia="Yu Mincho"/>
        </w:rPr>
        <w:t>trengthen</w:t>
      </w:r>
      <w:r w:rsidR="00537031" w:rsidRPr="001B387F">
        <w:rPr>
          <w:rFonts w:eastAsia="Yu Mincho"/>
        </w:rPr>
        <w:t>ed</w:t>
      </w:r>
      <w:r w:rsidRPr="001B387F">
        <w:rPr>
          <w:rFonts w:eastAsia="Yu Mincho"/>
        </w:rPr>
        <w:t xml:space="preserve"> climate resilience, adaptation and emissions </w:t>
      </w:r>
      <w:proofErr w:type="gramStart"/>
      <w:r w:rsidRPr="001B387F">
        <w:rPr>
          <w:rFonts w:eastAsia="Yu Mincho"/>
        </w:rPr>
        <w:t>reduction</w:t>
      </w:r>
      <w:proofErr w:type="gramEnd"/>
    </w:p>
    <w:p w14:paraId="3286DD6C" w14:textId="35752059" w:rsidR="0098099D" w:rsidRPr="001B387F" w:rsidRDefault="0098099D" w:rsidP="0098099D">
      <w:pPr>
        <w:spacing w:before="120" w:after="120" w:line="264" w:lineRule="auto"/>
        <w:contextualSpacing/>
        <w:textAlignment w:val="baseline"/>
        <w:rPr>
          <w:rFonts w:cs="Calibri Light"/>
        </w:rPr>
      </w:pPr>
      <w:r w:rsidRPr="001B387F">
        <w:rPr>
          <w:rFonts w:cs="Calibri Light"/>
        </w:rPr>
        <w:t>Objective 3 contributes to the following focus areas of Australia’s International Development Policy:</w:t>
      </w:r>
    </w:p>
    <w:p w14:paraId="7AE938AB" w14:textId="7CB3EEC3" w:rsidR="0098099D" w:rsidRPr="001B387F" w:rsidRDefault="00940BEB" w:rsidP="0098099D">
      <w:pPr>
        <w:pStyle w:val="NormalBullets-L1"/>
      </w:pPr>
      <w:r w:rsidRPr="001B387F">
        <w:t xml:space="preserve">enhance state and community resilience to external pressures and </w:t>
      </w:r>
      <w:proofErr w:type="gramStart"/>
      <w:r w:rsidRPr="001B387F">
        <w:t>shocks</w:t>
      </w:r>
      <w:proofErr w:type="gramEnd"/>
    </w:p>
    <w:p w14:paraId="31DA6BDF" w14:textId="007DA6A8" w:rsidR="0098099D" w:rsidRPr="001B387F" w:rsidRDefault="0098099D" w:rsidP="00A32186">
      <w:pPr>
        <w:pStyle w:val="NormalBullets-L1"/>
      </w:pPr>
      <w:r w:rsidRPr="001B387F">
        <w:t>generate collective action on global challenges that impact us and our region.</w:t>
      </w:r>
    </w:p>
    <w:p w14:paraId="1CB2787C" w14:textId="54253120" w:rsidR="009E3323" w:rsidRPr="001B387F" w:rsidRDefault="009E3323" w:rsidP="00A32186">
      <w:pPr>
        <w:contextualSpacing/>
        <w:rPr>
          <w:rFonts w:cs="Calibri Light"/>
        </w:rPr>
      </w:pPr>
      <w:r w:rsidRPr="001B387F">
        <w:rPr>
          <w:rFonts w:cs="Calibri Light"/>
        </w:rPr>
        <w:t>Under the DPP, Australia will support Vietnam’s reform efforts to:</w:t>
      </w:r>
    </w:p>
    <w:p w14:paraId="6FDD2435" w14:textId="279501EF" w:rsidR="009E3323" w:rsidRPr="001B387F" w:rsidRDefault="009E3323" w:rsidP="000E0532">
      <w:pPr>
        <w:pStyle w:val="NormalBullets-L1"/>
      </w:pPr>
      <w:r w:rsidRPr="001B387F">
        <w:t>support locally led inclusive approaches to climate change adaptation and mitigation that are being applied and scaled in the Mekong Delta</w:t>
      </w:r>
      <w:r w:rsidR="00365B9C" w:rsidRPr="001B387F">
        <w:t>;</w:t>
      </w:r>
      <w:r w:rsidRPr="001B387F">
        <w:t xml:space="preserve"> </w:t>
      </w:r>
      <w:r w:rsidR="00365B9C" w:rsidRPr="001B387F">
        <w:t>t</w:t>
      </w:r>
      <w:r w:rsidRPr="001B387F">
        <w:t xml:space="preserve">hese include a focus on improved food security, climate resilient agriculture practices and environmental </w:t>
      </w:r>
      <w:proofErr w:type="gramStart"/>
      <w:r w:rsidRPr="001B387F">
        <w:t>management</w:t>
      </w:r>
      <w:proofErr w:type="gramEnd"/>
    </w:p>
    <w:p w14:paraId="11C2F739" w14:textId="02C243BB" w:rsidR="009E3323" w:rsidRPr="001B387F" w:rsidRDefault="009E3323" w:rsidP="000E0532">
      <w:pPr>
        <w:pStyle w:val="NormalBullets-L1"/>
      </w:pPr>
      <w:r w:rsidRPr="001B387F">
        <w:t xml:space="preserve">strengthen transition towards </w:t>
      </w:r>
      <w:r w:rsidR="00A66E4C" w:rsidRPr="001B387F">
        <w:t>its target of</w:t>
      </w:r>
      <w:r w:rsidRPr="001B387F">
        <w:t xml:space="preserve"> net zero emissions </w:t>
      </w:r>
      <w:r w:rsidR="00A66E4C" w:rsidRPr="001B387F">
        <w:t>by 2050</w:t>
      </w:r>
      <w:r w:rsidRPr="001B387F">
        <w:t xml:space="preserve"> including through renewable energy and green transport.</w:t>
      </w:r>
    </w:p>
    <w:p w14:paraId="46067F62" w14:textId="7C9AA63A" w:rsidR="009E3323" w:rsidRPr="001B387F" w:rsidRDefault="009E3323" w:rsidP="00A32186">
      <w:pPr>
        <w:spacing w:after="0"/>
      </w:pPr>
      <w:r w:rsidRPr="001B387F">
        <w:rPr>
          <w:rFonts w:cs="Calibri Light"/>
        </w:rPr>
        <w:t>Australia’s climate action approach is tailored to the specific climate change adapt</w:t>
      </w:r>
      <w:r w:rsidR="00CA7348" w:rsidRPr="001B387F">
        <w:rPr>
          <w:rFonts w:cs="Calibri Light"/>
        </w:rPr>
        <w:t>at</w:t>
      </w:r>
      <w:r w:rsidRPr="001B387F">
        <w:rPr>
          <w:rFonts w:cs="Calibri Light"/>
        </w:rPr>
        <w:t xml:space="preserve">ion and mitigation needs and circumstances of Vietnam. We are working through </w:t>
      </w:r>
      <w:r w:rsidR="00990F59" w:rsidRPr="001B387F">
        <w:rPr>
          <w:rFonts w:cs="Calibri Light"/>
        </w:rPr>
        <w:t xml:space="preserve">both </w:t>
      </w:r>
      <w:r w:rsidRPr="001B387F">
        <w:rPr>
          <w:rFonts w:cs="Calibri Light"/>
        </w:rPr>
        <w:t xml:space="preserve">new and existing climate-specific programming and greater integration across all sectors to lift our impact in support of Vietnam’s priorities. </w:t>
      </w:r>
      <w:r w:rsidR="00A8160D" w:rsidRPr="001B387F">
        <w:rPr>
          <w:rFonts w:cs="Calibri Light"/>
        </w:rPr>
        <w:t>Partners across the Australian Government</w:t>
      </w:r>
      <w:r w:rsidR="001D3513" w:rsidRPr="001B387F">
        <w:rPr>
          <w:rFonts w:cs="Calibri Light"/>
        </w:rPr>
        <w:t xml:space="preserve"> –</w:t>
      </w:r>
      <w:r w:rsidRPr="001B387F">
        <w:rPr>
          <w:rFonts w:cs="Calibri Light"/>
        </w:rPr>
        <w:t xml:space="preserve"> including </w:t>
      </w:r>
      <w:r w:rsidR="001D3513" w:rsidRPr="001B387F">
        <w:t>the Department of Climate Change, Energy, the Environment and Water</w:t>
      </w:r>
      <w:r w:rsidR="00B61C40" w:rsidRPr="001B387F">
        <w:t xml:space="preserve"> (</w:t>
      </w:r>
      <w:r w:rsidR="00B61C40" w:rsidRPr="001B387F">
        <w:rPr>
          <w:rFonts w:cs="Calibri Light"/>
          <w:lang w:eastAsia="en-AU"/>
        </w:rPr>
        <w:t>DCCEEW</w:t>
      </w:r>
      <w:r w:rsidR="00B61C40" w:rsidRPr="001B387F">
        <w:t>)</w:t>
      </w:r>
      <w:r w:rsidR="001D3513" w:rsidRPr="001B387F">
        <w:t>; the Department of Agriculture, Fisheries and Forestry; the Australian Centre for International Agricultural Research (ACIAR);</w:t>
      </w:r>
      <w:r w:rsidRPr="001B387F">
        <w:rPr>
          <w:rFonts w:cs="Calibri Light"/>
        </w:rPr>
        <w:t xml:space="preserve"> and CSIRO</w:t>
      </w:r>
      <w:r w:rsidR="001D3513" w:rsidRPr="001B387F">
        <w:rPr>
          <w:rFonts w:cs="Calibri Light"/>
        </w:rPr>
        <w:t xml:space="preserve"> –</w:t>
      </w:r>
      <w:r w:rsidRPr="001B387F">
        <w:rPr>
          <w:rFonts w:cs="Calibri Light"/>
        </w:rPr>
        <w:t xml:space="preserve"> </w:t>
      </w:r>
      <w:r w:rsidR="000C0EC8" w:rsidRPr="001B387F">
        <w:rPr>
          <w:rFonts w:cs="Calibri Light"/>
        </w:rPr>
        <w:t>will he</w:t>
      </w:r>
      <w:r w:rsidR="00167CF6" w:rsidRPr="001B387F">
        <w:rPr>
          <w:rFonts w:cs="Calibri Light"/>
        </w:rPr>
        <w:t>l</w:t>
      </w:r>
      <w:r w:rsidR="000C0EC8" w:rsidRPr="001B387F">
        <w:rPr>
          <w:rFonts w:cs="Calibri Light"/>
        </w:rPr>
        <w:t xml:space="preserve">p </w:t>
      </w:r>
      <w:r w:rsidRPr="001B387F">
        <w:rPr>
          <w:rFonts w:cs="Calibri Light"/>
        </w:rPr>
        <w:t>to deliver support and increase partnerships with Vietnam</w:t>
      </w:r>
      <w:r w:rsidR="0087127C" w:rsidRPr="001B387F">
        <w:rPr>
          <w:rFonts w:cs="Calibri Light"/>
        </w:rPr>
        <w:t>ese</w:t>
      </w:r>
      <w:r w:rsidRPr="001B387F">
        <w:rPr>
          <w:rFonts w:cs="Calibri Light"/>
        </w:rPr>
        <w:t xml:space="preserve"> institutions across </w:t>
      </w:r>
      <w:r w:rsidR="000C0EC8" w:rsidRPr="001B387F">
        <w:rPr>
          <w:rFonts w:cs="Calibri Light"/>
        </w:rPr>
        <w:t>O</w:t>
      </w:r>
      <w:r w:rsidRPr="001B387F">
        <w:rPr>
          <w:rFonts w:cs="Calibri Light"/>
        </w:rPr>
        <w:t>bjective</w:t>
      </w:r>
      <w:r w:rsidR="000C0EC8" w:rsidRPr="001B387F">
        <w:rPr>
          <w:rFonts w:cs="Calibri Light"/>
        </w:rPr>
        <w:t> 3</w:t>
      </w:r>
      <w:r w:rsidRPr="001B387F">
        <w:rPr>
          <w:rFonts w:cs="Calibri Light"/>
        </w:rPr>
        <w:t>.</w:t>
      </w:r>
      <w:r w:rsidRPr="001B387F">
        <w:rPr>
          <w:kern w:val="2"/>
          <w14:ligatures w14:val="standardContextual"/>
        </w:rPr>
        <w:t xml:space="preserve"> </w:t>
      </w:r>
      <w:r w:rsidRPr="001B387F">
        <w:rPr>
          <w:rFonts w:cs="Calibri Light"/>
        </w:rPr>
        <w:t xml:space="preserve">Engagement related to the transition of the energy sector will be aligned with </w:t>
      </w:r>
      <w:r w:rsidR="0087127C" w:rsidRPr="001B387F">
        <w:rPr>
          <w:rFonts w:cs="Calibri Light"/>
          <w:i/>
          <w:iCs/>
        </w:rPr>
        <w:t>Invested: A</w:t>
      </w:r>
      <w:r w:rsidR="00E53E45" w:rsidRPr="001B387F">
        <w:rPr>
          <w:rFonts w:cs="Calibri Light"/>
          <w:i/>
          <w:iCs/>
        </w:rPr>
        <w:t xml:space="preserve">ustralia’s </w:t>
      </w:r>
      <w:r w:rsidRPr="001B387F">
        <w:rPr>
          <w:rFonts w:cs="Calibri Light"/>
          <w:i/>
          <w:iCs/>
        </w:rPr>
        <w:t>Southeast Asia Economic Strategy to 2040</w:t>
      </w:r>
      <w:r w:rsidRPr="001B387F">
        <w:rPr>
          <w:rFonts w:cs="Calibri Light"/>
        </w:rPr>
        <w:t xml:space="preserve"> and the </w:t>
      </w:r>
      <w:r w:rsidR="005A5D3B" w:rsidRPr="001B387F">
        <w:rPr>
          <w:rFonts w:cs="Calibri Light"/>
          <w:i/>
          <w:iCs/>
        </w:rPr>
        <w:t>Australia–</w:t>
      </w:r>
      <w:r w:rsidRPr="001B387F">
        <w:rPr>
          <w:rFonts w:cs="Calibri Light"/>
          <w:i/>
          <w:iCs/>
        </w:rPr>
        <w:t>Vietnam Enhanced Economic Engagement Strategy</w:t>
      </w:r>
      <w:r w:rsidRPr="001B387F">
        <w:rPr>
          <w:rFonts w:cs="Calibri Light"/>
        </w:rPr>
        <w:t>. Australia will work closely with like-minded development partners in the delivery of assistance.</w:t>
      </w:r>
    </w:p>
    <w:p w14:paraId="10CA4E50" w14:textId="02E6F78F" w:rsidR="009E3323" w:rsidRPr="001B387F" w:rsidRDefault="009E3323" w:rsidP="00A32186">
      <w:pPr>
        <w:spacing w:after="0"/>
        <w:rPr>
          <w:rFonts w:cs="Calibri Light"/>
          <w:lang w:eastAsia="en-AU"/>
        </w:rPr>
      </w:pPr>
      <w:r w:rsidRPr="001B387F">
        <w:rPr>
          <w:rFonts w:cs="Calibri Light"/>
          <w:lang w:eastAsia="en-AU"/>
        </w:rPr>
        <w:t xml:space="preserve">The principal investments </w:t>
      </w:r>
      <w:r w:rsidR="00086F27" w:rsidRPr="001B387F">
        <w:rPr>
          <w:rFonts w:cs="Calibri Light"/>
          <w:lang w:eastAsia="en-AU"/>
        </w:rPr>
        <w:t>in</w:t>
      </w:r>
      <w:r w:rsidRPr="001B387F">
        <w:rPr>
          <w:rFonts w:cs="Calibri Light"/>
          <w:lang w:eastAsia="en-AU"/>
        </w:rPr>
        <w:t xml:space="preserve"> climate </w:t>
      </w:r>
      <w:r w:rsidR="00EB6F15" w:rsidRPr="001B387F">
        <w:rPr>
          <w:rFonts w:cs="Calibri Light"/>
          <w:lang w:eastAsia="en-AU"/>
        </w:rPr>
        <w:t xml:space="preserve">change </w:t>
      </w:r>
      <w:r w:rsidRPr="001B387F">
        <w:rPr>
          <w:rFonts w:cs="Calibri Light"/>
          <w:lang w:eastAsia="en-AU"/>
        </w:rPr>
        <w:t xml:space="preserve">adaptation and mitigation in the Mekong Delta are Aus4Adaptation, Transforming </w:t>
      </w:r>
      <w:r w:rsidR="00607F64" w:rsidRPr="001B387F">
        <w:rPr>
          <w:rFonts w:cs="Calibri Light"/>
          <w:lang w:eastAsia="en-AU"/>
        </w:rPr>
        <w:t xml:space="preserve">the </w:t>
      </w:r>
      <w:r w:rsidRPr="001B387F">
        <w:rPr>
          <w:rFonts w:cs="Calibri Light"/>
          <w:lang w:eastAsia="en-AU"/>
        </w:rPr>
        <w:t xml:space="preserve">Rice Value Chain for Climate Resilient </w:t>
      </w:r>
      <w:r w:rsidR="00C53861" w:rsidRPr="001B387F">
        <w:rPr>
          <w:rFonts w:cs="Calibri Light"/>
          <w:lang w:eastAsia="en-AU"/>
        </w:rPr>
        <w:t xml:space="preserve">and </w:t>
      </w:r>
      <w:r w:rsidRPr="001B387F">
        <w:rPr>
          <w:rFonts w:cs="Calibri Light"/>
          <w:lang w:eastAsia="en-AU"/>
        </w:rPr>
        <w:t xml:space="preserve">Sustainable Development and </w:t>
      </w:r>
      <w:r w:rsidR="004A4B90" w:rsidRPr="001B387F">
        <w:rPr>
          <w:rFonts w:cs="Calibri Light"/>
          <w:lang w:eastAsia="en-AU"/>
        </w:rPr>
        <w:t>relevant</w:t>
      </w:r>
      <w:r w:rsidRPr="001B387F">
        <w:rPr>
          <w:rFonts w:cs="Calibri Light"/>
          <w:lang w:eastAsia="en-AU"/>
        </w:rPr>
        <w:t xml:space="preserve"> ACIAR and CSIRO</w:t>
      </w:r>
      <w:r w:rsidR="004A4B90" w:rsidRPr="001B387F">
        <w:rPr>
          <w:rFonts w:cs="Calibri Light"/>
          <w:lang w:eastAsia="en-AU"/>
        </w:rPr>
        <w:t xml:space="preserve"> programs</w:t>
      </w:r>
      <w:r w:rsidRPr="001B387F">
        <w:rPr>
          <w:rFonts w:cs="Calibri Light"/>
          <w:lang w:eastAsia="en-AU"/>
        </w:rPr>
        <w:t>. Th</w:t>
      </w:r>
      <w:r w:rsidR="00E53E45" w:rsidRPr="001B387F">
        <w:rPr>
          <w:rFonts w:cs="Calibri Light"/>
          <w:lang w:eastAsia="en-AU"/>
        </w:rPr>
        <w:t>ese</w:t>
      </w:r>
      <w:r w:rsidRPr="001B387F">
        <w:rPr>
          <w:rFonts w:cs="Calibri Light"/>
          <w:lang w:eastAsia="en-AU"/>
        </w:rPr>
        <w:t xml:space="preserve"> will be complemented by Australia’s support for the World Bank Mekong Delta Climate Resilience and Integrated Transformation Project (MERIT). Several regional investments, including those of the Australian Water Partnership and </w:t>
      </w:r>
      <w:r w:rsidR="000917E7" w:rsidRPr="001B387F">
        <w:rPr>
          <w:rFonts w:cs="Calibri Light"/>
          <w:lang w:eastAsia="en-AU"/>
        </w:rPr>
        <w:t xml:space="preserve">the </w:t>
      </w:r>
      <w:r w:rsidRPr="001B387F">
        <w:rPr>
          <w:rFonts w:cs="Calibri Light"/>
          <w:lang w:eastAsia="en-AU"/>
        </w:rPr>
        <w:t>M</w:t>
      </w:r>
      <w:r w:rsidR="000917E7" w:rsidRPr="001B387F">
        <w:rPr>
          <w:rFonts w:cs="Calibri Light"/>
          <w:lang w:eastAsia="en-AU"/>
        </w:rPr>
        <w:t>ekong–</w:t>
      </w:r>
      <w:r w:rsidRPr="001B387F">
        <w:rPr>
          <w:rFonts w:cs="Calibri Light"/>
          <w:lang w:eastAsia="en-AU"/>
        </w:rPr>
        <w:t>A</w:t>
      </w:r>
      <w:r w:rsidR="000917E7" w:rsidRPr="001B387F">
        <w:rPr>
          <w:rFonts w:cs="Calibri Light"/>
          <w:lang w:eastAsia="en-AU"/>
        </w:rPr>
        <w:t xml:space="preserve">ustralia </w:t>
      </w:r>
      <w:r w:rsidRPr="001B387F">
        <w:rPr>
          <w:rFonts w:cs="Calibri Light"/>
          <w:lang w:eastAsia="en-AU"/>
        </w:rPr>
        <w:t>P</w:t>
      </w:r>
      <w:r w:rsidR="000917E7" w:rsidRPr="001B387F">
        <w:rPr>
          <w:rFonts w:cs="Calibri Light"/>
          <w:lang w:eastAsia="en-AU"/>
        </w:rPr>
        <w:t>artnership</w:t>
      </w:r>
      <w:r w:rsidRPr="001B387F">
        <w:rPr>
          <w:rFonts w:cs="Calibri Light"/>
          <w:lang w:eastAsia="en-AU"/>
        </w:rPr>
        <w:t xml:space="preserve">, </w:t>
      </w:r>
      <w:r w:rsidR="001868CE" w:rsidRPr="001B387F">
        <w:rPr>
          <w:rFonts w:cs="Calibri Light"/>
          <w:lang w:eastAsia="en-AU"/>
        </w:rPr>
        <w:t>will</w:t>
      </w:r>
      <w:r w:rsidRPr="001B387F">
        <w:rPr>
          <w:rFonts w:cs="Calibri Light"/>
          <w:lang w:eastAsia="en-AU"/>
        </w:rPr>
        <w:t xml:space="preserve"> also </w:t>
      </w:r>
      <w:r w:rsidR="001868CE" w:rsidRPr="001B387F">
        <w:rPr>
          <w:rFonts w:cs="Calibri Light"/>
          <w:lang w:eastAsia="en-AU"/>
        </w:rPr>
        <w:t>contribute to Objective 3</w:t>
      </w:r>
      <w:r w:rsidRPr="001B387F">
        <w:rPr>
          <w:rFonts w:cs="Calibri Light"/>
          <w:lang w:eastAsia="en-AU"/>
        </w:rPr>
        <w:t xml:space="preserve"> given the strong transboundary dimensions of the climate challenge in the Mekong Delta.</w:t>
      </w:r>
    </w:p>
    <w:p w14:paraId="5D165D3C" w14:textId="32751789" w:rsidR="009E3323" w:rsidRPr="001B387F" w:rsidRDefault="009E3323" w:rsidP="00CE1C62">
      <w:pPr>
        <w:keepLines/>
        <w:widowControl w:val="0"/>
        <w:spacing w:after="0"/>
        <w:rPr>
          <w:rFonts w:cs="Calibri Light"/>
          <w:lang w:eastAsia="en-AU"/>
        </w:rPr>
      </w:pPr>
      <w:r w:rsidRPr="001B387F">
        <w:rPr>
          <w:rFonts w:cs="Calibri Light"/>
          <w:lang w:eastAsia="en-AU"/>
        </w:rPr>
        <w:lastRenderedPageBreak/>
        <w:t>Australia’s approach to energy transition is led by the Aus4Growth investment (energy</w:t>
      </w:r>
      <w:r w:rsidR="002F4865" w:rsidRPr="001B387F">
        <w:rPr>
          <w:rFonts w:cs="Calibri Light"/>
          <w:lang w:eastAsia="en-AU"/>
        </w:rPr>
        <w:t xml:space="preserve"> and</w:t>
      </w:r>
      <w:r w:rsidRPr="001B387F">
        <w:rPr>
          <w:rFonts w:cs="Calibri Light"/>
          <w:lang w:eastAsia="en-AU"/>
        </w:rPr>
        <w:t xml:space="preserve"> transport), the Australia</w:t>
      </w:r>
      <w:r w:rsidR="0011386B" w:rsidRPr="001B387F">
        <w:rPr>
          <w:rFonts w:cs="Calibri Light"/>
          <w:lang w:eastAsia="en-AU"/>
        </w:rPr>
        <w:t>–</w:t>
      </w:r>
      <w:r w:rsidRPr="001B387F">
        <w:rPr>
          <w:rFonts w:cs="Calibri Light"/>
          <w:lang w:eastAsia="en-AU"/>
        </w:rPr>
        <w:t>Vietnam Energy Transition Platform (Australian Development Investment</w:t>
      </w:r>
      <w:r w:rsidR="005D6D79" w:rsidRPr="001B387F">
        <w:rPr>
          <w:rFonts w:cs="Calibri Light"/>
          <w:lang w:eastAsia="en-AU"/>
        </w:rPr>
        <w:t>s</w:t>
      </w:r>
      <w:r w:rsidRPr="001B387F">
        <w:rPr>
          <w:rFonts w:cs="Calibri Light"/>
          <w:lang w:eastAsia="en-AU"/>
        </w:rPr>
        <w:t xml:space="preserve"> and the Private Infrastructure Development Group) and P4I. </w:t>
      </w:r>
      <w:proofErr w:type="gramStart"/>
      <w:r w:rsidRPr="001B387F">
        <w:rPr>
          <w:rFonts w:cs="Calibri Light"/>
          <w:lang w:eastAsia="en-AU"/>
        </w:rPr>
        <w:t>Non-ODA</w:t>
      </w:r>
      <w:proofErr w:type="gramEnd"/>
      <w:r w:rsidRPr="001B387F">
        <w:rPr>
          <w:rFonts w:cs="Calibri Light"/>
          <w:lang w:eastAsia="en-AU"/>
        </w:rPr>
        <w:t xml:space="preserve"> support will occur through the </w:t>
      </w:r>
      <w:r w:rsidR="00BE62E1" w:rsidRPr="001B387F">
        <w:rPr>
          <w:rFonts w:cs="Calibri Light"/>
          <w:lang w:eastAsia="en-AU"/>
        </w:rPr>
        <w:t xml:space="preserve">Investment </w:t>
      </w:r>
      <w:r w:rsidRPr="001B387F">
        <w:rPr>
          <w:rFonts w:cs="Calibri Light"/>
          <w:lang w:eastAsia="en-AU"/>
        </w:rPr>
        <w:t>Deal Team, including leveraging Export Finance Australia financing capabilities (incorporating the Southeast Asia Investment Financing Facility).</w:t>
      </w:r>
      <w:r w:rsidRPr="001B387F">
        <w:rPr>
          <w:kern w:val="2"/>
          <w14:ligatures w14:val="standardContextual"/>
        </w:rPr>
        <w:t xml:space="preserve"> </w:t>
      </w:r>
      <w:r w:rsidR="00D34BFF" w:rsidRPr="001B387F">
        <w:rPr>
          <w:kern w:val="2"/>
          <w14:ligatures w14:val="standardContextual"/>
        </w:rPr>
        <w:t>Support related to c</w:t>
      </w:r>
      <w:r w:rsidRPr="001B387F">
        <w:rPr>
          <w:rFonts w:cs="Calibri Light"/>
          <w:lang w:eastAsia="en-AU"/>
        </w:rPr>
        <w:t xml:space="preserve">limate change will occur more broadly through Aus4Innovation </w:t>
      </w:r>
      <w:r w:rsidR="008520D5" w:rsidRPr="001B387F">
        <w:rPr>
          <w:rFonts w:cs="Calibri Light"/>
          <w:lang w:eastAsia="en-AU"/>
        </w:rPr>
        <w:t xml:space="preserve">and </w:t>
      </w:r>
      <w:r w:rsidRPr="001B387F">
        <w:rPr>
          <w:rFonts w:cs="Calibri Light"/>
          <w:lang w:eastAsia="en-AU"/>
        </w:rPr>
        <w:t xml:space="preserve">several global </w:t>
      </w:r>
      <w:r w:rsidR="00184996" w:rsidRPr="001B387F">
        <w:rPr>
          <w:rFonts w:cs="Calibri Light"/>
          <w:lang w:eastAsia="en-AU"/>
        </w:rPr>
        <w:t>development</w:t>
      </w:r>
      <w:r w:rsidRPr="001B387F">
        <w:rPr>
          <w:rFonts w:cs="Calibri Light"/>
          <w:lang w:eastAsia="en-AU"/>
        </w:rPr>
        <w:t xml:space="preserve"> investments</w:t>
      </w:r>
      <w:r w:rsidR="002F0C7D" w:rsidRPr="001B387F">
        <w:rPr>
          <w:rFonts w:cs="Calibri Light"/>
          <w:lang w:eastAsia="en-AU"/>
        </w:rPr>
        <w:t>,</w:t>
      </w:r>
      <w:r w:rsidRPr="001B387F">
        <w:rPr>
          <w:rFonts w:cs="Calibri Light"/>
          <w:lang w:eastAsia="en-AU"/>
        </w:rPr>
        <w:t xml:space="preserve"> including the Business Partnership</w:t>
      </w:r>
      <w:r w:rsidR="008520D5" w:rsidRPr="001B387F">
        <w:rPr>
          <w:rFonts w:cs="Calibri Light"/>
          <w:lang w:eastAsia="en-AU"/>
        </w:rPr>
        <w:t>s</w:t>
      </w:r>
      <w:r w:rsidRPr="001B387F">
        <w:rPr>
          <w:rFonts w:cs="Calibri Light"/>
          <w:lang w:eastAsia="en-AU"/>
        </w:rPr>
        <w:t xml:space="preserve"> Platform, the Australian Climate Finance Partnership and the </w:t>
      </w:r>
      <w:r w:rsidR="00F87977" w:rsidRPr="001B387F">
        <w:rPr>
          <w:rFonts w:cs="Calibri Light"/>
          <w:lang w:eastAsia="en-AU"/>
        </w:rPr>
        <w:t>SEA</w:t>
      </w:r>
      <w:r w:rsidRPr="001B387F">
        <w:rPr>
          <w:rFonts w:cs="Calibri Light"/>
          <w:lang w:eastAsia="en-AU"/>
        </w:rPr>
        <w:t xml:space="preserve">G2G </w:t>
      </w:r>
      <w:r w:rsidR="00F87977" w:rsidRPr="001B387F">
        <w:rPr>
          <w:rFonts w:cs="Calibri Light"/>
          <w:lang w:eastAsia="en-AU"/>
        </w:rPr>
        <w:t>initiative</w:t>
      </w:r>
      <w:r w:rsidRPr="001B387F">
        <w:rPr>
          <w:rFonts w:cs="Calibri Light"/>
          <w:lang w:eastAsia="en-AU"/>
        </w:rPr>
        <w:t>, as well as technical and policy engagement through the Australia</w:t>
      </w:r>
      <w:r w:rsidR="00F950E7" w:rsidRPr="001B387F">
        <w:rPr>
          <w:rFonts w:cs="Calibri Light"/>
          <w:lang w:eastAsia="en-AU"/>
        </w:rPr>
        <w:t>–</w:t>
      </w:r>
      <w:r w:rsidRPr="001B387F">
        <w:rPr>
          <w:rFonts w:cs="Calibri Light"/>
          <w:lang w:eastAsia="en-AU"/>
        </w:rPr>
        <w:t xml:space="preserve">World Bank </w:t>
      </w:r>
      <w:r w:rsidR="00F950E7" w:rsidRPr="001B387F">
        <w:rPr>
          <w:rFonts w:cs="Calibri Light"/>
          <w:lang w:eastAsia="en-AU"/>
        </w:rPr>
        <w:t xml:space="preserve">Strategic </w:t>
      </w:r>
      <w:r w:rsidRPr="001B387F">
        <w:rPr>
          <w:rFonts w:cs="Calibri Light"/>
          <w:lang w:eastAsia="en-AU"/>
        </w:rPr>
        <w:t>Partnership and the IFC Vietnam Private Sector Development Partnership program.</w:t>
      </w:r>
    </w:p>
    <w:p w14:paraId="2B8706C7" w14:textId="26A0B21B" w:rsidR="009E3323" w:rsidRPr="001B387F" w:rsidRDefault="009E3323" w:rsidP="00A32186">
      <w:pPr>
        <w:spacing w:after="0"/>
        <w:rPr>
          <w:rFonts w:cs="Calibri Light"/>
          <w:lang w:eastAsia="en-AU"/>
        </w:rPr>
      </w:pPr>
      <w:r w:rsidRPr="001B387F">
        <w:rPr>
          <w:rFonts w:cs="Calibri Light"/>
          <w:lang w:eastAsia="en-AU"/>
        </w:rPr>
        <w:t>Close engagement with the</w:t>
      </w:r>
      <w:r w:rsidR="00DB4286" w:rsidRPr="001B387F">
        <w:rPr>
          <w:rFonts w:cs="Calibri Light"/>
          <w:lang w:eastAsia="en-AU"/>
        </w:rPr>
        <w:t xml:space="preserve"> </w:t>
      </w:r>
      <w:r w:rsidRPr="001B387F">
        <w:rPr>
          <w:rFonts w:cs="Calibri Light"/>
          <w:lang w:eastAsia="en-AU"/>
        </w:rPr>
        <w:t>gender and disability advis</w:t>
      </w:r>
      <w:r w:rsidR="00F950E7" w:rsidRPr="001B387F">
        <w:rPr>
          <w:rFonts w:cs="Calibri Light"/>
          <w:lang w:eastAsia="en-AU"/>
        </w:rPr>
        <w:t>e</w:t>
      </w:r>
      <w:r w:rsidRPr="001B387F">
        <w:rPr>
          <w:rFonts w:cs="Calibri Light"/>
          <w:lang w:eastAsia="en-AU"/>
        </w:rPr>
        <w:t xml:space="preserve">rs </w:t>
      </w:r>
      <w:r w:rsidR="00787AA0" w:rsidRPr="001B387F">
        <w:rPr>
          <w:rFonts w:cs="Calibri Light"/>
          <w:lang w:eastAsia="en-AU"/>
        </w:rPr>
        <w:t xml:space="preserve">to the Australian Embassy </w:t>
      </w:r>
      <w:r w:rsidR="00F950E7" w:rsidRPr="001B387F">
        <w:rPr>
          <w:rFonts w:cs="Calibri Light"/>
          <w:lang w:eastAsia="en-AU"/>
        </w:rPr>
        <w:t xml:space="preserve">in </w:t>
      </w:r>
      <w:r w:rsidR="00787AA0" w:rsidRPr="001B387F">
        <w:rPr>
          <w:rFonts w:cs="Calibri Light"/>
          <w:lang w:eastAsia="en-AU"/>
        </w:rPr>
        <w:t xml:space="preserve">Hanoi </w:t>
      </w:r>
      <w:r w:rsidRPr="001B387F">
        <w:rPr>
          <w:rFonts w:cs="Calibri Light"/>
          <w:lang w:eastAsia="en-AU"/>
        </w:rPr>
        <w:t xml:space="preserve">will ensure that GEDSI is assessed thoroughly and mainstreamed effectively and that the voices of social organisations and communities are heard and considered under </w:t>
      </w:r>
      <w:r w:rsidR="001B6376" w:rsidRPr="001B387F">
        <w:rPr>
          <w:rFonts w:cs="Calibri Light"/>
          <w:lang w:eastAsia="en-AU"/>
        </w:rPr>
        <w:t>O</w:t>
      </w:r>
      <w:r w:rsidRPr="001B387F">
        <w:rPr>
          <w:rFonts w:cs="Calibri Light"/>
          <w:lang w:eastAsia="en-AU"/>
        </w:rPr>
        <w:t>bjective</w:t>
      </w:r>
      <w:r w:rsidR="001B6376" w:rsidRPr="001B387F">
        <w:rPr>
          <w:rFonts w:cs="Calibri Light"/>
          <w:lang w:eastAsia="en-AU"/>
        </w:rPr>
        <w:t> 3</w:t>
      </w:r>
      <w:r w:rsidRPr="001B387F">
        <w:rPr>
          <w:rFonts w:cs="Calibri Light"/>
          <w:lang w:eastAsia="en-AU"/>
        </w:rPr>
        <w:t xml:space="preserve">. Intersectionality will be considered when examining the impact of climate change on women, children, people with </w:t>
      </w:r>
      <w:r w:rsidR="00A8525B" w:rsidRPr="001B387F">
        <w:rPr>
          <w:rFonts w:cs="Calibri Light"/>
          <w:lang w:eastAsia="en-AU"/>
        </w:rPr>
        <w:t>disability</w:t>
      </w:r>
      <w:r w:rsidRPr="001B387F">
        <w:rPr>
          <w:rFonts w:cs="Calibri Light"/>
          <w:lang w:eastAsia="en-AU"/>
        </w:rPr>
        <w:t xml:space="preserve"> and </w:t>
      </w:r>
      <w:r w:rsidR="008128AE" w:rsidRPr="001B387F">
        <w:rPr>
          <w:rFonts w:cs="Calibri Light"/>
          <w:lang w:eastAsia="en-AU"/>
        </w:rPr>
        <w:t xml:space="preserve">members of </w:t>
      </w:r>
      <w:r w:rsidRPr="001B387F">
        <w:rPr>
          <w:rFonts w:cs="Calibri Light"/>
          <w:lang w:eastAsia="en-AU"/>
        </w:rPr>
        <w:t xml:space="preserve">ethnic </w:t>
      </w:r>
      <w:r w:rsidR="008128AE" w:rsidRPr="001B387F">
        <w:rPr>
          <w:rFonts w:cs="Calibri Light"/>
          <w:lang w:eastAsia="en-AU"/>
        </w:rPr>
        <w:t>minority groups</w:t>
      </w:r>
      <w:r w:rsidRPr="001B387F">
        <w:rPr>
          <w:rFonts w:cs="Calibri Light"/>
          <w:lang w:eastAsia="en-AU"/>
        </w:rPr>
        <w:t xml:space="preserve">. These groups will be supported to engage in policies and activities that affect their communities, and shape Australia’s approach. Cooperation with </w:t>
      </w:r>
      <w:r w:rsidR="00756A62" w:rsidRPr="001B387F">
        <w:rPr>
          <w:rFonts w:cs="Calibri Light"/>
          <w:lang w:eastAsia="en-AU"/>
        </w:rPr>
        <w:t>O</w:t>
      </w:r>
      <w:r w:rsidRPr="001B387F">
        <w:rPr>
          <w:rFonts w:cs="Calibri Light"/>
          <w:lang w:eastAsia="en-AU"/>
        </w:rPr>
        <w:t>bjective</w:t>
      </w:r>
      <w:r w:rsidR="00756A62" w:rsidRPr="001B387F">
        <w:rPr>
          <w:rFonts w:cs="Calibri Light"/>
          <w:lang w:eastAsia="en-AU"/>
        </w:rPr>
        <w:t> 1</w:t>
      </w:r>
      <w:r w:rsidRPr="001B387F">
        <w:rPr>
          <w:rFonts w:cs="Calibri Light"/>
          <w:lang w:eastAsia="en-AU"/>
        </w:rPr>
        <w:t xml:space="preserve"> will ensure that business, </w:t>
      </w:r>
      <w:proofErr w:type="gramStart"/>
      <w:r w:rsidRPr="001B387F">
        <w:rPr>
          <w:rFonts w:cs="Calibri Light"/>
          <w:lang w:eastAsia="en-AU"/>
        </w:rPr>
        <w:t>trade</w:t>
      </w:r>
      <w:proofErr w:type="gramEnd"/>
      <w:r w:rsidRPr="001B387F">
        <w:rPr>
          <w:rFonts w:cs="Calibri Light"/>
          <w:lang w:eastAsia="en-AU"/>
        </w:rPr>
        <w:t xml:space="preserve"> and investment settings are supportive and integrated with Vietnam’s climate action agenda.</w:t>
      </w:r>
      <w:r w:rsidRPr="001B387F">
        <w:t xml:space="preserve"> </w:t>
      </w:r>
      <w:r w:rsidRPr="001B387F">
        <w:rPr>
          <w:rFonts w:cs="Calibri Light"/>
          <w:lang w:eastAsia="en-AU"/>
        </w:rPr>
        <w:t>Climate action measures will be mainstreamed across Australia’s development engagement in Vietnam. The approach will be informed by engagement with DCCEEW, the forthcoming Australia in Vietnam Climate Strategy</w:t>
      </w:r>
      <w:r w:rsidR="00CE35C6" w:rsidRPr="001B387F">
        <w:rPr>
          <w:rFonts w:cs="Calibri Light"/>
          <w:lang w:eastAsia="en-AU"/>
        </w:rPr>
        <w:t>,</w:t>
      </w:r>
      <w:r w:rsidRPr="001B387F">
        <w:rPr>
          <w:rFonts w:cs="Calibri Light"/>
          <w:lang w:eastAsia="en-AU"/>
        </w:rPr>
        <w:t xml:space="preserve"> and a climate advis</w:t>
      </w:r>
      <w:r w:rsidR="00F950E7" w:rsidRPr="001B387F">
        <w:rPr>
          <w:rFonts w:cs="Calibri Light"/>
          <w:lang w:eastAsia="en-AU"/>
        </w:rPr>
        <w:t>e</w:t>
      </w:r>
      <w:r w:rsidRPr="001B387F">
        <w:rPr>
          <w:rFonts w:cs="Calibri Light"/>
          <w:lang w:eastAsia="en-AU"/>
        </w:rPr>
        <w:t>r.</w:t>
      </w:r>
    </w:p>
    <w:p w14:paraId="22E89A6B" w14:textId="4757ADE5" w:rsidR="009E3323" w:rsidRPr="001B387F" w:rsidRDefault="009E3323" w:rsidP="00A32186">
      <w:pPr>
        <w:spacing w:after="0"/>
        <w:rPr>
          <w:rFonts w:cs="Calibri Light"/>
          <w:lang w:eastAsia="en-AU"/>
        </w:rPr>
      </w:pPr>
      <w:r w:rsidRPr="001B387F">
        <w:rPr>
          <w:rFonts w:cs="Calibri Light"/>
          <w:lang w:eastAsia="en-AU"/>
        </w:rPr>
        <w:t>The Aus4Adaptation investment is expected to commence implementation in 2024</w:t>
      </w:r>
      <w:r w:rsidR="000C7CF2" w:rsidRPr="001B387F">
        <w:rPr>
          <w:rFonts w:cs="Calibri Light"/>
          <w:lang w:eastAsia="en-AU"/>
        </w:rPr>
        <w:t>–</w:t>
      </w:r>
      <w:r w:rsidRPr="001B387F">
        <w:rPr>
          <w:rFonts w:cs="Calibri Light"/>
          <w:lang w:eastAsia="en-AU"/>
        </w:rPr>
        <w:t>25 with an inception period in which Australia</w:t>
      </w:r>
      <w:r w:rsidR="008E459E" w:rsidRPr="001B387F">
        <w:rPr>
          <w:rFonts w:cs="Calibri Light"/>
          <w:lang w:eastAsia="en-AU"/>
        </w:rPr>
        <w:t>–</w:t>
      </w:r>
      <w:r w:rsidRPr="001B387F">
        <w:rPr>
          <w:rFonts w:cs="Calibri Light"/>
          <w:lang w:eastAsia="en-AU"/>
        </w:rPr>
        <w:t xml:space="preserve">Vietnam partnership building and research and learning activities </w:t>
      </w:r>
      <w:r w:rsidR="008E459E" w:rsidRPr="001B387F">
        <w:rPr>
          <w:rFonts w:cs="Calibri Light"/>
          <w:lang w:eastAsia="en-AU"/>
        </w:rPr>
        <w:t>will</w:t>
      </w:r>
      <w:r w:rsidRPr="001B387F">
        <w:rPr>
          <w:rFonts w:cs="Calibri Light"/>
          <w:lang w:eastAsia="en-AU"/>
        </w:rPr>
        <w:t xml:space="preserve"> be prioritised.</w:t>
      </w:r>
    </w:p>
    <w:p w14:paraId="5078B756" w14:textId="366FBCD6" w:rsidR="009E3323" w:rsidRPr="001B387F" w:rsidRDefault="009E3323" w:rsidP="00F26D67">
      <w:pPr>
        <w:pStyle w:val="H3-Heading3"/>
        <w:rPr>
          <w:rFonts w:eastAsia="Calibri Light"/>
        </w:rPr>
      </w:pPr>
      <w:r w:rsidRPr="001B387F">
        <w:rPr>
          <w:rFonts w:eastAsia="Calibri Light"/>
        </w:rPr>
        <w:t xml:space="preserve">Objective 4: </w:t>
      </w:r>
      <w:r w:rsidR="00537031" w:rsidRPr="001B387F">
        <w:t>Inclusive and partici</w:t>
      </w:r>
      <w:r w:rsidR="00737D3D" w:rsidRPr="001B387F">
        <w:t>patory</w:t>
      </w:r>
      <w:r w:rsidRPr="001B387F">
        <w:t xml:space="preserve"> social and economic</w:t>
      </w:r>
      <w:r w:rsidR="000312E1" w:rsidRPr="001B387F">
        <w:t> </w:t>
      </w:r>
      <w:r w:rsidRPr="001B387F">
        <w:t>development</w:t>
      </w:r>
    </w:p>
    <w:p w14:paraId="1B1828B3" w14:textId="62B0408D" w:rsidR="00940BEB" w:rsidRPr="001B387F" w:rsidRDefault="00311A5F" w:rsidP="00076D37">
      <w:pPr>
        <w:spacing w:before="120" w:after="120" w:line="264" w:lineRule="auto"/>
        <w:contextualSpacing/>
        <w:textAlignment w:val="baseline"/>
        <w:rPr>
          <w:rFonts w:cs="Calibri Light"/>
        </w:rPr>
      </w:pPr>
      <w:r w:rsidRPr="001B387F">
        <w:rPr>
          <w:rFonts w:cs="Calibri Light"/>
        </w:rPr>
        <w:t>Objective 4 contributes to the following focus area of Australia’s International Development Policy:</w:t>
      </w:r>
      <w:r w:rsidRPr="001B387F">
        <w:rPr>
          <w:rFonts w:cs="Calibri Light"/>
          <w:lang w:eastAsia="en-AU"/>
        </w:rPr>
        <w:t xml:space="preserve"> build effective, accountable states that drive their own development</w:t>
      </w:r>
      <w:r w:rsidRPr="001B387F">
        <w:t>.</w:t>
      </w:r>
    </w:p>
    <w:p w14:paraId="1FB5C8A2" w14:textId="7B62DF29" w:rsidR="009E3323" w:rsidRPr="001B387F" w:rsidRDefault="009E3323" w:rsidP="00A32186">
      <w:pPr>
        <w:spacing w:after="0"/>
        <w:rPr>
          <w:rFonts w:cs="Calibri Light"/>
        </w:rPr>
      </w:pPr>
      <w:r w:rsidRPr="001B387F">
        <w:rPr>
          <w:rFonts w:cs="Calibri Light"/>
        </w:rPr>
        <w:t>Under the DPP, Australia will support Vietnam’s reform efforts to:</w:t>
      </w:r>
    </w:p>
    <w:p w14:paraId="1BDEC3AC" w14:textId="23FED990" w:rsidR="009E3323" w:rsidRPr="001B387F" w:rsidRDefault="009E3323" w:rsidP="00C6638C">
      <w:pPr>
        <w:pStyle w:val="NormalBullets-L1"/>
      </w:pPr>
      <w:r w:rsidRPr="001B387F">
        <w:t xml:space="preserve">enable women, children, people with </w:t>
      </w:r>
      <w:r w:rsidR="00A8525B" w:rsidRPr="001B387F">
        <w:t>disability</w:t>
      </w:r>
      <w:r w:rsidRPr="001B387F">
        <w:t xml:space="preserve">, </w:t>
      </w:r>
      <w:r w:rsidR="007C7714" w:rsidRPr="001B387F">
        <w:t xml:space="preserve">and members </w:t>
      </w:r>
      <w:r w:rsidR="00311A5F" w:rsidRPr="001B387F">
        <w:t xml:space="preserve">of </w:t>
      </w:r>
      <w:r w:rsidRPr="001B387F">
        <w:t xml:space="preserve">ethnic minority groups and </w:t>
      </w:r>
      <w:r w:rsidR="00940BEB" w:rsidRPr="001B387F">
        <w:t xml:space="preserve">lesbian, gay, bisexual, transgender, queer/questioning, intersex, asexual and identity-diverse </w:t>
      </w:r>
      <w:r w:rsidR="00311A5F" w:rsidRPr="001B387F">
        <w:t>(</w:t>
      </w:r>
      <w:r w:rsidRPr="001B387F">
        <w:t>LGBTQIA+</w:t>
      </w:r>
      <w:r w:rsidR="00311A5F" w:rsidRPr="001B387F">
        <w:t>)</w:t>
      </w:r>
      <w:r w:rsidRPr="001B387F">
        <w:t xml:space="preserve"> communit</w:t>
      </w:r>
      <w:r w:rsidR="003304DB" w:rsidRPr="001B387F">
        <w:t>ies</w:t>
      </w:r>
      <w:r w:rsidRPr="001B387F">
        <w:t xml:space="preserve"> to live more secure, dignified li</w:t>
      </w:r>
      <w:r w:rsidR="007B7D96" w:rsidRPr="001B387F">
        <w:t>ves</w:t>
      </w:r>
      <w:r w:rsidR="002D6FEC" w:rsidRPr="001B387F">
        <w:t>,</w:t>
      </w:r>
      <w:r w:rsidRPr="001B387F">
        <w:t xml:space="preserve"> including through the prevention of and response to all forms of gender-based violence and violence against </w:t>
      </w:r>
      <w:proofErr w:type="gramStart"/>
      <w:r w:rsidRPr="001B387F">
        <w:t>children</w:t>
      </w:r>
      <w:proofErr w:type="gramEnd"/>
    </w:p>
    <w:p w14:paraId="4C0568A3" w14:textId="0467890E" w:rsidR="009E3323" w:rsidRPr="001B387F" w:rsidRDefault="009E3323" w:rsidP="00C6638C">
      <w:pPr>
        <w:pStyle w:val="NormalBullets-L1"/>
      </w:pPr>
      <w:r w:rsidRPr="001B387F">
        <w:t xml:space="preserve">enable women, </w:t>
      </w:r>
      <w:r w:rsidR="007C7714" w:rsidRPr="001B387F">
        <w:t xml:space="preserve">members of </w:t>
      </w:r>
      <w:r w:rsidRPr="001B387F">
        <w:t xml:space="preserve">ethnic minority groups and people with </w:t>
      </w:r>
      <w:r w:rsidR="00A8525B" w:rsidRPr="001B387F">
        <w:t>disability</w:t>
      </w:r>
      <w:r w:rsidRPr="001B387F">
        <w:t xml:space="preserve"> to participate in and benefit from sustainable economic opportunities by strengthening inclusive business</w:t>
      </w:r>
      <w:r w:rsidR="006D77E0" w:rsidRPr="001B387F">
        <w:t>-</w:t>
      </w:r>
      <w:r w:rsidRPr="001B387F">
        <w:t>enabling environments that create decent jobs underpinned by strengthened social protection systems.</w:t>
      </w:r>
    </w:p>
    <w:p w14:paraId="473B7179" w14:textId="7865502F" w:rsidR="009E3323" w:rsidRPr="001B387F" w:rsidRDefault="009E3323" w:rsidP="000C7CF2">
      <w:r w:rsidRPr="001B387F">
        <w:t xml:space="preserve">A people-centred approach, tailored to Vietnam’s equality priorities, will inform targeted equality programs. Australia will work closely with the Government of Vietnam (provincial and central), Communist Party of Vietnam, and the National Assembly to support effective implementation of Vietnam’s social policies and programs. Recognising the contribution that social organisations continue to make to Vietnam’s socioeconomic agenda, Australia will seek and incorporate the voices of affected communities. Market-based solutions involving the Vietnamese private sector and business associations will continue to play a key role in </w:t>
      </w:r>
      <w:r w:rsidR="009B0AF2" w:rsidRPr="001B387F">
        <w:t>serving</w:t>
      </w:r>
      <w:r w:rsidRPr="001B387F">
        <w:t xml:space="preserve"> women as consumers and clients, suppliers, </w:t>
      </w:r>
      <w:proofErr w:type="gramStart"/>
      <w:r w:rsidRPr="001B387F">
        <w:t>leaders</w:t>
      </w:r>
      <w:proofErr w:type="gramEnd"/>
      <w:r w:rsidRPr="001B387F">
        <w:t xml:space="preserve"> and workers. Australia will continue to work closely with United Nations agencies, multilateral </w:t>
      </w:r>
      <w:proofErr w:type="gramStart"/>
      <w:r w:rsidRPr="001B387F">
        <w:t>banks</w:t>
      </w:r>
      <w:proofErr w:type="gramEnd"/>
      <w:r w:rsidRPr="001B387F">
        <w:t xml:space="preserve"> and local and international non-government organisations. Australia will draw on partners </w:t>
      </w:r>
      <w:r w:rsidR="00723D0B" w:rsidRPr="001B387F">
        <w:t xml:space="preserve">across the Australian Government </w:t>
      </w:r>
      <w:r w:rsidRPr="001B387F">
        <w:t xml:space="preserve">with expertise in gender equality, disability, First </w:t>
      </w:r>
      <w:proofErr w:type="gramStart"/>
      <w:r w:rsidRPr="001B387F">
        <w:t>Nations</w:t>
      </w:r>
      <w:proofErr w:type="gramEnd"/>
      <w:r w:rsidRPr="001B387F">
        <w:t xml:space="preserve"> and human rights to share knowledge and approaches to addressing social issues.</w:t>
      </w:r>
    </w:p>
    <w:p w14:paraId="4E7D007A" w14:textId="5D8A6226" w:rsidR="009E3323" w:rsidRPr="001B387F" w:rsidRDefault="00915139" w:rsidP="000C7CF2">
      <w:pPr>
        <w:rPr>
          <w:lang w:eastAsia="en-AU"/>
        </w:rPr>
      </w:pPr>
      <w:r w:rsidRPr="001B387F">
        <w:t>O</w:t>
      </w:r>
      <w:r w:rsidR="009E3323" w:rsidRPr="001B387F">
        <w:t>bjective</w:t>
      </w:r>
      <w:r w:rsidRPr="001B387F">
        <w:t> 4</w:t>
      </w:r>
      <w:r w:rsidR="009E3323" w:rsidRPr="001B387F">
        <w:t xml:space="preserve"> will be achieved through the Ending Violence Against Women and Children (EVAWC)</w:t>
      </w:r>
      <w:r w:rsidR="00CC66BF" w:rsidRPr="001B387F">
        <w:t xml:space="preserve"> program and the</w:t>
      </w:r>
      <w:r w:rsidR="009E3323" w:rsidRPr="001B387F">
        <w:t xml:space="preserve"> Aus4Equality investment (including the Gender-Responsive Equitable Agriculture and Tourism (GREAT) program), </w:t>
      </w:r>
      <w:r w:rsidR="00CC66BF" w:rsidRPr="001B387F">
        <w:t>as well as</w:t>
      </w:r>
      <w:r w:rsidR="009E3323" w:rsidRPr="001B387F">
        <w:t xml:space="preserve"> their expected successor programs, the Vietnam</w:t>
      </w:r>
      <w:r w:rsidR="00056BF7" w:rsidRPr="001B387F">
        <w:t>–Australia</w:t>
      </w:r>
      <w:r w:rsidR="009E3323" w:rsidRPr="001B387F">
        <w:t xml:space="preserve"> Human Rights </w:t>
      </w:r>
      <w:r w:rsidR="00056BF7" w:rsidRPr="001B387F">
        <w:t xml:space="preserve">Technical </w:t>
      </w:r>
      <w:r w:rsidR="009E3323" w:rsidRPr="001B387F">
        <w:t xml:space="preserve">Cooperation Program </w:t>
      </w:r>
      <w:r w:rsidR="009E3323" w:rsidRPr="001B387F">
        <w:rPr>
          <w:rFonts w:eastAsia="Calibri Light"/>
        </w:rPr>
        <w:t>and</w:t>
      </w:r>
      <w:r w:rsidR="009E3323" w:rsidRPr="001B387F">
        <w:rPr>
          <w:rFonts w:cs="Calibri"/>
        </w:rPr>
        <w:t xml:space="preserve"> the </w:t>
      </w:r>
      <w:r w:rsidR="009E3323" w:rsidRPr="001B387F">
        <w:rPr>
          <w:rFonts w:eastAsia="Calibri Light"/>
        </w:rPr>
        <w:t>Viet</w:t>
      </w:r>
      <w:r w:rsidR="00B135FB" w:rsidRPr="001B387F">
        <w:rPr>
          <w:rFonts w:eastAsia="Calibri Light"/>
        </w:rPr>
        <w:t xml:space="preserve"> N</w:t>
      </w:r>
      <w:r w:rsidR="009E3323" w:rsidRPr="001B387F">
        <w:rPr>
          <w:rFonts w:eastAsia="Calibri Light"/>
        </w:rPr>
        <w:t>am Provincial Governance and Public Administration Performance Index (PAPI)</w:t>
      </w:r>
      <w:r w:rsidR="009E3323" w:rsidRPr="001B387F">
        <w:t xml:space="preserve">. Technical and </w:t>
      </w:r>
      <w:r w:rsidR="009E3323" w:rsidRPr="001B387F">
        <w:lastRenderedPageBreak/>
        <w:t>advisory support for inclusive institutional reform will occur through the Australia</w:t>
      </w:r>
      <w:r w:rsidR="003409EE" w:rsidRPr="001B387F">
        <w:t>–</w:t>
      </w:r>
      <w:r w:rsidR="009E3323" w:rsidRPr="001B387F">
        <w:t xml:space="preserve">World Bank </w:t>
      </w:r>
      <w:r w:rsidR="003409EE" w:rsidRPr="001B387F">
        <w:t xml:space="preserve">Strategic </w:t>
      </w:r>
      <w:r w:rsidR="009E3323" w:rsidRPr="001B387F">
        <w:t xml:space="preserve">Partnership and the IFC </w:t>
      </w:r>
      <w:r w:rsidR="00F8539F" w:rsidRPr="001B387F">
        <w:t xml:space="preserve">Vietnam </w:t>
      </w:r>
      <w:r w:rsidR="009E3323" w:rsidRPr="001B387F">
        <w:t xml:space="preserve">Private Sector Development Partnership. This will be complemented by bilateral and regional social protection and sexual </w:t>
      </w:r>
      <w:r w:rsidR="00C547F3" w:rsidRPr="001B387F">
        <w:t xml:space="preserve">and </w:t>
      </w:r>
      <w:r w:rsidR="009E3323" w:rsidRPr="001B387F">
        <w:t xml:space="preserve">reproductive health </w:t>
      </w:r>
      <w:r w:rsidR="00C547F3" w:rsidRPr="001B387F">
        <w:t xml:space="preserve">and rights </w:t>
      </w:r>
      <w:r w:rsidR="009E3323" w:rsidRPr="001B387F">
        <w:t>investments including the Towards Universal Sexual Reproductive Health and Rights in the Indo</w:t>
      </w:r>
      <w:r w:rsidR="00E25BAF" w:rsidRPr="001B387F">
        <w:t>-</w:t>
      </w:r>
      <w:r w:rsidR="009E3323" w:rsidRPr="001B387F">
        <w:t xml:space="preserve">Pacific (TUSIP) program, </w:t>
      </w:r>
      <w:r w:rsidR="001B3385" w:rsidRPr="001B387F">
        <w:t>as well as</w:t>
      </w:r>
      <w:r w:rsidR="009E3323" w:rsidRPr="001B387F">
        <w:t xml:space="preserve"> the regional programs Investing in Women</w:t>
      </w:r>
      <w:r w:rsidR="00A20F90" w:rsidRPr="001B387F">
        <w:t xml:space="preserve"> (Southeast Asia)</w:t>
      </w:r>
      <w:r w:rsidR="009E3323" w:rsidRPr="001B387F">
        <w:t xml:space="preserve"> and the </w:t>
      </w:r>
      <w:r w:rsidR="001B3385" w:rsidRPr="001B387F">
        <w:t xml:space="preserve">Southeast Asia </w:t>
      </w:r>
      <w:r w:rsidR="009E3323" w:rsidRPr="001B387F">
        <w:t>Gender</w:t>
      </w:r>
      <w:r w:rsidR="001B3385" w:rsidRPr="001B387F">
        <w:t>-b</w:t>
      </w:r>
      <w:r w:rsidR="009E3323" w:rsidRPr="001B387F">
        <w:t>ased Violence Prevention Platform. Efforts will be underpinned by continuing support through cross-cutting, rights-based institutional learning and reform. Policy dialogue and support on relevant legal reforms will be aligned with</w:t>
      </w:r>
      <w:r w:rsidR="00254035" w:rsidRPr="001B387F">
        <w:t xml:space="preserve"> the</w:t>
      </w:r>
      <w:r w:rsidR="009E3323" w:rsidRPr="001B387F">
        <w:t xml:space="preserve"> Government of Vietnam </w:t>
      </w:r>
      <w:r w:rsidR="00254035" w:rsidRPr="001B387F">
        <w:t>needs</w:t>
      </w:r>
      <w:r w:rsidR="009E3323" w:rsidRPr="001B387F">
        <w:rPr>
          <w:lang w:eastAsia="en-AU"/>
        </w:rPr>
        <w:t>.</w:t>
      </w:r>
    </w:p>
    <w:p w14:paraId="2C883A23" w14:textId="6CE0E3F7" w:rsidR="009E3323" w:rsidRPr="001B387F" w:rsidRDefault="009E3323" w:rsidP="000C7CF2">
      <w:pPr>
        <w:rPr>
          <w:lang w:eastAsia="en-AU"/>
        </w:rPr>
      </w:pPr>
      <w:r w:rsidRPr="001B387F">
        <w:t xml:space="preserve">There will be close cooperation between </w:t>
      </w:r>
      <w:r w:rsidR="000B2F76" w:rsidRPr="001B387F">
        <w:t xml:space="preserve">the investments under </w:t>
      </w:r>
      <w:r w:rsidRPr="001B387F">
        <w:t>Objective</w:t>
      </w:r>
      <w:r w:rsidR="00E42CF7" w:rsidRPr="001B387F">
        <w:t> </w:t>
      </w:r>
      <w:r w:rsidRPr="001B387F">
        <w:t>4 and Objective</w:t>
      </w:r>
      <w:r w:rsidR="00E42CF7" w:rsidRPr="001B387F">
        <w:t> </w:t>
      </w:r>
      <w:r w:rsidRPr="001B387F">
        <w:t xml:space="preserve">1 to ensure consistency and complementarity between </w:t>
      </w:r>
      <w:r w:rsidR="00185BB1" w:rsidRPr="001B387F">
        <w:t xml:space="preserve">the </w:t>
      </w:r>
      <w:r w:rsidRPr="001B387F">
        <w:t xml:space="preserve">GEDSI issues and approaches of both objectives. Findings from economic inclusion support for targeted disadvantaged groups and enterprises will be used to inform national-level policy engagement undertaken under </w:t>
      </w:r>
      <w:r w:rsidR="00185BB1" w:rsidRPr="001B387F">
        <w:t>O</w:t>
      </w:r>
      <w:r w:rsidRPr="001B387F">
        <w:t>bjective</w:t>
      </w:r>
      <w:r w:rsidR="00185BB1" w:rsidRPr="001B387F">
        <w:t> 1</w:t>
      </w:r>
      <w:r w:rsidRPr="001B387F">
        <w:t>, such as the E</w:t>
      </w:r>
      <w:r w:rsidR="00185BB1" w:rsidRPr="001B387F">
        <w:t xml:space="preserve">uropean </w:t>
      </w:r>
      <w:r w:rsidRPr="001B387F">
        <w:t>U</w:t>
      </w:r>
      <w:r w:rsidR="00185BB1" w:rsidRPr="001B387F">
        <w:t>nion</w:t>
      </w:r>
      <w:r w:rsidRPr="001B387F">
        <w:t xml:space="preserve"> trade</w:t>
      </w:r>
      <w:r w:rsidR="00181998" w:rsidRPr="001B387F">
        <w:t>-</w:t>
      </w:r>
      <w:r w:rsidRPr="001B387F">
        <w:t xml:space="preserve">inclusive business requirements. Mitigating the risk posed by climate change for those most socially and economically vulnerable will require detailed analysis and close cooperation with the </w:t>
      </w:r>
      <w:r w:rsidR="00477F75" w:rsidRPr="001B387F">
        <w:t>investments under</w:t>
      </w:r>
      <w:r w:rsidRPr="001B387F">
        <w:t xml:space="preserve"> </w:t>
      </w:r>
      <w:r w:rsidR="00477F75" w:rsidRPr="001B387F">
        <w:t>O</w:t>
      </w:r>
      <w:r w:rsidRPr="001B387F">
        <w:t>bjective</w:t>
      </w:r>
      <w:r w:rsidR="00477F75" w:rsidRPr="001B387F">
        <w:t> 3</w:t>
      </w:r>
      <w:r w:rsidRPr="001B387F">
        <w:t xml:space="preserve">. This relates to, for example, livelihood support to enable workers and businesses to adapt to climate change, and violence prevention and response services that are adaptive to disasters and other emergencies. Social protection programming will ensure systems are more shock resistant. Equality will be mainstreamed across the entire DPP as articulated in the </w:t>
      </w:r>
      <w:r w:rsidRPr="001B387F">
        <w:rPr>
          <w:i/>
          <w:iCs/>
        </w:rPr>
        <w:t>Australia in Vietnam Equality Strategy</w:t>
      </w:r>
      <w:r w:rsidR="00FD55E5" w:rsidRPr="001B387F">
        <w:rPr>
          <w:i/>
          <w:iCs/>
        </w:rPr>
        <w:t> </w:t>
      </w:r>
      <w:r w:rsidRPr="001B387F">
        <w:rPr>
          <w:i/>
          <w:iCs/>
        </w:rPr>
        <w:t>2022</w:t>
      </w:r>
      <w:r w:rsidR="00FD55E5" w:rsidRPr="001B387F">
        <w:rPr>
          <w:i/>
          <w:iCs/>
        </w:rPr>
        <w:t>–</w:t>
      </w:r>
      <w:r w:rsidR="002D6FEC" w:rsidRPr="001B387F">
        <w:rPr>
          <w:i/>
          <w:iCs/>
        </w:rPr>
        <w:t>20</w:t>
      </w:r>
      <w:r w:rsidRPr="001B387F">
        <w:rPr>
          <w:i/>
          <w:iCs/>
        </w:rPr>
        <w:t>27</w:t>
      </w:r>
      <w:r w:rsidRPr="001B387F">
        <w:t xml:space="preserve"> and integrated into efforts </w:t>
      </w:r>
      <w:r w:rsidR="00A60ACF" w:rsidRPr="001B387F">
        <w:t>across the Australian Government</w:t>
      </w:r>
      <w:r w:rsidR="0056726F" w:rsidRPr="001B387F">
        <w:t>,</w:t>
      </w:r>
      <w:r w:rsidR="00A60ACF" w:rsidRPr="001B387F">
        <w:t xml:space="preserve"> when</w:t>
      </w:r>
      <w:r w:rsidR="00157668" w:rsidRPr="001B387F">
        <w:t xml:space="preserve"> </w:t>
      </w:r>
      <w:r w:rsidRPr="001B387F">
        <w:t>feasible.</w:t>
      </w:r>
    </w:p>
    <w:p w14:paraId="71CA3AA6" w14:textId="7638F26E" w:rsidR="009E3323" w:rsidRPr="001B387F" w:rsidRDefault="009E3323">
      <w:pPr>
        <w:spacing w:before="0" w:after="0" w:line="240" w:lineRule="auto"/>
        <w:rPr>
          <w:rFonts w:cs="Calibri Light"/>
          <w:lang w:eastAsia="en-AU"/>
        </w:rPr>
      </w:pPr>
      <w:r w:rsidRPr="001B387F">
        <w:rPr>
          <w:rFonts w:cs="Calibri Light"/>
          <w:lang w:eastAsia="en-AU"/>
        </w:rPr>
        <w:br w:type="page"/>
      </w:r>
    </w:p>
    <w:p w14:paraId="3455ACFB" w14:textId="04C99571" w:rsidR="009E3323" w:rsidRPr="001B387F" w:rsidRDefault="009E3323" w:rsidP="00F26D67">
      <w:pPr>
        <w:pStyle w:val="H2-Heading2"/>
        <w:rPr>
          <w:rFonts w:eastAsia="Yu Gothic Light"/>
        </w:rPr>
      </w:pPr>
      <w:r w:rsidRPr="001B387F">
        <w:rPr>
          <w:rFonts w:eastAsia="Yu Gothic Light"/>
        </w:rPr>
        <w:lastRenderedPageBreak/>
        <w:t xml:space="preserve">Section 4: Delivering our </w:t>
      </w:r>
      <w:proofErr w:type="gramStart"/>
      <w:r w:rsidRPr="001B387F">
        <w:rPr>
          <w:rFonts w:eastAsia="Yu Gothic Light"/>
        </w:rPr>
        <w:t>partnership</w:t>
      </w:r>
      <w:proofErr w:type="gramEnd"/>
    </w:p>
    <w:p w14:paraId="00C44D21" w14:textId="35974B51" w:rsidR="009E3323" w:rsidRPr="001B387F" w:rsidRDefault="009E3323" w:rsidP="00F26D67">
      <w:pPr>
        <w:pStyle w:val="H3-Heading3"/>
        <w:rPr>
          <w:rFonts w:eastAsia="Yu Gothic Light"/>
        </w:rPr>
      </w:pPr>
      <w:r w:rsidRPr="001B387F">
        <w:rPr>
          <w:rFonts w:eastAsia="Yu Gothic Light"/>
        </w:rPr>
        <w:t>Locally</w:t>
      </w:r>
      <w:r w:rsidR="000A726A" w:rsidRPr="001B387F">
        <w:rPr>
          <w:rFonts w:eastAsia="Yu Gothic Light"/>
        </w:rPr>
        <w:t xml:space="preserve"> </w:t>
      </w:r>
      <w:r w:rsidRPr="001B387F">
        <w:rPr>
          <w:rFonts w:eastAsia="Yu Gothic Light"/>
        </w:rPr>
        <w:t xml:space="preserve">led </w:t>
      </w:r>
      <w:proofErr w:type="gramStart"/>
      <w:r w:rsidRPr="001B387F">
        <w:rPr>
          <w:rFonts w:eastAsia="Yu Gothic Light"/>
        </w:rPr>
        <w:t>development</w:t>
      </w:r>
      <w:proofErr w:type="gramEnd"/>
    </w:p>
    <w:p w14:paraId="6AEB6FFA" w14:textId="70DC4A9C" w:rsidR="000C1733" w:rsidRPr="001B387F" w:rsidRDefault="00B5060A" w:rsidP="000242B6">
      <w:pPr>
        <w:shd w:val="clear" w:color="auto" w:fill="FFFFFF"/>
        <w:spacing w:after="0" w:line="240" w:lineRule="auto"/>
        <w:textAlignment w:val="baseline"/>
        <w:rPr>
          <w:lang w:eastAsia="en-AU"/>
        </w:rPr>
      </w:pPr>
      <w:r w:rsidRPr="001B387F">
        <w:rPr>
          <w:lang w:eastAsia="en-AU"/>
        </w:rPr>
        <w:t>Australia is committed to s</w:t>
      </w:r>
      <w:r w:rsidR="000242B6" w:rsidRPr="001B387F">
        <w:rPr>
          <w:lang w:eastAsia="en-AU"/>
        </w:rPr>
        <w:t xml:space="preserve">ustainable and effective development cooperation </w:t>
      </w:r>
      <w:r w:rsidRPr="001B387F">
        <w:rPr>
          <w:lang w:eastAsia="en-AU"/>
        </w:rPr>
        <w:t>that i</w:t>
      </w:r>
      <w:r w:rsidR="000242B6" w:rsidRPr="001B387F">
        <w:rPr>
          <w:lang w:eastAsia="en-AU"/>
        </w:rPr>
        <w:t xml:space="preserve">s locally led </w:t>
      </w:r>
      <w:r w:rsidR="00911C8B" w:rsidRPr="001B387F">
        <w:rPr>
          <w:lang w:eastAsia="en-AU"/>
        </w:rPr>
        <w:t xml:space="preserve">and </w:t>
      </w:r>
      <w:r w:rsidR="00B36F89" w:rsidRPr="001B387F">
        <w:rPr>
          <w:lang w:eastAsia="en-AU"/>
        </w:rPr>
        <w:t xml:space="preserve">in which </w:t>
      </w:r>
      <w:r w:rsidR="000242B6" w:rsidRPr="001B387F">
        <w:rPr>
          <w:lang w:eastAsia="en-AU"/>
        </w:rPr>
        <w:t>diverse local leaders and local actors have as much agency and decision</w:t>
      </w:r>
      <w:r w:rsidR="00F23B2A" w:rsidRPr="001B387F">
        <w:rPr>
          <w:lang w:eastAsia="en-AU"/>
        </w:rPr>
        <w:t>-</w:t>
      </w:r>
      <w:r w:rsidR="000242B6" w:rsidRPr="001B387F">
        <w:rPr>
          <w:lang w:eastAsia="en-AU"/>
        </w:rPr>
        <w:t>making as possible.</w:t>
      </w:r>
    </w:p>
    <w:p w14:paraId="79C9374C" w14:textId="4EF13FD0" w:rsidR="00253187" w:rsidRPr="001B387F" w:rsidRDefault="00253187" w:rsidP="00253187">
      <w:pPr>
        <w:rPr>
          <w:rFonts w:ascii="Segoe UI" w:hAnsi="Segoe UI" w:cs="Segoe UI"/>
          <w:sz w:val="18"/>
          <w:szCs w:val="18"/>
          <w:lang w:eastAsia="en-AU"/>
        </w:rPr>
      </w:pPr>
      <w:r w:rsidRPr="001B387F">
        <w:rPr>
          <w:lang w:eastAsia="en-AU"/>
        </w:rPr>
        <w:t xml:space="preserve">Our </w:t>
      </w:r>
      <w:r w:rsidR="00983A7C" w:rsidRPr="001B387F">
        <w:rPr>
          <w:lang w:eastAsia="en-AU"/>
        </w:rPr>
        <w:t>development cooperation</w:t>
      </w:r>
      <w:r w:rsidRPr="001B387F">
        <w:rPr>
          <w:lang w:eastAsia="en-AU"/>
        </w:rPr>
        <w:t xml:space="preserve"> in </w:t>
      </w:r>
      <w:r w:rsidR="00983A7C" w:rsidRPr="001B387F">
        <w:rPr>
          <w:lang w:eastAsia="en-AU"/>
        </w:rPr>
        <w:t xml:space="preserve">Vietnam </w:t>
      </w:r>
      <w:r w:rsidRPr="001B387F">
        <w:rPr>
          <w:lang w:eastAsia="en-AU"/>
        </w:rPr>
        <w:t xml:space="preserve">will continue to </w:t>
      </w:r>
      <w:r w:rsidR="00983A7C" w:rsidRPr="001B387F">
        <w:rPr>
          <w:lang w:eastAsia="en-AU"/>
        </w:rPr>
        <w:t>be</w:t>
      </w:r>
      <w:r w:rsidRPr="001B387F">
        <w:rPr>
          <w:lang w:eastAsia="en-AU"/>
        </w:rPr>
        <w:t xml:space="preserve"> responsive to the needs, </w:t>
      </w:r>
      <w:proofErr w:type="gramStart"/>
      <w:r w:rsidRPr="001B387F">
        <w:rPr>
          <w:lang w:eastAsia="en-AU"/>
        </w:rPr>
        <w:t>priorities</w:t>
      </w:r>
      <w:proofErr w:type="gramEnd"/>
      <w:r w:rsidRPr="001B387F">
        <w:rPr>
          <w:lang w:eastAsia="en-AU"/>
        </w:rPr>
        <w:t xml:space="preserve"> and aspirations of the Vietnamese people. We will provide technical assistance, capacity building and </w:t>
      </w:r>
      <w:r w:rsidR="00AF293A" w:rsidRPr="001B387F">
        <w:rPr>
          <w:lang w:eastAsia="en-AU"/>
        </w:rPr>
        <w:t>multi</w:t>
      </w:r>
      <w:r w:rsidR="00FD553D" w:rsidRPr="001B387F">
        <w:rPr>
          <w:lang w:eastAsia="en-AU"/>
        </w:rPr>
        <w:t>year funding</w:t>
      </w:r>
      <w:r w:rsidRPr="001B387F">
        <w:rPr>
          <w:lang w:eastAsia="en-AU"/>
        </w:rPr>
        <w:t xml:space="preserve"> to local partners to invest in organisations, not just projects. Our close partnerships with the </w:t>
      </w:r>
      <w:r w:rsidR="00AF293A" w:rsidRPr="001B387F">
        <w:rPr>
          <w:lang w:eastAsia="en-AU"/>
        </w:rPr>
        <w:t>Vietnamese</w:t>
      </w:r>
      <w:r w:rsidRPr="001B387F">
        <w:rPr>
          <w:lang w:eastAsia="en-AU"/>
        </w:rPr>
        <w:t xml:space="preserve"> Government will be deepened as we collaborate on strengthening institutions and systems to enhance the Government’s delivery of its own economic and social development priorities.</w:t>
      </w:r>
    </w:p>
    <w:p w14:paraId="375B4BEE" w14:textId="65E091F0" w:rsidR="00253187" w:rsidRPr="001B387F" w:rsidRDefault="00253187" w:rsidP="00253187">
      <w:pPr>
        <w:rPr>
          <w:rFonts w:ascii="Segoe UI" w:hAnsi="Segoe UI" w:cs="Segoe UI"/>
          <w:sz w:val="18"/>
          <w:szCs w:val="18"/>
          <w:lang w:eastAsia="en-AU"/>
        </w:rPr>
      </w:pPr>
      <w:r w:rsidRPr="001B387F">
        <w:rPr>
          <w:lang w:eastAsia="en-AU"/>
        </w:rPr>
        <w:t>We will also undertake design, monitoring and evaluation approaches that increase participation from local actors. Our efforts to deepen cooperation and localisation will include capacity</w:t>
      </w:r>
      <w:r w:rsidR="00D43C0B" w:rsidRPr="001B387F">
        <w:rPr>
          <w:lang w:eastAsia="en-AU"/>
        </w:rPr>
        <w:t xml:space="preserve"> </w:t>
      </w:r>
      <w:r w:rsidRPr="001B387F">
        <w:rPr>
          <w:lang w:eastAsia="en-AU"/>
        </w:rPr>
        <w:t>development strategies for partner institutions, implementing entities and the Australian Government’s locally engaged staff.</w:t>
      </w:r>
    </w:p>
    <w:p w14:paraId="1E80CEFC" w14:textId="4E272487" w:rsidR="000242B6" w:rsidRPr="001B387F" w:rsidRDefault="000242B6" w:rsidP="000242B6">
      <w:pPr>
        <w:shd w:val="clear" w:color="auto" w:fill="FFFFFF"/>
        <w:spacing w:after="0" w:line="240" w:lineRule="auto"/>
        <w:textAlignment w:val="baseline"/>
        <w:rPr>
          <w:lang w:eastAsia="en-AU"/>
        </w:rPr>
      </w:pPr>
      <w:r w:rsidRPr="001B387F">
        <w:rPr>
          <w:lang w:eastAsia="en-AU"/>
        </w:rPr>
        <w:t xml:space="preserve">A localisation </w:t>
      </w:r>
      <w:r w:rsidR="00E1203B" w:rsidRPr="001B387F">
        <w:rPr>
          <w:lang w:eastAsia="en-AU"/>
        </w:rPr>
        <w:t>plan</w:t>
      </w:r>
      <w:r w:rsidRPr="001B387F">
        <w:rPr>
          <w:lang w:eastAsia="en-AU"/>
        </w:rPr>
        <w:t xml:space="preserve"> will be developed in the first year of DPP implementation </w:t>
      </w:r>
      <w:r w:rsidR="00994F54" w:rsidRPr="001B387F">
        <w:rPr>
          <w:lang w:eastAsia="en-AU"/>
        </w:rPr>
        <w:t xml:space="preserve">to support </w:t>
      </w:r>
      <w:r w:rsidR="008C740B" w:rsidRPr="001B387F">
        <w:rPr>
          <w:lang w:eastAsia="en-AU"/>
        </w:rPr>
        <w:t>this commitment</w:t>
      </w:r>
      <w:r w:rsidRPr="001B387F">
        <w:rPr>
          <w:lang w:eastAsia="en-AU"/>
        </w:rPr>
        <w:t>.</w:t>
      </w:r>
    </w:p>
    <w:p w14:paraId="0AE7B6EC" w14:textId="77777777" w:rsidR="009E3323" w:rsidRPr="001B387F" w:rsidRDefault="009E3323" w:rsidP="00F26D67">
      <w:pPr>
        <w:pStyle w:val="H3-Heading3"/>
        <w:rPr>
          <w:rFonts w:eastAsia="Yu Gothic Light"/>
        </w:rPr>
      </w:pPr>
      <w:r w:rsidRPr="001B387F">
        <w:rPr>
          <w:rFonts w:eastAsia="Yu Gothic Light"/>
        </w:rPr>
        <w:t>Consultation</w:t>
      </w:r>
    </w:p>
    <w:p w14:paraId="76613037" w14:textId="4EB13193" w:rsidR="009E3323" w:rsidRPr="001B387F" w:rsidRDefault="009E3323" w:rsidP="00FC489F">
      <w:pPr>
        <w:rPr>
          <w:lang w:eastAsia="en-AU"/>
        </w:rPr>
      </w:pPr>
      <w:r w:rsidRPr="001B387F">
        <w:rPr>
          <w:lang w:eastAsia="en-AU"/>
        </w:rPr>
        <w:t xml:space="preserve">High-level consultation between Australia and Vietnam, including on our development cooperation, will occur through the CSP and its Plan of Action. An annual DPP </w:t>
      </w:r>
      <w:r w:rsidR="00752B75" w:rsidRPr="001B387F">
        <w:rPr>
          <w:lang w:eastAsia="en-AU"/>
        </w:rPr>
        <w:t>d</w:t>
      </w:r>
      <w:r w:rsidRPr="001B387F">
        <w:rPr>
          <w:lang w:eastAsia="en-AU"/>
        </w:rPr>
        <w:t>ialogue with government, private sector, multilateral and civil society partners will be established to discuss DPP issues, share learning and provide updates o</w:t>
      </w:r>
      <w:r w:rsidR="00633319" w:rsidRPr="001B387F">
        <w:rPr>
          <w:lang w:eastAsia="en-AU"/>
        </w:rPr>
        <w:t>n</w:t>
      </w:r>
      <w:r w:rsidRPr="001B387F">
        <w:rPr>
          <w:lang w:eastAsia="en-AU"/>
        </w:rPr>
        <w:t xml:space="preserve"> progress. Australian Development Partner Forum meetings (for partners implementing our investments) will continue to be held </w:t>
      </w:r>
      <w:r w:rsidR="00A279E8" w:rsidRPr="001B387F">
        <w:rPr>
          <w:lang w:eastAsia="en-AU"/>
        </w:rPr>
        <w:t xml:space="preserve">every </w:t>
      </w:r>
      <w:r w:rsidR="0032571C" w:rsidRPr="001B387F">
        <w:rPr>
          <w:lang w:eastAsia="en-AU"/>
        </w:rPr>
        <w:t xml:space="preserve">six </w:t>
      </w:r>
      <w:r w:rsidR="00A279E8" w:rsidRPr="001B387F">
        <w:rPr>
          <w:lang w:eastAsia="en-AU"/>
        </w:rPr>
        <w:t>months</w:t>
      </w:r>
      <w:r w:rsidRPr="001B387F">
        <w:rPr>
          <w:lang w:eastAsia="en-AU"/>
        </w:rPr>
        <w:t xml:space="preserve">. The Development Working Group involving the </w:t>
      </w:r>
      <w:r w:rsidR="005A5E7F" w:rsidRPr="001B387F">
        <w:rPr>
          <w:lang w:eastAsia="en-AU"/>
        </w:rPr>
        <w:t xml:space="preserve">Government of Vietnam </w:t>
      </w:r>
      <w:r w:rsidRPr="001B387F">
        <w:rPr>
          <w:lang w:eastAsia="en-AU"/>
        </w:rPr>
        <w:t>Ministry of Planning and Investment and DFAT will continue annually as part of the Economic Partnership Meeting.</w:t>
      </w:r>
    </w:p>
    <w:p w14:paraId="09839C8F" w14:textId="77777777" w:rsidR="009E3323" w:rsidRPr="001B387F" w:rsidRDefault="009E3323" w:rsidP="00F26D67">
      <w:pPr>
        <w:pStyle w:val="H3-Heading3"/>
        <w:rPr>
          <w:rFonts w:eastAsia="Yu Gothic Light"/>
        </w:rPr>
      </w:pPr>
      <w:r w:rsidRPr="001B387F">
        <w:rPr>
          <w:rFonts w:eastAsia="Yu Gothic Light"/>
        </w:rPr>
        <w:t>Evaluation and learning</w:t>
      </w:r>
    </w:p>
    <w:p w14:paraId="1919D944" w14:textId="450708CB" w:rsidR="00FE4ABA" w:rsidRPr="001B387F" w:rsidRDefault="009E3323" w:rsidP="00FC489F">
      <w:pPr>
        <w:rPr>
          <w:lang w:eastAsia="en-AU"/>
        </w:rPr>
      </w:pPr>
      <w:r w:rsidRPr="001B387F">
        <w:rPr>
          <w:lang w:eastAsia="en-AU"/>
        </w:rPr>
        <w:t xml:space="preserve">Evaluations will be used to promote learning, </w:t>
      </w:r>
      <w:proofErr w:type="gramStart"/>
      <w:r w:rsidRPr="001B387F">
        <w:rPr>
          <w:lang w:eastAsia="en-AU"/>
        </w:rPr>
        <w:t>accountability</w:t>
      </w:r>
      <w:proofErr w:type="gramEnd"/>
      <w:r w:rsidRPr="001B387F">
        <w:rPr>
          <w:lang w:eastAsia="en-AU"/>
        </w:rPr>
        <w:t xml:space="preserve"> and partnership</w:t>
      </w:r>
      <w:r w:rsidR="004B3D6B" w:rsidRPr="001B387F">
        <w:rPr>
          <w:lang w:eastAsia="en-AU"/>
        </w:rPr>
        <w:t>s</w:t>
      </w:r>
      <w:r w:rsidRPr="001B387F">
        <w:rPr>
          <w:lang w:eastAsia="en-AU"/>
        </w:rPr>
        <w:t xml:space="preserve"> with key counterparts. Australia is committed to strengthened </w:t>
      </w:r>
      <w:r w:rsidR="000E2E6D" w:rsidRPr="001B387F">
        <w:rPr>
          <w:lang w:eastAsia="en-AU"/>
        </w:rPr>
        <w:t>consultation</w:t>
      </w:r>
      <w:r w:rsidRPr="001B387F">
        <w:rPr>
          <w:lang w:eastAsia="en-AU"/>
        </w:rPr>
        <w:t>, evaluation and learning approaches. There will be increased investment in the monitoring and evaluation skills of staff. We recognise the vital role of locally</w:t>
      </w:r>
      <w:r w:rsidR="00613EB2" w:rsidRPr="001B387F">
        <w:rPr>
          <w:lang w:eastAsia="en-AU"/>
        </w:rPr>
        <w:t xml:space="preserve"> </w:t>
      </w:r>
      <w:r w:rsidRPr="001B387F">
        <w:rPr>
          <w:lang w:eastAsia="en-AU"/>
        </w:rPr>
        <w:t xml:space="preserve">engaged staff who intimately understand Vietnam and have learning insights. Our </w:t>
      </w:r>
      <w:r w:rsidR="000E2E6D" w:rsidRPr="001B387F">
        <w:rPr>
          <w:lang w:eastAsia="en-AU"/>
        </w:rPr>
        <w:t>consultation</w:t>
      </w:r>
      <w:r w:rsidR="004D574D" w:rsidRPr="001B387F">
        <w:rPr>
          <w:lang w:eastAsia="en-AU"/>
        </w:rPr>
        <w:t>, evaluation and learning</w:t>
      </w:r>
      <w:r w:rsidRPr="001B387F">
        <w:rPr>
          <w:lang w:eastAsia="en-AU"/>
        </w:rPr>
        <w:t xml:space="preserve"> capacity will be supplemented by external advisory support. All </w:t>
      </w:r>
      <w:r w:rsidR="00C42BCF" w:rsidRPr="001B387F">
        <w:rPr>
          <w:lang w:eastAsia="en-AU"/>
        </w:rPr>
        <w:t>development</w:t>
      </w:r>
      <w:r w:rsidR="0051310C" w:rsidRPr="001B387F">
        <w:rPr>
          <w:lang w:eastAsia="en-AU"/>
        </w:rPr>
        <w:t xml:space="preserve"> </w:t>
      </w:r>
      <w:r w:rsidRPr="001B387F">
        <w:rPr>
          <w:lang w:eastAsia="en-AU"/>
        </w:rPr>
        <w:t xml:space="preserve">investment </w:t>
      </w:r>
      <w:r w:rsidR="000E2E6D" w:rsidRPr="001B387F">
        <w:rPr>
          <w:lang w:eastAsia="en-AU"/>
        </w:rPr>
        <w:t>consultation</w:t>
      </w:r>
      <w:r w:rsidR="0045336E" w:rsidRPr="001B387F">
        <w:rPr>
          <w:lang w:eastAsia="en-AU"/>
        </w:rPr>
        <w:t>, evaluation and learning</w:t>
      </w:r>
      <w:r w:rsidRPr="001B387F">
        <w:rPr>
          <w:lang w:eastAsia="en-AU"/>
        </w:rPr>
        <w:t xml:space="preserve"> </w:t>
      </w:r>
      <w:r w:rsidR="0045336E" w:rsidRPr="001B387F">
        <w:rPr>
          <w:lang w:eastAsia="en-AU"/>
        </w:rPr>
        <w:t>p</w:t>
      </w:r>
      <w:r w:rsidRPr="001B387F">
        <w:rPr>
          <w:lang w:eastAsia="en-AU"/>
        </w:rPr>
        <w:t xml:space="preserve">lans will be quality assured </w:t>
      </w:r>
      <w:r w:rsidR="00D54E76" w:rsidRPr="001B387F">
        <w:rPr>
          <w:lang w:eastAsia="en-AU"/>
        </w:rPr>
        <w:t>against DFAT standards for design and monitoring and evaluation</w:t>
      </w:r>
      <w:r w:rsidR="00AD37F3" w:rsidRPr="001B387F">
        <w:rPr>
          <w:lang w:eastAsia="en-AU"/>
        </w:rPr>
        <w:t>.</w:t>
      </w:r>
      <w:r w:rsidR="00D54E76" w:rsidRPr="001B387F">
        <w:rPr>
          <w:lang w:eastAsia="en-AU"/>
        </w:rPr>
        <w:t xml:space="preserve"> </w:t>
      </w:r>
    </w:p>
    <w:p w14:paraId="424FFDD2" w14:textId="77777777" w:rsidR="00FE4ABA" w:rsidRPr="001B387F" w:rsidRDefault="00FE4ABA">
      <w:pPr>
        <w:spacing w:before="0" w:after="0" w:line="240" w:lineRule="auto"/>
        <w:rPr>
          <w:lang w:eastAsia="en-AU"/>
        </w:rPr>
      </w:pPr>
      <w:r w:rsidRPr="001B387F">
        <w:rPr>
          <w:lang w:eastAsia="en-AU"/>
        </w:rPr>
        <w:br w:type="page"/>
      </w:r>
    </w:p>
    <w:p w14:paraId="5249242E" w14:textId="4689F4B9" w:rsidR="009E3323" w:rsidRPr="001B387F" w:rsidRDefault="009E3323" w:rsidP="00E270A2">
      <w:pPr>
        <w:pStyle w:val="Tabletitle"/>
      </w:pPr>
      <w:r w:rsidRPr="001B387F">
        <w:lastRenderedPageBreak/>
        <w:t xml:space="preserve">Table 2: Consultation, evaluation and learning </w:t>
      </w:r>
      <w:proofErr w:type="gramStart"/>
      <w:r w:rsidRPr="001B387F">
        <w:t>plan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Caption w:val="Consultation, evaluation and learning plan"/>
        <w:tblDescription w:val="The DPP consultation, evaluation and learning plan includes investment-level evaluations and annual stakeholder consultations"/>
      </w:tblPr>
      <w:tblGrid>
        <w:gridCol w:w="2002"/>
        <w:gridCol w:w="2730"/>
        <w:gridCol w:w="2730"/>
        <w:gridCol w:w="2732"/>
      </w:tblGrid>
      <w:tr w:rsidR="009E3323" w:rsidRPr="001B387F" w14:paraId="38311DA8" w14:textId="77777777" w:rsidTr="00D160DB">
        <w:trPr>
          <w:trHeight w:val="536"/>
          <w:tblHeader/>
        </w:trPr>
        <w:tc>
          <w:tcPr>
            <w:tcW w:w="982" w:type="pct"/>
            <w:shd w:val="clear" w:color="auto" w:fill="3A586E"/>
            <w:hideMark/>
          </w:tcPr>
          <w:p w14:paraId="358AE2DE" w14:textId="357E2D75" w:rsidR="009E3323" w:rsidRPr="001B387F" w:rsidRDefault="009E3323" w:rsidP="0048344F">
            <w:pPr>
              <w:pStyle w:val="TableHeading"/>
            </w:pPr>
            <w:r w:rsidRPr="001B387F">
              <w:t>Objective</w:t>
            </w:r>
          </w:p>
        </w:tc>
        <w:tc>
          <w:tcPr>
            <w:tcW w:w="1339" w:type="pct"/>
            <w:shd w:val="clear" w:color="auto" w:fill="3A586E"/>
            <w:hideMark/>
          </w:tcPr>
          <w:p w14:paraId="2C2E3E42" w14:textId="44A2A996" w:rsidR="009E3323" w:rsidRPr="001B387F" w:rsidRDefault="009E3323" w:rsidP="0048344F">
            <w:pPr>
              <w:pStyle w:val="TableHeading"/>
            </w:pPr>
            <w:r w:rsidRPr="001B387F">
              <w:t>2024–25</w:t>
            </w:r>
          </w:p>
        </w:tc>
        <w:tc>
          <w:tcPr>
            <w:tcW w:w="1339" w:type="pct"/>
            <w:shd w:val="clear" w:color="auto" w:fill="3A586E"/>
            <w:hideMark/>
          </w:tcPr>
          <w:p w14:paraId="05173B21" w14:textId="2F50AF4B" w:rsidR="009E3323" w:rsidRPr="001B387F" w:rsidRDefault="009E3323" w:rsidP="0048344F">
            <w:pPr>
              <w:pStyle w:val="TableHeading"/>
            </w:pPr>
            <w:r w:rsidRPr="001B387F">
              <w:t>2025–26</w:t>
            </w:r>
          </w:p>
        </w:tc>
        <w:tc>
          <w:tcPr>
            <w:tcW w:w="1340" w:type="pct"/>
            <w:shd w:val="clear" w:color="auto" w:fill="3A586E"/>
            <w:hideMark/>
          </w:tcPr>
          <w:p w14:paraId="67440999" w14:textId="456194E1" w:rsidR="009E3323" w:rsidRPr="001B387F" w:rsidRDefault="009E3323" w:rsidP="0048344F">
            <w:pPr>
              <w:pStyle w:val="TableHeading"/>
            </w:pPr>
            <w:r w:rsidRPr="001B387F">
              <w:t>2026–27</w:t>
            </w:r>
          </w:p>
        </w:tc>
      </w:tr>
      <w:tr w:rsidR="009E3323" w:rsidRPr="001B387F" w14:paraId="706129D8" w14:textId="77777777" w:rsidTr="00D160DB">
        <w:trPr>
          <w:trHeight w:val="1468"/>
        </w:trPr>
        <w:tc>
          <w:tcPr>
            <w:tcW w:w="982" w:type="pct"/>
            <w:shd w:val="clear" w:color="auto" w:fill="D6E8D2"/>
            <w:hideMark/>
          </w:tcPr>
          <w:p w14:paraId="4F4B7F29" w14:textId="26258207" w:rsidR="009E3323" w:rsidRPr="001B387F" w:rsidRDefault="009E3323" w:rsidP="00D8324A">
            <w:pPr>
              <w:pStyle w:val="TableBodyCopybold"/>
            </w:pPr>
            <w:r w:rsidRPr="001B387F">
              <w:t>Objective 1</w:t>
            </w:r>
          </w:p>
          <w:p w14:paraId="1E5A2C87" w14:textId="54F30337" w:rsidR="009E3323" w:rsidRPr="001B387F" w:rsidRDefault="00737D3D" w:rsidP="008A13FC">
            <w:pPr>
              <w:pStyle w:val="TableBodyCopy"/>
            </w:pPr>
            <w:r w:rsidRPr="001B387F">
              <w:t>A</w:t>
            </w:r>
            <w:r w:rsidR="009E3323" w:rsidRPr="001B387F">
              <w:t xml:space="preserve">n inclusive, resilient, </w:t>
            </w:r>
            <w:proofErr w:type="gramStart"/>
            <w:r w:rsidR="009E3323" w:rsidRPr="001B387F">
              <w:t>sustainable</w:t>
            </w:r>
            <w:proofErr w:type="gramEnd"/>
            <w:r w:rsidR="009E3323" w:rsidRPr="001B387F">
              <w:t xml:space="preserve"> and prosperous economy</w:t>
            </w:r>
          </w:p>
        </w:tc>
        <w:tc>
          <w:tcPr>
            <w:tcW w:w="1339" w:type="pct"/>
            <w:shd w:val="clear" w:color="auto" w:fill="D6E8D2"/>
            <w:hideMark/>
          </w:tcPr>
          <w:p w14:paraId="046AE85A" w14:textId="5BFCB5D0" w:rsidR="009E3323" w:rsidRPr="001B387F" w:rsidRDefault="009E3323" w:rsidP="0062159B">
            <w:pPr>
              <w:pStyle w:val="TableBodyCopy"/>
              <w:rPr>
                <w:rFonts w:ascii="Segoe UI" w:hAnsi="Segoe UI" w:cs="Segoe UI"/>
                <w:sz w:val="18"/>
                <w:szCs w:val="18"/>
                <w:lang w:eastAsia="en-AU"/>
              </w:rPr>
            </w:pPr>
            <w:r w:rsidRPr="001B387F">
              <w:rPr>
                <w:lang w:eastAsia="en-AU"/>
              </w:rPr>
              <w:t xml:space="preserve">Independent </w:t>
            </w:r>
            <w:r w:rsidR="00EA3494" w:rsidRPr="001B387F">
              <w:rPr>
                <w:lang w:eastAsia="en-AU"/>
              </w:rPr>
              <w:t>a</w:t>
            </w:r>
            <w:r w:rsidRPr="001B387F">
              <w:rPr>
                <w:lang w:eastAsia="en-AU"/>
              </w:rPr>
              <w:t>ssessment of Australia</w:t>
            </w:r>
            <w:r w:rsidR="00EA3494" w:rsidRPr="001B387F">
              <w:rPr>
                <w:lang w:eastAsia="en-AU"/>
              </w:rPr>
              <w:t>–</w:t>
            </w:r>
            <w:r w:rsidRPr="001B387F">
              <w:rPr>
                <w:lang w:eastAsia="en-AU"/>
              </w:rPr>
              <w:t xml:space="preserve">World Bank </w:t>
            </w:r>
            <w:r w:rsidR="00EA3494" w:rsidRPr="001B387F">
              <w:rPr>
                <w:lang w:eastAsia="en-AU"/>
              </w:rPr>
              <w:t xml:space="preserve">Strategic </w:t>
            </w:r>
            <w:r w:rsidRPr="001B387F">
              <w:rPr>
                <w:lang w:eastAsia="en-AU"/>
              </w:rPr>
              <w:t>Partnership Phase</w:t>
            </w:r>
            <w:r w:rsidR="00AF14A2" w:rsidRPr="001B387F">
              <w:rPr>
                <w:lang w:eastAsia="en-AU"/>
              </w:rPr>
              <w:t> </w:t>
            </w:r>
            <w:r w:rsidRPr="001B387F">
              <w:rPr>
                <w:lang w:eastAsia="en-AU"/>
              </w:rPr>
              <w:t>2</w:t>
            </w:r>
          </w:p>
        </w:tc>
        <w:tc>
          <w:tcPr>
            <w:tcW w:w="1339" w:type="pct"/>
            <w:shd w:val="clear" w:color="auto" w:fill="D6E8D2"/>
            <w:hideMark/>
          </w:tcPr>
          <w:p w14:paraId="146065BE" w14:textId="5AAC3A87" w:rsidR="009E3323" w:rsidRPr="001B387F" w:rsidRDefault="0008498B" w:rsidP="0062159B">
            <w:pPr>
              <w:pStyle w:val="TableBodyCopy"/>
              <w:rPr>
                <w:rFonts w:ascii="Segoe UI" w:hAnsi="Segoe UI" w:cs="Segoe UI"/>
                <w:sz w:val="18"/>
                <w:szCs w:val="18"/>
                <w:lang w:eastAsia="en-AU"/>
              </w:rPr>
            </w:pPr>
            <w:r w:rsidRPr="001B387F">
              <w:rPr>
                <w:lang w:eastAsia="en-AU"/>
              </w:rPr>
              <w:t xml:space="preserve">Inception period for </w:t>
            </w:r>
            <w:r w:rsidR="009E3323" w:rsidRPr="001B387F">
              <w:rPr>
                <w:lang w:eastAsia="en-AU"/>
              </w:rPr>
              <w:t>Aus4Growth</w:t>
            </w:r>
          </w:p>
          <w:p w14:paraId="512BE178" w14:textId="7CAF63D9" w:rsidR="009E3323" w:rsidRPr="001B387F" w:rsidRDefault="00695F2D" w:rsidP="0062159B">
            <w:pPr>
              <w:pStyle w:val="TableBodyCopy"/>
              <w:rPr>
                <w:rFonts w:ascii="Segoe UI" w:hAnsi="Segoe UI" w:cs="Segoe UI"/>
                <w:sz w:val="18"/>
                <w:szCs w:val="18"/>
                <w:lang w:eastAsia="en-AU"/>
              </w:rPr>
            </w:pPr>
            <w:r w:rsidRPr="001B387F">
              <w:rPr>
                <w:lang w:eastAsia="en-AU"/>
              </w:rPr>
              <w:t xml:space="preserve">Mid-term review of </w:t>
            </w:r>
            <w:r w:rsidR="009E3323" w:rsidRPr="001B387F">
              <w:rPr>
                <w:lang w:eastAsia="en-AU"/>
              </w:rPr>
              <w:t>Aus4Innovation</w:t>
            </w:r>
          </w:p>
          <w:p w14:paraId="1B75A252" w14:textId="57A9575B" w:rsidR="009E3323" w:rsidRPr="001B387F" w:rsidRDefault="00695F2D" w:rsidP="0062159B">
            <w:pPr>
              <w:pStyle w:val="TableBodyCopy"/>
              <w:rPr>
                <w:rFonts w:ascii="Segoe UI" w:hAnsi="Segoe UI" w:cs="Segoe UI"/>
                <w:sz w:val="18"/>
                <w:szCs w:val="18"/>
                <w:lang w:eastAsia="en-AU"/>
              </w:rPr>
            </w:pPr>
            <w:r w:rsidRPr="001B387F">
              <w:rPr>
                <w:lang w:eastAsia="en-AU"/>
              </w:rPr>
              <w:t xml:space="preserve">Mid-term review of </w:t>
            </w:r>
            <w:r w:rsidR="00C95F01" w:rsidRPr="001B387F">
              <w:rPr>
                <w:lang w:eastAsia="en-AU"/>
              </w:rPr>
              <w:t xml:space="preserve">International Finance Corporation </w:t>
            </w:r>
            <w:r w:rsidR="009E67C9" w:rsidRPr="001B387F">
              <w:rPr>
                <w:lang w:eastAsia="en-AU"/>
              </w:rPr>
              <w:t xml:space="preserve">(IFC) </w:t>
            </w:r>
            <w:r w:rsidR="009E3323" w:rsidRPr="001B387F">
              <w:rPr>
                <w:lang w:eastAsia="en-AU"/>
              </w:rPr>
              <w:t>Vietnam Private Sector Development Program</w:t>
            </w:r>
          </w:p>
        </w:tc>
        <w:tc>
          <w:tcPr>
            <w:tcW w:w="1340" w:type="pct"/>
            <w:shd w:val="clear" w:color="auto" w:fill="D6E8D2"/>
            <w:hideMark/>
          </w:tcPr>
          <w:p w14:paraId="0AE0E295" w14:textId="1689174D" w:rsidR="009E3323" w:rsidRPr="001B387F" w:rsidRDefault="009E3323" w:rsidP="0062159B">
            <w:pPr>
              <w:pStyle w:val="TableBodyCopy"/>
              <w:rPr>
                <w:rFonts w:ascii="Segoe UI" w:hAnsi="Segoe UI" w:cs="Segoe UI"/>
                <w:sz w:val="18"/>
                <w:szCs w:val="18"/>
                <w:lang w:eastAsia="en-AU"/>
              </w:rPr>
            </w:pPr>
            <w:r w:rsidRPr="001B387F">
              <w:rPr>
                <w:lang w:eastAsia="en-AU"/>
              </w:rPr>
              <w:t>No formal reviews planned</w:t>
            </w:r>
          </w:p>
        </w:tc>
      </w:tr>
      <w:tr w:rsidR="009E3323" w:rsidRPr="001B387F" w14:paraId="7B496CD0" w14:textId="77777777" w:rsidTr="00D160DB">
        <w:trPr>
          <w:trHeight w:val="1248"/>
        </w:trPr>
        <w:tc>
          <w:tcPr>
            <w:tcW w:w="982" w:type="pct"/>
            <w:shd w:val="clear" w:color="auto" w:fill="FBEED2"/>
            <w:hideMark/>
          </w:tcPr>
          <w:p w14:paraId="5A8F3AC1" w14:textId="7E933D5C" w:rsidR="009E3323" w:rsidRPr="001B387F" w:rsidRDefault="009E3323" w:rsidP="00D8324A">
            <w:pPr>
              <w:pStyle w:val="TableBodyCopybold"/>
            </w:pPr>
            <w:r w:rsidRPr="001B387F">
              <w:t>Objective 2</w:t>
            </w:r>
          </w:p>
          <w:p w14:paraId="43CDDE8C" w14:textId="53421777" w:rsidR="009E3323" w:rsidRPr="001B387F" w:rsidRDefault="00737D3D" w:rsidP="008A13FC">
            <w:pPr>
              <w:pStyle w:val="TableBodyCopy"/>
            </w:pPr>
            <w:r w:rsidRPr="001B387F">
              <w:t>S</w:t>
            </w:r>
            <w:r w:rsidR="009E3323" w:rsidRPr="001B387F">
              <w:t>trengthen</w:t>
            </w:r>
            <w:r w:rsidRPr="001B387F">
              <w:t>ed</w:t>
            </w:r>
            <w:r w:rsidR="009E3323" w:rsidRPr="001B387F">
              <w:t xml:space="preserve"> human resources to meet socioeconomic development objectives</w:t>
            </w:r>
          </w:p>
        </w:tc>
        <w:tc>
          <w:tcPr>
            <w:tcW w:w="1339" w:type="pct"/>
            <w:shd w:val="clear" w:color="auto" w:fill="FBEED2"/>
            <w:hideMark/>
          </w:tcPr>
          <w:p w14:paraId="4BDF71EE" w14:textId="3210B959" w:rsidR="009E3323" w:rsidRPr="001B387F" w:rsidRDefault="009E3323" w:rsidP="0062159B">
            <w:pPr>
              <w:pStyle w:val="TableBodyCopy"/>
              <w:rPr>
                <w:rFonts w:ascii="Segoe UI" w:hAnsi="Segoe UI" w:cs="Segoe UI"/>
                <w:sz w:val="18"/>
                <w:szCs w:val="18"/>
                <w:lang w:eastAsia="en-AU"/>
              </w:rPr>
            </w:pPr>
            <w:r w:rsidRPr="001B387F">
              <w:rPr>
                <w:lang w:eastAsia="en-AU"/>
              </w:rPr>
              <w:t>No formal reviews planned</w:t>
            </w:r>
          </w:p>
        </w:tc>
        <w:tc>
          <w:tcPr>
            <w:tcW w:w="1339" w:type="pct"/>
            <w:shd w:val="clear" w:color="auto" w:fill="FBEED2"/>
            <w:hideMark/>
          </w:tcPr>
          <w:p w14:paraId="5622A5D4" w14:textId="6B2C48CF" w:rsidR="009E3323" w:rsidRPr="001B387F" w:rsidRDefault="0008498B" w:rsidP="0062159B">
            <w:pPr>
              <w:pStyle w:val="TableBodyCopy"/>
              <w:rPr>
                <w:rFonts w:ascii="Segoe UI" w:hAnsi="Segoe UI" w:cs="Segoe UI"/>
                <w:sz w:val="18"/>
                <w:szCs w:val="18"/>
                <w:lang w:eastAsia="en-AU"/>
              </w:rPr>
            </w:pPr>
            <w:r w:rsidRPr="001B387F">
              <w:rPr>
                <w:lang w:eastAsia="en-AU"/>
              </w:rPr>
              <w:t xml:space="preserve">Inception period for </w:t>
            </w:r>
            <w:r w:rsidR="009E3323" w:rsidRPr="001B387F">
              <w:rPr>
                <w:lang w:eastAsia="en-AU"/>
              </w:rPr>
              <w:t>Aus4Skills (Phase</w:t>
            </w:r>
            <w:r w:rsidR="00AF14A2" w:rsidRPr="001B387F">
              <w:rPr>
                <w:lang w:eastAsia="en-AU"/>
              </w:rPr>
              <w:t> </w:t>
            </w:r>
            <w:r w:rsidR="009E3323" w:rsidRPr="001B387F">
              <w:rPr>
                <w:lang w:eastAsia="en-AU"/>
              </w:rPr>
              <w:t>3)</w:t>
            </w:r>
          </w:p>
          <w:p w14:paraId="6D0ED15F" w14:textId="7BE0FEB5" w:rsidR="009E3323" w:rsidRPr="001B387F" w:rsidRDefault="006B2613" w:rsidP="0062159B">
            <w:pPr>
              <w:pStyle w:val="TableBodyCopy"/>
              <w:rPr>
                <w:rFonts w:ascii="Segoe UI" w:hAnsi="Segoe UI" w:cs="Segoe UI"/>
                <w:sz w:val="18"/>
                <w:szCs w:val="18"/>
                <w:lang w:eastAsia="en-AU"/>
              </w:rPr>
            </w:pPr>
            <w:r w:rsidRPr="001B387F">
              <w:rPr>
                <w:lang w:eastAsia="en-AU"/>
              </w:rPr>
              <w:t xml:space="preserve">Review of </w:t>
            </w:r>
            <w:r w:rsidR="009E3323" w:rsidRPr="001B387F">
              <w:rPr>
                <w:lang w:eastAsia="en-AU"/>
              </w:rPr>
              <w:t>Vietnam</w:t>
            </w:r>
            <w:r w:rsidR="00D3313C" w:rsidRPr="001B387F">
              <w:rPr>
                <w:lang w:eastAsia="en-AU"/>
              </w:rPr>
              <w:t xml:space="preserve"> </w:t>
            </w:r>
            <w:r w:rsidR="009E3323" w:rsidRPr="001B387F">
              <w:rPr>
                <w:lang w:eastAsia="en-AU"/>
              </w:rPr>
              <w:t>Australia Centre</w:t>
            </w:r>
          </w:p>
        </w:tc>
        <w:tc>
          <w:tcPr>
            <w:tcW w:w="1340" w:type="pct"/>
            <w:shd w:val="clear" w:color="auto" w:fill="FBEED2"/>
            <w:hideMark/>
          </w:tcPr>
          <w:p w14:paraId="6C8311A9" w14:textId="190C2F35" w:rsidR="009E3323" w:rsidRPr="001B387F" w:rsidRDefault="009E3323" w:rsidP="0062159B">
            <w:pPr>
              <w:pStyle w:val="TableBodyCopy"/>
              <w:rPr>
                <w:rFonts w:ascii="Segoe UI" w:hAnsi="Segoe UI" w:cs="Segoe UI"/>
                <w:sz w:val="18"/>
                <w:szCs w:val="18"/>
                <w:lang w:eastAsia="en-AU"/>
              </w:rPr>
            </w:pPr>
            <w:r w:rsidRPr="001B387F">
              <w:rPr>
                <w:lang w:eastAsia="en-AU"/>
              </w:rPr>
              <w:t>No formal reviews planned</w:t>
            </w:r>
          </w:p>
        </w:tc>
      </w:tr>
      <w:tr w:rsidR="009E3323" w:rsidRPr="001B387F" w14:paraId="4E77A051" w14:textId="77777777" w:rsidTr="00D160DB">
        <w:trPr>
          <w:trHeight w:val="1236"/>
        </w:trPr>
        <w:tc>
          <w:tcPr>
            <w:tcW w:w="982" w:type="pct"/>
            <w:shd w:val="clear" w:color="auto" w:fill="F0DBD4"/>
            <w:hideMark/>
          </w:tcPr>
          <w:p w14:paraId="4AE06178" w14:textId="7FFFDA1C" w:rsidR="009E3323" w:rsidRPr="001B387F" w:rsidRDefault="009E3323" w:rsidP="00D8324A">
            <w:pPr>
              <w:pStyle w:val="TableBodyCopybold"/>
            </w:pPr>
            <w:r w:rsidRPr="001B387F">
              <w:t>Objective 3</w:t>
            </w:r>
          </w:p>
          <w:p w14:paraId="1D0826D1" w14:textId="1BF2C31F" w:rsidR="009E3323" w:rsidRPr="001B387F" w:rsidRDefault="00737D3D" w:rsidP="008A13FC">
            <w:pPr>
              <w:pStyle w:val="TableBodyCopy"/>
            </w:pPr>
            <w:r w:rsidRPr="001B387F">
              <w:t>S</w:t>
            </w:r>
            <w:r w:rsidR="009E3323" w:rsidRPr="001B387F">
              <w:t>trengthen</w:t>
            </w:r>
            <w:r w:rsidRPr="001B387F">
              <w:t>ed</w:t>
            </w:r>
            <w:r w:rsidR="009E3323" w:rsidRPr="001B387F">
              <w:t xml:space="preserve"> climate resilience, </w:t>
            </w:r>
            <w:proofErr w:type="gramStart"/>
            <w:r w:rsidR="009E3323" w:rsidRPr="001B387F">
              <w:t>adaptation</w:t>
            </w:r>
            <w:proofErr w:type="gramEnd"/>
            <w:r w:rsidR="009E3323" w:rsidRPr="001B387F">
              <w:t xml:space="preserve"> and emissions reduction</w:t>
            </w:r>
          </w:p>
        </w:tc>
        <w:tc>
          <w:tcPr>
            <w:tcW w:w="1339" w:type="pct"/>
            <w:shd w:val="clear" w:color="auto" w:fill="F0DBD4"/>
            <w:hideMark/>
          </w:tcPr>
          <w:p w14:paraId="48E2B106" w14:textId="246F1719" w:rsidR="009E3323" w:rsidRPr="001B387F" w:rsidRDefault="009E3323" w:rsidP="0062159B">
            <w:pPr>
              <w:pStyle w:val="TableBodyCopy"/>
              <w:rPr>
                <w:lang w:eastAsia="en-AU"/>
              </w:rPr>
            </w:pPr>
            <w:r w:rsidRPr="001B387F">
              <w:rPr>
                <w:lang w:eastAsia="en-AU"/>
              </w:rPr>
              <w:t xml:space="preserve">Mid-term </w:t>
            </w:r>
            <w:r w:rsidR="002B7DBD" w:rsidRPr="001B387F">
              <w:rPr>
                <w:lang w:eastAsia="en-AU"/>
              </w:rPr>
              <w:t>r</w:t>
            </w:r>
            <w:r w:rsidRPr="001B387F">
              <w:rPr>
                <w:lang w:eastAsia="en-AU"/>
              </w:rPr>
              <w:t>eview of Australia</w:t>
            </w:r>
            <w:r w:rsidR="005D6D79" w:rsidRPr="001B387F">
              <w:rPr>
                <w:lang w:eastAsia="en-AU"/>
              </w:rPr>
              <w:t>–</w:t>
            </w:r>
            <w:r w:rsidRPr="001B387F">
              <w:rPr>
                <w:lang w:eastAsia="en-AU"/>
              </w:rPr>
              <w:t>Vietnam Energy Transition Platform</w:t>
            </w:r>
          </w:p>
          <w:p w14:paraId="5CC5DAD1" w14:textId="358EAEC9" w:rsidR="009E3323" w:rsidRPr="001B387F" w:rsidRDefault="009E3323" w:rsidP="0062159B">
            <w:pPr>
              <w:pStyle w:val="TableBodyCopy"/>
              <w:rPr>
                <w:rFonts w:ascii="Segoe UI" w:hAnsi="Segoe UI" w:cs="Segoe UI"/>
                <w:sz w:val="18"/>
                <w:szCs w:val="18"/>
                <w:lang w:eastAsia="en-AU"/>
              </w:rPr>
            </w:pPr>
            <w:r w:rsidRPr="001B387F">
              <w:rPr>
                <w:lang w:eastAsia="en-AU"/>
              </w:rPr>
              <w:t>Release of Australia in Vietnam Climate Strategy</w:t>
            </w:r>
          </w:p>
        </w:tc>
        <w:tc>
          <w:tcPr>
            <w:tcW w:w="1339" w:type="pct"/>
            <w:shd w:val="clear" w:color="auto" w:fill="F0DBD4"/>
            <w:hideMark/>
          </w:tcPr>
          <w:p w14:paraId="2D687B4A" w14:textId="2B46E116" w:rsidR="009E3323" w:rsidRPr="001B387F" w:rsidRDefault="000B0EC2" w:rsidP="0062159B">
            <w:pPr>
              <w:pStyle w:val="TableBodyCopy"/>
              <w:rPr>
                <w:rFonts w:ascii="Segoe UI" w:hAnsi="Segoe UI" w:cs="Segoe UI"/>
                <w:sz w:val="18"/>
                <w:szCs w:val="18"/>
                <w:lang w:eastAsia="en-AU"/>
              </w:rPr>
            </w:pPr>
            <w:r w:rsidRPr="001B387F">
              <w:rPr>
                <w:lang w:eastAsia="en-AU"/>
              </w:rPr>
              <w:t xml:space="preserve">Inception period for </w:t>
            </w:r>
            <w:r w:rsidR="009E3323" w:rsidRPr="001B387F">
              <w:rPr>
                <w:lang w:eastAsia="en-AU"/>
              </w:rPr>
              <w:t>Aus4Adaptation</w:t>
            </w:r>
          </w:p>
          <w:p w14:paraId="1C4E86EC" w14:textId="004EC69B" w:rsidR="009E3323" w:rsidRPr="001B387F" w:rsidRDefault="006B2613" w:rsidP="0062159B">
            <w:pPr>
              <w:pStyle w:val="TableBodyCopy"/>
              <w:rPr>
                <w:rFonts w:ascii="Segoe UI" w:hAnsi="Segoe UI" w:cs="Segoe UI"/>
                <w:sz w:val="18"/>
                <w:szCs w:val="18"/>
                <w:lang w:eastAsia="en-AU"/>
              </w:rPr>
            </w:pPr>
            <w:r w:rsidRPr="001B387F">
              <w:rPr>
                <w:lang w:eastAsia="en-AU"/>
              </w:rPr>
              <w:t xml:space="preserve">Mid-term review of </w:t>
            </w:r>
            <w:r w:rsidR="009E3323" w:rsidRPr="001B387F">
              <w:rPr>
                <w:lang w:eastAsia="en-AU"/>
              </w:rPr>
              <w:t xml:space="preserve">Transforming </w:t>
            </w:r>
            <w:r w:rsidRPr="001B387F">
              <w:rPr>
                <w:lang w:eastAsia="en-AU"/>
              </w:rPr>
              <w:t xml:space="preserve">the </w:t>
            </w:r>
            <w:r w:rsidR="009E3323" w:rsidRPr="001B387F">
              <w:rPr>
                <w:lang w:eastAsia="en-AU"/>
              </w:rPr>
              <w:t xml:space="preserve">Rice Value Chain </w:t>
            </w:r>
            <w:r w:rsidRPr="001B387F">
              <w:rPr>
                <w:lang w:eastAsia="en-AU"/>
              </w:rPr>
              <w:t>for Climate Resilient and Sustainable Development in the Mekong Delta</w:t>
            </w:r>
          </w:p>
        </w:tc>
        <w:tc>
          <w:tcPr>
            <w:tcW w:w="1340" w:type="pct"/>
            <w:shd w:val="clear" w:color="auto" w:fill="F0DBD4"/>
            <w:hideMark/>
          </w:tcPr>
          <w:p w14:paraId="0B9AD8B0" w14:textId="6925D75D" w:rsidR="009E3323" w:rsidRPr="001B387F" w:rsidRDefault="006B2613" w:rsidP="0062159B">
            <w:pPr>
              <w:pStyle w:val="TableBodyCopy"/>
              <w:rPr>
                <w:rFonts w:ascii="Segoe UI" w:hAnsi="Segoe UI" w:cs="Segoe UI"/>
                <w:sz w:val="18"/>
                <w:szCs w:val="18"/>
                <w:lang w:eastAsia="en-AU"/>
              </w:rPr>
            </w:pPr>
            <w:r w:rsidRPr="001B387F">
              <w:rPr>
                <w:lang w:eastAsia="en-AU"/>
              </w:rPr>
              <w:t xml:space="preserve">Review of </w:t>
            </w:r>
            <w:r w:rsidR="000F4965" w:rsidRPr="001B387F">
              <w:rPr>
                <w:lang w:eastAsia="en-AU"/>
              </w:rPr>
              <w:t xml:space="preserve">Australian </w:t>
            </w:r>
            <w:r w:rsidR="009E3323" w:rsidRPr="001B387F">
              <w:rPr>
                <w:lang w:eastAsia="en-AU"/>
              </w:rPr>
              <w:t xml:space="preserve">Climate Finance </w:t>
            </w:r>
            <w:r w:rsidR="000F4965" w:rsidRPr="001B387F">
              <w:rPr>
                <w:lang w:eastAsia="en-AU"/>
              </w:rPr>
              <w:t>Partnership</w:t>
            </w:r>
          </w:p>
        </w:tc>
      </w:tr>
      <w:tr w:rsidR="009E3323" w:rsidRPr="001B387F" w14:paraId="24F0C2AF" w14:textId="77777777" w:rsidTr="00D160DB">
        <w:trPr>
          <w:trHeight w:val="980"/>
        </w:trPr>
        <w:tc>
          <w:tcPr>
            <w:tcW w:w="982" w:type="pct"/>
            <w:shd w:val="clear" w:color="auto" w:fill="D9D9D9"/>
            <w:hideMark/>
          </w:tcPr>
          <w:p w14:paraId="6EBB9A94" w14:textId="7C49C247" w:rsidR="009E3323" w:rsidRPr="001B387F" w:rsidRDefault="009E3323" w:rsidP="00D8324A">
            <w:pPr>
              <w:pStyle w:val="TableBodyCopybold"/>
            </w:pPr>
            <w:r w:rsidRPr="001B387F">
              <w:t>Objective 4</w:t>
            </w:r>
          </w:p>
          <w:p w14:paraId="2E2618DA" w14:textId="614AA088" w:rsidR="009E3323" w:rsidRPr="001B387F" w:rsidRDefault="00737D3D" w:rsidP="008A13FC">
            <w:pPr>
              <w:pStyle w:val="TableBodyCopy"/>
            </w:pPr>
            <w:r w:rsidRPr="001B387F">
              <w:t>Inclusive and part</w:t>
            </w:r>
            <w:r w:rsidR="00C3599F" w:rsidRPr="001B387F">
              <w:t>icipatory</w:t>
            </w:r>
            <w:r w:rsidR="009E3323" w:rsidRPr="001B387F">
              <w:t xml:space="preserve"> social and economic development</w:t>
            </w:r>
          </w:p>
        </w:tc>
        <w:tc>
          <w:tcPr>
            <w:tcW w:w="1339" w:type="pct"/>
            <w:shd w:val="clear" w:color="auto" w:fill="D9D9D9"/>
            <w:hideMark/>
          </w:tcPr>
          <w:p w14:paraId="7D4472FA" w14:textId="60B560B7" w:rsidR="009E3323" w:rsidRPr="001B387F" w:rsidRDefault="009E3323" w:rsidP="0062159B">
            <w:pPr>
              <w:pStyle w:val="TableBodyCopy"/>
              <w:rPr>
                <w:rFonts w:ascii="Segoe UI" w:hAnsi="Segoe UI" w:cs="Segoe UI"/>
                <w:sz w:val="18"/>
                <w:szCs w:val="18"/>
                <w:lang w:eastAsia="en-AU"/>
              </w:rPr>
            </w:pPr>
            <w:r w:rsidRPr="001B387F">
              <w:rPr>
                <w:lang w:eastAsia="en-AU"/>
              </w:rPr>
              <w:t xml:space="preserve">Mid-term </w:t>
            </w:r>
            <w:r w:rsidR="000F7370" w:rsidRPr="001B387F">
              <w:rPr>
                <w:lang w:eastAsia="en-AU"/>
              </w:rPr>
              <w:t>e</w:t>
            </w:r>
            <w:r w:rsidRPr="001B387F">
              <w:rPr>
                <w:lang w:eastAsia="en-AU"/>
              </w:rPr>
              <w:t>valuation of Elimination of Violence Against Women and Children (EVAWC)</w:t>
            </w:r>
          </w:p>
        </w:tc>
        <w:tc>
          <w:tcPr>
            <w:tcW w:w="1339" w:type="pct"/>
            <w:shd w:val="clear" w:color="auto" w:fill="D9D9D9"/>
            <w:hideMark/>
          </w:tcPr>
          <w:p w14:paraId="45FBD82E" w14:textId="6A0DA1F5" w:rsidR="009E3323" w:rsidRPr="001B387F" w:rsidRDefault="00827FBC" w:rsidP="0062159B">
            <w:pPr>
              <w:pStyle w:val="TableBodyCopy"/>
              <w:rPr>
                <w:rFonts w:ascii="Segoe UI" w:hAnsi="Segoe UI" w:cs="Segoe UI"/>
                <w:sz w:val="18"/>
                <w:szCs w:val="18"/>
                <w:lang w:eastAsia="en-AU"/>
              </w:rPr>
            </w:pPr>
            <w:r w:rsidRPr="001B387F">
              <w:rPr>
                <w:lang w:eastAsia="en-AU"/>
              </w:rPr>
              <w:t xml:space="preserve">Review of </w:t>
            </w:r>
            <w:r w:rsidR="009E3323" w:rsidRPr="001B387F">
              <w:rPr>
                <w:lang w:eastAsia="en-AU"/>
              </w:rPr>
              <w:t xml:space="preserve">Gender-Responsive Equitable Agriculture and Tourism (GREAT) </w:t>
            </w:r>
            <w:r w:rsidR="00695F2D" w:rsidRPr="001B387F">
              <w:rPr>
                <w:lang w:eastAsia="en-AU"/>
              </w:rPr>
              <w:t>program</w:t>
            </w:r>
          </w:p>
        </w:tc>
        <w:tc>
          <w:tcPr>
            <w:tcW w:w="1340" w:type="pct"/>
            <w:shd w:val="clear" w:color="auto" w:fill="D9D9D9"/>
            <w:hideMark/>
          </w:tcPr>
          <w:p w14:paraId="6AC1B95B" w14:textId="098FCDAD" w:rsidR="009E3323" w:rsidRPr="001B387F" w:rsidRDefault="00827FBC" w:rsidP="0062159B">
            <w:pPr>
              <w:pStyle w:val="TableBodyCopy"/>
              <w:rPr>
                <w:rFonts w:ascii="Segoe UI" w:hAnsi="Segoe UI" w:cs="Segoe UI"/>
                <w:sz w:val="18"/>
                <w:szCs w:val="18"/>
                <w:lang w:eastAsia="en-AU"/>
              </w:rPr>
            </w:pPr>
            <w:r w:rsidRPr="001B387F">
              <w:rPr>
                <w:lang w:eastAsia="en-AU"/>
              </w:rPr>
              <w:t xml:space="preserve">Review of </w:t>
            </w:r>
            <w:r w:rsidR="009E3323" w:rsidRPr="001B387F">
              <w:rPr>
                <w:i/>
                <w:iCs/>
                <w:lang w:eastAsia="en-AU"/>
              </w:rPr>
              <w:t>Australia in Vietnam Equality Strategy</w:t>
            </w:r>
            <w:r w:rsidR="00FD55E5" w:rsidRPr="001B387F">
              <w:rPr>
                <w:i/>
                <w:iCs/>
                <w:lang w:eastAsia="en-AU"/>
              </w:rPr>
              <w:t> 2022–2027</w:t>
            </w:r>
          </w:p>
        </w:tc>
      </w:tr>
      <w:tr w:rsidR="009E3323" w:rsidRPr="001B387F" w14:paraId="46C63A08" w14:textId="77777777" w:rsidTr="00D160DB">
        <w:trPr>
          <w:trHeight w:val="1767"/>
        </w:trPr>
        <w:tc>
          <w:tcPr>
            <w:tcW w:w="982" w:type="pct"/>
            <w:shd w:val="clear" w:color="auto" w:fill="D2DEE7"/>
            <w:hideMark/>
          </w:tcPr>
          <w:p w14:paraId="405DAFF8" w14:textId="6CD21E44" w:rsidR="009E3323" w:rsidRPr="001B387F" w:rsidRDefault="009E3323" w:rsidP="00D8324A">
            <w:pPr>
              <w:pStyle w:val="TableBodyCopybold"/>
            </w:pPr>
            <w:r w:rsidRPr="001B387F">
              <w:t>Cross-program</w:t>
            </w:r>
          </w:p>
        </w:tc>
        <w:tc>
          <w:tcPr>
            <w:tcW w:w="1339" w:type="pct"/>
            <w:shd w:val="clear" w:color="auto" w:fill="D2DEE7"/>
            <w:hideMark/>
          </w:tcPr>
          <w:p w14:paraId="65349283" w14:textId="491FAFF4" w:rsidR="009E3323" w:rsidRPr="001B387F" w:rsidRDefault="002C57BC" w:rsidP="0062159B">
            <w:pPr>
              <w:pStyle w:val="TableBodyCopy"/>
              <w:rPr>
                <w:rFonts w:ascii="Segoe UI" w:hAnsi="Segoe UI" w:cs="Segoe UI"/>
                <w:sz w:val="18"/>
                <w:szCs w:val="18"/>
                <w:lang w:eastAsia="en-AU"/>
              </w:rPr>
            </w:pPr>
            <w:r>
              <w:rPr>
                <w:lang w:eastAsia="en-AU"/>
              </w:rPr>
              <w:t>DPP</w:t>
            </w:r>
            <w:r w:rsidR="009E3323" w:rsidRPr="001B387F">
              <w:rPr>
                <w:lang w:eastAsia="en-AU"/>
              </w:rPr>
              <w:t xml:space="preserve"> </w:t>
            </w:r>
            <w:r w:rsidR="002B7DBD" w:rsidRPr="001B387F">
              <w:rPr>
                <w:lang w:eastAsia="en-AU"/>
              </w:rPr>
              <w:t>d</w:t>
            </w:r>
            <w:r w:rsidR="009E3323" w:rsidRPr="001B387F">
              <w:rPr>
                <w:lang w:eastAsia="en-AU"/>
              </w:rPr>
              <w:t>ialogue</w:t>
            </w:r>
          </w:p>
          <w:p w14:paraId="2CE58821" w14:textId="5162E6D0" w:rsidR="009E3323" w:rsidRPr="001B387F" w:rsidRDefault="009E3323" w:rsidP="0062159B">
            <w:pPr>
              <w:pStyle w:val="TableBodyCopy"/>
              <w:rPr>
                <w:rFonts w:ascii="Segoe UI" w:hAnsi="Segoe UI" w:cs="Segoe UI"/>
                <w:sz w:val="18"/>
                <w:szCs w:val="18"/>
                <w:lang w:eastAsia="en-AU"/>
              </w:rPr>
            </w:pPr>
            <w:r w:rsidRPr="001B387F">
              <w:rPr>
                <w:lang w:eastAsia="en-AU"/>
              </w:rPr>
              <w:t xml:space="preserve">Localisation </w:t>
            </w:r>
            <w:r w:rsidR="000F7370" w:rsidRPr="001B387F">
              <w:rPr>
                <w:lang w:eastAsia="en-AU"/>
              </w:rPr>
              <w:t>r</w:t>
            </w:r>
            <w:r w:rsidRPr="001B387F">
              <w:rPr>
                <w:lang w:eastAsia="en-AU"/>
              </w:rPr>
              <w:t>eview</w:t>
            </w:r>
          </w:p>
        </w:tc>
        <w:tc>
          <w:tcPr>
            <w:tcW w:w="1339" w:type="pct"/>
            <w:shd w:val="clear" w:color="auto" w:fill="D2DEE7"/>
            <w:hideMark/>
          </w:tcPr>
          <w:p w14:paraId="7CA419F9" w14:textId="08637B8D" w:rsidR="009E3323" w:rsidRPr="001B387F" w:rsidRDefault="009E3323" w:rsidP="0062159B">
            <w:pPr>
              <w:pStyle w:val="TableBodyCopy"/>
              <w:rPr>
                <w:rFonts w:ascii="Segoe UI" w:hAnsi="Segoe UI" w:cs="Segoe UI"/>
                <w:sz w:val="18"/>
                <w:szCs w:val="18"/>
                <w:lang w:eastAsia="en-AU"/>
              </w:rPr>
            </w:pPr>
            <w:r w:rsidRPr="001B387F">
              <w:rPr>
                <w:lang w:eastAsia="en-AU"/>
              </w:rPr>
              <w:t xml:space="preserve">DPP </w:t>
            </w:r>
            <w:r w:rsidR="002B7DBD" w:rsidRPr="001B387F">
              <w:rPr>
                <w:lang w:eastAsia="en-AU"/>
              </w:rPr>
              <w:t>d</w:t>
            </w:r>
            <w:r w:rsidRPr="001B387F">
              <w:rPr>
                <w:lang w:eastAsia="en-AU"/>
              </w:rPr>
              <w:t>ialogue</w:t>
            </w:r>
          </w:p>
          <w:p w14:paraId="1F4C0E20" w14:textId="1CC649F6" w:rsidR="009E3323" w:rsidRPr="001B387F" w:rsidRDefault="009E3323" w:rsidP="0062159B">
            <w:pPr>
              <w:pStyle w:val="TableBodyCopy"/>
              <w:rPr>
                <w:rFonts w:ascii="Segoe UI" w:hAnsi="Segoe UI" w:cs="Segoe UI"/>
                <w:sz w:val="18"/>
                <w:szCs w:val="18"/>
                <w:lang w:eastAsia="en-AU"/>
              </w:rPr>
            </w:pPr>
            <w:r w:rsidRPr="001B387F">
              <w:rPr>
                <w:lang w:eastAsia="en-AU"/>
              </w:rPr>
              <w:t xml:space="preserve">Annual </w:t>
            </w:r>
            <w:r w:rsidR="002B7DBD" w:rsidRPr="001B387F">
              <w:rPr>
                <w:lang w:eastAsia="en-AU"/>
              </w:rPr>
              <w:t>p</w:t>
            </w:r>
            <w:r w:rsidRPr="001B387F">
              <w:rPr>
                <w:lang w:eastAsia="en-AU"/>
              </w:rPr>
              <w:t xml:space="preserve">erformance </w:t>
            </w:r>
            <w:r w:rsidR="002B7DBD" w:rsidRPr="001B387F">
              <w:rPr>
                <w:lang w:eastAsia="en-AU"/>
              </w:rPr>
              <w:t>r</w:t>
            </w:r>
            <w:r w:rsidRPr="001B387F">
              <w:rPr>
                <w:lang w:eastAsia="en-AU"/>
              </w:rPr>
              <w:t>eport</w:t>
            </w:r>
          </w:p>
        </w:tc>
        <w:tc>
          <w:tcPr>
            <w:tcW w:w="1340" w:type="pct"/>
            <w:shd w:val="clear" w:color="auto" w:fill="D2DEE7"/>
            <w:hideMark/>
          </w:tcPr>
          <w:p w14:paraId="43C6A8A8" w14:textId="4E80FED5" w:rsidR="009E3323" w:rsidRPr="001B387F" w:rsidRDefault="009E3323" w:rsidP="0062159B">
            <w:pPr>
              <w:pStyle w:val="TableBodyCopy"/>
              <w:rPr>
                <w:rFonts w:ascii="Segoe UI" w:hAnsi="Segoe UI" w:cs="Segoe UI"/>
                <w:sz w:val="18"/>
                <w:szCs w:val="18"/>
                <w:lang w:eastAsia="en-AU"/>
              </w:rPr>
            </w:pPr>
            <w:r w:rsidRPr="001B387F">
              <w:rPr>
                <w:lang w:eastAsia="en-AU"/>
              </w:rPr>
              <w:t xml:space="preserve">DPP </w:t>
            </w:r>
            <w:r w:rsidR="002B7DBD" w:rsidRPr="001B387F">
              <w:rPr>
                <w:lang w:eastAsia="en-AU"/>
              </w:rPr>
              <w:t>d</w:t>
            </w:r>
            <w:r w:rsidRPr="001B387F">
              <w:rPr>
                <w:lang w:eastAsia="en-AU"/>
              </w:rPr>
              <w:t>ialogue</w:t>
            </w:r>
          </w:p>
          <w:p w14:paraId="3741165D" w14:textId="6BEDB878" w:rsidR="009E3323" w:rsidRPr="001B387F" w:rsidRDefault="009E3323" w:rsidP="0062159B">
            <w:pPr>
              <w:pStyle w:val="TableBodyCopy"/>
              <w:rPr>
                <w:rFonts w:ascii="Segoe UI" w:hAnsi="Segoe UI" w:cs="Segoe UI"/>
                <w:sz w:val="18"/>
                <w:szCs w:val="18"/>
                <w:lang w:eastAsia="en-AU"/>
              </w:rPr>
            </w:pPr>
            <w:r w:rsidRPr="001B387F">
              <w:rPr>
                <w:lang w:eastAsia="en-AU"/>
              </w:rPr>
              <w:t xml:space="preserve">Annual </w:t>
            </w:r>
            <w:r w:rsidR="002B7DBD" w:rsidRPr="001B387F">
              <w:rPr>
                <w:lang w:eastAsia="en-AU"/>
              </w:rPr>
              <w:t>p</w:t>
            </w:r>
            <w:r w:rsidRPr="001B387F">
              <w:rPr>
                <w:lang w:eastAsia="en-AU"/>
              </w:rPr>
              <w:t xml:space="preserve">erformance </w:t>
            </w:r>
            <w:r w:rsidR="002B7DBD" w:rsidRPr="001B387F">
              <w:rPr>
                <w:lang w:eastAsia="en-AU"/>
              </w:rPr>
              <w:t>r</w:t>
            </w:r>
            <w:r w:rsidRPr="001B387F">
              <w:rPr>
                <w:lang w:eastAsia="en-AU"/>
              </w:rPr>
              <w:t>eport</w:t>
            </w:r>
          </w:p>
          <w:p w14:paraId="5703C5C0" w14:textId="5C5CFC71" w:rsidR="002E7D69" w:rsidRPr="001B387F" w:rsidRDefault="009E3323" w:rsidP="002E7D69">
            <w:pPr>
              <w:pStyle w:val="TableBodyCopy"/>
            </w:pPr>
            <w:r w:rsidRPr="001B387F">
              <w:rPr>
                <w:lang w:eastAsia="en-AU"/>
              </w:rPr>
              <w:t>Review of regional and bilateral program integration</w:t>
            </w:r>
          </w:p>
        </w:tc>
      </w:tr>
    </w:tbl>
    <w:p w14:paraId="2D1633D6" w14:textId="3796937D" w:rsidR="009E3323" w:rsidRPr="001B387F" w:rsidRDefault="009E3323">
      <w:pPr>
        <w:spacing w:after="0" w:line="240" w:lineRule="auto"/>
        <w:rPr>
          <w:rFonts w:cs="Calibri Light"/>
          <w:color w:val="313E48"/>
          <w:szCs w:val="21"/>
          <w:lang w:eastAsia="en-AU"/>
        </w:rPr>
        <w:sectPr w:rsidR="009E3323" w:rsidRPr="001B387F" w:rsidSect="00017274">
          <w:headerReference w:type="default" r:id="rId12"/>
          <w:footerReference w:type="default" r:id="rId13"/>
          <w:headerReference w:type="first" r:id="rId14"/>
          <w:endnotePr>
            <w:numFmt w:val="decimal"/>
          </w:endnotePr>
          <w:pgSz w:w="11906" w:h="16838" w:code="9"/>
          <w:pgMar w:top="1418" w:right="851" w:bottom="1276" w:left="851" w:header="340" w:footer="414" w:gutter="0"/>
          <w:pgNumType w:start="0"/>
          <w:cols w:space="708"/>
          <w:noEndnote/>
          <w:titlePg/>
          <w:docGrid w:linePitch="360"/>
        </w:sectPr>
      </w:pPr>
    </w:p>
    <w:p w14:paraId="7C46D351" w14:textId="77777777" w:rsidR="009E3323" w:rsidRPr="001B387F" w:rsidRDefault="009E3323" w:rsidP="003E35DD">
      <w:pPr>
        <w:pStyle w:val="H3-Heading3"/>
        <w:rPr>
          <w:rFonts w:eastAsia="Yu Gothic Light"/>
        </w:rPr>
      </w:pPr>
      <w:r w:rsidRPr="001B387F">
        <w:rPr>
          <w:rFonts w:eastAsia="Yu Gothic Light"/>
        </w:rPr>
        <w:lastRenderedPageBreak/>
        <w:t>Performance and results</w:t>
      </w:r>
    </w:p>
    <w:p w14:paraId="50BFE130" w14:textId="7A002DA3" w:rsidR="00B86E5A" w:rsidRPr="001B387F" w:rsidRDefault="00D06DD5" w:rsidP="00FC489F">
      <w:pPr>
        <w:rPr>
          <w:b/>
          <w:bCs/>
          <w:iCs/>
        </w:rPr>
      </w:pPr>
      <w:r w:rsidRPr="001B387F">
        <w:t>The Performance Assessment Framework (PAF) at Table</w:t>
      </w:r>
      <w:r w:rsidR="00A60ACF" w:rsidRPr="001B387F">
        <w:t> </w:t>
      </w:r>
      <w:r w:rsidRPr="001B387F">
        <w:t xml:space="preserve">3 provides a selection of indicators and expected results for the first </w:t>
      </w:r>
      <w:r w:rsidR="00ED22BB" w:rsidRPr="001B387F">
        <w:rPr>
          <w:iCs/>
        </w:rPr>
        <w:t xml:space="preserve">three </w:t>
      </w:r>
      <w:r w:rsidRPr="001B387F">
        <w:t>years of the DPP. The PAF will be updated periodically including as the current design and approval processes for key bilateral investments Aus4Growth, Aus4Skills and Aus4Adaptation are completed</w:t>
      </w:r>
      <w:r w:rsidR="0028472B" w:rsidRPr="001B387F">
        <w:t xml:space="preserve">; and at the mid-cycle review point, </w:t>
      </w:r>
      <w:r w:rsidRPr="001B387F">
        <w:t>at which time indicators and results for the second half of the DPP will be identified.</w:t>
      </w:r>
    </w:p>
    <w:p w14:paraId="5967D898" w14:textId="3A7C61C7" w:rsidR="009E3323" w:rsidRPr="001B387F" w:rsidRDefault="009E3323" w:rsidP="006763CB">
      <w:pPr>
        <w:pStyle w:val="Tabletitle"/>
        <w:rPr>
          <w:rFonts w:eastAsia="Calibri"/>
        </w:rPr>
      </w:pPr>
      <w:r w:rsidRPr="001B387F">
        <w:rPr>
          <w:rFonts w:eastAsia="Calibri"/>
        </w:rPr>
        <w:t>Table 3: Performance Assessment Framework</w:t>
      </w:r>
    </w:p>
    <w:p w14:paraId="7FED3347" w14:textId="73E3B70E" w:rsidR="009E3323" w:rsidRPr="001B387F" w:rsidRDefault="009E3323" w:rsidP="00707E6A">
      <w:pPr>
        <w:pStyle w:val="PAFobjectivehead"/>
      </w:pPr>
      <w:r w:rsidRPr="001B387F">
        <w:t xml:space="preserve">Objective 1: </w:t>
      </w:r>
      <w:r w:rsidR="00C3599F" w:rsidRPr="001B387F">
        <w:t>A</w:t>
      </w:r>
      <w:r w:rsidRPr="001B387F">
        <w:t xml:space="preserve">n inclusive, resilient, </w:t>
      </w:r>
      <w:proofErr w:type="gramStart"/>
      <w:r w:rsidRPr="001B387F">
        <w:t>sustainable</w:t>
      </w:r>
      <w:proofErr w:type="gramEnd"/>
      <w:r w:rsidRPr="001B387F">
        <w:t xml:space="preserve"> and prosperous economy</w:t>
      </w:r>
    </w:p>
    <w:tbl>
      <w:tblPr>
        <w:tblStyle w:val="DFATPaddock"/>
        <w:tblW w:w="15021" w:type="dxa"/>
        <w:tblLayout w:type="fixed"/>
        <w:tblLook w:val="04A0" w:firstRow="1" w:lastRow="0" w:firstColumn="1" w:lastColumn="0" w:noHBand="0" w:noVBand="1"/>
        <w:tblCaption w:val="Performance Assessment Framework for Objective 1"/>
        <w:tblDescription w:val="Expected results for Objective 1 for the first three years of the DPP and against the Sustainable Development Goals"/>
      </w:tblPr>
      <w:tblGrid>
        <w:gridCol w:w="2503"/>
        <w:gridCol w:w="2504"/>
        <w:gridCol w:w="2503"/>
        <w:gridCol w:w="2504"/>
        <w:gridCol w:w="2503"/>
        <w:gridCol w:w="2504"/>
      </w:tblGrid>
      <w:tr w:rsidR="009E3323" w:rsidRPr="001B387F" w14:paraId="7F53B19C" w14:textId="77777777" w:rsidTr="00091CB4">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49D538DB" w14:textId="77777777" w:rsidR="009E3323" w:rsidRPr="001B387F" w:rsidRDefault="009E3323" w:rsidP="00B32130">
            <w:pPr>
              <w:pStyle w:val="TableHeading"/>
            </w:pPr>
            <w:r w:rsidRPr="001B387F">
              <w:t>Outcome</w:t>
            </w:r>
          </w:p>
        </w:tc>
        <w:tc>
          <w:tcPr>
            <w:tcW w:w="2504" w:type="dxa"/>
            <w:shd w:val="clear" w:color="auto" w:fill="3A586E"/>
          </w:tcPr>
          <w:p w14:paraId="13F31263" w14:textId="77777777" w:rsidR="009E3323" w:rsidRPr="001B387F" w:rsidRDefault="009E3323" w:rsidP="00B32130">
            <w:pPr>
              <w:pStyle w:val="TableHeading"/>
            </w:pPr>
            <w:r w:rsidRPr="001B387F">
              <w:t>Indicator</w:t>
            </w:r>
          </w:p>
        </w:tc>
        <w:tc>
          <w:tcPr>
            <w:tcW w:w="2503" w:type="dxa"/>
            <w:shd w:val="clear" w:color="auto" w:fill="3A586E"/>
            <w:hideMark/>
          </w:tcPr>
          <w:p w14:paraId="6F1517DC" w14:textId="01F28335" w:rsidR="009E3323" w:rsidRPr="001B387F" w:rsidRDefault="009E3323" w:rsidP="00B32130">
            <w:pPr>
              <w:pStyle w:val="TableHeading"/>
            </w:pPr>
            <w:r w:rsidRPr="001B387F">
              <w:t>Expected results</w:t>
            </w:r>
            <w:r w:rsidRPr="001B387F">
              <w:br/>
              <w:t>2024–25</w:t>
            </w:r>
          </w:p>
        </w:tc>
        <w:tc>
          <w:tcPr>
            <w:tcW w:w="2504" w:type="dxa"/>
            <w:shd w:val="clear" w:color="auto" w:fill="3A586E"/>
            <w:hideMark/>
          </w:tcPr>
          <w:p w14:paraId="17414018" w14:textId="2153AD42" w:rsidR="009E3323" w:rsidRPr="001B387F" w:rsidRDefault="009E3323" w:rsidP="00B32130">
            <w:pPr>
              <w:pStyle w:val="TableHeading"/>
            </w:pPr>
            <w:r w:rsidRPr="001B387F">
              <w:t>Expected results</w:t>
            </w:r>
            <w:r w:rsidRPr="001B387F">
              <w:br/>
              <w:t>2025–26</w:t>
            </w:r>
          </w:p>
        </w:tc>
        <w:tc>
          <w:tcPr>
            <w:tcW w:w="2503" w:type="dxa"/>
            <w:shd w:val="clear" w:color="auto" w:fill="3A586E"/>
            <w:hideMark/>
          </w:tcPr>
          <w:p w14:paraId="3D44A539" w14:textId="1A536293" w:rsidR="009E3323" w:rsidRPr="001B387F" w:rsidRDefault="009E3323" w:rsidP="00B32130">
            <w:pPr>
              <w:pStyle w:val="TableHeading"/>
            </w:pPr>
            <w:r w:rsidRPr="001B387F">
              <w:t>Expected results</w:t>
            </w:r>
            <w:r w:rsidRPr="001B387F">
              <w:br/>
              <w:t>2026–27</w:t>
            </w:r>
          </w:p>
        </w:tc>
        <w:tc>
          <w:tcPr>
            <w:tcW w:w="2504" w:type="dxa"/>
            <w:shd w:val="clear" w:color="auto" w:fill="3A586E"/>
            <w:hideMark/>
          </w:tcPr>
          <w:p w14:paraId="0D8340A5" w14:textId="77777777" w:rsidR="009E3323" w:rsidRPr="001B387F" w:rsidRDefault="009E3323" w:rsidP="00B32130">
            <w:pPr>
              <w:pStyle w:val="TableHeading"/>
            </w:pPr>
            <w:r w:rsidRPr="001B387F">
              <w:t>Sustainable Development Goals (SDGs)</w:t>
            </w:r>
          </w:p>
        </w:tc>
      </w:tr>
      <w:tr w:rsidR="009E3323" w:rsidRPr="001B387F" w14:paraId="010C0534" w14:textId="77777777" w:rsidTr="00091CB4">
        <w:trPr>
          <w:cantSplit/>
          <w:trHeight w:val="561"/>
        </w:trPr>
        <w:tc>
          <w:tcPr>
            <w:tcW w:w="2503" w:type="dxa"/>
            <w:shd w:val="clear" w:color="auto" w:fill="D6E8D2"/>
          </w:tcPr>
          <w:p w14:paraId="48D1AC4D" w14:textId="77777777" w:rsidR="009E3323" w:rsidRPr="001B387F" w:rsidRDefault="009E3323" w:rsidP="003B4EBC">
            <w:pPr>
              <w:pStyle w:val="TableBodyCopybold"/>
            </w:pPr>
            <w:r w:rsidRPr="001B387F">
              <w:t>Outcome 1.1</w:t>
            </w:r>
          </w:p>
          <w:p w14:paraId="2ECBDEEA" w14:textId="4FA04A1E" w:rsidR="009E3323" w:rsidRPr="001B387F" w:rsidRDefault="009E3323" w:rsidP="003B4EBC">
            <w:pPr>
              <w:pStyle w:val="TableBodyCopy"/>
            </w:pPr>
            <w:r w:rsidRPr="001B387F">
              <w:t>Enhance</w:t>
            </w:r>
            <w:r w:rsidR="00A06225" w:rsidRPr="001B387F">
              <w:t>d</w:t>
            </w:r>
            <w:r w:rsidRPr="001B387F">
              <w:t xml:space="preserve"> private sector development, </w:t>
            </w:r>
            <w:proofErr w:type="gramStart"/>
            <w:r w:rsidRPr="001B387F">
              <w:t>productivity</w:t>
            </w:r>
            <w:proofErr w:type="gramEnd"/>
            <w:r w:rsidRPr="001B387F">
              <w:t xml:space="preserve"> and competitiveness</w:t>
            </w:r>
          </w:p>
        </w:tc>
        <w:tc>
          <w:tcPr>
            <w:tcW w:w="2504" w:type="dxa"/>
            <w:shd w:val="clear" w:color="auto" w:fill="D6E8D2"/>
            <w:hideMark/>
          </w:tcPr>
          <w:p w14:paraId="7906E07F" w14:textId="53482DC7" w:rsidR="009E3323" w:rsidRPr="001B387F" w:rsidRDefault="009E3323" w:rsidP="00736485">
            <w:pPr>
              <w:pStyle w:val="TableBodyCopy"/>
            </w:pPr>
            <w:r w:rsidRPr="001B387F">
              <w:t>1.1.1 Policy and technical advice on economic reform and management (Tier</w:t>
            </w:r>
            <w:r w:rsidR="007C3BBD" w:rsidRPr="001B387F">
              <w:t> </w:t>
            </w:r>
            <w:r w:rsidRPr="001B387F">
              <w:t>2)</w:t>
            </w:r>
          </w:p>
        </w:tc>
        <w:tc>
          <w:tcPr>
            <w:tcW w:w="2503" w:type="dxa"/>
            <w:shd w:val="clear" w:color="auto" w:fill="D6E8D2"/>
            <w:hideMark/>
          </w:tcPr>
          <w:p w14:paraId="17DF583B" w14:textId="2E1FD2A6" w:rsidR="009E3323" w:rsidRPr="001B387F" w:rsidRDefault="009E3323" w:rsidP="00736485">
            <w:pPr>
              <w:pStyle w:val="TableBodyCopy"/>
            </w:pPr>
            <w:r w:rsidRPr="001B387F">
              <w:t>6</w:t>
            </w:r>
            <w:r w:rsidR="004053E4" w:rsidRPr="001B387F">
              <w:t> </w:t>
            </w:r>
            <w:r w:rsidRPr="001B387F">
              <w:t xml:space="preserve">policies and regulations relating to corporate income tax, green public procurement, green </w:t>
            </w:r>
            <w:proofErr w:type="gramStart"/>
            <w:r w:rsidRPr="001B387F">
              <w:t>building</w:t>
            </w:r>
            <w:proofErr w:type="gramEnd"/>
            <w:r w:rsidRPr="001B387F">
              <w:t xml:space="preserve"> and plastic recycling are developed</w:t>
            </w:r>
            <w:r w:rsidR="00734664" w:rsidRPr="001B387F">
              <w:t xml:space="preserve"> or </w:t>
            </w:r>
            <w:r w:rsidRPr="001B387F">
              <w:t>improved (W</w:t>
            </w:r>
            <w:r w:rsidR="00A06225" w:rsidRPr="001B387F">
              <w:t xml:space="preserve">orld </w:t>
            </w:r>
            <w:r w:rsidRPr="001B387F">
              <w:t>B</w:t>
            </w:r>
            <w:r w:rsidR="00A06225" w:rsidRPr="001B387F">
              <w:t>ank</w:t>
            </w:r>
            <w:r w:rsidRPr="001B387F">
              <w:t xml:space="preserve"> and </w:t>
            </w:r>
            <w:r w:rsidR="00065375" w:rsidRPr="001B387F">
              <w:t>International Finance Corporation (</w:t>
            </w:r>
            <w:r w:rsidRPr="001B387F">
              <w:t>IFC</w:t>
            </w:r>
            <w:r w:rsidR="00065375" w:rsidRPr="001B387F">
              <w:t>)</w:t>
            </w:r>
            <w:r w:rsidRPr="001B387F">
              <w:t xml:space="preserve"> partnerships)</w:t>
            </w:r>
          </w:p>
          <w:p w14:paraId="730BC5B0" w14:textId="1FCA7010" w:rsidR="009E3323" w:rsidRPr="001B387F" w:rsidRDefault="009E3323" w:rsidP="00736485">
            <w:pPr>
              <w:pStyle w:val="TableBodyCopy"/>
            </w:pPr>
            <w:r w:rsidRPr="001B387F">
              <w:t>Evidence of inputs to policy development and revision</w:t>
            </w:r>
          </w:p>
        </w:tc>
        <w:tc>
          <w:tcPr>
            <w:tcW w:w="2504" w:type="dxa"/>
            <w:shd w:val="clear" w:color="auto" w:fill="D6E8D2"/>
            <w:hideMark/>
          </w:tcPr>
          <w:p w14:paraId="25ABE1DB" w14:textId="719A3171" w:rsidR="009E3323" w:rsidRPr="001B387F" w:rsidRDefault="009E3323" w:rsidP="00736485">
            <w:pPr>
              <w:pStyle w:val="TableBodyCopy"/>
            </w:pPr>
            <w:r w:rsidRPr="001B387F">
              <w:t>Policies and regulations are developed</w:t>
            </w:r>
            <w:r w:rsidR="00734664" w:rsidRPr="001B387F">
              <w:t xml:space="preserve"> or </w:t>
            </w:r>
            <w:r w:rsidRPr="001B387F">
              <w:t>improved (W</w:t>
            </w:r>
            <w:r w:rsidR="00A06225" w:rsidRPr="001B387F">
              <w:t xml:space="preserve">orld </w:t>
            </w:r>
            <w:r w:rsidRPr="001B387F">
              <w:t>B</w:t>
            </w:r>
            <w:r w:rsidR="00A06225" w:rsidRPr="001B387F">
              <w:t>ank</w:t>
            </w:r>
            <w:r w:rsidRPr="001B387F">
              <w:t xml:space="preserve"> and IFC partnerships)</w:t>
            </w:r>
          </w:p>
          <w:p w14:paraId="189EF451" w14:textId="4367B642" w:rsidR="009E3323" w:rsidRPr="001B387F" w:rsidRDefault="009E3323" w:rsidP="00736485">
            <w:pPr>
              <w:pStyle w:val="TableBodyCopy"/>
            </w:pPr>
            <w:r w:rsidRPr="001B387F">
              <w:t xml:space="preserve">Evidence, research, </w:t>
            </w:r>
            <w:proofErr w:type="gramStart"/>
            <w:r w:rsidRPr="001B387F">
              <w:t>analysis</w:t>
            </w:r>
            <w:proofErr w:type="gramEnd"/>
            <w:r w:rsidRPr="001B387F">
              <w:t xml:space="preserve"> and recommendations for inclusive and sustainable economic reforms</w:t>
            </w:r>
          </w:p>
        </w:tc>
        <w:tc>
          <w:tcPr>
            <w:tcW w:w="2503" w:type="dxa"/>
            <w:shd w:val="clear" w:color="auto" w:fill="D6E8D2"/>
            <w:hideMark/>
          </w:tcPr>
          <w:p w14:paraId="250F91D5" w14:textId="1BC42187" w:rsidR="009E3323" w:rsidRPr="001B387F" w:rsidRDefault="009E3323" w:rsidP="00736485">
            <w:pPr>
              <w:pStyle w:val="TableBodyCopy"/>
            </w:pPr>
            <w:r w:rsidRPr="001B387F">
              <w:t>Policies and regulations are developed</w:t>
            </w:r>
            <w:r w:rsidR="00734664" w:rsidRPr="001B387F">
              <w:t xml:space="preserve"> or </w:t>
            </w:r>
            <w:r w:rsidRPr="001B387F">
              <w:t>improved (W</w:t>
            </w:r>
            <w:r w:rsidR="00A06225" w:rsidRPr="001B387F">
              <w:t xml:space="preserve">orld </w:t>
            </w:r>
            <w:r w:rsidRPr="001B387F">
              <w:t>B</w:t>
            </w:r>
            <w:r w:rsidR="00A06225" w:rsidRPr="001B387F">
              <w:t>ank</w:t>
            </w:r>
            <w:r w:rsidRPr="001B387F">
              <w:t xml:space="preserve"> and IFC partnerships)</w:t>
            </w:r>
          </w:p>
          <w:p w14:paraId="615A5A04" w14:textId="4E470AB0" w:rsidR="009E3323" w:rsidRPr="001B387F" w:rsidRDefault="009E3323" w:rsidP="00736485">
            <w:pPr>
              <w:pStyle w:val="TableBodyCopy"/>
            </w:pPr>
            <w:r w:rsidRPr="001B387F">
              <w:t xml:space="preserve">Identification of laws, policies and guidelines to be reformed for inclusive and sustainable economic </w:t>
            </w:r>
            <w:proofErr w:type="gramStart"/>
            <w:r w:rsidRPr="001B387F">
              <w:t>growth</w:t>
            </w:r>
            <w:proofErr w:type="gramEnd"/>
          </w:p>
          <w:p w14:paraId="623C29C9" w14:textId="2B0BBBD1" w:rsidR="009E3323" w:rsidRPr="001B387F" w:rsidRDefault="009E3323" w:rsidP="00736485">
            <w:pPr>
              <w:pStyle w:val="TableBodyCopy"/>
            </w:pPr>
            <w:r w:rsidRPr="001B387F">
              <w:t>Analysis and socioeconomic impact assessments to improve government planning</w:t>
            </w:r>
          </w:p>
        </w:tc>
        <w:tc>
          <w:tcPr>
            <w:tcW w:w="2504" w:type="dxa"/>
            <w:shd w:val="clear" w:color="auto" w:fill="D6E8D2"/>
          </w:tcPr>
          <w:p w14:paraId="1C3EF131" w14:textId="7C31118C" w:rsidR="00F34A8D" w:rsidRPr="001B387F" w:rsidRDefault="00F34A8D" w:rsidP="00736485">
            <w:pPr>
              <w:pStyle w:val="TableBodyCopy"/>
            </w:pPr>
            <w:r w:rsidRPr="001B387F">
              <w:t>SDG</w:t>
            </w:r>
            <w:r w:rsidR="009E3323" w:rsidRPr="001B387F">
              <w:t>2</w:t>
            </w:r>
            <w:r w:rsidR="005B2E12" w:rsidRPr="001B387F">
              <w:t>: Zero hunger</w:t>
            </w:r>
          </w:p>
          <w:p w14:paraId="4DBFF7E0" w14:textId="017B12C9" w:rsidR="00F34A8D" w:rsidRPr="001B387F" w:rsidRDefault="00F34A8D" w:rsidP="00736485">
            <w:pPr>
              <w:pStyle w:val="TableBodyCopy"/>
            </w:pPr>
            <w:r w:rsidRPr="001B387F">
              <w:t>SDG</w:t>
            </w:r>
            <w:r w:rsidR="009E3323" w:rsidRPr="001B387F">
              <w:t>3</w:t>
            </w:r>
            <w:r w:rsidR="005B2E12" w:rsidRPr="001B387F">
              <w:t>: Good health and wellbeing</w:t>
            </w:r>
          </w:p>
          <w:p w14:paraId="66F17955" w14:textId="698C6449" w:rsidR="00F34A8D" w:rsidRPr="001B387F" w:rsidRDefault="00F34A8D" w:rsidP="00736485">
            <w:pPr>
              <w:pStyle w:val="TableBodyCopy"/>
            </w:pPr>
            <w:r w:rsidRPr="001B387F">
              <w:t>SDG</w:t>
            </w:r>
            <w:r w:rsidR="009E3323" w:rsidRPr="001B387F">
              <w:t>5</w:t>
            </w:r>
            <w:r w:rsidR="005B2E12" w:rsidRPr="001B387F">
              <w:t>: Gender equality</w:t>
            </w:r>
          </w:p>
          <w:p w14:paraId="500BB3FA" w14:textId="49F0385C" w:rsidR="00F34A8D" w:rsidRPr="001B387F" w:rsidRDefault="00F34A8D" w:rsidP="00736485">
            <w:pPr>
              <w:pStyle w:val="TableBodyCopy"/>
            </w:pPr>
            <w:r w:rsidRPr="001B387F">
              <w:t>SDG</w:t>
            </w:r>
            <w:r w:rsidR="009E3323" w:rsidRPr="001B387F">
              <w:t>8</w:t>
            </w:r>
            <w:r w:rsidR="005B2E12" w:rsidRPr="001B387F">
              <w:t>: Decent work and economic growth</w:t>
            </w:r>
          </w:p>
          <w:p w14:paraId="391BF829" w14:textId="0948CD65" w:rsidR="009E3323" w:rsidRPr="001B387F" w:rsidRDefault="00F34A8D" w:rsidP="00736485">
            <w:pPr>
              <w:pStyle w:val="TableBodyCopy"/>
            </w:pPr>
            <w:r w:rsidRPr="001B387F">
              <w:t>SDG</w:t>
            </w:r>
            <w:r w:rsidR="009E3323" w:rsidRPr="001B387F">
              <w:t>9</w:t>
            </w:r>
            <w:r w:rsidR="005B2E12" w:rsidRPr="001B387F">
              <w:t xml:space="preserve">: Industry, </w:t>
            </w:r>
            <w:proofErr w:type="gramStart"/>
            <w:r w:rsidR="005B2E12" w:rsidRPr="001B387F">
              <w:t>innovation</w:t>
            </w:r>
            <w:proofErr w:type="gramEnd"/>
            <w:r w:rsidR="005B2E12" w:rsidRPr="001B387F">
              <w:t xml:space="preserve"> and infrastructure</w:t>
            </w:r>
          </w:p>
        </w:tc>
      </w:tr>
      <w:tr w:rsidR="009E3323" w:rsidRPr="001B387F" w14:paraId="7C047805" w14:textId="77777777" w:rsidTr="00091CB4">
        <w:trPr>
          <w:cantSplit/>
          <w:trHeight w:val="1587"/>
        </w:trPr>
        <w:tc>
          <w:tcPr>
            <w:tcW w:w="2503" w:type="dxa"/>
            <w:shd w:val="clear" w:color="auto" w:fill="D6E8D2"/>
          </w:tcPr>
          <w:p w14:paraId="45305A3B" w14:textId="3495C29B" w:rsidR="009E3323" w:rsidRPr="001B387F" w:rsidRDefault="009E3323" w:rsidP="003B4EBC">
            <w:pPr>
              <w:pStyle w:val="TableBodyCopybold"/>
            </w:pPr>
            <w:r w:rsidRPr="001B387F">
              <w:t>Outcome 1.1</w:t>
            </w:r>
          </w:p>
        </w:tc>
        <w:tc>
          <w:tcPr>
            <w:tcW w:w="2504" w:type="dxa"/>
            <w:shd w:val="clear" w:color="auto" w:fill="D6E8D2"/>
            <w:hideMark/>
          </w:tcPr>
          <w:p w14:paraId="6B026811" w14:textId="1FAEFFAF" w:rsidR="009E3323" w:rsidRPr="001B387F" w:rsidRDefault="009E3323" w:rsidP="00736485">
            <w:pPr>
              <w:pStyle w:val="TableBodyCopy"/>
            </w:pPr>
            <w:r w:rsidRPr="001B387F">
              <w:rPr>
                <w:lang w:eastAsia="en-AU"/>
              </w:rPr>
              <w:t>1.1.2 Increased capacity to participate effectively in rules-based trade and economic architecture (Tier</w:t>
            </w:r>
            <w:r w:rsidR="009A3D72" w:rsidRPr="001B387F">
              <w:rPr>
                <w:lang w:eastAsia="en-AU"/>
              </w:rPr>
              <w:t> </w:t>
            </w:r>
            <w:r w:rsidRPr="001B387F">
              <w:rPr>
                <w:lang w:eastAsia="en-AU"/>
              </w:rPr>
              <w:t>2)</w:t>
            </w:r>
          </w:p>
        </w:tc>
        <w:tc>
          <w:tcPr>
            <w:tcW w:w="2503" w:type="dxa"/>
            <w:shd w:val="clear" w:color="auto" w:fill="D6E8D2"/>
            <w:hideMark/>
          </w:tcPr>
          <w:p w14:paraId="565F494A" w14:textId="15EFB308" w:rsidR="009E3323" w:rsidRPr="001B387F" w:rsidRDefault="009E3323" w:rsidP="00736485">
            <w:pPr>
              <w:pStyle w:val="TableBodyCopy"/>
            </w:pPr>
            <w:r w:rsidRPr="001B387F">
              <w:t>Capacity building for 70</w:t>
            </w:r>
            <w:r w:rsidR="00443AB6" w:rsidRPr="001B387F">
              <w:t> </w:t>
            </w:r>
            <w:r w:rsidRPr="001B387F">
              <w:t xml:space="preserve">businesses/companies on </w:t>
            </w:r>
            <w:r w:rsidR="00443AB6" w:rsidRPr="001B387F">
              <w:t>free trade agreement</w:t>
            </w:r>
            <w:r w:rsidRPr="001B387F">
              <w:t xml:space="preserve"> implementation and commitment</w:t>
            </w:r>
          </w:p>
        </w:tc>
        <w:tc>
          <w:tcPr>
            <w:tcW w:w="2504" w:type="dxa"/>
            <w:shd w:val="clear" w:color="auto" w:fill="D6E8D2"/>
            <w:hideMark/>
          </w:tcPr>
          <w:p w14:paraId="208B7221" w14:textId="073E9065" w:rsidR="009E3323" w:rsidRPr="001B387F" w:rsidRDefault="009E3323" w:rsidP="00736485">
            <w:pPr>
              <w:pStyle w:val="TableBodyCopy"/>
            </w:pPr>
            <w:r w:rsidRPr="001B387F">
              <w:rPr>
                <w:lang w:eastAsia="en-AU"/>
              </w:rPr>
              <w:t>Assessment of the implementation of targeted international cooperation and integration agreements</w:t>
            </w:r>
          </w:p>
        </w:tc>
        <w:tc>
          <w:tcPr>
            <w:tcW w:w="2503" w:type="dxa"/>
            <w:shd w:val="clear" w:color="auto" w:fill="D6E8D2"/>
            <w:hideMark/>
          </w:tcPr>
          <w:p w14:paraId="1E10B561" w14:textId="27B3F7E0" w:rsidR="009E3323" w:rsidRPr="001B387F" w:rsidRDefault="009E3323" w:rsidP="00736485">
            <w:pPr>
              <w:pStyle w:val="TableBodyCopy"/>
              <w:rPr>
                <w:lang w:eastAsia="en-AU"/>
              </w:rPr>
            </w:pPr>
            <w:r w:rsidRPr="001B387F">
              <w:rPr>
                <w:lang w:eastAsia="en-AU"/>
              </w:rPr>
              <w:t xml:space="preserve">Identification of trade and investment laws, </w:t>
            </w:r>
            <w:proofErr w:type="gramStart"/>
            <w:r w:rsidRPr="001B387F">
              <w:rPr>
                <w:lang w:eastAsia="en-AU"/>
              </w:rPr>
              <w:t>policies</w:t>
            </w:r>
            <w:proofErr w:type="gramEnd"/>
            <w:r w:rsidRPr="001B387F">
              <w:rPr>
                <w:lang w:eastAsia="en-AU"/>
              </w:rPr>
              <w:t xml:space="preserve"> and guidelines to be reformed to align with international rules</w:t>
            </w:r>
            <w:r w:rsidR="00CC1CA0" w:rsidRPr="001B387F">
              <w:rPr>
                <w:lang w:eastAsia="en-AU"/>
              </w:rPr>
              <w:t>-</w:t>
            </w:r>
            <w:r w:rsidRPr="001B387F">
              <w:rPr>
                <w:lang w:eastAsia="en-AU"/>
              </w:rPr>
              <w:t>based economic architecture</w:t>
            </w:r>
          </w:p>
        </w:tc>
        <w:tc>
          <w:tcPr>
            <w:tcW w:w="2504" w:type="dxa"/>
            <w:shd w:val="clear" w:color="auto" w:fill="D6E8D2"/>
          </w:tcPr>
          <w:p w14:paraId="020B067C" w14:textId="3E39082B" w:rsidR="009E3323" w:rsidRPr="001B387F" w:rsidRDefault="00E906C4" w:rsidP="00736485">
            <w:pPr>
              <w:pStyle w:val="TableBodyCopy"/>
              <w:rPr>
                <w:szCs w:val="18"/>
              </w:rPr>
            </w:pPr>
            <w:r w:rsidRPr="001B387F">
              <w:rPr>
                <w:szCs w:val="18"/>
                <w:lang w:eastAsia="en-AU"/>
              </w:rPr>
              <w:t>SDG</w:t>
            </w:r>
            <w:r w:rsidR="009E3323" w:rsidRPr="001B387F">
              <w:rPr>
                <w:szCs w:val="18"/>
                <w:lang w:eastAsia="en-AU"/>
              </w:rPr>
              <w:t xml:space="preserve">2, </w:t>
            </w:r>
            <w:r w:rsidRPr="001B387F">
              <w:rPr>
                <w:szCs w:val="18"/>
                <w:lang w:eastAsia="en-AU"/>
              </w:rPr>
              <w:t>SDG</w:t>
            </w:r>
            <w:r w:rsidR="009E3323" w:rsidRPr="001B387F">
              <w:rPr>
                <w:szCs w:val="18"/>
                <w:lang w:eastAsia="en-AU"/>
              </w:rPr>
              <w:t xml:space="preserve">3, </w:t>
            </w:r>
            <w:r w:rsidRPr="001B387F">
              <w:rPr>
                <w:szCs w:val="18"/>
                <w:lang w:eastAsia="en-AU"/>
              </w:rPr>
              <w:t>SDG</w:t>
            </w:r>
            <w:r w:rsidR="009E3323" w:rsidRPr="001B387F">
              <w:rPr>
                <w:szCs w:val="18"/>
                <w:lang w:eastAsia="en-AU"/>
              </w:rPr>
              <w:t xml:space="preserve">5, </w:t>
            </w:r>
            <w:r w:rsidRPr="001B387F">
              <w:rPr>
                <w:szCs w:val="18"/>
                <w:lang w:eastAsia="en-AU"/>
              </w:rPr>
              <w:t>SDG</w:t>
            </w:r>
            <w:r w:rsidR="009E3323" w:rsidRPr="001B387F">
              <w:rPr>
                <w:szCs w:val="18"/>
                <w:lang w:eastAsia="en-AU"/>
              </w:rPr>
              <w:t>8</w:t>
            </w:r>
            <w:r w:rsidR="00C20E81" w:rsidRPr="001B387F">
              <w:rPr>
                <w:szCs w:val="18"/>
                <w:lang w:eastAsia="en-AU"/>
              </w:rPr>
              <w:t>,</w:t>
            </w:r>
            <w:r w:rsidR="009E3323" w:rsidRPr="001B387F">
              <w:rPr>
                <w:szCs w:val="18"/>
                <w:lang w:eastAsia="en-AU"/>
              </w:rPr>
              <w:t xml:space="preserve"> </w:t>
            </w:r>
            <w:r w:rsidR="00C20E81" w:rsidRPr="001B387F">
              <w:rPr>
                <w:szCs w:val="18"/>
                <w:lang w:eastAsia="en-AU"/>
              </w:rPr>
              <w:t>SDG</w:t>
            </w:r>
            <w:r w:rsidR="009E3323" w:rsidRPr="001B387F">
              <w:rPr>
                <w:szCs w:val="18"/>
                <w:lang w:eastAsia="en-AU"/>
              </w:rPr>
              <w:t>9</w:t>
            </w:r>
          </w:p>
        </w:tc>
      </w:tr>
      <w:tr w:rsidR="009E3323" w:rsidRPr="001B387F" w14:paraId="76D08F73" w14:textId="77777777" w:rsidTr="00091CB4">
        <w:trPr>
          <w:cantSplit/>
          <w:trHeight w:val="555"/>
        </w:trPr>
        <w:tc>
          <w:tcPr>
            <w:tcW w:w="2503" w:type="dxa"/>
            <w:shd w:val="clear" w:color="auto" w:fill="D6E8D2"/>
          </w:tcPr>
          <w:p w14:paraId="527D41C4" w14:textId="35B0DC9C" w:rsidR="009E3323" w:rsidRPr="001B387F" w:rsidRDefault="009E3323" w:rsidP="003B4EBC">
            <w:pPr>
              <w:pStyle w:val="TableBodyCopybold"/>
            </w:pPr>
            <w:r w:rsidRPr="001B387F">
              <w:lastRenderedPageBreak/>
              <w:t>Outcome 1.1</w:t>
            </w:r>
          </w:p>
        </w:tc>
        <w:tc>
          <w:tcPr>
            <w:tcW w:w="2504" w:type="dxa"/>
            <w:shd w:val="clear" w:color="auto" w:fill="D6E8D2"/>
          </w:tcPr>
          <w:p w14:paraId="2A50E6FA" w14:textId="6FF552AC" w:rsidR="009E3323" w:rsidRPr="001B387F" w:rsidRDefault="009E3323" w:rsidP="003B4EBC">
            <w:pPr>
              <w:pStyle w:val="TableBodyCopy"/>
              <w:rPr>
                <w:lang w:eastAsia="en-AU"/>
              </w:rPr>
            </w:pPr>
            <w:r w:rsidRPr="001B387F">
              <w:rPr>
                <w:lang w:eastAsia="en-AU"/>
              </w:rPr>
              <w:t>1.1.3 Domestic and international businesses report enabling environment is more supportive to improving productivity</w:t>
            </w:r>
          </w:p>
        </w:tc>
        <w:tc>
          <w:tcPr>
            <w:tcW w:w="2503" w:type="dxa"/>
            <w:shd w:val="clear" w:color="auto" w:fill="D6E8D2"/>
          </w:tcPr>
          <w:p w14:paraId="7CB9D870" w14:textId="3BA74AE7" w:rsidR="009E3323" w:rsidRPr="001B387F" w:rsidRDefault="009E3323" w:rsidP="003B4EBC">
            <w:pPr>
              <w:pStyle w:val="TableBodyCopy"/>
              <w:rPr>
                <w:vertAlign w:val="superscript"/>
              </w:rPr>
            </w:pPr>
            <w:r w:rsidRPr="001B387F">
              <w:t>Aus4Growth priorities agree</w:t>
            </w:r>
            <w:r w:rsidR="00D4528D" w:rsidRPr="001B387F">
              <w:t>d</w:t>
            </w:r>
            <w:r w:rsidRPr="001B387F">
              <w:t xml:space="preserve"> with Vietnam in formal </w:t>
            </w:r>
            <w:proofErr w:type="spellStart"/>
            <w:r w:rsidRPr="001B387F">
              <w:t>approval</w:t>
            </w:r>
            <w:hyperlink w:anchor="T3na" w:history="1">
              <w:r w:rsidR="00460976" w:rsidRPr="001B387F">
                <w:rPr>
                  <w:rStyle w:val="tablehyperlink"/>
                </w:rPr>
                <w:t>a</w:t>
              </w:r>
              <w:proofErr w:type="spellEnd"/>
            </w:hyperlink>
          </w:p>
        </w:tc>
        <w:tc>
          <w:tcPr>
            <w:tcW w:w="2504" w:type="dxa"/>
            <w:shd w:val="clear" w:color="auto" w:fill="D6E8D2"/>
          </w:tcPr>
          <w:p w14:paraId="2969CFB8" w14:textId="118675AF" w:rsidR="009E3323" w:rsidRPr="001B387F" w:rsidRDefault="009E3323" w:rsidP="003B4EBC">
            <w:pPr>
              <w:pStyle w:val="TableBodyCopy"/>
            </w:pPr>
            <w:r w:rsidRPr="001B387F">
              <w:rPr>
                <w:lang w:eastAsia="en-AU"/>
              </w:rPr>
              <w:t xml:space="preserve">Evidence, research, </w:t>
            </w:r>
            <w:proofErr w:type="gramStart"/>
            <w:r w:rsidRPr="001B387F">
              <w:rPr>
                <w:lang w:eastAsia="en-AU"/>
              </w:rPr>
              <w:t>analysis</w:t>
            </w:r>
            <w:proofErr w:type="gramEnd"/>
            <w:r w:rsidRPr="001B387F">
              <w:rPr>
                <w:lang w:eastAsia="en-AU"/>
              </w:rPr>
              <w:t xml:space="preserve"> and recommendations for strengthening enabling environment</w:t>
            </w:r>
          </w:p>
        </w:tc>
        <w:tc>
          <w:tcPr>
            <w:tcW w:w="2503" w:type="dxa"/>
            <w:shd w:val="clear" w:color="auto" w:fill="D6E8D2"/>
          </w:tcPr>
          <w:p w14:paraId="0669B771" w14:textId="6E5D6AC0" w:rsidR="009E3323" w:rsidRPr="001B387F" w:rsidRDefault="009E3323" w:rsidP="003B4EBC">
            <w:pPr>
              <w:pStyle w:val="TableBodyCopy"/>
              <w:rPr>
                <w:lang w:eastAsia="en-AU"/>
              </w:rPr>
            </w:pPr>
            <w:r w:rsidRPr="001B387F">
              <w:rPr>
                <w:lang w:eastAsia="en-AU"/>
              </w:rPr>
              <w:t xml:space="preserve">Identification of laws, </w:t>
            </w:r>
            <w:proofErr w:type="gramStart"/>
            <w:r w:rsidRPr="001B387F">
              <w:rPr>
                <w:lang w:eastAsia="en-AU"/>
              </w:rPr>
              <w:t>policies</w:t>
            </w:r>
            <w:proofErr w:type="gramEnd"/>
            <w:r w:rsidRPr="001B387F">
              <w:rPr>
                <w:lang w:eastAsia="en-AU"/>
              </w:rPr>
              <w:t xml:space="preserve"> and guidelines to be reviewed and developed to strengthen enabling environment</w:t>
            </w:r>
          </w:p>
        </w:tc>
        <w:tc>
          <w:tcPr>
            <w:tcW w:w="2504" w:type="dxa"/>
            <w:shd w:val="clear" w:color="auto" w:fill="D6E8D2"/>
          </w:tcPr>
          <w:p w14:paraId="20AF0E9E" w14:textId="10D54017" w:rsidR="009E3323" w:rsidRPr="001B387F" w:rsidRDefault="00C20E81" w:rsidP="003B4EBC">
            <w:pPr>
              <w:pStyle w:val="TableBodyCopy"/>
              <w:rPr>
                <w:szCs w:val="18"/>
              </w:rPr>
            </w:pPr>
            <w:r w:rsidRPr="001B387F">
              <w:rPr>
                <w:szCs w:val="18"/>
                <w:lang w:eastAsia="en-AU"/>
              </w:rPr>
              <w:t>SDG</w:t>
            </w:r>
            <w:r w:rsidR="009E3323" w:rsidRPr="001B387F">
              <w:rPr>
                <w:szCs w:val="18"/>
                <w:lang w:eastAsia="en-AU"/>
              </w:rPr>
              <w:t xml:space="preserve">2, </w:t>
            </w:r>
            <w:r w:rsidRPr="001B387F">
              <w:rPr>
                <w:szCs w:val="18"/>
                <w:lang w:eastAsia="en-AU"/>
              </w:rPr>
              <w:t>SDG</w:t>
            </w:r>
            <w:r w:rsidR="009E3323" w:rsidRPr="001B387F">
              <w:rPr>
                <w:szCs w:val="18"/>
                <w:lang w:eastAsia="en-AU"/>
              </w:rPr>
              <w:t xml:space="preserve">3, </w:t>
            </w:r>
            <w:r w:rsidRPr="001B387F">
              <w:rPr>
                <w:szCs w:val="18"/>
                <w:lang w:eastAsia="en-AU"/>
              </w:rPr>
              <w:t>SDG</w:t>
            </w:r>
            <w:r w:rsidR="009E3323" w:rsidRPr="001B387F">
              <w:rPr>
                <w:szCs w:val="18"/>
                <w:lang w:eastAsia="en-AU"/>
              </w:rPr>
              <w:t xml:space="preserve">5, </w:t>
            </w:r>
            <w:r w:rsidRPr="001B387F">
              <w:rPr>
                <w:szCs w:val="18"/>
                <w:lang w:eastAsia="en-AU"/>
              </w:rPr>
              <w:t>SDG</w:t>
            </w:r>
            <w:r w:rsidR="009E3323" w:rsidRPr="001B387F">
              <w:rPr>
                <w:szCs w:val="18"/>
                <w:lang w:eastAsia="en-AU"/>
              </w:rPr>
              <w:t>8</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9</w:t>
            </w:r>
          </w:p>
        </w:tc>
      </w:tr>
      <w:tr w:rsidR="009E3323" w:rsidRPr="001B387F" w14:paraId="2C82754C" w14:textId="77777777" w:rsidTr="00091CB4">
        <w:trPr>
          <w:cantSplit/>
          <w:trHeight w:val="555"/>
        </w:trPr>
        <w:tc>
          <w:tcPr>
            <w:tcW w:w="2503" w:type="dxa"/>
            <w:shd w:val="clear" w:color="auto" w:fill="D6E8D2"/>
          </w:tcPr>
          <w:p w14:paraId="3A1C16A1" w14:textId="2518ABED" w:rsidR="009E3323" w:rsidRPr="001B387F" w:rsidRDefault="009E3323" w:rsidP="003B4EBC">
            <w:pPr>
              <w:pStyle w:val="TableBodyCopybold"/>
            </w:pPr>
            <w:r w:rsidRPr="001B387F">
              <w:t>Outcome 1.1</w:t>
            </w:r>
          </w:p>
        </w:tc>
        <w:tc>
          <w:tcPr>
            <w:tcW w:w="2504" w:type="dxa"/>
            <w:shd w:val="clear" w:color="auto" w:fill="D6E8D2"/>
          </w:tcPr>
          <w:p w14:paraId="398B1039" w14:textId="60085B0A" w:rsidR="009E3323" w:rsidRPr="001B387F" w:rsidRDefault="009E3323" w:rsidP="003B4EBC">
            <w:pPr>
              <w:pStyle w:val="TableBodyCopy"/>
              <w:rPr>
                <w:lang w:eastAsia="en-AU"/>
              </w:rPr>
            </w:pPr>
            <w:r w:rsidRPr="001B387F">
              <w:rPr>
                <w:lang w:eastAsia="en-AU"/>
              </w:rPr>
              <w:t>1.1.4 N</w:t>
            </w:r>
            <w:r w:rsidR="00483656" w:rsidRPr="001B387F">
              <w:rPr>
                <w:lang w:eastAsia="en-AU"/>
              </w:rPr>
              <w:t>umber</w:t>
            </w:r>
            <w:r w:rsidRPr="001B387F">
              <w:rPr>
                <w:lang w:eastAsia="en-AU"/>
              </w:rPr>
              <w:t xml:space="preserve"> of market actors in key economic sectors supported to expand market access and/or improve supply chain resilience (Tier</w:t>
            </w:r>
            <w:r w:rsidR="009A3D72" w:rsidRPr="001B387F">
              <w:rPr>
                <w:lang w:eastAsia="en-AU"/>
              </w:rPr>
              <w:t> </w:t>
            </w:r>
            <w:r w:rsidRPr="001B387F">
              <w:rPr>
                <w:lang w:eastAsia="en-AU"/>
              </w:rPr>
              <w:t>2)</w:t>
            </w:r>
          </w:p>
        </w:tc>
        <w:tc>
          <w:tcPr>
            <w:tcW w:w="2503" w:type="dxa"/>
            <w:shd w:val="clear" w:color="auto" w:fill="D6E8D2"/>
          </w:tcPr>
          <w:p w14:paraId="26FA4063" w14:textId="3B9980AD" w:rsidR="009E3323" w:rsidRPr="001B387F" w:rsidRDefault="009E3323" w:rsidP="003B4EBC">
            <w:pPr>
              <w:pStyle w:val="TableBodyCopy"/>
            </w:pPr>
            <w:r w:rsidRPr="001B387F">
              <w:t>Aus4Growth priorities agree</w:t>
            </w:r>
            <w:r w:rsidR="00010115" w:rsidRPr="001B387F">
              <w:t>d</w:t>
            </w:r>
            <w:r w:rsidRPr="001B387F">
              <w:t xml:space="preserve"> with Vietnam in formal approval</w:t>
            </w:r>
          </w:p>
        </w:tc>
        <w:tc>
          <w:tcPr>
            <w:tcW w:w="2504" w:type="dxa"/>
            <w:shd w:val="clear" w:color="auto" w:fill="D6E8D2"/>
          </w:tcPr>
          <w:p w14:paraId="6984DC18" w14:textId="0AEA31DC" w:rsidR="009E3323" w:rsidRPr="001B387F" w:rsidRDefault="009E3323" w:rsidP="003B4EBC">
            <w:pPr>
              <w:pStyle w:val="TableBodyCopy"/>
              <w:rPr>
                <w:lang w:eastAsia="en-AU"/>
              </w:rPr>
            </w:pPr>
            <w:r w:rsidRPr="001B387F">
              <w:rPr>
                <w:lang w:eastAsia="en-AU"/>
              </w:rPr>
              <w:t>Vietnamese and Australian businesses with increased knowledge</w:t>
            </w:r>
            <w:r w:rsidR="00D4528D" w:rsidRPr="001B387F">
              <w:rPr>
                <w:lang w:eastAsia="en-AU"/>
              </w:rPr>
              <w:t xml:space="preserve"> of</w:t>
            </w:r>
            <w:r w:rsidRPr="001B387F">
              <w:rPr>
                <w:lang w:eastAsia="en-AU"/>
              </w:rPr>
              <w:t xml:space="preserve">, use </w:t>
            </w:r>
            <w:r w:rsidR="00D4528D" w:rsidRPr="001B387F">
              <w:rPr>
                <w:lang w:eastAsia="en-AU"/>
              </w:rPr>
              <w:t xml:space="preserve">of </w:t>
            </w:r>
            <w:r w:rsidRPr="001B387F">
              <w:rPr>
                <w:lang w:eastAsia="en-AU"/>
              </w:rPr>
              <w:t xml:space="preserve">and compliance with regional trade opportunities including due to the adoption of </w:t>
            </w:r>
            <w:r w:rsidR="00065375" w:rsidRPr="001B387F">
              <w:rPr>
                <w:lang w:eastAsia="en-AU"/>
              </w:rPr>
              <w:t xml:space="preserve">gender equality, </w:t>
            </w:r>
            <w:proofErr w:type="gramStart"/>
            <w:r w:rsidR="00065375" w:rsidRPr="001B387F">
              <w:rPr>
                <w:lang w:eastAsia="en-AU"/>
              </w:rPr>
              <w:t>disability</w:t>
            </w:r>
            <w:proofErr w:type="gramEnd"/>
            <w:r w:rsidR="00065375" w:rsidRPr="001B387F">
              <w:rPr>
                <w:lang w:eastAsia="en-AU"/>
              </w:rPr>
              <w:t xml:space="preserve"> and social inclusion</w:t>
            </w:r>
            <w:r w:rsidRPr="001B387F">
              <w:rPr>
                <w:lang w:eastAsia="en-AU"/>
              </w:rPr>
              <w:t xml:space="preserve"> policies</w:t>
            </w:r>
          </w:p>
        </w:tc>
        <w:tc>
          <w:tcPr>
            <w:tcW w:w="2503" w:type="dxa"/>
            <w:shd w:val="clear" w:color="auto" w:fill="D6E8D2"/>
          </w:tcPr>
          <w:p w14:paraId="28FC8586" w14:textId="670A5B7F" w:rsidR="009E3323" w:rsidRPr="001B387F" w:rsidRDefault="009E3323" w:rsidP="003B4EBC">
            <w:pPr>
              <w:pStyle w:val="TableBodyCopy"/>
              <w:rPr>
                <w:lang w:eastAsia="en-AU"/>
              </w:rPr>
            </w:pPr>
            <w:r w:rsidRPr="001B387F">
              <w:rPr>
                <w:lang w:eastAsia="en-AU"/>
              </w:rPr>
              <w:t>Identification of opportunities for investment and support to develop business linkages with selected Vietnamese and Australian businesses</w:t>
            </w:r>
            <w:r w:rsidR="00D12FD7" w:rsidRPr="001B387F">
              <w:rPr>
                <w:lang w:eastAsia="en-AU"/>
              </w:rPr>
              <w:t>,</w:t>
            </w:r>
            <w:r w:rsidRPr="001B387F">
              <w:rPr>
                <w:lang w:eastAsia="en-AU"/>
              </w:rPr>
              <w:t xml:space="preserve"> noting </w:t>
            </w:r>
            <w:r w:rsidR="00A01C01" w:rsidRPr="001B387F">
              <w:rPr>
                <w:lang w:eastAsia="en-AU"/>
              </w:rPr>
              <w:t xml:space="preserve">targets </w:t>
            </w:r>
            <w:r w:rsidRPr="001B387F">
              <w:rPr>
                <w:lang w:eastAsia="en-AU"/>
              </w:rPr>
              <w:t>to be determined in Aus4Growth inception</w:t>
            </w:r>
          </w:p>
        </w:tc>
        <w:tc>
          <w:tcPr>
            <w:tcW w:w="2504" w:type="dxa"/>
            <w:shd w:val="clear" w:color="auto" w:fill="D6E8D2"/>
          </w:tcPr>
          <w:p w14:paraId="7A9B225E" w14:textId="23C529C0" w:rsidR="009E3323" w:rsidRPr="001B387F" w:rsidRDefault="00C20E81" w:rsidP="003B4EBC">
            <w:pPr>
              <w:pStyle w:val="TableBodyCopy"/>
              <w:rPr>
                <w:szCs w:val="18"/>
              </w:rPr>
            </w:pPr>
            <w:r w:rsidRPr="001B387F">
              <w:rPr>
                <w:szCs w:val="18"/>
                <w:lang w:eastAsia="en-AU"/>
              </w:rPr>
              <w:t>SDG</w:t>
            </w:r>
            <w:r w:rsidR="009E3323" w:rsidRPr="001B387F">
              <w:rPr>
                <w:szCs w:val="18"/>
                <w:lang w:eastAsia="en-AU"/>
              </w:rPr>
              <w:t xml:space="preserve">2, </w:t>
            </w:r>
            <w:r w:rsidRPr="001B387F">
              <w:rPr>
                <w:szCs w:val="18"/>
                <w:lang w:eastAsia="en-AU"/>
              </w:rPr>
              <w:t>SDG</w:t>
            </w:r>
            <w:r w:rsidR="009E3323" w:rsidRPr="001B387F">
              <w:rPr>
                <w:szCs w:val="18"/>
                <w:lang w:eastAsia="en-AU"/>
              </w:rPr>
              <w:t xml:space="preserve">3, </w:t>
            </w:r>
            <w:r w:rsidRPr="001B387F">
              <w:rPr>
                <w:szCs w:val="18"/>
                <w:lang w:eastAsia="en-AU"/>
              </w:rPr>
              <w:t>SDG</w:t>
            </w:r>
            <w:r w:rsidR="009E3323" w:rsidRPr="001B387F">
              <w:rPr>
                <w:szCs w:val="18"/>
                <w:lang w:eastAsia="en-AU"/>
              </w:rPr>
              <w:t xml:space="preserve">5, </w:t>
            </w:r>
            <w:r w:rsidRPr="001B387F">
              <w:rPr>
                <w:szCs w:val="18"/>
                <w:lang w:eastAsia="en-AU"/>
              </w:rPr>
              <w:t>SDG</w:t>
            </w:r>
            <w:r w:rsidR="009E3323" w:rsidRPr="001B387F">
              <w:rPr>
                <w:szCs w:val="18"/>
                <w:lang w:eastAsia="en-AU"/>
              </w:rPr>
              <w:t>8</w:t>
            </w:r>
            <w:r w:rsidR="00B04B06" w:rsidRPr="001B387F">
              <w:rPr>
                <w:szCs w:val="18"/>
                <w:lang w:eastAsia="en-AU"/>
              </w:rPr>
              <w:t>,</w:t>
            </w:r>
            <w:r w:rsidR="009E3323" w:rsidRPr="001B387F">
              <w:rPr>
                <w:szCs w:val="18"/>
                <w:lang w:eastAsia="en-AU"/>
              </w:rPr>
              <w:t xml:space="preserve"> </w:t>
            </w:r>
            <w:r w:rsidR="00B04B06" w:rsidRPr="001B387F">
              <w:rPr>
                <w:szCs w:val="18"/>
                <w:lang w:eastAsia="en-AU"/>
              </w:rPr>
              <w:t>SDG</w:t>
            </w:r>
            <w:r w:rsidR="009E3323" w:rsidRPr="001B387F">
              <w:rPr>
                <w:szCs w:val="18"/>
                <w:lang w:eastAsia="en-AU"/>
              </w:rPr>
              <w:t>9</w:t>
            </w:r>
          </w:p>
        </w:tc>
      </w:tr>
      <w:tr w:rsidR="009E3323" w:rsidRPr="001B387F" w14:paraId="33837A60" w14:textId="77777777" w:rsidTr="00091CB4">
        <w:trPr>
          <w:cantSplit/>
          <w:trHeight w:val="456"/>
        </w:trPr>
        <w:tc>
          <w:tcPr>
            <w:tcW w:w="2503" w:type="dxa"/>
            <w:shd w:val="clear" w:color="auto" w:fill="D6E8D2"/>
          </w:tcPr>
          <w:p w14:paraId="23DAB5E9" w14:textId="77777777" w:rsidR="009E3323" w:rsidRPr="001B387F" w:rsidRDefault="009E3323" w:rsidP="003B4EBC">
            <w:pPr>
              <w:pStyle w:val="TableBodyCopybold"/>
            </w:pPr>
            <w:r w:rsidRPr="001B387F">
              <w:t>Outcome 1.2</w:t>
            </w:r>
          </w:p>
          <w:p w14:paraId="18816232" w14:textId="77777777" w:rsidR="009E3323" w:rsidRPr="001B387F" w:rsidRDefault="009E3323" w:rsidP="003B4EBC">
            <w:pPr>
              <w:pStyle w:val="TableBodyCopy"/>
            </w:pPr>
            <w:r w:rsidRPr="001B387F">
              <w:t>Strengthened innovation and digital capacity</w:t>
            </w:r>
          </w:p>
        </w:tc>
        <w:tc>
          <w:tcPr>
            <w:tcW w:w="2504" w:type="dxa"/>
            <w:shd w:val="clear" w:color="auto" w:fill="D6E8D2"/>
          </w:tcPr>
          <w:p w14:paraId="36A0D4A2" w14:textId="6172F799" w:rsidR="009E3323" w:rsidRPr="001B387F" w:rsidRDefault="009E3323" w:rsidP="003B4EBC">
            <w:pPr>
              <w:pStyle w:val="TableBodyCopy"/>
            </w:pPr>
            <w:r w:rsidRPr="001B387F">
              <w:rPr>
                <w:lang w:eastAsia="en-AU"/>
              </w:rPr>
              <w:t>1.2.1 Innovation</w:t>
            </w:r>
            <w:r w:rsidR="00AA4B62" w:rsidRPr="001B387F">
              <w:rPr>
                <w:lang w:eastAsia="en-AU"/>
              </w:rPr>
              <w:t>-</w:t>
            </w:r>
            <w:r w:rsidRPr="001B387F">
              <w:rPr>
                <w:lang w:eastAsia="en-AU"/>
              </w:rPr>
              <w:t>related policies, partnerships and models strengthened</w:t>
            </w:r>
          </w:p>
        </w:tc>
        <w:tc>
          <w:tcPr>
            <w:tcW w:w="2503" w:type="dxa"/>
            <w:shd w:val="clear" w:color="auto" w:fill="D6E8D2"/>
            <w:hideMark/>
          </w:tcPr>
          <w:p w14:paraId="530A14BB" w14:textId="129188DE" w:rsidR="009E3323" w:rsidRPr="001B387F" w:rsidRDefault="009E3323" w:rsidP="003B4EBC">
            <w:pPr>
              <w:pStyle w:val="TableBodyCopy"/>
              <w:rPr>
                <w:lang w:eastAsia="en-AU"/>
              </w:rPr>
            </w:pPr>
            <w:r w:rsidRPr="001B387F">
              <w:rPr>
                <w:lang w:eastAsia="en-AU"/>
              </w:rPr>
              <w:t>3</w:t>
            </w:r>
            <w:r w:rsidR="004008AB" w:rsidRPr="001B387F">
              <w:rPr>
                <w:lang w:eastAsia="en-AU"/>
              </w:rPr>
              <w:t> </w:t>
            </w:r>
            <w:r w:rsidRPr="001B387F">
              <w:rPr>
                <w:lang w:eastAsia="en-AU"/>
              </w:rPr>
              <w:t xml:space="preserve">policies for technical support </w:t>
            </w:r>
            <w:proofErr w:type="gramStart"/>
            <w:r w:rsidRPr="001B387F">
              <w:rPr>
                <w:lang w:eastAsia="en-AU"/>
              </w:rPr>
              <w:t>identified</w:t>
            </w:r>
            <w:proofErr w:type="gramEnd"/>
          </w:p>
          <w:p w14:paraId="44CA2785" w14:textId="4D994244" w:rsidR="009E3323" w:rsidRPr="001B387F" w:rsidRDefault="009E3323" w:rsidP="003B4EBC">
            <w:pPr>
              <w:pStyle w:val="TableBodyCopy"/>
              <w:rPr>
                <w:lang w:eastAsia="en-AU"/>
              </w:rPr>
            </w:pPr>
            <w:r w:rsidRPr="001B387F">
              <w:rPr>
                <w:lang w:eastAsia="en-AU"/>
              </w:rPr>
              <w:t>3</w:t>
            </w:r>
            <w:r w:rsidR="004008AB" w:rsidRPr="001B387F">
              <w:rPr>
                <w:lang w:eastAsia="en-AU"/>
              </w:rPr>
              <w:t> </w:t>
            </w:r>
            <w:r w:rsidRPr="001B387F">
              <w:rPr>
                <w:lang w:eastAsia="en-AU"/>
              </w:rPr>
              <w:t>new innovation partnerships between Australia</w:t>
            </w:r>
            <w:r w:rsidR="00937EF5" w:rsidRPr="001B387F">
              <w:rPr>
                <w:lang w:eastAsia="en-AU"/>
              </w:rPr>
              <w:t>n</w:t>
            </w:r>
            <w:r w:rsidRPr="001B387F">
              <w:rPr>
                <w:lang w:eastAsia="en-AU"/>
              </w:rPr>
              <w:t xml:space="preserve"> and Vietnam</w:t>
            </w:r>
            <w:r w:rsidR="00937EF5" w:rsidRPr="001B387F">
              <w:rPr>
                <w:lang w:eastAsia="en-AU"/>
              </w:rPr>
              <w:t>ese</w:t>
            </w:r>
            <w:r w:rsidRPr="001B387F">
              <w:rPr>
                <w:lang w:eastAsia="en-AU"/>
              </w:rPr>
              <w:t xml:space="preserve"> entities </w:t>
            </w:r>
            <w:proofErr w:type="gramStart"/>
            <w:r w:rsidRPr="001B387F">
              <w:rPr>
                <w:lang w:eastAsia="en-AU"/>
              </w:rPr>
              <w:t>established</w:t>
            </w:r>
            <w:proofErr w:type="gramEnd"/>
          </w:p>
          <w:p w14:paraId="1A5AEE23" w14:textId="0B90193A" w:rsidR="009E3323" w:rsidRPr="001B387F" w:rsidRDefault="009E3323" w:rsidP="003B4EBC">
            <w:pPr>
              <w:pStyle w:val="TableBodyCopy"/>
            </w:pPr>
            <w:r w:rsidRPr="001B387F">
              <w:rPr>
                <w:lang w:eastAsia="en-AU"/>
              </w:rPr>
              <w:t>4</w:t>
            </w:r>
            <w:r w:rsidR="004008AB" w:rsidRPr="001B387F">
              <w:rPr>
                <w:lang w:eastAsia="en-AU"/>
              </w:rPr>
              <w:t> </w:t>
            </w:r>
            <w:r w:rsidRPr="001B387F">
              <w:rPr>
                <w:lang w:eastAsia="en-AU"/>
              </w:rPr>
              <w:t>innovation platforms set up in previous years are running effectively</w:t>
            </w:r>
          </w:p>
        </w:tc>
        <w:tc>
          <w:tcPr>
            <w:tcW w:w="2504" w:type="dxa"/>
            <w:shd w:val="clear" w:color="auto" w:fill="D6E8D2"/>
            <w:hideMark/>
          </w:tcPr>
          <w:p w14:paraId="2D6E7FDF" w14:textId="3BE1E6D6" w:rsidR="009E3323" w:rsidRPr="001B387F" w:rsidRDefault="009E3323" w:rsidP="003B4EBC">
            <w:pPr>
              <w:pStyle w:val="TableBodyCopy"/>
              <w:rPr>
                <w:lang w:eastAsia="en-AU"/>
              </w:rPr>
            </w:pPr>
            <w:r w:rsidRPr="001B387F">
              <w:rPr>
                <w:lang w:eastAsia="en-AU"/>
              </w:rPr>
              <w:t>3</w:t>
            </w:r>
            <w:r w:rsidR="004008AB" w:rsidRPr="001B387F">
              <w:rPr>
                <w:lang w:eastAsia="en-AU"/>
              </w:rPr>
              <w:t> </w:t>
            </w:r>
            <w:r w:rsidRPr="001B387F">
              <w:rPr>
                <w:lang w:eastAsia="en-AU"/>
              </w:rPr>
              <w:t xml:space="preserve">multistakeholder policy dialogues </w:t>
            </w:r>
            <w:proofErr w:type="gramStart"/>
            <w:r w:rsidRPr="001B387F">
              <w:rPr>
                <w:lang w:eastAsia="en-AU"/>
              </w:rPr>
              <w:t>held</w:t>
            </w:r>
            <w:proofErr w:type="gramEnd"/>
          </w:p>
          <w:p w14:paraId="032C489C" w14:textId="07042306" w:rsidR="009E3323" w:rsidRPr="001B387F" w:rsidRDefault="009E3323" w:rsidP="003B4EBC">
            <w:pPr>
              <w:pStyle w:val="TableBodyCopy"/>
              <w:rPr>
                <w:lang w:eastAsia="en-AU"/>
              </w:rPr>
            </w:pPr>
            <w:r w:rsidRPr="001B387F">
              <w:rPr>
                <w:lang w:eastAsia="en-AU"/>
              </w:rPr>
              <w:t>3</w:t>
            </w:r>
            <w:r w:rsidR="004008AB" w:rsidRPr="001B387F">
              <w:rPr>
                <w:lang w:eastAsia="en-AU"/>
              </w:rPr>
              <w:t> </w:t>
            </w:r>
            <w:r w:rsidRPr="001B387F">
              <w:rPr>
                <w:lang w:eastAsia="en-AU"/>
              </w:rPr>
              <w:t>new innovation partnerships between Australia</w:t>
            </w:r>
            <w:r w:rsidR="00390FA3" w:rsidRPr="001B387F">
              <w:rPr>
                <w:lang w:eastAsia="en-AU"/>
              </w:rPr>
              <w:t>n</w:t>
            </w:r>
            <w:r w:rsidRPr="001B387F">
              <w:rPr>
                <w:lang w:eastAsia="en-AU"/>
              </w:rPr>
              <w:t xml:space="preserve"> and Vietnam</w:t>
            </w:r>
            <w:r w:rsidR="00390FA3" w:rsidRPr="001B387F">
              <w:rPr>
                <w:lang w:eastAsia="en-AU"/>
              </w:rPr>
              <w:t>ese</w:t>
            </w:r>
            <w:r w:rsidRPr="001B387F">
              <w:rPr>
                <w:lang w:eastAsia="en-AU"/>
              </w:rPr>
              <w:t xml:space="preserve"> entities </w:t>
            </w:r>
            <w:proofErr w:type="gramStart"/>
            <w:r w:rsidRPr="001B387F">
              <w:rPr>
                <w:lang w:eastAsia="en-AU"/>
              </w:rPr>
              <w:t>established</w:t>
            </w:r>
            <w:proofErr w:type="gramEnd"/>
          </w:p>
          <w:p w14:paraId="54EA3DCC" w14:textId="023706C7" w:rsidR="009E3323" w:rsidRPr="001B387F" w:rsidRDefault="009E3323" w:rsidP="003B4EBC">
            <w:pPr>
              <w:pStyle w:val="TableBodyCopy"/>
            </w:pPr>
            <w:r w:rsidRPr="001B387F">
              <w:rPr>
                <w:lang w:eastAsia="en-AU"/>
              </w:rPr>
              <w:t>4</w:t>
            </w:r>
            <w:r w:rsidR="004008AB" w:rsidRPr="001B387F">
              <w:rPr>
                <w:lang w:eastAsia="en-AU"/>
              </w:rPr>
              <w:t> </w:t>
            </w:r>
            <w:r w:rsidRPr="001B387F">
              <w:rPr>
                <w:lang w:eastAsia="en-AU"/>
              </w:rPr>
              <w:t xml:space="preserve">innovation platforms set up in previous years </w:t>
            </w:r>
            <w:proofErr w:type="gramStart"/>
            <w:r w:rsidR="005A2604" w:rsidRPr="001B387F">
              <w:rPr>
                <w:lang w:eastAsia="en-AU"/>
              </w:rPr>
              <w:t xml:space="preserve">are </w:t>
            </w:r>
            <w:r w:rsidRPr="001B387F">
              <w:rPr>
                <w:lang w:eastAsia="en-AU"/>
              </w:rPr>
              <w:t>capable of connecting</w:t>
            </w:r>
            <w:proofErr w:type="gramEnd"/>
            <w:r w:rsidRPr="001B387F">
              <w:rPr>
                <w:lang w:eastAsia="en-AU"/>
              </w:rPr>
              <w:t xml:space="preserve"> diverse groups of actors to respond to local challenges</w:t>
            </w:r>
          </w:p>
        </w:tc>
        <w:tc>
          <w:tcPr>
            <w:tcW w:w="2503" w:type="dxa"/>
            <w:shd w:val="clear" w:color="auto" w:fill="D6E8D2"/>
            <w:hideMark/>
          </w:tcPr>
          <w:p w14:paraId="39518CA2" w14:textId="0C5487C3" w:rsidR="009E3323" w:rsidRPr="001B387F" w:rsidRDefault="009E3323" w:rsidP="003B4EBC">
            <w:pPr>
              <w:pStyle w:val="TableBodyCopy"/>
              <w:rPr>
                <w:lang w:eastAsia="en-AU"/>
              </w:rPr>
            </w:pPr>
            <w:r w:rsidRPr="001B387F">
              <w:rPr>
                <w:lang w:eastAsia="en-AU"/>
              </w:rPr>
              <w:t>3</w:t>
            </w:r>
            <w:r w:rsidR="004008AB" w:rsidRPr="001B387F">
              <w:rPr>
                <w:lang w:eastAsia="en-AU"/>
              </w:rPr>
              <w:t> </w:t>
            </w:r>
            <w:r w:rsidRPr="001B387F">
              <w:rPr>
                <w:lang w:eastAsia="en-AU"/>
              </w:rPr>
              <w:t xml:space="preserve">policy guidelines developed for agreed priority </w:t>
            </w:r>
            <w:proofErr w:type="gramStart"/>
            <w:r w:rsidRPr="001B387F">
              <w:rPr>
                <w:lang w:eastAsia="en-AU"/>
              </w:rPr>
              <w:t>topics</w:t>
            </w:r>
            <w:proofErr w:type="gramEnd"/>
          </w:p>
          <w:p w14:paraId="088D0550" w14:textId="04DFC803" w:rsidR="009E3323" w:rsidRPr="001B387F" w:rsidRDefault="009E3323" w:rsidP="003B4EBC">
            <w:pPr>
              <w:pStyle w:val="TableBodyCopy"/>
              <w:rPr>
                <w:lang w:eastAsia="en-AU"/>
              </w:rPr>
            </w:pPr>
            <w:r w:rsidRPr="001B387F">
              <w:rPr>
                <w:lang w:eastAsia="en-AU"/>
              </w:rPr>
              <w:t>6</w:t>
            </w:r>
            <w:r w:rsidR="004008AB" w:rsidRPr="001B387F">
              <w:rPr>
                <w:lang w:eastAsia="en-AU"/>
              </w:rPr>
              <w:t> </w:t>
            </w:r>
            <w:r w:rsidRPr="001B387F">
              <w:rPr>
                <w:lang w:eastAsia="en-AU"/>
              </w:rPr>
              <w:t xml:space="preserve">innovation partnerships successfully contribute to addressing local socioeconomic </w:t>
            </w:r>
            <w:proofErr w:type="gramStart"/>
            <w:r w:rsidRPr="001B387F">
              <w:rPr>
                <w:lang w:eastAsia="en-AU"/>
              </w:rPr>
              <w:t>challenges</w:t>
            </w:r>
            <w:proofErr w:type="gramEnd"/>
          </w:p>
          <w:p w14:paraId="2511751A" w14:textId="1808C294" w:rsidR="009E3323" w:rsidRPr="001B387F" w:rsidRDefault="009E3323" w:rsidP="003B4EBC">
            <w:pPr>
              <w:pStyle w:val="TableBodyCopy"/>
            </w:pPr>
            <w:r w:rsidRPr="001B387F">
              <w:rPr>
                <w:lang w:eastAsia="en-AU"/>
              </w:rPr>
              <w:t>2</w:t>
            </w:r>
            <w:r w:rsidR="004008AB" w:rsidRPr="001B387F">
              <w:rPr>
                <w:lang w:eastAsia="en-AU"/>
              </w:rPr>
              <w:t> </w:t>
            </w:r>
            <w:r w:rsidRPr="001B387F">
              <w:rPr>
                <w:lang w:eastAsia="en-AU"/>
              </w:rPr>
              <w:t>innovation and sustainable platform models adopted by G</w:t>
            </w:r>
            <w:r w:rsidR="004008AB" w:rsidRPr="001B387F">
              <w:rPr>
                <w:lang w:eastAsia="en-AU"/>
              </w:rPr>
              <w:t xml:space="preserve">overnment </w:t>
            </w:r>
            <w:r w:rsidRPr="001B387F">
              <w:rPr>
                <w:lang w:eastAsia="en-AU"/>
              </w:rPr>
              <w:t>o</w:t>
            </w:r>
            <w:r w:rsidR="004008AB" w:rsidRPr="001B387F">
              <w:rPr>
                <w:lang w:eastAsia="en-AU"/>
              </w:rPr>
              <w:t xml:space="preserve">f </w:t>
            </w:r>
            <w:r w:rsidRPr="001B387F">
              <w:rPr>
                <w:lang w:eastAsia="en-AU"/>
              </w:rPr>
              <w:t>V</w:t>
            </w:r>
            <w:r w:rsidR="004008AB" w:rsidRPr="001B387F">
              <w:rPr>
                <w:lang w:eastAsia="en-AU"/>
              </w:rPr>
              <w:t>ietnam</w:t>
            </w:r>
          </w:p>
        </w:tc>
        <w:tc>
          <w:tcPr>
            <w:tcW w:w="2504" w:type="dxa"/>
            <w:shd w:val="clear" w:color="auto" w:fill="D6E8D2"/>
          </w:tcPr>
          <w:p w14:paraId="29C63246" w14:textId="3C6C9B37" w:rsidR="009E3323" w:rsidRPr="001B387F" w:rsidRDefault="00090380" w:rsidP="003B4EBC">
            <w:pPr>
              <w:pStyle w:val="TableBodyCopy"/>
              <w:rPr>
                <w:szCs w:val="18"/>
              </w:rPr>
            </w:pPr>
            <w:r w:rsidRPr="001B387F">
              <w:rPr>
                <w:szCs w:val="18"/>
                <w:lang w:eastAsia="en-AU"/>
              </w:rPr>
              <w:t>SDG</w:t>
            </w:r>
            <w:r w:rsidR="009E3323" w:rsidRPr="001B387F">
              <w:rPr>
                <w:szCs w:val="18"/>
                <w:lang w:eastAsia="en-AU"/>
              </w:rPr>
              <w:t xml:space="preserve">2, </w:t>
            </w:r>
            <w:r w:rsidRPr="001B387F">
              <w:rPr>
                <w:szCs w:val="18"/>
                <w:lang w:eastAsia="en-AU"/>
              </w:rPr>
              <w:t>SDG</w:t>
            </w:r>
            <w:r w:rsidR="009E3323" w:rsidRPr="001B387F">
              <w:rPr>
                <w:szCs w:val="18"/>
                <w:lang w:eastAsia="en-AU"/>
              </w:rPr>
              <w:t xml:space="preserve">3, </w:t>
            </w:r>
            <w:r w:rsidRPr="001B387F">
              <w:rPr>
                <w:szCs w:val="18"/>
                <w:lang w:eastAsia="en-AU"/>
              </w:rPr>
              <w:t>SDG</w:t>
            </w:r>
            <w:r w:rsidR="009E3323" w:rsidRPr="001B387F">
              <w:rPr>
                <w:szCs w:val="18"/>
                <w:lang w:eastAsia="en-AU"/>
              </w:rPr>
              <w:t xml:space="preserve">5, </w:t>
            </w:r>
            <w:r w:rsidRPr="001B387F">
              <w:rPr>
                <w:szCs w:val="18"/>
                <w:lang w:eastAsia="en-AU"/>
              </w:rPr>
              <w:t>SDG</w:t>
            </w:r>
            <w:r w:rsidR="009E3323" w:rsidRPr="001B387F">
              <w:rPr>
                <w:szCs w:val="18"/>
                <w:lang w:eastAsia="en-AU"/>
              </w:rPr>
              <w:t>8</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9</w:t>
            </w:r>
          </w:p>
        </w:tc>
      </w:tr>
      <w:tr w:rsidR="009E3323" w:rsidRPr="001B387F" w14:paraId="6C8D56C1" w14:textId="77777777" w:rsidTr="00091CB4">
        <w:trPr>
          <w:cantSplit/>
          <w:trHeight w:val="456"/>
        </w:trPr>
        <w:tc>
          <w:tcPr>
            <w:tcW w:w="2503" w:type="dxa"/>
            <w:shd w:val="clear" w:color="auto" w:fill="D6E8D2"/>
          </w:tcPr>
          <w:p w14:paraId="55FA91A3" w14:textId="5A8CDB2F" w:rsidR="009E3323" w:rsidRPr="001B387F" w:rsidRDefault="009E3323" w:rsidP="003B4EBC">
            <w:pPr>
              <w:pStyle w:val="TableBodyCopybold"/>
            </w:pPr>
            <w:r w:rsidRPr="001B387F">
              <w:lastRenderedPageBreak/>
              <w:t>Outcome 1.2</w:t>
            </w:r>
          </w:p>
        </w:tc>
        <w:tc>
          <w:tcPr>
            <w:tcW w:w="2504" w:type="dxa"/>
            <w:shd w:val="clear" w:color="auto" w:fill="D6E8D2"/>
          </w:tcPr>
          <w:p w14:paraId="08B1EF1D" w14:textId="5A106062" w:rsidR="009E3323" w:rsidRPr="001B387F" w:rsidRDefault="009E3323" w:rsidP="003B4EBC">
            <w:pPr>
              <w:pStyle w:val="TableBodyCopy"/>
              <w:rPr>
                <w:lang w:eastAsia="en-AU"/>
              </w:rPr>
            </w:pPr>
            <w:r w:rsidRPr="001B387F">
              <w:rPr>
                <w:lang w:eastAsia="en-AU"/>
              </w:rPr>
              <w:t>1.2.2 Enhancing digital transformation</w:t>
            </w:r>
          </w:p>
        </w:tc>
        <w:tc>
          <w:tcPr>
            <w:tcW w:w="2503" w:type="dxa"/>
            <w:shd w:val="clear" w:color="auto" w:fill="D6E8D2"/>
          </w:tcPr>
          <w:p w14:paraId="2D2ED74B" w14:textId="221BCA9B" w:rsidR="009E3323" w:rsidRPr="001B387F" w:rsidRDefault="009E3323" w:rsidP="003B4EBC">
            <w:pPr>
              <w:pStyle w:val="TableBodyCopy"/>
              <w:rPr>
                <w:lang w:eastAsia="en-AU"/>
              </w:rPr>
            </w:pPr>
            <w:r w:rsidRPr="001B387F">
              <w:rPr>
                <w:lang w:eastAsia="en-AU"/>
              </w:rPr>
              <w:t>Technical contribution to the G</w:t>
            </w:r>
            <w:r w:rsidR="008E17F0" w:rsidRPr="001B387F">
              <w:rPr>
                <w:lang w:eastAsia="en-AU"/>
              </w:rPr>
              <w:t xml:space="preserve">overnment of </w:t>
            </w:r>
            <w:r w:rsidRPr="001B387F">
              <w:rPr>
                <w:lang w:eastAsia="en-AU"/>
              </w:rPr>
              <w:t>V</w:t>
            </w:r>
            <w:r w:rsidR="008E17F0" w:rsidRPr="001B387F">
              <w:rPr>
                <w:lang w:eastAsia="en-AU"/>
              </w:rPr>
              <w:t>ietnam</w:t>
            </w:r>
            <w:r w:rsidRPr="001B387F">
              <w:rPr>
                <w:lang w:eastAsia="en-AU"/>
              </w:rPr>
              <w:t xml:space="preserve"> implementation of </w:t>
            </w:r>
            <w:r w:rsidR="00D14544" w:rsidRPr="001B387F">
              <w:rPr>
                <w:lang w:eastAsia="en-AU"/>
              </w:rPr>
              <w:t>s</w:t>
            </w:r>
            <w:r w:rsidRPr="001B387F">
              <w:rPr>
                <w:lang w:eastAsia="en-AU"/>
              </w:rPr>
              <w:t xml:space="preserve">emiconductor </w:t>
            </w:r>
            <w:r w:rsidR="000A7687" w:rsidRPr="001B387F">
              <w:rPr>
                <w:lang w:eastAsia="en-AU"/>
              </w:rPr>
              <w:t>p</w:t>
            </w:r>
            <w:r w:rsidRPr="001B387F">
              <w:rPr>
                <w:lang w:eastAsia="en-AU"/>
              </w:rPr>
              <w:t>rogram</w:t>
            </w:r>
          </w:p>
          <w:p w14:paraId="7E2F427D" w14:textId="6F838E8B" w:rsidR="009E3323" w:rsidRPr="001B387F" w:rsidRDefault="009E3323" w:rsidP="003B4EBC">
            <w:pPr>
              <w:pStyle w:val="TableBodyCopy"/>
              <w:rPr>
                <w:lang w:eastAsia="en-AU"/>
              </w:rPr>
            </w:pPr>
            <w:r w:rsidRPr="001B387F">
              <w:rPr>
                <w:lang w:eastAsia="en-AU"/>
              </w:rPr>
              <w:t>1</w:t>
            </w:r>
            <w:r w:rsidR="008E17F0" w:rsidRPr="001B387F">
              <w:rPr>
                <w:lang w:eastAsia="en-AU"/>
              </w:rPr>
              <w:t> </w:t>
            </w:r>
            <w:r w:rsidRPr="001B387F">
              <w:rPr>
                <w:lang w:eastAsia="en-AU"/>
              </w:rPr>
              <w:t>policy/regulation (via World Bank partnership)</w:t>
            </w:r>
          </w:p>
        </w:tc>
        <w:tc>
          <w:tcPr>
            <w:tcW w:w="2504" w:type="dxa"/>
            <w:shd w:val="clear" w:color="auto" w:fill="D6E8D2"/>
          </w:tcPr>
          <w:p w14:paraId="7616A9EC" w14:textId="25005605" w:rsidR="009E3323" w:rsidRPr="001B387F" w:rsidRDefault="009E3323" w:rsidP="003B4EBC">
            <w:pPr>
              <w:pStyle w:val="TableBodyCopy"/>
              <w:rPr>
                <w:lang w:eastAsia="en-AU"/>
              </w:rPr>
            </w:pPr>
            <w:r w:rsidRPr="001B387F">
              <w:rPr>
                <w:lang w:eastAsia="en-AU"/>
              </w:rPr>
              <w:t xml:space="preserve">Agreement on analysis and assessments to improve digital </w:t>
            </w:r>
            <w:proofErr w:type="gramStart"/>
            <w:r w:rsidRPr="001B387F">
              <w:rPr>
                <w:lang w:eastAsia="en-AU"/>
              </w:rPr>
              <w:t>transformation</w:t>
            </w:r>
            <w:proofErr w:type="gramEnd"/>
          </w:p>
          <w:p w14:paraId="5E81ADF5" w14:textId="18141B07" w:rsidR="009E3323" w:rsidRPr="001B387F" w:rsidRDefault="009E3323" w:rsidP="003B4EBC">
            <w:pPr>
              <w:pStyle w:val="TableBodyCopy"/>
            </w:pPr>
            <w:r w:rsidRPr="001B387F">
              <w:rPr>
                <w:lang w:eastAsia="en-AU"/>
              </w:rPr>
              <w:t>N</w:t>
            </w:r>
            <w:r w:rsidR="00483656" w:rsidRPr="001B387F">
              <w:rPr>
                <w:lang w:eastAsia="en-AU"/>
              </w:rPr>
              <w:t>umber</w:t>
            </w:r>
            <w:r w:rsidRPr="001B387F">
              <w:rPr>
                <w:lang w:eastAsia="en-AU"/>
              </w:rPr>
              <w:t xml:space="preserve"> of implementation plan pilots to support implementation of digital transformation agenda</w:t>
            </w:r>
            <w:r w:rsidRPr="001B387F">
              <w:t xml:space="preserve"> </w:t>
            </w:r>
            <w:r w:rsidR="00172963" w:rsidRPr="001B387F">
              <w:t>(t</w:t>
            </w:r>
            <w:r w:rsidRPr="001B387F">
              <w:t>arget number to be identified in Aus4Growth inception</w:t>
            </w:r>
            <w:r w:rsidR="00172963" w:rsidRPr="001B387F">
              <w:t>)</w:t>
            </w:r>
          </w:p>
        </w:tc>
        <w:tc>
          <w:tcPr>
            <w:tcW w:w="2503" w:type="dxa"/>
            <w:shd w:val="clear" w:color="auto" w:fill="D6E8D2"/>
          </w:tcPr>
          <w:p w14:paraId="2FFB6726" w14:textId="5E24E5E9" w:rsidR="009E3323" w:rsidRPr="001B387F" w:rsidRDefault="009E3323" w:rsidP="003B4EBC">
            <w:pPr>
              <w:pStyle w:val="TableBodyCopy"/>
              <w:rPr>
                <w:lang w:eastAsia="en-AU"/>
              </w:rPr>
            </w:pPr>
            <w:r w:rsidRPr="001B387F">
              <w:rPr>
                <w:lang w:eastAsia="en-AU"/>
              </w:rPr>
              <w:t>Identification of digital transformation</w:t>
            </w:r>
            <w:r w:rsidR="00911A6A" w:rsidRPr="001B387F">
              <w:rPr>
                <w:lang w:eastAsia="en-AU"/>
              </w:rPr>
              <w:t>-</w:t>
            </w:r>
            <w:r w:rsidRPr="001B387F">
              <w:rPr>
                <w:lang w:eastAsia="en-AU"/>
              </w:rPr>
              <w:t xml:space="preserve">related laws, policies and guidelines to be supported for inclusive and sustainable economic </w:t>
            </w:r>
            <w:proofErr w:type="gramStart"/>
            <w:r w:rsidRPr="001B387F">
              <w:rPr>
                <w:lang w:eastAsia="en-AU"/>
              </w:rPr>
              <w:t>growth</w:t>
            </w:r>
            <w:proofErr w:type="gramEnd"/>
          </w:p>
          <w:p w14:paraId="4DA03B67" w14:textId="649305A9" w:rsidR="009E3323" w:rsidRPr="001B387F" w:rsidRDefault="009E3323" w:rsidP="003B4EBC">
            <w:pPr>
              <w:pStyle w:val="TableBodyCopy"/>
            </w:pPr>
            <w:r w:rsidRPr="001B387F">
              <w:rPr>
                <w:lang w:eastAsia="en-AU"/>
              </w:rPr>
              <w:t>N</w:t>
            </w:r>
            <w:r w:rsidR="00483656" w:rsidRPr="001B387F">
              <w:rPr>
                <w:lang w:eastAsia="en-AU"/>
              </w:rPr>
              <w:t>umber</w:t>
            </w:r>
            <w:r w:rsidRPr="001B387F">
              <w:rPr>
                <w:lang w:eastAsia="en-AU"/>
              </w:rPr>
              <w:t xml:space="preserve"> of implementation plan pilots to support implementation of digital transformation agenda </w:t>
            </w:r>
            <w:r w:rsidR="00172963" w:rsidRPr="001B387F">
              <w:rPr>
                <w:lang w:eastAsia="en-AU"/>
              </w:rPr>
              <w:t>(</w:t>
            </w:r>
            <w:r w:rsidR="00172963" w:rsidRPr="001B387F">
              <w:t>t</w:t>
            </w:r>
            <w:r w:rsidRPr="001B387F">
              <w:t>arget number to be identified in Aus4Growth inception</w:t>
            </w:r>
            <w:r w:rsidR="00172963" w:rsidRPr="001B387F">
              <w:t>)</w:t>
            </w:r>
          </w:p>
        </w:tc>
        <w:tc>
          <w:tcPr>
            <w:tcW w:w="2504" w:type="dxa"/>
            <w:shd w:val="clear" w:color="auto" w:fill="D6E8D2"/>
          </w:tcPr>
          <w:p w14:paraId="1713C586" w14:textId="774D0ECA" w:rsidR="009E3323" w:rsidRPr="001B387F" w:rsidRDefault="00090380" w:rsidP="003B4EBC">
            <w:pPr>
              <w:pStyle w:val="TableBodyCopy"/>
              <w:rPr>
                <w:szCs w:val="18"/>
              </w:rPr>
            </w:pPr>
            <w:r w:rsidRPr="001B387F">
              <w:rPr>
                <w:szCs w:val="18"/>
                <w:lang w:eastAsia="en-AU"/>
              </w:rPr>
              <w:t>SDG</w:t>
            </w:r>
            <w:r w:rsidR="009E3323" w:rsidRPr="001B387F">
              <w:rPr>
                <w:szCs w:val="18"/>
                <w:lang w:eastAsia="en-AU"/>
              </w:rPr>
              <w:t xml:space="preserve">2, </w:t>
            </w:r>
            <w:r w:rsidRPr="001B387F">
              <w:rPr>
                <w:szCs w:val="18"/>
                <w:lang w:eastAsia="en-AU"/>
              </w:rPr>
              <w:t>SDG</w:t>
            </w:r>
            <w:r w:rsidR="009E3323" w:rsidRPr="001B387F">
              <w:rPr>
                <w:szCs w:val="18"/>
                <w:lang w:eastAsia="en-AU"/>
              </w:rPr>
              <w:t xml:space="preserve">3, </w:t>
            </w:r>
            <w:r w:rsidRPr="001B387F">
              <w:rPr>
                <w:szCs w:val="18"/>
                <w:lang w:eastAsia="en-AU"/>
              </w:rPr>
              <w:t>SDG</w:t>
            </w:r>
            <w:r w:rsidR="009E3323" w:rsidRPr="001B387F">
              <w:rPr>
                <w:szCs w:val="18"/>
                <w:lang w:eastAsia="en-AU"/>
              </w:rPr>
              <w:t xml:space="preserve">5, </w:t>
            </w:r>
            <w:r w:rsidRPr="001B387F">
              <w:rPr>
                <w:szCs w:val="18"/>
                <w:lang w:eastAsia="en-AU"/>
              </w:rPr>
              <w:t>SDG</w:t>
            </w:r>
            <w:r w:rsidR="009E3323" w:rsidRPr="001B387F">
              <w:rPr>
                <w:szCs w:val="18"/>
                <w:lang w:eastAsia="en-AU"/>
              </w:rPr>
              <w:t>8</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9</w:t>
            </w:r>
          </w:p>
        </w:tc>
      </w:tr>
    </w:tbl>
    <w:p w14:paraId="1010F54C" w14:textId="66B37513" w:rsidR="009E3323" w:rsidRPr="001B387F" w:rsidRDefault="009E3323" w:rsidP="00606791">
      <w:pPr>
        <w:pStyle w:val="Tablenote"/>
      </w:pPr>
      <w:bookmarkStart w:id="4" w:name="T3na"/>
      <w:r w:rsidRPr="001B387F">
        <w:t>a</w:t>
      </w:r>
      <w:r w:rsidRPr="001B387F">
        <w:tab/>
        <w:t>Aus4Growth, the key contributor to this objective</w:t>
      </w:r>
      <w:r w:rsidR="008C232D" w:rsidRPr="001B387F">
        <w:t>,</w:t>
      </w:r>
      <w:r w:rsidRPr="001B387F">
        <w:t xml:space="preserve"> is still </w:t>
      </w:r>
      <w:r w:rsidR="008C232D" w:rsidRPr="001B387F">
        <w:t>being designed</w:t>
      </w:r>
      <w:r w:rsidR="00E6430F" w:rsidRPr="001B387F">
        <w:t>.</w:t>
      </w:r>
      <w:r w:rsidRPr="001B387F">
        <w:t xml:space="preserve"> </w:t>
      </w:r>
      <w:r w:rsidR="00E6430F" w:rsidRPr="001B387F">
        <w:t>P</w:t>
      </w:r>
      <w:r w:rsidRPr="001B387F">
        <w:t>riority laws, polices and guidelines for reform</w:t>
      </w:r>
      <w:r w:rsidR="00E6430F" w:rsidRPr="001B387F">
        <w:t xml:space="preserve"> or </w:t>
      </w:r>
      <w:r w:rsidRPr="001B387F">
        <w:t xml:space="preserve">development under </w:t>
      </w:r>
      <w:r w:rsidR="001C4953" w:rsidRPr="001B387F">
        <w:t>Aus4Growth</w:t>
      </w:r>
      <w:r w:rsidRPr="001B387F">
        <w:t xml:space="preserve"> will be confirmed once the design is complete.</w:t>
      </w:r>
    </w:p>
    <w:bookmarkEnd w:id="4"/>
    <w:p w14:paraId="6FACD8ED" w14:textId="47C14D7F" w:rsidR="009E3323" w:rsidRPr="001B387F" w:rsidRDefault="009E3323" w:rsidP="00900B1F">
      <w:pPr>
        <w:pStyle w:val="PAFobjectivehead"/>
        <w:spacing w:before="240"/>
      </w:pPr>
      <w:r w:rsidRPr="001B387F">
        <w:t xml:space="preserve">Objective 2: </w:t>
      </w:r>
      <w:r w:rsidR="00B12E44" w:rsidRPr="001B387F">
        <w:t>S</w:t>
      </w:r>
      <w:r w:rsidRPr="001B387F">
        <w:t>trengthen</w:t>
      </w:r>
      <w:r w:rsidR="00B12E44" w:rsidRPr="001B387F">
        <w:t>ed</w:t>
      </w:r>
      <w:r w:rsidRPr="001B387F">
        <w:t xml:space="preserve"> human resources to meet socioeconomic development </w:t>
      </w:r>
      <w:proofErr w:type="gramStart"/>
      <w:r w:rsidRPr="001B387F">
        <w:t>objectives</w:t>
      </w:r>
      <w:proofErr w:type="gramEnd"/>
    </w:p>
    <w:tbl>
      <w:tblPr>
        <w:tblStyle w:val="DFATWattle"/>
        <w:tblW w:w="15021" w:type="dxa"/>
        <w:tblLayout w:type="fixed"/>
        <w:tblLook w:val="04A0" w:firstRow="1" w:lastRow="0" w:firstColumn="1" w:lastColumn="0" w:noHBand="0" w:noVBand="1"/>
        <w:tblCaption w:val="Performance Assessment Framework for Objective 2"/>
        <w:tblDescription w:val="Expected results for Objective 2 for the first three years of the DPP and against the Sustainable Development Goals"/>
      </w:tblPr>
      <w:tblGrid>
        <w:gridCol w:w="2503"/>
        <w:gridCol w:w="2504"/>
        <w:gridCol w:w="2503"/>
        <w:gridCol w:w="2504"/>
        <w:gridCol w:w="2503"/>
        <w:gridCol w:w="2504"/>
      </w:tblGrid>
      <w:tr w:rsidR="009E3323" w:rsidRPr="001B387F" w14:paraId="7BAE8587" w14:textId="77777777" w:rsidTr="00091CB4">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58642FF2" w14:textId="77777777" w:rsidR="009E3323" w:rsidRPr="001B387F" w:rsidDel="008E7816" w:rsidRDefault="009E3323" w:rsidP="007605A6">
            <w:pPr>
              <w:pStyle w:val="TableHeading"/>
            </w:pPr>
            <w:r w:rsidRPr="001B387F">
              <w:t>Outcome</w:t>
            </w:r>
          </w:p>
        </w:tc>
        <w:tc>
          <w:tcPr>
            <w:tcW w:w="2504" w:type="dxa"/>
            <w:shd w:val="clear" w:color="auto" w:fill="3A586E"/>
            <w:hideMark/>
          </w:tcPr>
          <w:p w14:paraId="169029CA" w14:textId="77777777" w:rsidR="009E3323" w:rsidRPr="001B387F" w:rsidRDefault="009E3323" w:rsidP="007605A6">
            <w:pPr>
              <w:pStyle w:val="TableHeading"/>
            </w:pPr>
            <w:r w:rsidRPr="001B387F">
              <w:t>Indicator</w:t>
            </w:r>
          </w:p>
        </w:tc>
        <w:tc>
          <w:tcPr>
            <w:tcW w:w="2503" w:type="dxa"/>
            <w:shd w:val="clear" w:color="auto" w:fill="3A586E"/>
            <w:hideMark/>
          </w:tcPr>
          <w:p w14:paraId="339FD9D0" w14:textId="302B1E9E" w:rsidR="009E3323" w:rsidRPr="001B387F" w:rsidRDefault="009E3323" w:rsidP="007605A6">
            <w:pPr>
              <w:pStyle w:val="TableHeading"/>
            </w:pPr>
            <w:r w:rsidRPr="001B387F">
              <w:t>Expected results</w:t>
            </w:r>
            <w:r w:rsidRPr="001B387F">
              <w:br/>
              <w:t>2024–25</w:t>
            </w:r>
          </w:p>
        </w:tc>
        <w:tc>
          <w:tcPr>
            <w:tcW w:w="2504" w:type="dxa"/>
            <w:shd w:val="clear" w:color="auto" w:fill="3A586E"/>
            <w:hideMark/>
          </w:tcPr>
          <w:p w14:paraId="1673D995" w14:textId="5DC6CD43" w:rsidR="009E3323" w:rsidRPr="001B387F" w:rsidRDefault="009E3323" w:rsidP="007605A6">
            <w:pPr>
              <w:pStyle w:val="TableHeading"/>
            </w:pPr>
            <w:r w:rsidRPr="001B387F">
              <w:t>Expected results</w:t>
            </w:r>
            <w:r w:rsidRPr="001B387F">
              <w:br/>
              <w:t>2025–26</w:t>
            </w:r>
          </w:p>
        </w:tc>
        <w:tc>
          <w:tcPr>
            <w:tcW w:w="2503" w:type="dxa"/>
            <w:shd w:val="clear" w:color="auto" w:fill="3A586E"/>
            <w:hideMark/>
          </w:tcPr>
          <w:p w14:paraId="756ED482" w14:textId="1F367E5A" w:rsidR="009E3323" w:rsidRPr="001B387F" w:rsidRDefault="009E3323" w:rsidP="007605A6">
            <w:pPr>
              <w:pStyle w:val="TableHeading"/>
            </w:pPr>
            <w:r w:rsidRPr="001B387F">
              <w:t>Expected results</w:t>
            </w:r>
            <w:r w:rsidRPr="001B387F">
              <w:br/>
              <w:t>2026–27</w:t>
            </w:r>
          </w:p>
        </w:tc>
        <w:tc>
          <w:tcPr>
            <w:tcW w:w="2504" w:type="dxa"/>
            <w:shd w:val="clear" w:color="auto" w:fill="3A586E"/>
            <w:hideMark/>
          </w:tcPr>
          <w:p w14:paraId="37DB85F3" w14:textId="77777777" w:rsidR="009E3323" w:rsidRPr="001B387F" w:rsidRDefault="009E3323" w:rsidP="007605A6">
            <w:pPr>
              <w:pStyle w:val="TableHeading"/>
            </w:pPr>
            <w:r w:rsidRPr="001B387F">
              <w:t>Sustainable Development Goals (SDGs)</w:t>
            </w:r>
          </w:p>
        </w:tc>
      </w:tr>
      <w:tr w:rsidR="009E3323" w:rsidRPr="001B387F" w14:paraId="164EEB71" w14:textId="77777777" w:rsidTr="00091CB4">
        <w:trPr>
          <w:cantSplit/>
          <w:trHeight w:val="594"/>
        </w:trPr>
        <w:tc>
          <w:tcPr>
            <w:tcW w:w="2503" w:type="dxa"/>
            <w:shd w:val="clear" w:color="auto" w:fill="FBEED2"/>
          </w:tcPr>
          <w:p w14:paraId="71458C78" w14:textId="1F8E5D9B" w:rsidR="009E3323" w:rsidRPr="001B387F" w:rsidRDefault="009E3323" w:rsidP="003B4EBC">
            <w:pPr>
              <w:pStyle w:val="TableBodyCopybold"/>
            </w:pPr>
            <w:r w:rsidRPr="001B387F" w:rsidDel="008E7816">
              <w:t>Outcome 2.1</w:t>
            </w:r>
          </w:p>
          <w:p w14:paraId="142ABE53" w14:textId="77777777" w:rsidR="009E3323" w:rsidRPr="001B387F" w:rsidRDefault="009E3323" w:rsidP="003B4EBC">
            <w:pPr>
              <w:pStyle w:val="TableBodyCopy"/>
            </w:pPr>
            <w:r w:rsidRPr="001B387F">
              <w:t>Enhanced capability of human resources through exchange of knowledge and skills with Australia</w:t>
            </w:r>
          </w:p>
        </w:tc>
        <w:tc>
          <w:tcPr>
            <w:tcW w:w="2504" w:type="dxa"/>
            <w:shd w:val="clear" w:color="auto" w:fill="FBEED2"/>
            <w:hideMark/>
          </w:tcPr>
          <w:p w14:paraId="46D42AD4" w14:textId="2EBD7229" w:rsidR="009E3323" w:rsidRPr="001B387F" w:rsidRDefault="009E3323" w:rsidP="003B4EBC">
            <w:pPr>
              <w:pStyle w:val="TableBodyCopy"/>
            </w:pPr>
            <w:r w:rsidRPr="001B387F">
              <w:rPr>
                <w:rFonts w:cs="Calibri"/>
                <w:szCs w:val="20"/>
              </w:rPr>
              <w:t>2.1.1 N</w:t>
            </w:r>
            <w:r w:rsidR="00483656" w:rsidRPr="001B387F">
              <w:rPr>
                <w:rFonts w:cs="Calibri"/>
                <w:szCs w:val="20"/>
              </w:rPr>
              <w:t>umber</w:t>
            </w:r>
            <w:r w:rsidRPr="001B387F">
              <w:rPr>
                <w:rFonts w:cs="Calibri"/>
                <w:szCs w:val="20"/>
              </w:rPr>
              <w:t xml:space="preserve"> of people who successfully complete a tertiary or technical/ vocational course or work-related training </w:t>
            </w:r>
            <w:r w:rsidRPr="001B387F">
              <w:rPr>
                <w:rFonts w:cs="Calibri"/>
                <w:iCs/>
                <w:szCs w:val="20"/>
              </w:rPr>
              <w:t>(Tier</w:t>
            </w:r>
            <w:r w:rsidR="009A3D72" w:rsidRPr="001B387F">
              <w:rPr>
                <w:rFonts w:cs="Calibri"/>
                <w:iCs/>
                <w:szCs w:val="20"/>
              </w:rPr>
              <w:t> </w:t>
            </w:r>
            <w:r w:rsidRPr="001B387F">
              <w:rPr>
                <w:rFonts w:cs="Calibri"/>
                <w:iCs/>
                <w:szCs w:val="20"/>
              </w:rPr>
              <w:t>2)</w:t>
            </w:r>
          </w:p>
        </w:tc>
        <w:tc>
          <w:tcPr>
            <w:tcW w:w="2503" w:type="dxa"/>
            <w:shd w:val="clear" w:color="auto" w:fill="FBEED2"/>
          </w:tcPr>
          <w:p w14:paraId="2DAAB789" w14:textId="34D15B2C" w:rsidR="009E3323" w:rsidRPr="001B387F" w:rsidRDefault="009E3323" w:rsidP="003B4EBC">
            <w:pPr>
              <w:pStyle w:val="TableBodyCopy"/>
            </w:pPr>
            <w:r w:rsidRPr="001B387F">
              <w:rPr>
                <w:rFonts w:cs="Calibri"/>
                <w:szCs w:val="20"/>
              </w:rPr>
              <w:t>4,155</w:t>
            </w:r>
            <w:r w:rsidR="00911A6A" w:rsidRPr="001B387F">
              <w:rPr>
                <w:rFonts w:cs="Calibri"/>
                <w:szCs w:val="20"/>
              </w:rPr>
              <w:t> </w:t>
            </w:r>
            <w:r w:rsidRPr="001B387F">
              <w:rPr>
                <w:rFonts w:cs="Calibri"/>
                <w:szCs w:val="20"/>
              </w:rPr>
              <w:t>people (50% men, 50% women)</w:t>
            </w:r>
          </w:p>
        </w:tc>
        <w:tc>
          <w:tcPr>
            <w:tcW w:w="2504" w:type="dxa"/>
            <w:shd w:val="clear" w:color="auto" w:fill="FBEED2"/>
          </w:tcPr>
          <w:p w14:paraId="3F8385D4" w14:textId="2D5F26A6" w:rsidR="009E3323" w:rsidRPr="001B387F" w:rsidRDefault="009E3323" w:rsidP="003B4EBC">
            <w:pPr>
              <w:pStyle w:val="TableBodyCopy"/>
              <w:rPr>
                <w:vertAlign w:val="superscript"/>
              </w:rPr>
            </w:pPr>
            <w:r w:rsidRPr="001B387F">
              <w:rPr>
                <w:rFonts w:cs="Calibri"/>
                <w:szCs w:val="20"/>
              </w:rPr>
              <w:t xml:space="preserve">Targets to be defined </w:t>
            </w:r>
            <w:r w:rsidR="007E2780" w:rsidRPr="001B387F">
              <w:rPr>
                <w:rFonts w:cs="Calibri"/>
                <w:szCs w:val="20"/>
              </w:rPr>
              <w:t>in</w:t>
            </w:r>
            <w:r w:rsidRPr="001B387F">
              <w:rPr>
                <w:rFonts w:cs="Calibri"/>
                <w:szCs w:val="20"/>
              </w:rPr>
              <w:t xml:space="preserve"> Aus4Skills design and </w:t>
            </w:r>
            <w:proofErr w:type="spellStart"/>
            <w:r w:rsidRPr="001B387F">
              <w:rPr>
                <w:rFonts w:cs="Calibri"/>
                <w:szCs w:val="20"/>
              </w:rPr>
              <w:t>inception</w:t>
            </w:r>
            <w:hyperlink w:anchor="T3nb" w:history="1">
              <w:r w:rsidR="00E0346F" w:rsidRPr="001B387F">
                <w:rPr>
                  <w:rStyle w:val="tablehyperlink"/>
                </w:rPr>
                <w:t>b</w:t>
              </w:r>
              <w:proofErr w:type="spellEnd"/>
            </w:hyperlink>
          </w:p>
        </w:tc>
        <w:tc>
          <w:tcPr>
            <w:tcW w:w="2503" w:type="dxa"/>
            <w:shd w:val="clear" w:color="auto" w:fill="FBEED2"/>
          </w:tcPr>
          <w:p w14:paraId="56F7880B" w14:textId="28096C19" w:rsidR="009E3323" w:rsidRPr="001B387F" w:rsidRDefault="009E3323" w:rsidP="003B4EBC">
            <w:pPr>
              <w:pStyle w:val="TableBodyCopy"/>
            </w:pPr>
            <w:r w:rsidRPr="001B387F">
              <w:rPr>
                <w:rFonts w:cs="Calibri"/>
                <w:szCs w:val="20"/>
              </w:rPr>
              <w:t xml:space="preserve">Targets to be defined </w:t>
            </w:r>
            <w:r w:rsidR="007E2780" w:rsidRPr="001B387F">
              <w:rPr>
                <w:rFonts w:cs="Calibri"/>
                <w:szCs w:val="20"/>
              </w:rPr>
              <w:t>in</w:t>
            </w:r>
            <w:r w:rsidRPr="001B387F">
              <w:rPr>
                <w:rFonts w:cs="Calibri"/>
                <w:szCs w:val="20"/>
              </w:rPr>
              <w:t xml:space="preserve"> Aus4Skills design and inception</w:t>
            </w:r>
          </w:p>
        </w:tc>
        <w:tc>
          <w:tcPr>
            <w:tcW w:w="2504" w:type="dxa"/>
            <w:shd w:val="clear" w:color="auto" w:fill="FBEED2"/>
          </w:tcPr>
          <w:p w14:paraId="444301CC" w14:textId="0C84CE42" w:rsidR="00090380" w:rsidRPr="001B387F" w:rsidRDefault="00090380" w:rsidP="003B4EBC">
            <w:pPr>
              <w:pStyle w:val="TableBodyCopy"/>
              <w:rPr>
                <w:rFonts w:cs="Calibri"/>
                <w:color w:val="000000"/>
                <w:szCs w:val="20"/>
              </w:rPr>
            </w:pPr>
            <w:r w:rsidRPr="001B387F">
              <w:rPr>
                <w:rFonts w:cs="Calibri"/>
                <w:color w:val="000000"/>
                <w:szCs w:val="20"/>
              </w:rPr>
              <w:t>SDG</w:t>
            </w:r>
            <w:r w:rsidR="009E3323" w:rsidRPr="001B387F">
              <w:rPr>
                <w:rFonts w:cs="Calibri"/>
                <w:color w:val="000000"/>
                <w:szCs w:val="20"/>
              </w:rPr>
              <w:t>4</w:t>
            </w:r>
            <w:r w:rsidRPr="001B387F">
              <w:rPr>
                <w:rFonts w:cs="Calibri"/>
                <w:color w:val="000000"/>
                <w:szCs w:val="20"/>
              </w:rPr>
              <w:t>:</w:t>
            </w:r>
            <w:r w:rsidR="009E3323" w:rsidRPr="001B387F">
              <w:rPr>
                <w:rFonts w:cs="Calibri"/>
                <w:color w:val="000000"/>
                <w:szCs w:val="20"/>
              </w:rPr>
              <w:t xml:space="preserve"> </w:t>
            </w:r>
            <w:r w:rsidR="000D3232" w:rsidRPr="001B387F">
              <w:rPr>
                <w:rFonts w:cs="Calibri"/>
                <w:color w:val="000000"/>
                <w:szCs w:val="20"/>
              </w:rPr>
              <w:t>Quality education</w:t>
            </w:r>
          </w:p>
          <w:p w14:paraId="712AE98E" w14:textId="64C99BDF" w:rsidR="009E3323" w:rsidRPr="001B387F" w:rsidRDefault="00090380" w:rsidP="003B4EBC">
            <w:pPr>
              <w:pStyle w:val="TableBodyCopy"/>
            </w:pPr>
            <w:r w:rsidRPr="001B387F">
              <w:rPr>
                <w:rFonts w:cs="Calibri"/>
                <w:color w:val="000000"/>
                <w:szCs w:val="20"/>
              </w:rPr>
              <w:t>SDG</w:t>
            </w:r>
            <w:r w:rsidR="009E3323" w:rsidRPr="001B387F">
              <w:rPr>
                <w:rFonts w:cs="Calibri"/>
                <w:color w:val="000000"/>
                <w:szCs w:val="20"/>
              </w:rPr>
              <w:t>5</w:t>
            </w:r>
            <w:r w:rsidRPr="001B387F">
              <w:rPr>
                <w:rFonts w:cs="Calibri"/>
                <w:color w:val="000000"/>
                <w:szCs w:val="20"/>
              </w:rPr>
              <w:t>:</w:t>
            </w:r>
            <w:r w:rsidR="00746082" w:rsidRPr="001B387F">
              <w:rPr>
                <w:rFonts w:cs="Calibri"/>
                <w:color w:val="000000"/>
                <w:szCs w:val="20"/>
              </w:rPr>
              <w:t xml:space="preserve"> Gender equality</w:t>
            </w:r>
          </w:p>
        </w:tc>
      </w:tr>
      <w:tr w:rsidR="009E3323" w:rsidRPr="001B387F" w14:paraId="490D5227" w14:textId="77777777" w:rsidTr="00091CB4">
        <w:trPr>
          <w:cantSplit/>
          <w:trHeight w:val="494"/>
        </w:trPr>
        <w:tc>
          <w:tcPr>
            <w:tcW w:w="2503" w:type="dxa"/>
            <w:shd w:val="clear" w:color="auto" w:fill="FBEED2"/>
          </w:tcPr>
          <w:p w14:paraId="6CAB1574" w14:textId="4FA0D96D" w:rsidR="009E3323" w:rsidRPr="001B387F" w:rsidRDefault="009E3323" w:rsidP="003B4EBC">
            <w:pPr>
              <w:pStyle w:val="TableBodyCopybold"/>
            </w:pPr>
            <w:r w:rsidRPr="001B387F" w:rsidDel="008E7816">
              <w:lastRenderedPageBreak/>
              <w:t>Outcome 2.1</w:t>
            </w:r>
          </w:p>
        </w:tc>
        <w:tc>
          <w:tcPr>
            <w:tcW w:w="2504" w:type="dxa"/>
            <w:shd w:val="clear" w:color="auto" w:fill="FBEED2"/>
            <w:hideMark/>
          </w:tcPr>
          <w:p w14:paraId="441C71C9" w14:textId="5DE95EEA" w:rsidR="009E3323" w:rsidRPr="001B387F" w:rsidRDefault="009E3323" w:rsidP="003B4EBC">
            <w:pPr>
              <w:pStyle w:val="TableBodyCopy"/>
              <w:rPr>
                <w:iCs/>
              </w:rPr>
            </w:pPr>
            <w:r w:rsidRPr="001B387F">
              <w:t>2.1.2 N</w:t>
            </w:r>
            <w:r w:rsidR="00483656" w:rsidRPr="001B387F">
              <w:t>umber</w:t>
            </w:r>
            <w:r w:rsidRPr="001B387F">
              <w:t xml:space="preserve"> and percentage of alumni participating in mutual collaborations between Vietnam and Australia, after completion of </w:t>
            </w:r>
            <w:r w:rsidR="007B2F67" w:rsidRPr="001B387F">
              <w:t xml:space="preserve">an </w:t>
            </w:r>
            <w:r w:rsidRPr="001B387F">
              <w:t>Australia Award (</w:t>
            </w:r>
            <w:r w:rsidRPr="001B387F">
              <w:rPr>
                <w:iCs/>
              </w:rPr>
              <w:t>Tier</w:t>
            </w:r>
            <w:r w:rsidR="009A3D72" w:rsidRPr="001B387F">
              <w:rPr>
                <w:iCs/>
              </w:rPr>
              <w:t> </w:t>
            </w:r>
            <w:r w:rsidRPr="001B387F">
              <w:rPr>
                <w:iCs/>
              </w:rPr>
              <w:t>2)</w:t>
            </w:r>
          </w:p>
        </w:tc>
        <w:tc>
          <w:tcPr>
            <w:tcW w:w="2503" w:type="dxa"/>
            <w:shd w:val="clear" w:color="auto" w:fill="FBEED2"/>
          </w:tcPr>
          <w:p w14:paraId="061571FE" w14:textId="30063788" w:rsidR="009E3323" w:rsidRPr="001B387F" w:rsidRDefault="009E3323" w:rsidP="003B4EBC">
            <w:pPr>
              <w:pStyle w:val="TableBodyCopy"/>
            </w:pPr>
            <w:r w:rsidRPr="001B387F">
              <w:t>84</w:t>
            </w:r>
            <w:r w:rsidR="00141402" w:rsidRPr="001B387F">
              <w:t> </w:t>
            </w:r>
            <w:r w:rsidRPr="001B387F">
              <w:t>alumni (equivalent to 50.60% of those surveyed in 2024</w:t>
            </w:r>
            <w:r w:rsidR="008903A0" w:rsidRPr="001B387F">
              <w:t>–</w:t>
            </w:r>
            <w:r w:rsidRPr="001B387F">
              <w:t>25 for the Alumni Development Impact</w:t>
            </w:r>
            <w:r w:rsidR="0094566A" w:rsidRPr="001B387F">
              <w:t xml:space="preserve"> Survey</w:t>
            </w:r>
            <w:r w:rsidRPr="001B387F">
              <w:t>)</w:t>
            </w:r>
          </w:p>
        </w:tc>
        <w:tc>
          <w:tcPr>
            <w:tcW w:w="2504" w:type="dxa"/>
            <w:shd w:val="clear" w:color="auto" w:fill="FBEED2"/>
          </w:tcPr>
          <w:p w14:paraId="26C91B1F" w14:textId="1520559A"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3" w:type="dxa"/>
            <w:shd w:val="clear" w:color="auto" w:fill="FBEED2"/>
          </w:tcPr>
          <w:p w14:paraId="70DA7B64" w14:textId="5031F7B8"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4" w:type="dxa"/>
            <w:shd w:val="clear" w:color="auto" w:fill="FBEED2"/>
          </w:tcPr>
          <w:p w14:paraId="08BCAB89" w14:textId="27F92E34" w:rsidR="009E3323" w:rsidRPr="001B387F" w:rsidRDefault="000D3232" w:rsidP="003B4EBC">
            <w:pPr>
              <w:pStyle w:val="TableBodyCopy"/>
            </w:pPr>
            <w:r w:rsidRPr="001B387F">
              <w:rPr>
                <w:color w:val="000000"/>
              </w:rPr>
              <w:t>SDG</w:t>
            </w:r>
            <w:r w:rsidR="009E3323" w:rsidRPr="001B387F">
              <w:rPr>
                <w:color w:val="000000"/>
              </w:rPr>
              <w:t>4</w:t>
            </w:r>
            <w:r w:rsidRPr="001B387F">
              <w:rPr>
                <w:color w:val="000000"/>
              </w:rPr>
              <w:t>,</w:t>
            </w:r>
            <w:r w:rsidR="009E3323" w:rsidRPr="001B387F">
              <w:rPr>
                <w:color w:val="000000"/>
              </w:rPr>
              <w:t xml:space="preserve"> </w:t>
            </w:r>
            <w:r w:rsidRPr="001B387F">
              <w:rPr>
                <w:color w:val="000000"/>
              </w:rPr>
              <w:t>SDG</w:t>
            </w:r>
            <w:r w:rsidR="009E3323" w:rsidRPr="001B387F">
              <w:rPr>
                <w:color w:val="000000"/>
              </w:rPr>
              <w:t>5</w:t>
            </w:r>
          </w:p>
        </w:tc>
      </w:tr>
      <w:tr w:rsidR="009E3323" w:rsidRPr="001B387F" w14:paraId="5D4BBBE1" w14:textId="77777777" w:rsidTr="00091CB4">
        <w:trPr>
          <w:cantSplit/>
          <w:trHeight w:val="494"/>
        </w:trPr>
        <w:tc>
          <w:tcPr>
            <w:tcW w:w="2503" w:type="dxa"/>
            <w:shd w:val="clear" w:color="auto" w:fill="FBEED2"/>
          </w:tcPr>
          <w:p w14:paraId="1F158287" w14:textId="43C619F9" w:rsidR="009E3323" w:rsidRPr="001B387F" w:rsidRDefault="009E3323" w:rsidP="003B4EBC">
            <w:pPr>
              <w:pStyle w:val="TableBodyCopybold"/>
            </w:pPr>
            <w:r w:rsidRPr="001B387F" w:rsidDel="008E7816">
              <w:t>Outcome 2.1</w:t>
            </w:r>
          </w:p>
        </w:tc>
        <w:tc>
          <w:tcPr>
            <w:tcW w:w="2504" w:type="dxa"/>
            <w:shd w:val="clear" w:color="auto" w:fill="FBEED2"/>
          </w:tcPr>
          <w:p w14:paraId="23AC60EF" w14:textId="1D6E4AFF" w:rsidR="009E3323" w:rsidRPr="001B387F" w:rsidRDefault="009E3323" w:rsidP="003B4EBC">
            <w:pPr>
              <w:pStyle w:val="TableBodyCopy"/>
            </w:pPr>
            <w:r w:rsidRPr="001B387F">
              <w:t>2.1.3 N</w:t>
            </w:r>
            <w:r w:rsidR="00483656" w:rsidRPr="001B387F">
              <w:t>umber</w:t>
            </w:r>
            <w:r w:rsidRPr="001B387F">
              <w:t xml:space="preserve"> of organisations supported to strengthen accountability and/or inclusion, including examples of assistance provided and significant policy change achieved (Tier</w:t>
            </w:r>
            <w:r w:rsidR="009A3D72" w:rsidRPr="001B387F">
              <w:t> </w:t>
            </w:r>
            <w:r w:rsidRPr="001B387F">
              <w:t>2)</w:t>
            </w:r>
          </w:p>
        </w:tc>
        <w:tc>
          <w:tcPr>
            <w:tcW w:w="2503" w:type="dxa"/>
            <w:shd w:val="clear" w:color="auto" w:fill="FBEED2"/>
          </w:tcPr>
          <w:p w14:paraId="270F7948" w14:textId="2B3FE4C4" w:rsidR="009E3323" w:rsidRPr="001B387F" w:rsidRDefault="009E3323" w:rsidP="003B4EBC">
            <w:pPr>
              <w:pStyle w:val="TableBodyCopy"/>
            </w:pPr>
            <w:r w:rsidRPr="001B387F">
              <w:t>34</w:t>
            </w:r>
            <w:r w:rsidR="0045364E" w:rsidRPr="001B387F">
              <w:t> </w:t>
            </w:r>
            <w:r w:rsidRPr="001B387F">
              <w:t>organisations</w:t>
            </w:r>
          </w:p>
        </w:tc>
        <w:tc>
          <w:tcPr>
            <w:tcW w:w="2504" w:type="dxa"/>
            <w:shd w:val="clear" w:color="auto" w:fill="FBEED2"/>
          </w:tcPr>
          <w:p w14:paraId="653484E6" w14:textId="657613F1"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3" w:type="dxa"/>
            <w:shd w:val="clear" w:color="auto" w:fill="FBEED2"/>
          </w:tcPr>
          <w:p w14:paraId="516DF7B7" w14:textId="4D6480B0"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4" w:type="dxa"/>
            <w:shd w:val="clear" w:color="auto" w:fill="FBEED2"/>
          </w:tcPr>
          <w:p w14:paraId="02C511E2" w14:textId="23A9B941" w:rsidR="009E3323" w:rsidRPr="001B387F" w:rsidRDefault="000D3232" w:rsidP="003B4EBC">
            <w:pPr>
              <w:pStyle w:val="TableBodyCopy"/>
            </w:pPr>
            <w:r w:rsidRPr="001B387F">
              <w:rPr>
                <w:color w:val="000000"/>
              </w:rPr>
              <w:t>SDG</w:t>
            </w:r>
            <w:r w:rsidR="009E3323" w:rsidRPr="001B387F">
              <w:rPr>
                <w:color w:val="000000"/>
              </w:rPr>
              <w:t>4</w:t>
            </w:r>
            <w:r w:rsidRPr="001B387F">
              <w:rPr>
                <w:color w:val="000000"/>
              </w:rPr>
              <w:t>,</w:t>
            </w:r>
            <w:r w:rsidR="009E3323" w:rsidRPr="001B387F">
              <w:rPr>
                <w:color w:val="000000"/>
              </w:rPr>
              <w:t xml:space="preserve"> </w:t>
            </w:r>
            <w:r w:rsidRPr="001B387F">
              <w:rPr>
                <w:color w:val="000000"/>
              </w:rPr>
              <w:t>SDG</w:t>
            </w:r>
            <w:r w:rsidR="009E3323" w:rsidRPr="001B387F">
              <w:rPr>
                <w:color w:val="000000"/>
              </w:rPr>
              <w:t>5</w:t>
            </w:r>
          </w:p>
        </w:tc>
      </w:tr>
      <w:tr w:rsidR="009E3323" w:rsidRPr="001B387F" w14:paraId="2EAA0141" w14:textId="77777777" w:rsidTr="00091CB4">
        <w:trPr>
          <w:cantSplit/>
          <w:trHeight w:val="494"/>
        </w:trPr>
        <w:tc>
          <w:tcPr>
            <w:tcW w:w="2503" w:type="dxa"/>
            <w:shd w:val="clear" w:color="auto" w:fill="FBEED2"/>
          </w:tcPr>
          <w:p w14:paraId="3D738A19" w14:textId="1E200AD1" w:rsidR="009E3323" w:rsidRPr="001B387F" w:rsidRDefault="009E3323" w:rsidP="003B4EBC">
            <w:pPr>
              <w:pStyle w:val="TableBodyCopybold"/>
            </w:pPr>
            <w:r w:rsidRPr="001B387F">
              <w:t>Outcome 2.2</w:t>
            </w:r>
          </w:p>
          <w:p w14:paraId="663EC57C" w14:textId="00939B9F" w:rsidR="009E3323" w:rsidRPr="001B387F" w:rsidRDefault="009E3323" w:rsidP="003B4EBC">
            <w:pPr>
              <w:pStyle w:val="TableBodyCopy"/>
            </w:pPr>
            <w:r w:rsidRPr="001B387F">
              <w:t>Improved inclusive vocational education and training</w:t>
            </w:r>
            <w:r w:rsidR="00DE496C" w:rsidRPr="001B387F">
              <w:t xml:space="preserve"> (</w:t>
            </w:r>
            <w:r w:rsidR="006A218C" w:rsidRPr="001B387F">
              <w:t>VET</w:t>
            </w:r>
            <w:r w:rsidR="00DE496C" w:rsidRPr="001B387F">
              <w:t>)</w:t>
            </w:r>
            <w:r w:rsidRPr="001B387F">
              <w:t xml:space="preserve"> system</w:t>
            </w:r>
          </w:p>
        </w:tc>
        <w:tc>
          <w:tcPr>
            <w:tcW w:w="2504" w:type="dxa"/>
            <w:shd w:val="clear" w:color="auto" w:fill="FBEED2"/>
          </w:tcPr>
          <w:p w14:paraId="112B24AE" w14:textId="63F4496C" w:rsidR="009E3323" w:rsidRPr="001B387F" w:rsidRDefault="009E3323" w:rsidP="003B4EBC">
            <w:pPr>
              <w:pStyle w:val="TableBodyCopy"/>
            </w:pPr>
            <w:r w:rsidRPr="001B387F">
              <w:t>2.2.1 Pilot VET system expands geographically and influences national reform</w:t>
            </w:r>
          </w:p>
        </w:tc>
        <w:tc>
          <w:tcPr>
            <w:tcW w:w="2503" w:type="dxa"/>
            <w:shd w:val="clear" w:color="auto" w:fill="FBEED2"/>
          </w:tcPr>
          <w:p w14:paraId="3F2AD9A3" w14:textId="4134B9DF" w:rsidR="009E3323" w:rsidRPr="001B387F" w:rsidRDefault="009E3323" w:rsidP="003B4EBC">
            <w:pPr>
              <w:pStyle w:val="TableBodyCopy"/>
            </w:pPr>
            <w:r w:rsidRPr="001B387F">
              <w:rPr>
                <w:rFonts w:eastAsia="Calibri Light"/>
              </w:rPr>
              <w:t>A piloted nationwide sector skills council is operating in the logistics sector, supported by Australia in selected regions of Vietnam</w:t>
            </w:r>
          </w:p>
        </w:tc>
        <w:tc>
          <w:tcPr>
            <w:tcW w:w="2504" w:type="dxa"/>
            <w:shd w:val="clear" w:color="auto" w:fill="FBEED2"/>
          </w:tcPr>
          <w:p w14:paraId="68E6284C" w14:textId="49299B99"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3" w:type="dxa"/>
            <w:shd w:val="clear" w:color="auto" w:fill="FBEED2"/>
          </w:tcPr>
          <w:p w14:paraId="5DC09E33" w14:textId="107F08E6" w:rsidR="009E3323" w:rsidRPr="001B387F" w:rsidRDefault="009E3323" w:rsidP="003B4EBC">
            <w:pPr>
              <w:pStyle w:val="TableBodyCopy"/>
            </w:pPr>
            <w:r w:rsidRPr="001B387F">
              <w:t xml:space="preserve">Targets to be defined </w:t>
            </w:r>
            <w:r w:rsidR="007E2780" w:rsidRPr="001B387F">
              <w:t>in</w:t>
            </w:r>
            <w:r w:rsidRPr="001B387F">
              <w:t xml:space="preserve"> Aus4Skills design and inception</w:t>
            </w:r>
          </w:p>
        </w:tc>
        <w:tc>
          <w:tcPr>
            <w:tcW w:w="2504" w:type="dxa"/>
            <w:shd w:val="clear" w:color="auto" w:fill="FBEED2"/>
          </w:tcPr>
          <w:p w14:paraId="4181E138" w14:textId="74850C6F" w:rsidR="009E3323" w:rsidRPr="001B387F" w:rsidRDefault="00B90E7F" w:rsidP="003B4EBC">
            <w:pPr>
              <w:pStyle w:val="TableBodyCopy"/>
            </w:pPr>
            <w:r w:rsidRPr="001B387F">
              <w:rPr>
                <w:color w:val="000000"/>
              </w:rPr>
              <w:t>SDG</w:t>
            </w:r>
            <w:r w:rsidR="009E3323" w:rsidRPr="001B387F">
              <w:rPr>
                <w:color w:val="000000"/>
              </w:rPr>
              <w:t>4</w:t>
            </w:r>
            <w:r w:rsidRPr="001B387F">
              <w:rPr>
                <w:color w:val="000000"/>
              </w:rPr>
              <w:t>,</w:t>
            </w:r>
            <w:r w:rsidR="009E3323" w:rsidRPr="001B387F">
              <w:rPr>
                <w:color w:val="000000"/>
              </w:rPr>
              <w:t xml:space="preserve"> </w:t>
            </w:r>
            <w:r w:rsidRPr="001B387F">
              <w:rPr>
                <w:color w:val="000000"/>
              </w:rPr>
              <w:t>SDG</w:t>
            </w:r>
            <w:r w:rsidR="009E3323" w:rsidRPr="001B387F">
              <w:rPr>
                <w:color w:val="000000"/>
              </w:rPr>
              <w:t>5</w:t>
            </w:r>
          </w:p>
        </w:tc>
      </w:tr>
      <w:tr w:rsidR="009E3323" w:rsidRPr="001B387F" w14:paraId="00DB0030" w14:textId="77777777" w:rsidTr="00091CB4">
        <w:trPr>
          <w:cantSplit/>
          <w:trHeight w:val="494"/>
        </w:trPr>
        <w:tc>
          <w:tcPr>
            <w:tcW w:w="2503" w:type="dxa"/>
            <w:shd w:val="clear" w:color="auto" w:fill="FBEED2"/>
          </w:tcPr>
          <w:p w14:paraId="4AFEE145" w14:textId="10D2E9B3" w:rsidR="009E3323" w:rsidRPr="001B387F" w:rsidRDefault="009E3323" w:rsidP="003B4EBC">
            <w:pPr>
              <w:pStyle w:val="TableBodyCopybold"/>
            </w:pPr>
            <w:r w:rsidRPr="001B387F">
              <w:t>Outcome 2.2</w:t>
            </w:r>
          </w:p>
        </w:tc>
        <w:tc>
          <w:tcPr>
            <w:tcW w:w="2504" w:type="dxa"/>
            <w:shd w:val="clear" w:color="auto" w:fill="FBEED2"/>
          </w:tcPr>
          <w:p w14:paraId="2F14F8EC" w14:textId="3308CE28" w:rsidR="009E3323" w:rsidRPr="001B387F" w:rsidRDefault="009E3323" w:rsidP="003B4EBC">
            <w:pPr>
              <w:pStyle w:val="TableBodyCopy"/>
            </w:pPr>
            <w:r w:rsidRPr="001B387F">
              <w:t>2.2.2 Number of VET graduates ready for employment</w:t>
            </w:r>
          </w:p>
        </w:tc>
        <w:tc>
          <w:tcPr>
            <w:tcW w:w="2503" w:type="dxa"/>
            <w:shd w:val="clear" w:color="auto" w:fill="FBEED2"/>
          </w:tcPr>
          <w:p w14:paraId="529E3BF1" w14:textId="2F3AF6F6" w:rsidR="009E3323" w:rsidRPr="001B387F" w:rsidRDefault="009E3323" w:rsidP="003B4EBC">
            <w:pPr>
              <w:pStyle w:val="TableBodyCopy"/>
              <w:rPr>
                <w:iCs/>
              </w:rPr>
            </w:pPr>
            <w:r w:rsidRPr="001B387F">
              <w:rPr>
                <w:rFonts w:eastAsia="Calibri Light"/>
                <w:iCs/>
              </w:rPr>
              <w:t xml:space="preserve">A VET graduate outcome study is completed to serve as </w:t>
            </w:r>
            <w:r w:rsidR="004225D3" w:rsidRPr="001B387F">
              <w:rPr>
                <w:rFonts w:eastAsia="Calibri Light"/>
                <w:iCs/>
              </w:rPr>
              <w:t>a</w:t>
            </w:r>
            <w:r w:rsidRPr="001B387F">
              <w:rPr>
                <w:rFonts w:eastAsia="Calibri Light"/>
                <w:iCs/>
              </w:rPr>
              <w:t xml:space="preserve"> baseline</w:t>
            </w:r>
          </w:p>
        </w:tc>
        <w:tc>
          <w:tcPr>
            <w:tcW w:w="2504" w:type="dxa"/>
            <w:shd w:val="clear" w:color="auto" w:fill="FBEED2"/>
          </w:tcPr>
          <w:p w14:paraId="1B6E6DF6" w14:textId="0ADC57CF" w:rsidR="009E3323" w:rsidRPr="001B387F" w:rsidRDefault="009E3323" w:rsidP="003B4EBC">
            <w:pPr>
              <w:pStyle w:val="TableBodyCopy"/>
            </w:pPr>
            <w:r w:rsidRPr="001B387F">
              <w:rPr>
                <w:rFonts w:eastAsia="Calibri Light"/>
              </w:rPr>
              <w:t xml:space="preserve">Increased VET graduate employment outcomes in targeted sectors </w:t>
            </w:r>
            <w:r w:rsidR="00934A9C" w:rsidRPr="001B387F">
              <w:rPr>
                <w:rFonts w:eastAsia="Calibri Light"/>
              </w:rPr>
              <w:t>(t</w:t>
            </w:r>
            <w:r w:rsidRPr="001B387F">
              <w:rPr>
                <w:rFonts w:eastAsia="Calibri Light"/>
              </w:rPr>
              <w:t xml:space="preserve">argets to be defined </w:t>
            </w:r>
            <w:r w:rsidR="007E2780" w:rsidRPr="001B387F">
              <w:rPr>
                <w:rFonts w:eastAsia="Calibri Light"/>
              </w:rPr>
              <w:t>in</w:t>
            </w:r>
            <w:r w:rsidRPr="001B387F">
              <w:rPr>
                <w:rFonts w:eastAsia="Calibri Light"/>
              </w:rPr>
              <w:t xml:space="preserve"> </w:t>
            </w:r>
            <w:r w:rsidR="004A74A1" w:rsidRPr="001B387F">
              <w:rPr>
                <w:rFonts w:eastAsia="Calibri Light"/>
              </w:rPr>
              <w:t xml:space="preserve">Aus4Skills </w:t>
            </w:r>
            <w:r w:rsidRPr="001B387F">
              <w:rPr>
                <w:rFonts w:eastAsia="Calibri Light"/>
              </w:rPr>
              <w:t>design and inception</w:t>
            </w:r>
            <w:r w:rsidR="00934A9C" w:rsidRPr="001B387F">
              <w:rPr>
                <w:rFonts w:eastAsia="Calibri Light"/>
              </w:rPr>
              <w:t>)</w:t>
            </w:r>
          </w:p>
        </w:tc>
        <w:tc>
          <w:tcPr>
            <w:tcW w:w="2503" w:type="dxa"/>
            <w:shd w:val="clear" w:color="auto" w:fill="FBEED2"/>
          </w:tcPr>
          <w:p w14:paraId="767D2EEF" w14:textId="518F6A08" w:rsidR="009E3323" w:rsidRPr="001B387F" w:rsidRDefault="009E3323" w:rsidP="003B4EBC">
            <w:pPr>
              <w:pStyle w:val="TableBodyCopy"/>
            </w:pPr>
            <w:r w:rsidRPr="001B387F">
              <w:rPr>
                <w:rFonts w:eastAsia="Calibri Light"/>
              </w:rPr>
              <w:t xml:space="preserve">Increased VET graduate employment outcomes in targeted sectors </w:t>
            </w:r>
            <w:r w:rsidR="00934A9C" w:rsidRPr="001B387F">
              <w:rPr>
                <w:rFonts w:eastAsia="Calibri Light"/>
              </w:rPr>
              <w:t>(t</w:t>
            </w:r>
            <w:r w:rsidRPr="001B387F">
              <w:rPr>
                <w:rFonts w:eastAsia="Calibri Light"/>
              </w:rPr>
              <w:t xml:space="preserve">argets to be defined </w:t>
            </w:r>
            <w:r w:rsidR="007E2780" w:rsidRPr="001B387F">
              <w:rPr>
                <w:rFonts w:eastAsia="Calibri Light"/>
              </w:rPr>
              <w:t>in</w:t>
            </w:r>
            <w:r w:rsidRPr="001B387F">
              <w:rPr>
                <w:rFonts w:eastAsia="Calibri Light"/>
              </w:rPr>
              <w:t xml:space="preserve"> </w:t>
            </w:r>
            <w:r w:rsidR="007E2780" w:rsidRPr="001B387F">
              <w:rPr>
                <w:rFonts w:eastAsia="Calibri Light"/>
              </w:rPr>
              <w:t>A</w:t>
            </w:r>
            <w:r w:rsidR="004A74A1" w:rsidRPr="001B387F">
              <w:rPr>
                <w:rFonts w:eastAsia="Calibri Light"/>
              </w:rPr>
              <w:t xml:space="preserve">us4Skills </w:t>
            </w:r>
            <w:r w:rsidRPr="001B387F">
              <w:rPr>
                <w:rFonts w:eastAsia="Calibri Light"/>
              </w:rPr>
              <w:t>design and inception</w:t>
            </w:r>
            <w:r w:rsidR="00934A9C" w:rsidRPr="001B387F">
              <w:rPr>
                <w:rFonts w:eastAsia="Calibri Light"/>
              </w:rPr>
              <w:t>)</w:t>
            </w:r>
          </w:p>
        </w:tc>
        <w:tc>
          <w:tcPr>
            <w:tcW w:w="2504" w:type="dxa"/>
            <w:shd w:val="clear" w:color="auto" w:fill="FBEED2"/>
          </w:tcPr>
          <w:p w14:paraId="3B7E8C59" w14:textId="05E3A052" w:rsidR="009E3323" w:rsidRPr="001B387F" w:rsidRDefault="00B90E7F" w:rsidP="003B4EBC">
            <w:pPr>
              <w:pStyle w:val="TableBodyCopy"/>
            </w:pPr>
            <w:r w:rsidRPr="001B387F">
              <w:rPr>
                <w:color w:val="000000"/>
              </w:rPr>
              <w:t>SDG</w:t>
            </w:r>
            <w:r w:rsidR="009E3323" w:rsidRPr="001B387F">
              <w:rPr>
                <w:color w:val="000000"/>
              </w:rPr>
              <w:t>4</w:t>
            </w:r>
            <w:r w:rsidRPr="001B387F">
              <w:rPr>
                <w:color w:val="000000"/>
              </w:rPr>
              <w:t>,</w:t>
            </w:r>
            <w:r w:rsidR="009E3323" w:rsidRPr="001B387F">
              <w:rPr>
                <w:color w:val="000000"/>
              </w:rPr>
              <w:t xml:space="preserve"> </w:t>
            </w:r>
            <w:r w:rsidRPr="001B387F">
              <w:rPr>
                <w:color w:val="000000"/>
              </w:rPr>
              <w:t>SDG</w:t>
            </w:r>
            <w:r w:rsidR="009E3323" w:rsidRPr="001B387F">
              <w:rPr>
                <w:color w:val="000000"/>
              </w:rPr>
              <w:t>5</w:t>
            </w:r>
          </w:p>
        </w:tc>
      </w:tr>
    </w:tbl>
    <w:p w14:paraId="07F988AA" w14:textId="6D99D18F" w:rsidR="009E3323" w:rsidRPr="001B387F" w:rsidRDefault="009E3323" w:rsidP="002B2417">
      <w:pPr>
        <w:pStyle w:val="Tablenote"/>
      </w:pPr>
      <w:bookmarkStart w:id="5" w:name="T3nb"/>
      <w:r w:rsidRPr="001B387F">
        <w:t>b</w:t>
      </w:r>
      <w:r w:rsidRPr="001B387F">
        <w:tab/>
        <w:t>Aus4Skills</w:t>
      </w:r>
      <w:r w:rsidR="00457D45" w:rsidRPr="001B387F">
        <w:t>,</w:t>
      </w:r>
      <w:r w:rsidRPr="001B387F">
        <w:t xml:space="preserve"> the sole contributor to this </w:t>
      </w:r>
      <w:r w:rsidR="00457D45" w:rsidRPr="001B387F">
        <w:t>o</w:t>
      </w:r>
      <w:r w:rsidRPr="001B387F">
        <w:t>bjective</w:t>
      </w:r>
      <w:r w:rsidR="00457D45" w:rsidRPr="001B387F">
        <w:t>,</w:t>
      </w:r>
      <w:r w:rsidRPr="001B387F">
        <w:t xml:space="preserve"> </w:t>
      </w:r>
      <w:r w:rsidR="000102DF" w:rsidRPr="001B387F">
        <w:t>is still being designed</w:t>
      </w:r>
      <w:r w:rsidRPr="001B387F">
        <w:t>. Expected results and targets will be contingent on future programming</w:t>
      </w:r>
      <w:r w:rsidR="00794369" w:rsidRPr="001B387F">
        <w:t>.</w:t>
      </w:r>
    </w:p>
    <w:bookmarkEnd w:id="5"/>
    <w:p w14:paraId="6CA2DA59" w14:textId="7D79C5F6" w:rsidR="009E3323" w:rsidRPr="001B387F" w:rsidRDefault="009E3323" w:rsidP="00707E6A">
      <w:pPr>
        <w:pStyle w:val="PAFobjectivehead"/>
      </w:pPr>
      <w:r w:rsidRPr="001B387F">
        <w:lastRenderedPageBreak/>
        <w:t xml:space="preserve">Objective 3: </w:t>
      </w:r>
      <w:r w:rsidR="00B12E44" w:rsidRPr="001B387F">
        <w:t>S</w:t>
      </w:r>
      <w:r w:rsidRPr="001B387F">
        <w:t>trengthen</w:t>
      </w:r>
      <w:r w:rsidR="00B12E44" w:rsidRPr="001B387F">
        <w:t>ed</w:t>
      </w:r>
      <w:r w:rsidRPr="001B387F">
        <w:t xml:space="preserve"> climate resilience, adaptation and emissions </w:t>
      </w:r>
      <w:proofErr w:type="gramStart"/>
      <w:r w:rsidRPr="001B387F">
        <w:t>reduction</w:t>
      </w:r>
      <w:proofErr w:type="gramEnd"/>
    </w:p>
    <w:tbl>
      <w:tblPr>
        <w:tblStyle w:val="DFATOchre"/>
        <w:tblW w:w="15021" w:type="dxa"/>
        <w:tblLayout w:type="fixed"/>
        <w:tblLook w:val="04A0" w:firstRow="1" w:lastRow="0" w:firstColumn="1" w:lastColumn="0" w:noHBand="0" w:noVBand="1"/>
        <w:tblCaption w:val="Performance Assessment Framework for Objective 3"/>
        <w:tblDescription w:val="Expected results for Objective 3 for the first three years of the DPP and against the Sustainable Development Goals"/>
      </w:tblPr>
      <w:tblGrid>
        <w:gridCol w:w="2503"/>
        <w:gridCol w:w="2504"/>
        <w:gridCol w:w="2503"/>
        <w:gridCol w:w="2504"/>
        <w:gridCol w:w="2503"/>
        <w:gridCol w:w="2504"/>
      </w:tblGrid>
      <w:tr w:rsidR="009E3323" w:rsidRPr="001B387F" w14:paraId="188671A9" w14:textId="77777777" w:rsidTr="00091CB4">
        <w:trPr>
          <w:cnfStyle w:val="100000000000" w:firstRow="1" w:lastRow="0" w:firstColumn="0" w:lastColumn="0" w:oddVBand="0" w:evenVBand="0" w:oddHBand="0" w:evenHBand="0" w:firstRowFirstColumn="0" w:firstRowLastColumn="0" w:lastRowFirstColumn="0" w:lastRowLastColumn="0"/>
          <w:cantSplit/>
          <w:trHeight w:val="787"/>
        </w:trPr>
        <w:tc>
          <w:tcPr>
            <w:tcW w:w="2503" w:type="dxa"/>
            <w:shd w:val="clear" w:color="auto" w:fill="3A586E"/>
          </w:tcPr>
          <w:p w14:paraId="603464A3" w14:textId="43AC6D98" w:rsidR="009E3323" w:rsidRPr="001B387F" w:rsidRDefault="009E3323" w:rsidP="007605A6">
            <w:pPr>
              <w:pStyle w:val="TableHeading"/>
            </w:pPr>
            <w:r w:rsidRPr="001B387F">
              <w:t>Outcome</w:t>
            </w:r>
          </w:p>
        </w:tc>
        <w:tc>
          <w:tcPr>
            <w:tcW w:w="2504" w:type="dxa"/>
            <w:shd w:val="clear" w:color="auto" w:fill="3A586E"/>
            <w:hideMark/>
          </w:tcPr>
          <w:p w14:paraId="55059C1A" w14:textId="77777777" w:rsidR="009E3323" w:rsidRPr="001B387F" w:rsidRDefault="009E3323" w:rsidP="007605A6">
            <w:pPr>
              <w:pStyle w:val="TableHeading"/>
            </w:pPr>
            <w:r w:rsidRPr="001B387F">
              <w:t>Indicator</w:t>
            </w:r>
          </w:p>
        </w:tc>
        <w:tc>
          <w:tcPr>
            <w:tcW w:w="2503" w:type="dxa"/>
            <w:shd w:val="clear" w:color="auto" w:fill="3A586E"/>
            <w:hideMark/>
          </w:tcPr>
          <w:p w14:paraId="534277F2" w14:textId="2F65BF82" w:rsidR="009E3323" w:rsidRPr="001B387F" w:rsidRDefault="009E3323" w:rsidP="007605A6">
            <w:pPr>
              <w:pStyle w:val="TableHeading"/>
            </w:pPr>
            <w:r w:rsidRPr="001B387F">
              <w:t>Expected results</w:t>
            </w:r>
            <w:r w:rsidRPr="001B387F">
              <w:br/>
              <w:t>2024–25</w:t>
            </w:r>
          </w:p>
        </w:tc>
        <w:tc>
          <w:tcPr>
            <w:tcW w:w="2504" w:type="dxa"/>
            <w:shd w:val="clear" w:color="auto" w:fill="3A586E"/>
            <w:hideMark/>
          </w:tcPr>
          <w:p w14:paraId="38006B56" w14:textId="48F54A8B" w:rsidR="009E3323" w:rsidRPr="001B387F" w:rsidRDefault="009E3323" w:rsidP="007605A6">
            <w:pPr>
              <w:pStyle w:val="TableHeading"/>
            </w:pPr>
            <w:r w:rsidRPr="001B387F">
              <w:t>Expected results</w:t>
            </w:r>
            <w:r w:rsidRPr="001B387F">
              <w:br/>
              <w:t>2025–26</w:t>
            </w:r>
          </w:p>
        </w:tc>
        <w:tc>
          <w:tcPr>
            <w:tcW w:w="2503" w:type="dxa"/>
            <w:shd w:val="clear" w:color="auto" w:fill="3A586E"/>
            <w:hideMark/>
          </w:tcPr>
          <w:p w14:paraId="032295B7" w14:textId="7B6C24D7" w:rsidR="009E3323" w:rsidRPr="001B387F" w:rsidRDefault="009E3323" w:rsidP="007605A6">
            <w:pPr>
              <w:pStyle w:val="TableHeading"/>
            </w:pPr>
            <w:r w:rsidRPr="001B387F">
              <w:t>Expected results</w:t>
            </w:r>
            <w:r w:rsidRPr="001B387F">
              <w:br/>
              <w:t>2026–27</w:t>
            </w:r>
          </w:p>
        </w:tc>
        <w:tc>
          <w:tcPr>
            <w:tcW w:w="2504" w:type="dxa"/>
            <w:shd w:val="clear" w:color="auto" w:fill="3A586E"/>
            <w:hideMark/>
          </w:tcPr>
          <w:p w14:paraId="60D64E4B" w14:textId="77777777" w:rsidR="009E3323" w:rsidRPr="001B387F" w:rsidRDefault="009E3323" w:rsidP="007605A6">
            <w:pPr>
              <w:pStyle w:val="TableHeading"/>
            </w:pPr>
            <w:r w:rsidRPr="001B387F">
              <w:t>Sustainable Development Goals (SDGs)</w:t>
            </w:r>
          </w:p>
        </w:tc>
      </w:tr>
      <w:tr w:rsidR="009E3323" w:rsidRPr="001B387F" w14:paraId="16DCF185" w14:textId="77777777" w:rsidTr="00091CB4">
        <w:trPr>
          <w:cantSplit/>
          <w:trHeight w:val="1568"/>
        </w:trPr>
        <w:tc>
          <w:tcPr>
            <w:tcW w:w="2503" w:type="dxa"/>
            <w:shd w:val="clear" w:color="auto" w:fill="F0DBD4"/>
          </w:tcPr>
          <w:p w14:paraId="78C325C6" w14:textId="77777777" w:rsidR="009E3323" w:rsidRPr="001B387F" w:rsidRDefault="009E3323" w:rsidP="003B4EBC">
            <w:pPr>
              <w:pStyle w:val="TableBodyCopybold"/>
            </w:pPr>
            <w:r w:rsidRPr="001B387F">
              <w:t>Outcome 3.1</w:t>
            </w:r>
          </w:p>
          <w:p w14:paraId="718D24C6" w14:textId="0AF0359A" w:rsidR="009E3323" w:rsidRPr="001B387F" w:rsidRDefault="009E3323" w:rsidP="003B4EBC">
            <w:pPr>
              <w:pStyle w:val="TableBodyCopy"/>
            </w:pPr>
            <w:r w:rsidRPr="001B387F">
              <w:t>Locally</w:t>
            </w:r>
            <w:r w:rsidR="00E214AC" w:rsidRPr="001B387F">
              <w:t xml:space="preserve"> </w:t>
            </w:r>
            <w:r w:rsidRPr="001B387F">
              <w:t xml:space="preserve">led </w:t>
            </w:r>
            <w:r w:rsidR="003B7DFB" w:rsidRPr="001B387F">
              <w:t xml:space="preserve">inclusive </w:t>
            </w:r>
            <w:r w:rsidRPr="001B387F">
              <w:t>approaches to climate change are applied and scaled in the Mekong Delta</w:t>
            </w:r>
          </w:p>
        </w:tc>
        <w:tc>
          <w:tcPr>
            <w:tcW w:w="2504" w:type="dxa"/>
            <w:shd w:val="clear" w:color="auto" w:fill="F0DBD4"/>
            <w:hideMark/>
          </w:tcPr>
          <w:p w14:paraId="26689BB6" w14:textId="3E7DD320" w:rsidR="009E3323" w:rsidRPr="001B387F" w:rsidRDefault="009E3323" w:rsidP="003B4EBC">
            <w:pPr>
              <w:pStyle w:val="TableBodyCopy"/>
            </w:pPr>
            <w:r w:rsidRPr="001B387F">
              <w:t>3.1.1</w:t>
            </w:r>
            <w:r w:rsidRPr="001B387F">
              <w:rPr>
                <w:szCs w:val="20"/>
                <w:lang w:eastAsia="en-AU"/>
              </w:rPr>
              <w:t xml:space="preserve"> Application and scaling of locally</w:t>
            </w:r>
            <w:r w:rsidR="00E214AC" w:rsidRPr="001B387F">
              <w:rPr>
                <w:szCs w:val="20"/>
                <w:lang w:eastAsia="en-AU"/>
              </w:rPr>
              <w:t xml:space="preserve"> </w:t>
            </w:r>
            <w:r w:rsidRPr="001B387F">
              <w:rPr>
                <w:szCs w:val="20"/>
                <w:lang w:eastAsia="en-AU"/>
              </w:rPr>
              <w:t>led adapt</w:t>
            </w:r>
            <w:r w:rsidR="006B1C2B" w:rsidRPr="001B387F">
              <w:rPr>
                <w:szCs w:val="20"/>
                <w:lang w:eastAsia="en-AU"/>
              </w:rPr>
              <w:t>at</w:t>
            </w:r>
            <w:r w:rsidRPr="001B387F">
              <w:rPr>
                <w:szCs w:val="20"/>
                <w:lang w:eastAsia="en-AU"/>
              </w:rPr>
              <w:t>ion using nature-based approaches and practices</w:t>
            </w:r>
          </w:p>
        </w:tc>
        <w:tc>
          <w:tcPr>
            <w:tcW w:w="2503" w:type="dxa"/>
            <w:shd w:val="clear" w:color="auto" w:fill="F0DBD4"/>
          </w:tcPr>
          <w:p w14:paraId="162A4F31" w14:textId="72F12CCB" w:rsidR="009E3323" w:rsidRPr="001B387F" w:rsidRDefault="009E3323" w:rsidP="003B4EBC">
            <w:pPr>
              <w:pStyle w:val="TableBodyCopy"/>
            </w:pPr>
            <w:r w:rsidRPr="001B387F">
              <w:t>8</w:t>
            </w:r>
            <w:r w:rsidR="0045364E" w:rsidRPr="001B387F">
              <w:t> </w:t>
            </w:r>
            <w:r w:rsidRPr="001B387F">
              <w:t>private rice companies adopting innovative rice farming technology and practices in their registered rice cultivation areas</w:t>
            </w:r>
          </w:p>
        </w:tc>
        <w:tc>
          <w:tcPr>
            <w:tcW w:w="2504" w:type="dxa"/>
            <w:shd w:val="clear" w:color="auto" w:fill="F0DBD4"/>
          </w:tcPr>
          <w:p w14:paraId="702CCC83" w14:textId="0866986E" w:rsidR="009E3323" w:rsidRPr="001B387F" w:rsidRDefault="009E3323" w:rsidP="003B4EBC">
            <w:pPr>
              <w:pStyle w:val="TableBodyCopy"/>
            </w:pPr>
            <w:r w:rsidRPr="001B387F">
              <w:t>Improved stakeholder capacity for applying and scaling locally</w:t>
            </w:r>
            <w:r w:rsidR="00E214AC" w:rsidRPr="001B387F">
              <w:t xml:space="preserve"> </w:t>
            </w:r>
            <w:r w:rsidRPr="001B387F">
              <w:t>led adaptation and/or nature-based practices</w:t>
            </w:r>
          </w:p>
        </w:tc>
        <w:tc>
          <w:tcPr>
            <w:tcW w:w="2503" w:type="dxa"/>
            <w:shd w:val="clear" w:color="auto" w:fill="F0DBD4"/>
            <w:hideMark/>
          </w:tcPr>
          <w:p w14:paraId="01AEA2E6" w14:textId="0155A615" w:rsidR="009E3323" w:rsidRPr="001B387F" w:rsidRDefault="009E3323" w:rsidP="003B4EBC">
            <w:pPr>
              <w:pStyle w:val="TableBodyCopy"/>
            </w:pPr>
            <w:r w:rsidRPr="001B387F">
              <w:t>Degree of scaling up and replicat</w:t>
            </w:r>
            <w:r w:rsidR="000A49F1" w:rsidRPr="001B387F">
              <w:t>ion</w:t>
            </w:r>
            <w:r w:rsidRPr="001B387F">
              <w:t xml:space="preserve"> of proven locally</w:t>
            </w:r>
            <w:r w:rsidR="00E214AC" w:rsidRPr="001B387F">
              <w:t xml:space="preserve"> </w:t>
            </w:r>
            <w:r w:rsidRPr="001B387F">
              <w:t>led adaptation and/or nature</w:t>
            </w:r>
            <w:r w:rsidR="000A49F1" w:rsidRPr="001B387F">
              <w:t>-</w:t>
            </w:r>
            <w:r w:rsidRPr="001B387F">
              <w:t>based practices by other actors</w:t>
            </w:r>
          </w:p>
        </w:tc>
        <w:tc>
          <w:tcPr>
            <w:tcW w:w="2504" w:type="dxa"/>
            <w:shd w:val="clear" w:color="auto" w:fill="F0DBD4"/>
          </w:tcPr>
          <w:p w14:paraId="7CF61B9B" w14:textId="4DD126E1" w:rsidR="00A912CA" w:rsidRPr="001B387F" w:rsidRDefault="00A95191" w:rsidP="003B4EBC">
            <w:pPr>
              <w:pStyle w:val="TableBodyCopy"/>
              <w:rPr>
                <w:szCs w:val="20"/>
                <w:lang w:eastAsia="en-AU"/>
              </w:rPr>
            </w:pPr>
            <w:r w:rsidRPr="001B387F">
              <w:rPr>
                <w:szCs w:val="20"/>
                <w:lang w:eastAsia="en-AU"/>
              </w:rPr>
              <w:t>SDG</w:t>
            </w:r>
            <w:r w:rsidR="009E3323" w:rsidRPr="001B387F">
              <w:rPr>
                <w:szCs w:val="20"/>
                <w:lang w:eastAsia="en-AU"/>
              </w:rPr>
              <w:t>5</w:t>
            </w:r>
            <w:r w:rsidRPr="001B387F">
              <w:rPr>
                <w:szCs w:val="20"/>
                <w:lang w:eastAsia="en-AU"/>
              </w:rPr>
              <w:t>: Gender equality</w:t>
            </w:r>
          </w:p>
          <w:p w14:paraId="5F480FB6" w14:textId="6BCD68DE" w:rsidR="005861F7" w:rsidRPr="001B387F" w:rsidRDefault="00A95191" w:rsidP="003B4EBC">
            <w:pPr>
              <w:pStyle w:val="TableBodyCopy"/>
              <w:rPr>
                <w:szCs w:val="20"/>
                <w:lang w:eastAsia="en-AU"/>
              </w:rPr>
            </w:pPr>
            <w:r w:rsidRPr="001B387F">
              <w:rPr>
                <w:szCs w:val="20"/>
                <w:lang w:eastAsia="en-AU"/>
              </w:rPr>
              <w:t>SDG</w:t>
            </w:r>
            <w:r w:rsidR="009E3323" w:rsidRPr="001B387F">
              <w:rPr>
                <w:szCs w:val="20"/>
                <w:lang w:eastAsia="en-AU"/>
              </w:rPr>
              <w:t>7</w:t>
            </w:r>
            <w:r w:rsidR="00A912CA" w:rsidRPr="001B387F">
              <w:rPr>
                <w:szCs w:val="20"/>
                <w:lang w:eastAsia="en-AU"/>
              </w:rPr>
              <w:t>:</w:t>
            </w:r>
            <w:r w:rsidR="005861F7" w:rsidRPr="001B387F">
              <w:rPr>
                <w:szCs w:val="20"/>
                <w:lang w:eastAsia="en-AU"/>
              </w:rPr>
              <w:t xml:space="preserve"> Affordable and clean energy</w:t>
            </w:r>
          </w:p>
          <w:p w14:paraId="23ABF4D9" w14:textId="198E4F63" w:rsidR="009E3323" w:rsidRPr="001B387F" w:rsidRDefault="00A95191" w:rsidP="003B4EBC">
            <w:pPr>
              <w:pStyle w:val="TableBodyCopy"/>
            </w:pPr>
            <w:r w:rsidRPr="001B387F">
              <w:rPr>
                <w:szCs w:val="20"/>
                <w:lang w:eastAsia="en-AU"/>
              </w:rPr>
              <w:t>SDG</w:t>
            </w:r>
            <w:r w:rsidR="009E3323" w:rsidRPr="001B387F">
              <w:rPr>
                <w:szCs w:val="20"/>
                <w:lang w:eastAsia="en-AU"/>
              </w:rPr>
              <w:t>13</w:t>
            </w:r>
            <w:r w:rsidR="005861F7" w:rsidRPr="001B387F">
              <w:rPr>
                <w:szCs w:val="20"/>
                <w:lang w:eastAsia="en-AU"/>
              </w:rPr>
              <w:t>: Climate action</w:t>
            </w:r>
          </w:p>
        </w:tc>
      </w:tr>
      <w:tr w:rsidR="009E3323" w:rsidRPr="001B387F" w14:paraId="6301F781" w14:textId="77777777" w:rsidTr="00091CB4">
        <w:trPr>
          <w:cantSplit/>
          <w:trHeight w:val="544"/>
        </w:trPr>
        <w:tc>
          <w:tcPr>
            <w:tcW w:w="2503" w:type="dxa"/>
            <w:shd w:val="clear" w:color="auto" w:fill="F0DBD4"/>
          </w:tcPr>
          <w:p w14:paraId="352A26C7" w14:textId="2EBC0288" w:rsidR="009E3323" w:rsidRPr="001B387F" w:rsidRDefault="009E3323" w:rsidP="003B4EBC">
            <w:pPr>
              <w:pStyle w:val="TableBodyCopybold"/>
            </w:pPr>
            <w:r w:rsidRPr="001B387F">
              <w:t>Outcome 3.1</w:t>
            </w:r>
          </w:p>
        </w:tc>
        <w:tc>
          <w:tcPr>
            <w:tcW w:w="2504" w:type="dxa"/>
            <w:shd w:val="clear" w:color="auto" w:fill="F0DBD4"/>
          </w:tcPr>
          <w:p w14:paraId="0185E6F7" w14:textId="38E3F2CF" w:rsidR="009E3323" w:rsidRPr="001B387F" w:rsidRDefault="009E3323" w:rsidP="003B4EBC">
            <w:pPr>
              <w:pStyle w:val="TableBodyCopy"/>
            </w:pPr>
            <w:r w:rsidRPr="001B387F">
              <w:rPr>
                <w:szCs w:val="20"/>
                <w:lang w:eastAsia="en-AU"/>
              </w:rPr>
              <w:t>3.1.2 N</w:t>
            </w:r>
            <w:r w:rsidR="00483656" w:rsidRPr="001B387F">
              <w:rPr>
                <w:szCs w:val="20"/>
                <w:lang w:eastAsia="en-AU"/>
              </w:rPr>
              <w:t>umber</w:t>
            </w:r>
            <w:r w:rsidRPr="001B387F">
              <w:rPr>
                <w:szCs w:val="20"/>
                <w:lang w:eastAsia="en-AU"/>
              </w:rPr>
              <w:t xml:space="preserve"> of people </w:t>
            </w:r>
            <w:r w:rsidR="000009B7" w:rsidRPr="001B387F">
              <w:rPr>
                <w:szCs w:val="20"/>
                <w:lang w:eastAsia="en-AU"/>
              </w:rPr>
              <w:t xml:space="preserve">who </w:t>
            </w:r>
            <w:r w:rsidRPr="001B387F">
              <w:rPr>
                <w:szCs w:val="20"/>
                <w:lang w:eastAsia="en-AU"/>
              </w:rPr>
              <w:t xml:space="preserve">have improved adaptation to climate change </w:t>
            </w:r>
            <w:r w:rsidR="0079367E" w:rsidRPr="001B387F">
              <w:rPr>
                <w:szCs w:val="20"/>
                <w:lang w:eastAsia="en-AU"/>
              </w:rPr>
              <w:t xml:space="preserve">and </w:t>
            </w:r>
            <w:r w:rsidRPr="001B387F">
              <w:rPr>
                <w:szCs w:val="20"/>
                <w:lang w:eastAsia="en-AU"/>
              </w:rPr>
              <w:t xml:space="preserve">resilience </w:t>
            </w:r>
            <w:r w:rsidR="0079367E" w:rsidRPr="001B387F">
              <w:rPr>
                <w:szCs w:val="20"/>
                <w:lang w:eastAsia="en-AU"/>
              </w:rPr>
              <w:t>to</w:t>
            </w:r>
            <w:r w:rsidRPr="001B387F">
              <w:rPr>
                <w:szCs w:val="20"/>
                <w:lang w:eastAsia="en-AU"/>
              </w:rPr>
              <w:t xml:space="preserve"> disasters (Tier</w:t>
            </w:r>
            <w:r w:rsidR="009A3D72" w:rsidRPr="001B387F">
              <w:rPr>
                <w:szCs w:val="20"/>
                <w:lang w:eastAsia="en-AU"/>
              </w:rPr>
              <w:t> </w:t>
            </w:r>
            <w:r w:rsidRPr="001B387F">
              <w:rPr>
                <w:szCs w:val="20"/>
                <w:lang w:eastAsia="en-AU"/>
              </w:rPr>
              <w:t>2)</w:t>
            </w:r>
          </w:p>
        </w:tc>
        <w:tc>
          <w:tcPr>
            <w:tcW w:w="2503" w:type="dxa"/>
            <w:shd w:val="clear" w:color="auto" w:fill="F0DBD4"/>
          </w:tcPr>
          <w:p w14:paraId="08FA37DF" w14:textId="7DBE8D31" w:rsidR="009E3323" w:rsidRPr="001B387F" w:rsidRDefault="009E3323" w:rsidP="003B4EBC">
            <w:pPr>
              <w:pStyle w:val="TableBodyCopy"/>
            </w:pPr>
            <w:r w:rsidRPr="001B387F">
              <w:t>6,844</w:t>
            </w:r>
            <w:r w:rsidR="0045364E" w:rsidRPr="001B387F">
              <w:t> </w:t>
            </w:r>
            <w:r w:rsidRPr="001B387F">
              <w:t>people (1,711</w:t>
            </w:r>
            <w:r w:rsidR="0045364E" w:rsidRPr="001B387F">
              <w:t> </w:t>
            </w:r>
            <w:r w:rsidRPr="001B387F">
              <w:t>households)</w:t>
            </w:r>
          </w:p>
        </w:tc>
        <w:tc>
          <w:tcPr>
            <w:tcW w:w="2504" w:type="dxa"/>
            <w:shd w:val="clear" w:color="auto" w:fill="F0DBD4"/>
          </w:tcPr>
          <w:p w14:paraId="72F94BBF" w14:textId="4DBF28D2" w:rsidR="009E3323" w:rsidRPr="001B387F" w:rsidRDefault="009E3323" w:rsidP="003B4EBC">
            <w:pPr>
              <w:pStyle w:val="TableBodyCopy"/>
              <w:rPr>
                <w:vertAlign w:val="superscript"/>
              </w:rPr>
            </w:pPr>
            <w:r w:rsidRPr="001B387F">
              <w:rPr>
                <w:rFonts w:eastAsia="Calibri Light"/>
                <w:color w:val="000000"/>
                <w:szCs w:val="20"/>
              </w:rPr>
              <w:t xml:space="preserve">Targets to be defined </w:t>
            </w:r>
            <w:r w:rsidR="00C778AA" w:rsidRPr="001B387F">
              <w:rPr>
                <w:rFonts w:eastAsia="Calibri Light"/>
                <w:color w:val="000000"/>
                <w:szCs w:val="20"/>
              </w:rPr>
              <w:t>in</w:t>
            </w:r>
            <w:r w:rsidRPr="001B387F">
              <w:rPr>
                <w:rFonts w:eastAsia="Calibri Light"/>
                <w:color w:val="000000"/>
                <w:szCs w:val="20"/>
              </w:rPr>
              <w:t xml:space="preserve"> </w:t>
            </w:r>
            <w:r w:rsidR="003A234E" w:rsidRPr="001B387F">
              <w:rPr>
                <w:rFonts w:eastAsia="Calibri Light"/>
                <w:color w:val="000000"/>
                <w:szCs w:val="20"/>
              </w:rPr>
              <w:t>Aus4Adaptation</w:t>
            </w:r>
            <w:r w:rsidRPr="001B387F">
              <w:rPr>
                <w:rFonts w:eastAsia="Calibri Light"/>
                <w:color w:val="000000"/>
                <w:szCs w:val="20"/>
              </w:rPr>
              <w:t xml:space="preserve"> design and </w:t>
            </w:r>
            <w:proofErr w:type="spellStart"/>
            <w:r w:rsidRPr="001B387F">
              <w:rPr>
                <w:rFonts w:eastAsia="Calibri Light"/>
                <w:color w:val="000000"/>
                <w:szCs w:val="20"/>
              </w:rPr>
              <w:t>inception</w:t>
            </w:r>
            <w:hyperlink w:anchor="T3nc" w:history="1">
              <w:r w:rsidR="000A7CC0" w:rsidRPr="001B387F">
                <w:rPr>
                  <w:rStyle w:val="tablehyperlink"/>
                </w:rPr>
                <w:t>c</w:t>
              </w:r>
              <w:proofErr w:type="spellEnd"/>
            </w:hyperlink>
          </w:p>
        </w:tc>
        <w:tc>
          <w:tcPr>
            <w:tcW w:w="2503" w:type="dxa"/>
            <w:shd w:val="clear" w:color="auto" w:fill="F0DBD4"/>
          </w:tcPr>
          <w:p w14:paraId="26026F74" w14:textId="2F220E6A" w:rsidR="009E3323" w:rsidRPr="001B387F" w:rsidRDefault="009E3323" w:rsidP="003B4EBC">
            <w:pPr>
              <w:pStyle w:val="TableBodyCopy"/>
            </w:pPr>
            <w:r w:rsidRPr="001B387F">
              <w:rPr>
                <w:rFonts w:eastAsia="Calibri Light"/>
                <w:color w:val="000000"/>
                <w:szCs w:val="20"/>
              </w:rPr>
              <w:t xml:space="preserve">Targets to be defined </w:t>
            </w:r>
            <w:r w:rsidR="00C778AA" w:rsidRPr="001B387F">
              <w:rPr>
                <w:rFonts w:eastAsia="Calibri Light"/>
                <w:color w:val="000000"/>
                <w:szCs w:val="20"/>
              </w:rPr>
              <w:t>in</w:t>
            </w:r>
            <w:r w:rsidRPr="001B387F">
              <w:rPr>
                <w:rFonts w:eastAsia="Calibri Light"/>
                <w:color w:val="000000"/>
                <w:szCs w:val="20"/>
              </w:rPr>
              <w:t xml:space="preserve"> </w:t>
            </w:r>
            <w:r w:rsidR="003A234E" w:rsidRPr="001B387F">
              <w:rPr>
                <w:rFonts w:eastAsia="Calibri Light"/>
                <w:color w:val="000000"/>
                <w:szCs w:val="20"/>
              </w:rPr>
              <w:t>Aus4Adaptation</w:t>
            </w:r>
            <w:r w:rsidRPr="001B387F">
              <w:rPr>
                <w:rFonts w:eastAsia="Calibri Light"/>
                <w:color w:val="000000"/>
                <w:szCs w:val="20"/>
              </w:rPr>
              <w:t xml:space="preserve"> design and inception</w:t>
            </w:r>
          </w:p>
        </w:tc>
        <w:tc>
          <w:tcPr>
            <w:tcW w:w="2504" w:type="dxa"/>
            <w:shd w:val="clear" w:color="auto" w:fill="F0DBD4"/>
          </w:tcPr>
          <w:p w14:paraId="467A75B2" w14:textId="4BF66683" w:rsidR="009E3323" w:rsidRPr="001B387F" w:rsidRDefault="005861F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r w:rsidR="009E3323" w:rsidRPr="001B387F" w14:paraId="6C80B820" w14:textId="77777777" w:rsidTr="00091CB4">
        <w:trPr>
          <w:cantSplit/>
          <w:trHeight w:val="544"/>
        </w:trPr>
        <w:tc>
          <w:tcPr>
            <w:tcW w:w="2503" w:type="dxa"/>
            <w:shd w:val="clear" w:color="auto" w:fill="F0DBD4"/>
          </w:tcPr>
          <w:p w14:paraId="5D80FD1B" w14:textId="4EC773FA" w:rsidR="009E3323" w:rsidRPr="001B387F" w:rsidRDefault="009E3323" w:rsidP="003B4EBC">
            <w:pPr>
              <w:pStyle w:val="TableBodyCopybold"/>
            </w:pPr>
            <w:r w:rsidRPr="001B387F">
              <w:t>Outcome 3.1</w:t>
            </w:r>
          </w:p>
        </w:tc>
        <w:tc>
          <w:tcPr>
            <w:tcW w:w="2504" w:type="dxa"/>
            <w:shd w:val="clear" w:color="auto" w:fill="F0DBD4"/>
          </w:tcPr>
          <w:p w14:paraId="5F1F10E2" w14:textId="46C77A25" w:rsidR="009E3323" w:rsidRPr="001B387F" w:rsidRDefault="009E3323" w:rsidP="003B4EBC">
            <w:pPr>
              <w:pStyle w:val="TableBodyCopy"/>
            </w:pPr>
            <w:r w:rsidRPr="001B387F">
              <w:rPr>
                <w:szCs w:val="20"/>
                <w:lang w:eastAsia="en-AU"/>
              </w:rPr>
              <w:t>3.1.3 N</w:t>
            </w:r>
            <w:r w:rsidR="00483656" w:rsidRPr="001B387F">
              <w:rPr>
                <w:szCs w:val="20"/>
                <w:lang w:eastAsia="en-AU"/>
              </w:rPr>
              <w:t>umber</w:t>
            </w:r>
            <w:r w:rsidRPr="001B387F">
              <w:rPr>
                <w:szCs w:val="20"/>
                <w:lang w:eastAsia="en-AU"/>
              </w:rPr>
              <w:t xml:space="preserve"> and value of investments </w:t>
            </w:r>
            <w:r w:rsidR="00FC447B" w:rsidRPr="001B387F">
              <w:rPr>
                <w:szCs w:val="20"/>
                <w:lang w:eastAsia="en-AU"/>
              </w:rPr>
              <w:t xml:space="preserve">that are </w:t>
            </w:r>
            <w:r w:rsidRPr="001B387F">
              <w:rPr>
                <w:szCs w:val="20"/>
                <w:lang w:eastAsia="en-AU"/>
              </w:rPr>
              <w:t>improving climate change adaptation and disaster resilience (Tier</w:t>
            </w:r>
            <w:r w:rsidR="009A3D72" w:rsidRPr="001B387F">
              <w:rPr>
                <w:szCs w:val="20"/>
                <w:lang w:eastAsia="en-AU"/>
              </w:rPr>
              <w:t> </w:t>
            </w:r>
            <w:r w:rsidRPr="001B387F">
              <w:rPr>
                <w:szCs w:val="20"/>
                <w:lang w:eastAsia="en-AU"/>
              </w:rPr>
              <w:t>2)</w:t>
            </w:r>
          </w:p>
        </w:tc>
        <w:tc>
          <w:tcPr>
            <w:tcW w:w="2503" w:type="dxa"/>
            <w:shd w:val="clear" w:color="auto" w:fill="F0DBD4"/>
          </w:tcPr>
          <w:p w14:paraId="45D790A2" w14:textId="1E1E041A" w:rsidR="009E3323" w:rsidRPr="001B387F" w:rsidRDefault="009E3323" w:rsidP="003B4EBC">
            <w:pPr>
              <w:pStyle w:val="TableBodyCopy"/>
            </w:pPr>
            <w:r w:rsidRPr="001B387F">
              <w:rPr>
                <w:rFonts w:eastAsia="Times New Roman"/>
                <w:szCs w:val="20"/>
                <w:lang w:eastAsia="en-AU"/>
              </w:rPr>
              <w:t>1</w:t>
            </w:r>
            <w:r w:rsidR="00FC447B" w:rsidRPr="001B387F">
              <w:rPr>
                <w:rFonts w:eastAsia="Times New Roman"/>
                <w:szCs w:val="20"/>
                <w:lang w:eastAsia="en-AU"/>
              </w:rPr>
              <w:t> </w:t>
            </w:r>
            <w:r w:rsidRPr="001B387F">
              <w:rPr>
                <w:rFonts w:eastAsia="Times New Roman"/>
                <w:szCs w:val="20"/>
                <w:lang w:eastAsia="en-AU"/>
              </w:rPr>
              <w:t xml:space="preserve">investment </w:t>
            </w:r>
            <w:r w:rsidR="00FC447B" w:rsidRPr="001B387F">
              <w:rPr>
                <w:rFonts w:eastAsia="Times New Roman"/>
                <w:szCs w:val="20"/>
                <w:lang w:eastAsia="en-AU"/>
              </w:rPr>
              <w:t>of</w:t>
            </w:r>
            <w:r w:rsidRPr="001B387F">
              <w:rPr>
                <w:rFonts w:eastAsia="Times New Roman"/>
                <w:szCs w:val="20"/>
                <w:lang w:eastAsia="en-AU"/>
              </w:rPr>
              <w:t xml:space="preserve"> $17 million</w:t>
            </w:r>
            <w:r w:rsidR="00FC447B" w:rsidRPr="001B387F">
              <w:rPr>
                <w:rFonts w:eastAsia="Times New Roman"/>
                <w:szCs w:val="20"/>
                <w:lang w:eastAsia="en-AU"/>
              </w:rPr>
              <w:t xml:space="preserve"> </w:t>
            </w:r>
            <w:r w:rsidRPr="001B387F">
              <w:rPr>
                <w:rFonts w:eastAsia="Times New Roman"/>
                <w:szCs w:val="20"/>
                <w:lang w:eastAsia="en-AU"/>
              </w:rPr>
              <w:t>on low</w:t>
            </w:r>
            <w:r w:rsidR="00166B9A" w:rsidRPr="001B387F">
              <w:rPr>
                <w:rFonts w:eastAsia="Times New Roman"/>
                <w:szCs w:val="20"/>
                <w:lang w:eastAsia="en-AU"/>
              </w:rPr>
              <w:t>-</w:t>
            </w:r>
            <w:r w:rsidRPr="001B387F">
              <w:rPr>
                <w:rFonts w:eastAsia="Times New Roman"/>
                <w:szCs w:val="20"/>
                <w:lang w:eastAsia="en-AU"/>
              </w:rPr>
              <w:t>emission rice</w:t>
            </w:r>
          </w:p>
        </w:tc>
        <w:tc>
          <w:tcPr>
            <w:tcW w:w="2504" w:type="dxa"/>
            <w:shd w:val="clear" w:color="auto" w:fill="F0DBD4"/>
          </w:tcPr>
          <w:p w14:paraId="46906C2F" w14:textId="451A3241" w:rsidR="009E3323" w:rsidRPr="001B387F" w:rsidRDefault="009E3323" w:rsidP="003B4EBC">
            <w:pPr>
              <w:pStyle w:val="TableBodyCopy"/>
            </w:pPr>
            <w:r w:rsidRPr="001B387F">
              <w:rPr>
                <w:rFonts w:eastAsia="Calibri Light"/>
                <w:color w:val="000000"/>
                <w:szCs w:val="20"/>
              </w:rPr>
              <w:t xml:space="preserve">Targets to be defined </w:t>
            </w:r>
            <w:r w:rsidR="00C778AA" w:rsidRPr="001B387F">
              <w:rPr>
                <w:rFonts w:eastAsia="Calibri Light"/>
                <w:color w:val="000000"/>
                <w:szCs w:val="20"/>
              </w:rPr>
              <w:t>in</w:t>
            </w:r>
            <w:r w:rsidRPr="001B387F">
              <w:rPr>
                <w:rFonts w:eastAsia="Calibri Light"/>
                <w:color w:val="000000"/>
                <w:szCs w:val="20"/>
              </w:rPr>
              <w:t xml:space="preserve"> </w:t>
            </w:r>
            <w:r w:rsidR="00A27333" w:rsidRPr="001B387F">
              <w:rPr>
                <w:rFonts w:eastAsia="Calibri Light"/>
                <w:color w:val="000000"/>
                <w:szCs w:val="20"/>
              </w:rPr>
              <w:t>Aus4Adaptation</w:t>
            </w:r>
            <w:r w:rsidRPr="001B387F">
              <w:rPr>
                <w:rFonts w:eastAsia="Calibri Light"/>
                <w:color w:val="000000"/>
                <w:szCs w:val="20"/>
              </w:rPr>
              <w:t xml:space="preserve"> design and inception</w:t>
            </w:r>
          </w:p>
        </w:tc>
        <w:tc>
          <w:tcPr>
            <w:tcW w:w="2503" w:type="dxa"/>
            <w:shd w:val="clear" w:color="auto" w:fill="F0DBD4"/>
          </w:tcPr>
          <w:p w14:paraId="65223169" w14:textId="12B82BCF" w:rsidR="009E3323" w:rsidRPr="001B387F" w:rsidRDefault="009E3323" w:rsidP="003B4EBC">
            <w:pPr>
              <w:pStyle w:val="TableBodyCopy"/>
            </w:pPr>
            <w:r w:rsidRPr="001B387F">
              <w:rPr>
                <w:rFonts w:eastAsia="Calibri Light"/>
                <w:color w:val="000000"/>
                <w:szCs w:val="20"/>
              </w:rPr>
              <w:t xml:space="preserve">Targets to be defined </w:t>
            </w:r>
            <w:r w:rsidR="00C778AA" w:rsidRPr="001B387F">
              <w:rPr>
                <w:rFonts w:eastAsia="Calibri Light"/>
                <w:color w:val="000000"/>
                <w:szCs w:val="20"/>
              </w:rPr>
              <w:t>in</w:t>
            </w:r>
            <w:r w:rsidRPr="001B387F">
              <w:rPr>
                <w:rFonts w:eastAsia="Calibri Light"/>
                <w:color w:val="000000"/>
                <w:szCs w:val="20"/>
              </w:rPr>
              <w:t xml:space="preserve"> </w:t>
            </w:r>
            <w:r w:rsidR="00A27333" w:rsidRPr="001B387F">
              <w:rPr>
                <w:rFonts w:eastAsia="Calibri Light"/>
                <w:color w:val="000000"/>
                <w:szCs w:val="20"/>
              </w:rPr>
              <w:t>Aus4Adaptation</w:t>
            </w:r>
            <w:r w:rsidRPr="001B387F">
              <w:rPr>
                <w:rFonts w:eastAsia="Calibri Light"/>
                <w:color w:val="000000"/>
                <w:szCs w:val="20"/>
              </w:rPr>
              <w:t xml:space="preserve"> design and inception</w:t>
            </w:r>
          </w:p>
        </w:tc>
        <w:tc>
          <w:tcPr>
            <w:tcW w:w="2504" w:type="dxa"/>
            <w:shd w:val="clear" w:color="auto" w:fill="F0DBD4"/>
          </w:tcPr>
          <w:p w14:paraId="6BCE82E7" w14:textId="38A862E3" w:rsidR="009E3323" w:rsidRPr="001B387F" w:rsidRDefault="005861F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r w:rsidR="009E3323" w:rsidRPr="001B387F" w14:paraId="61F6CF44" w14:textId="77777777" w:rsidTr="00091CB4">
        <w:trPr>
          <w:cantSplit/>
          <w:trHeight w:val="2029"/>
        </w:trPr>
        <w:tc>
          <w:tcPr>
            <w:tcW w:w="2503" w:type="dxa"/>
            <w:shd w:val="clear" w:color="auto" w:fill="F0DBD4"/>
          </w:tcPr>
          <w:p w14:paraId="21248628" w14:textId="0DE05651" w:rsidR="009E3323" w:rsidRPr="001B387F" w:rsidRDefault="009E3323" w:rsidP="003B4EBC">
            <w:pPr>
              <w:pStyle w:val="TableBodyCopybold"/>
            </w:pPr>
            <w:r w:rsidRPr="001B387F">
              <w:lastRenderedPageBreak/>
              <w:t>Outcome 3.1</w:t>
            </w:r>
          </w:p>
        </w:tc>
        <w:tc>
          <w:tcPr>
            <w:tcW w:w="2504" w:type="dxa"/>
            <w:shd w:val="clear" w:color="auto" w:fill="F0DBD4"/>
          </w:tcPr>
          <w:p w14:paraId="32CFC57F" w14:textId="5BB8ED76" w:rsidR="009E3323" w:rsidRPr="001B387F" w:rsidRDefault="009E3323" w:rsidP="003B4EBC">
            <w:pPr>
              <w:pStyle w:val="TableBodyCopy"/>
              <w:rPr>
                <w:szCs w:val="20"/>
                <w:lang w:eastAsia="en-AU"/>
              </w:rPr>
            </w:pPr>
            <w:r w:rsidRPr="001B387F">
              <w:rPr>
                <w:szCs w:val="20"/>
                <w:lang w:eastAsia="en-AU"/>
              </w:rPr>
              <w:t>3.1.4 Support for improved food security and climate resilient agriculture practices via policy, technical advice and/or capacity building (Tier</w:t>
            </w:r>
            <w:r w:rsidR="009A3D72" w:rsidRPr="001B387F">
              <w:rPr>
                <w:szCs w:val="20"/>
                <w:lang w:eastAsia="en-AU"/>
              </w:rPr>
              <w:t> </w:t>
            </w:r>
            <w:r w:rsidRPr="001B387F">
              <w:rPr>
                <w:szCs w:val="20"/>
                <w:lang w:eastAsia="en-AU"/>
              </w:rPr>
              <w:t>2)</w:t>
            </w:r>
          </w:p>
        </w:tc>
        <w:tc>
          <w:tcPr>
            <w:tcW w:w="2503" w:type="dxa"/>
            <w:shd w:val="clear" w:color="auto" w:fill="F0DBD4"/>
          </w:tcPr>
          <w:p w14:paraId="67D86855" w14:textId="2895832C" w:rsidR="009E3323" w:rsidRPr="001B387F" w:rsidRDefault="009E3323" w:rsidP="003B4EBC">
            <w:pPr>
              <w:pStyle w:val="TableBodyCopy"/>
            </w:pPr>
            <w:r w:rsidRPr="001B387F">
              <w:t>5</w:t>
            </w:r>
            <w:r w:rsidR="0045364E" w:rsidRPr="001B387F">
              <w:t> </w:t>
            </w:r>
            <w:r w:rsidRPr="001B387F">
              <w:t>training courses on climate resilient agriculture</w:t>
            </w:r>
          </w:p>
          <w:p w14:paraId="742784DB" w14:textId="5378A29E" w:rsidR="009E3323" w:rsidRPr="001B387F" w:rsidRDefault="009E3323" w:rsidP="003B4EBC">
            <w:pPr>
              <w:pStyle w:val="TableBodyCopy"/>
            </w:pPr>
            <w:r w:rsidRPr="001B387F">
              <w:t>Improved natural nitrogen level</w:t>
            </w:r>
            <w:r w:rsidR="00F17900" w:rsidRPr="001B387F">
              <w:t>s</w:t>
            </w:r>
            <w:r w:rsidRPr="001B387F">
              <w:t xml:space="preserve"> in saline</w:t>
            </w:r>
            <w:r w:rsidR="003611CA" w:rsidRPr="001B387F">
              <w:t>-</w:t>
            </w:r>
            <w:r w:rsidRPr="001B387F">
              <w:t>affected soil by rotating salt-tolerant legume</w:t>
            </w:r>
            <w:r w:rsidR="003B4834" w:rsidRPr="001B387F">
              <w:t>s</w:t>
            </w:r>
            <w:r w:rsidRPr="001B387F">
              <w:t xml:space="preserve"> with </w:t>
            </w:r>
            <w:proofErr w:type="gramStart"/>
            <w:r w:rsidRPr="001B387F">
              <w:t>rice</w:t>
            </w:r>
            <w:proofErr w:type="gramEnd"/>
          </w:p>
          <w:p w14:paraId="1EF44DC4" w14:textId="424E0438" w:rsidR="009E3323" w:rsidRPr="001B387F" w:rsidRDefault="009E3323" w:rsidP="003B4EBC">
            <w:pPr>
              <w:pStyle w:val="TableBodyCopy"/>
            </w:pPr>
            <w:r w:rsidRPr="001B387F">
              <w:t>Deep</w:t>
            </w:r>
            <w:r w:rsidR="005872CE" w:rsidRPr="001B387F">
              <w:t>-</w:t>
            </w:r>
            <w:r w:rsidRPr="001B387F">
              <w:t xml:space="preserve">dive qualitative assessments to enhance knowledge and understanding </w:t>
            </w:r>
            <w:r w:rsidR="007E5A3F" w:rsidRPr="001B387F">
              <w:t xml:space="preserve">of </w:t>
            </w:r>
            <w:r w:rsidRPr="001B387F">
              <w:t xml:space="preserve">the impacts of climate change and technological progress on agriculture-based jobs in </w:t>
            </w:r>
            <w:r w:rsidR="00A93BF5" w:rsidRPr="001B387F">
              <w:t xml:space="preserve">the </w:t>
            </w:r>
            <w:r w:rsidRPr="001B387F">
              <w:t>Mekong Delta for planning via W</w:t>
            </w:r>
            <w:r w:rsidR="00A06225" w:rsidRPr="001B387F">
              <w:t xml:space="preserve">orld </w:t>
            </w:r>
            <w:r w:rsidRPr="001B387F">
              <w:t>B</w:t>
            </w:r>
            <w:r w:rsidR="00A06225" w:rsidRPr="001B387F">
              <w:t>ank</w:t>
            </w:r>
            <w:r w:rsidRPr="001B387F">
              <w:t xml:space="preserve"> partnership</w:t>
            </w:r>
          </w:p>
        </w:tc>
        <w:tc>
          <w:tcPr>
            <w:tcW w:w="2504" w:type="dxa"/>
            <w:shd w:val="clear" w:color="auto" w:fill="F0DBD4"/>
          </w:tcPr>
          <w:p w14:paraId="1D582C46" w14:textId="5F749E31" w:rsidR="009E3323" w:rsidRPr="001B387F" w:rsidRDefault="009E3323" w:rsidP="003B4EBC">
            <w:pPr>
              <w:pStyle w:val="TableBodyCopy"/>
            </w:pPr>
            <w:r w:rsidRPr="001B387F">
              <w:t xml:space="preserve">Experiments to change sowing time of crops to avoid extreme heat events in the dry </w:t>
            </w:r>
            <w:proofErr w:type="gramStart"/>
            <w:r w:rsidRPr="001B387F">
              <w:t>season</w:t>
            </w:r>
            <w:proofErr w:type="gramEnd"/>
          </w:p>
          <w:p w14:paraId="5AA74BA0" w14:textId="798E6B81" w:rsidR="009E3323" w:rsidRPr="001B387F" w:rsidRDefault="009E3323" w:rsidP="003B4EBC">
            <w:pPr>
              <w:pStyle w:val="TableBodyCopy"/>
            </w:pPr>
            <w:r w:rsidRPr="001B387F">
              <w:t>1</w:t>
            </w:r>
            <w:r w:rsidR="0045364E" w:rsidRPr="001B387F">
              <w:t> </w:t>
            </w:r>
            <w:r w:rsidRPr="001B387F">
              <w:t xml:space="preserve">workshop on potential and future of the carbon market in Vietnamese agriculture with participation of researchers, </w:t>
            </w:r>
            <w:proofErr w:type="gramStart"/>
            <w:r w:rsidRPr="001B387F">
              <w:t>business</w:t>
            </w:r>
            <w:r w:rsidR="00A93BF5" w:rsidRPr="001B387F">
              <w:t>es</w:t>
            </w:r>
            <w:proofErr w:type="gramEnd"/>
            <w:r w:rsidRPr="001B387F">
              <w:t xml:space="preserve"> and policymakers</w:t>
            </w:r>
          </w:p>
        </w:tc>
        <w:tc>
          <w:tcPr>
            <w:tcW w:w="2503" w:type="dxa"/>
            <w:shd w:val="clear" w:color="auto" w:fill="F0DBD4"/>
          </w:tcPr>
          <w:p w14:paraId="5F0D1CEE" w14:textId="4E414945" w:rsidR="009E3323" w:rsidRPr="001B387F" w:rsidRDefault="009E3323" w:rsidP="003B4EBC">
            <w:pPr>
              <w:pStyle w:val="TableBodyCopy"/>
            </w:pPr>
            <w:r w:rsidRPr="001B387F">
              <w:rPr>
                <w:rFonts w:eastAsia="Calibri Light"/>
                <w:color w:val="000000"/>
                <w:szCs w:val="20"/>
              </w:rPr>
              <w:t xml:space="preserve">Targets to be defined </w:t>
            </w:r>
            <w:r w:rsidR="00C778AA" w:rsidRPr="001B387F">
              <w:rPr>
                <w:rFonts w:eastAsia="Calibri Light"/>
                <w:color w:val="000000"/>
                <w:szCs w:val="20"/>
              </w:rPr>
              <w:t>in</w:t>
            </w:r>
            <w:r w:rsidRPr="001B387F">
              <w:rPr>
                <w:rFonts w:eastAsia="Calibri Light"/>
                <w:color w:val="000000"/>
                <w:szCs w:val="20"/>
              </w:rPr>
              <w:t xml:space="preserve"> </w:t>
            </w:r>
            <w:r w:rsidR="00A27333" w:rsidRPr="001B387F">
              <w:rPr>
                <w:rFonts w:eastAsia="Calibri Light"/>
                <w:color w:val="000000"/>
                <w:szCs w:val="20"/>
              </w:rPr>
              <w:t>Aus4Adaptation</w:t>
            </w:r>
            <w:r w:rsidRPr="001B387F">
              <w:rPr>
                <w:rFonts w:eastAsia="Calibri Light"/>
                <w:color w:val="000000"/>
                <w:szCs w:val="20"/>
              </w:rPr>
              <w:t xml:space="preserve"> design and inception</w:t>
            </w:r>
          </w:p>
        </w:tc>
        <w:tc>
          <w:tcPr>
            <w:tcW w:w="2504" w:type="dxa"/>
            <w:shd w:val="clear" w:color="auto" w:fill="F0DBD4"/>
          </w:tcPr>
          <w:p w14:paraId="151BAE34" w14:textId="7EE916B1" w:rsidR="009E3323" w:rsidRPr="001B387F" w:rsidRDefault="005861F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r w:rsidR="00DF2E3B" w:rsidRPr="001B387F" w14:paraId="75EF10E6" w14:textId="77777777" w:rsidTr="00091CB4">
        <w:trPr>
          <w:cantSplit/>
          <w:trHeight w:val="544"/>
        </w:trPr>
        <w:tc>
          <w:tcPr>
            <w:tcW w:w="2503" w:type="dxa"/>
            <w:shd w:val="clear" w:color="auto" w:fill="F0DBD4"/>
          </w:tcPr>
          <w:p w14:paraId="547A3D64" w14:textId="77777777" w:rsidR="009E3323" w:rsidRPr="001B387F" w:rsidRDefault="009E3323" w:rsidP="003B4EBC">
            <w:pPr>
              <w:pStyle w:val="TableBodyCopybold"/>
            </w:pPr>
            <w:r w:rsidRPr="001B387F">
              <w:t>Outcome 3.2</w:t>
            </w:r>
          </w:p>
          <w:p w14:paraId="70920F6D" w14:textId="35A3FC62" w:rsidR="009E3323" w:rsidRPr="001B387F" w:rsidRDefault="009E3323" w:rsidP="003B4EBC">
            <w:pPr>
              <w:pStyle w:val="TableBodyCopy"/>
            </w:pPr>
            <w:r w:rsidRPr="001B387F">
              <w:t xml:space="preserve">Strengthened transition </w:t>
            </w:r>
            <w:r w:rsidR="00B2242B" w:rsidRPr="001B387F">
              <w:t>to low</w:t>
            </w:r>
            <w:r w:rsidR="00D43C0B" w:rsidRPr="001B387F">
              <w:t>-</w:t>
            </w:r>
            <w:r w:rsidR="00B2242B" w:rsidRPr="001B387F">
              <w:t>carbon economy</w:t>
            </w:r>
            <w:r w:rsidRPr="001B387F">
              <w:t xml:space="preserve"> in response to climate change and the 2050 net zero emissions target</w:t>
            </w:r>
          </w:p>
        </w:tc>
        <w:tc>
          <w:tcPr>
            <w:tcW w:w="2504" w:type="dxa"/>
            <w:shd w:val="clear" w:color="auto" w:fill="F0DBD4"/>
          </w:tcPr>
          <w:p w14:paraId="2E66AA3B" w14:textId="77777777" w:rsidR="009E3323" w:rsidRPr="001B387F" w:rsidRDefault="009E3323" w:rsidP="003B4EBC">
            <w:pPr>
              <w:pStyle w:val="TableBodyCopy"/>
            </w:pPr>
            <w:r w:rsidRPr="001B387F">
              <w:rPr>
                <w:szCs w:val="20"/>
                <w:lang w:eastAsia="en-AU"/>
              </w:rPr>
              <w:t>3.2.1 Strengthened targeted energy policies, regulations and plans and their implementation</w:t>
            </w:r>
          </w:p>
        </w:tc>
        <w:tc>
          <w:tcPr>
            <w:tcW w:w="2503" w:type="dxa"/>
            <w:shd w:val="clear" w:color="auto" w:fill="F0DBD4"/>
          </w:tcPr>
          <w:p w14:paraId="339D66FC" w14:textId="3B31ACA4" w:rsidR="009E3323" w:rsidRPr="001B387F" w:rsidRDefault="009E3323" w:rsidP="003B4EBC">
            <w:pPr>
              <w:pStyle w:val="TableBodyCopy"/>
            </w:pPr>
            <w:r w:rsidRPr="001B387F">
              <w:t>3</w:t>
            </w:r>
            <w:r w:rsidR="00664481" w:rsidRPr="001B387F">
              <w:t> </w:t>
            </w:r>
            <w:r w:rsidRPr="001B387F">
              <w:t xml:space="preserve">activities contributing to regulation development to address </w:t>
            </w:r>
            <w:proofErr w:type="gramStart"/>
            <w:r w:rsidRPr="001B387F">
              <w:t>low</w:t>
            </w:r>
            <w:r w:rsidR="00CC1CA0" w:rsidRPr="001B387F">
              <w:t>-</w:t>
            </w:r>
            <w:r w:rsidRPr="001B387F">
              <w:t>emissions</w:t>
            </w:r>
            <w:proofErr w:type="gramEnd"/>
            <w:r w:rsidRPr="001B387F">
              <w:t xml:space="preserve"> pathways</w:t>
            </w:r>
          </w:p>
          <w:p w14:paraId="3884AB50" w14:textId="7DE5964D" w:rsidR="009E3323" w:rsidRPr="001B387F" w:rsidRDefault="009E3323" w:rsidP="003B4EBC">
            <w:pPr>
              <w:pStyle w:val="TableBodyCopy"/>
            </w:pPr>
            <w:r w:rsidRPr="001B387F">
              <w:t>1</w:t>
            </w:r>
            <w:r w:rsidR="00664481" w:rsidRPr="001B387F">
              <w:t> </w:t>
            </w:r>
            <w:r w:rsidRPr="001B387F">
              <w:t>technical report/analysis for Vietnam’s energy transition planning and development via W</w:t>
            </w:r>
            <w:r w:rsidR="00A06225" w:rsidRPr="001B387F">
              <w:t xml:space="preserve">orld </w:t>
            </w:r>
            <w:r w:rsidRPr="001B387F">
              <w:t>B</w:t>
            </w:r>
            <w:r w:rsidR="00A06225" w:rsidRPr="001B387F">
              <w:t>ank</w:t>
            </w:r>
            <w:r w:rsidRPr="001B387F">
              <w:t xml:space="preserve"> partnership</w:t>
            </w:r>
          </w:p>
        </w:tc>
        <w:tc>
          <w:tcPr>
            <w:tcW w:w="2504" w:type="dxa"/>
            <w:shd w:val="clear" w:color="auto" w:fill="F0DBD4"/>
          </w:tcPr>
          <w:p w14:paraId="54ACE6C4" w14:textId="6BC40447" w:rsidR="009E3323" w:rsidRPr="001B387F" w:rsidRDefault="009E3323" w:rsidP="003B4EBC">
            <w:pPr>
              <w:pStyle w:val="TableBodyCopy"/>
              <w:rPr>
                <w:rFonts w:ascii="Segoe UI" w:eastAsia="Times New Roman" w:hAnsi="Segoe UI" w:cs="Segoe UI"/>
                <w:sz w:val="18"/>
                <w:szCs w:val="18"/>
                <w:lang w:eastAsia="en-AU"/>
              </w:rPr>
            </w:pPr>
            <w:r w:rsidRPr="001B387F">
              <w:t xml:space="preserve">Policy and technical expertise shared among Australian and Vietnamese agencies working in the energy </w:t>
            </w:r>
            <w:proofErr w:type="gramStart"/>
            <w:r w:rsidRPr="001B387F">
              <w:t>sector</w:t>
            </w:r>
            <w:proofErr w:type="gramEnd"/>
          </w:p>
          <w:p w14:paraId="081DCAB8" w14:textId="59E4FED1" w:rsidR="009E3323" w:rsidRPr="001B387F" w:rsidRDefault="009E3323" w:rsidP="003B4EBC">
            <w:pPr>
              <w:pStyle w:val="TableBodyCopy"/>
            </w:pPr>
            <w:r w:rsidRPr="001B387F">
              <w:rPr>
                <w:szCs w:val="20"/>
              </w:rPr>
              <w:t xml:space="preserve">More inclusive engagement with a broad range of stakeholder groups throughout the policy, </w:t>
            </w:r>
            <w:proofErr w:type="gramStart"/>
            <w:r w:rsidRPr="001B387F">
              <w:rPr>
                <w:szCs w:val="20"/>
              </w:rPr>
              <w:t>regulation</w:t>
            </w:r>
            <w:proofErr w:type="gramEnd"/>
            <w:r w:rsidRPr="001B387F">
              <w:rPr>
                <w:szCs w:val="20"/>
              </w:rPr>
              <w:t xml:space="preserve"> and planning processes</w:t>
            </w:r>
          </w:p>
        </w:tc>
        <w:tc>
          <w:tcPr>
            <w:tcW w:w="2503" w:type="dxa"/>
            <w:shd w:val="clear" w:color="auto" w:fill="F0DBD4"/>
          </w:tcPr>
          <w:p w14:paraId="79F69C54" w14:textId="41108ED6" w:rsidR="009E3323" w:rsidRPr="001B387F" w:rsidRDefault="009E3323" w:rsidP="003B4EBC">
            <w:pPr>
              <w:pStyle w:val="TableBodyCopy"/>
            </w:pPr>
            <w:r w:rsidRPr="001B387F">
              <w:rPr>
                <w:szCs w:val="20"/>
              </w:rPr>
              <w:t>Investment strategies developed to increase access to finance for the energy transition</w:t>
            </w:r>
          </w:p>
        </w:tc>
        <w:tc>
          <w:tcPr>
            <w:tcW w:w="2504" w:type="dxa"/>
            <w:shd w:val="clear" w:color="auto" w:fill="F0DBD4"/>
          </w:tcPr>
          <w:p w14:paraId="04D83828" w14:textId="67B01157" w:rsidR="009E3323" w:rsidRPr="001B387F" w:rsidRDefault="005861F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r w:rsidR="00DF2E3B" w:rsidRPr="001B387F" w14:paraId="0791DD44" w14:textId="77777777" w:rsidTr="00091CB4">
        <w:trPr>
          <w:cantSplit/>
          <w:trHeight w:val="544"/>
        </w:trPr>
        <w:tc>
          <w:tcPr>
            <w:tcW w:w="2503" w:type="dxa"/>
            <w:shd w:val="clear" w:color="auto" w:fill="F0DBD4"/>
          </w:tcPr>
          <w:p w14:paraId="6F68347F" w14:textId="351F57ED" w:rsidR="009E3323" w:rsidRPr="001B387F" w:rsidRDefault="009E3323" w:rsidP="003B4EBC">
            <w:pPr>
              <w:pStyle w:val="TableBodyCopybold"/>
            </w:pPr>
            <w:r w:rsidRPr="001B387F">
              <w:lastRenderedPageBreak/>
              <w:t>Outcome 3.2</w:t>
            </w:r>
          </w:p>
        </w:tc>
        <w:tc>
          <w:tcPr>
            <w:tcW w:w="2504" w:type="dxa"/>
            <w:shd w:val="clear" w:color="auto" w:fill="F0DBD4"/>
          </w:tcPr>
          <w:p w14:paraId="0BB2F08A" w14:textId="62CD76E2" w:rsidR="009E3323" w:rsidRPr="001B387F" w:rsidRDefault="009E3323" w:rsidP="003B4EBC">
            <w:pPr>
              <w:pStyle w:val="TableBodyCopy"/>
            </w:pPr>
            <w:r w:rsidRPr="001B387F">
              <w:rPr>
                <w:lang w:eastAsia="en-AU"/>
              </w:rPr>
              <w:t>3.2.2 Policy and operations for transitioning to low-emission and green technology</w:t>
            </w:r>
          </w:p>
        </w:tc>
        <w:tc>
          <w:tcPr>
            <w:tcW w:w="2503" w:type="dxa"/>
            <w:shd w:val="clear" w:color="auto" w:fill="F0DBD4"/>
          </w:tcPr>
          <w:p w14:paraId="6AC2901C" w14:textId="4D2714B9" w:rsidR="009E3323" w:rsidRPr="001B387F" w:rsidRDefault="009E3323" w:rsidP="003B4EBC">
            <w:pPr>
              <w:pStyle w:val="TableBodyCopy"/>
            </w:pPr>
            <w:r w:rsidRPr="001B387F">
              <w:t>1</w:t>
            </w:r>
            <w:r w:rsidR="00664481" w:rsidRPr="001B387F">
              <w:t> </w:t>
            </w:r>
            <w:r w:rsidRPr="001B387F">
              <w:t>policy/regulation promotes low</w:t>
            </w:r>
            <w:r w:rsidR="001A7697" w:rsidRPr="001B387F">
              <w:t>-</w:t>
            </w:r>
            <w:r w:rsidRPr="001B387F">
              <w:t>emission pathway in transport via W</w:t>
            </w:r>
            <w:r w:rsidR="00A06225" w:rsidRPr="001B387F">
              <w:t xml:space="preserve">orld </w:t>
            </w:r>
            <w:r w:rsidRPr="001B387F">
              <w:t>B</w:t>
            </w:r>
            <w:r w:rsidR="00A06225" w:rsidRPr="001B387F">
              <w:t>ank</w:t>
            </w:r>
            <w:r w:rsidRPr="001B387F">
              <w:t xml:space="preserve"> partnership</w:t>
            </w:r>
          </w:p>
        </w:tc>
        <w:tc>
          <w:tcPr>
            <w:tcW w:w="2504" w:type="dxa"/>
            <w:shd w:val="clear" w:color="auto" w:fill="F0DBD4"/>
          </w:tcPr>
          <w:p w14:paraId="451F61EE" w14:textId="6F52DA1E" w:rsidR="009E3323" w:rsidRPr="001B387F" w:rsidRDefault="009E3323" w:rsidP="003B4EBC">
            <w:pPr>
              <w:pStyle w:val="TableBodyCopy"/>
              <w:rPr>
                <w:lang w:eastAsia="en-AU"/>
              </w:rPr>
            </w:pPr>
            <w:r w:rsidRPr="001B387F">
              <w:rPr>
                <w:lang w:eastAsia="en-AU"/>
              </w:rPr>
              <w:t>Discussion and technical analysis for roadmaps and regulations on energy transition and social inclusion in transport sector</w:t>
            </w:r>
          </w:p>
          <w:p w14:paraId="5FFCC68B" w14:textId="588693BA" w:rsidR="009E3323" w:rsidRPr="001B387F" w:rsidRDefault="009E3323" w:rsidP="003B4EBC">
            <w:pPr>
              <w:pStyle w:val="TableBodyCopy"/>
            </w:pPr>
            <w:r w:rsidRPr="001B387F">
              <w:rPr>
                <w:lang w:eastAsia="en-AU"/>
              </w:rPr>
              <w:t>Increased awareness and knowledge of the benefits of low-carbon agriculture production</w:t>
            </w:r>
          </w:p>
        </w:tc>
        <w:tc>
          <w:tcPr>
            <w:tcW w:w="2503" w:type="dxa"/>
            <w:shd w:val="clear" w:color="auto" w:fill="F0DBD4"/>
          </w:tcPr>
          <w:p w14:paraId="7F59AF97" w14:textId="3DDE36E3" w:rsidR="009E3323" w:rsidRPr="001B387F" w:rsidRDefault="009E3323" w:rsidP="003B4EBC">
            <w:pPr>
              <w:pStyle w:val="TableBodyCopy"/>
              <w:rPr>
                <w:lang w:eastAsia="en-AU"/>
              </w:rPr>
            </w:pPr>
            <w:r w:rsidRPr="001B387F">
              <w:rPr>
                <w:lang w:eastAsia="en-AU"/>
              </w:rPr>
              <w:t xml:space="preserve">Development of better-quality and timely database to inform decisions related to transport and traffic </w:t>
            </w:r>
            <w:proofErr w:type="gramStart"/>
            <w:r w:rsidRPr="001B387F">
              <w:rPr>
                <w:lang w:eastAsia="en-AU"/>
              </w:rPr>
              <w:t>management</w:t>
            </w:r>
            <w:proofErr w:type="gramEnd"/>
          </w:p>
          <w:p w14:paraId="2EB21FAE" w14:textId="10EC8706" w:rsidR="009E3323" w:rsidRPr="001B387F" w:rsidRDefault="009E3323" w:rsidP="003B4EBC">
            <w:pPr>
              <w:pStyle w:val="TableBodyCopy"/>
            </w:pPr>
            <w:r w:rsidRPr="001B387F">
              <w:rPr>
                <w:lang w:eastAsia="en-AU"/>
              </w:rPr>
              <w:t>Small household farmers adopting low</w:t>
            </w:r>
            <w:r w:rsidR="00166B9A" w:rsidRPr="001B387F">
              <w:rPr>
                <w:lang w:eastAsia="en-AU"/>
              </w:rPr>
              <w:t>-</w:t>
            </w:r>
            <w:r w:rsidRPr="001B387F">
              <w:rPr>
                <w:lang w:eastAsia="en-AU"/>
              </w:rPr>
              <w:t>emission climate resilient practices</w:t>
            </w:r>
          </w:p>
        </w:tc>
        <w:tc>
          <w:tcPr>
            <w:tcW w:w="2504" w:type="dxa"/>
            <w:shd w:val="clear" w:color="auto" w:fill="F0DBD4"/>
          </w:tcPr>
          <w:p w14:paraId="02761860" w14:textId="14CEE27C" w:rsidR="009E3323" w:rsidRPr="001B387F" w:rsidRDefault="002B43A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r w:rsidR="009E3323" w:rsidRPr="001B387F" w14:paraId="68933544" w14:textId="77777777" w:rsidTr="00091CB4">
        <w:trPr>
          <w:cantSplit/>
          <w:trHeight w:val="544"/>
        </w:trPr>
        <w:tc>
          <w:tcPr>
            <w:tcW w:w="2503" w:type="dxa"/>
            <w:shd w:val="clear" w:color="auto" w:fill="F0DBD4"/>
          </w:tcPr>
          <w:p w14:paraId="01E22AA3" w14:textId="16FCE03E" w:rsidR="009E3323" w:rsidRPr="001B387F" w:rsidRDefault="009E3323" w:rsidP="003B4EBC">
            <w:pPr>
              <w:pStyle w:val="TableBodyCopybold"/>
            </w:pPr>
            <w:r w:rsidRPr="001B387F">
              <w:t>Outcome 3.2</w:t>
            </w:r>
          </w:p>
        </w:tc>
        <w:tc>
          <w:tcPr>
            <w:tcW w:w="2504" w:type="dxa"/>
            <w:shd w:val="clear" w:color="auto" w:fill="F0DBD4"/>
          </w:tcPr>
          <w:p w14:paraId="452F0806" w14:textId="4C017A25" w:rsidR="009E3323" w:rsidRPr="001B387F" w:rsidRDefault="009E3323" w:rsidP="003B4EBC">
            <w:pPr>
              <w:pStyle w:val="TableBodyCopy"/>
            </w:pPr>
            <w:r w:rsidRPr="001B387F">
              <w:rPr>
                <w:lang w:eastAsia="en-AU"/>
              </w:rPr>
              <w:t>3.2.3 Number and value of investments that are contributing to low-emissions development pathways or are supporting mitigat</w:t>
            </w:r>
            <w:r w:rsidR="001A7697" w:rsidRPr="001B387F">
              <w:rPr>
                <w:lang w:eastAsia="en-AU"/>
              </w:rPr>
              <w:t>ion</w:t>
            </w:r>
            <w:r w:rsidRPr="001B387F">
              <w:rPr>
                <w:lang w:eastAsia="en-AU"/>
              </w:rPr>
              <w:t xml:space="preserve"> activities (Tier</w:t>
            </w:r>
            <w:r w:rsidR="009A3D72" w:rsidRPr="001B387F">
              <w:rPr>
                <w:lang w:eastAsia="en-AU"/>
              </w:rPr>
              <w:t> </w:t>
            </w:r>
            <w:r w:rsidRPr="001B387F">
              <w:rPr>
                <w:lang w:eastAsia="en-AU"/>
              </w:rPr>
              <w:t>2)</w:t>
            </w:r>
          </w:p>
        </w:tc>
        <w:tc>
          <w:tcPr>
            <w:tcW w:w="2503" w:type="dxa"/>
            <w:shd w:val="clear" w:color="auto" w:fill="F0DBD4"/>
          </w:tcPr>
          <w:p w14:paraId="3853ACD1" w14:textId="4604B122" w:rsidR="009E3323" w:rsidRPr="001B387F" w:rsidRDefault="009E3323" w:rsidP="003B4EBC">
            <w:pPr>
              <w:pStyle w:val="TableBodyCopy"/>
            </w:pPr>
            <w:r w:rsidRPr="001B387F">
              <w:t xml:space="preserve">Australian Development </w:t>
            </w:r>
            <w:r w:rsidR="003D3B9C" w:rsidRPr="001B387F">
              <w:t>I</w:t>
            </w:r>
            <w:r w:rsidRPr="001B387F">
              <w:t>nvestment</w:t>
            </w:r>
            <w:r w:rsidR="00CA42C6" w:rsidRPr="001B387F">
              <w:t>s</w:t>
            </w:r>
            <w:r w:rsidR="003019C4" w:rsidRPr="001B387F">
              <w:t xml:space="preserve"> fund</w:t>
            </w:r>
            <w:r w:rsidR="002E02CE" w:rsidRPr="001B387F">
              <w:t xml:space="preserve"> </w:t>
            </w:r>
            <w:r w:rsidRPr="001B387F">
              <w:t>at $6.5</w:t>
            </w:r>
            <w:r w:rsidR="00BC066A" w:rsidRPr="001B387F">
              <w:t> </w:t>
            </w:r>
            <w:r w:rsidRPr="001B387F">
              <w:t>million</w:t>
            </w:r>
          </w:p>
        </w:tc>
        <w:tc>
          <w:tcPr>
            <w:tcW w:w="2504" w:type="dxa"/>
            <w:shd w:val="clear" w:color="auto" w:fill="F0DBD4"/>
          </w:tcPr>
          <w:p w14:paraId="259C8B12" w14:textId="2BE57299" w:rsidR="009E3323" w:rsidRPr="001B387F" w:rsidRDefault="009E3323" w:rsidP="003B4EBC">
            <w:pPr>
              <w:pStyle w:val="TableBodyCopy"/>
            </w:pPr>
            <w:r w:rsidRPr="001B387F">
              <w:rPr>
                <w:rFonts w:eastAsia="Calibri Light"/>
                <w:color w:val="000000"/>
              </w:rPr>
              <w:t xml:space="preserve">Targets to be defined </w:t>
            </w:r>
            <w:r w:rsidR="00C778AA" w:rsidRPr="001B387F">
              <w:rPr>
                <w:rFonts w:eastAsia="Calibri Light"/>
                <w:color w:val="000000"/>
              </w:rPr>
              <w:t>in</w:t>
            </w:r>
            <w:r w:rsidRPr="001B387F">
              <w:rPr>
                <w:rFonts w:eastAsia="Calibri Light"/>
                <w:color w:val="000000"/>
              </w:rPr>
              <w:t xml:space="preserve"> </w:t>
            </w:r>
            <w:r w:rsidR="00A27333" w:rsidRPr="001B387F">
              <w:rPr>
                <w:rFonts w:eastAsia="Calibri Light"/>
                <w:color w:val="000000"/>
              </w:rPr>
              <w:t>Aus4Growt</w:t>
            </w:r>
            <w:r w:rsidR="00EF0BF3" w:rsidRPr="001B387F">
              <w:rPr>
                <w:rFonts w:eastAsia="Calibri Light"/>
                <w:color w:val="000000"/>
              </w:rPr>
              <w:t>h</w:t>
            </w:r>
            <w:r w:rsidRPr="001B387F">
              <w:rPr>
                <w:rFonts w:eastAsia="Calibri Light"/>
                <w:color w:val="000000"/>
              </w:rPr>
              <w:t xml:space="preserve"> design and inception</w:t>
            </w:r>
          </w:p>
        </w:tc>
        <w:tc>
          <w:tcPr>
            <w:tcW w:w="2503" w:type="dxa"/>
            <w:shd w:val="clear" w:color="auto" w:fill="F0DBD4"/>
          </w:tcPr>
          <w:p w14:paraId="58E4A2CD" w14:textId="1CFBA21B" w:rsidR="009E3323" w:rsidRPr="001B387F" w:rsidRDefault="009E3323" w:rsidP="003B4EBC">
            <w:pPr>
              <w:pStyle w:val="TableBodyCopy"/>
            </w:pPr>
            <w:r w:rsidRPr="001B387F">
              <w:rPr>
                <w:rFonts w:eastAsia="Calibri Light"/>
                <w:color w:val="000000"/>
              </w:rPr>
              <w:t xml:space="preserve">Targets to be defined </w:t>
            </w:r>
            <w:r w:rsidR="00C778AA" w:rsidRPr="001B387F">
              <w:rPr>
                <w:rFonts w:eastAsia="Calibri Light"/>
                <w:color w:val="000000"/>
              </w:rPr>
              <w:t>in</w:t>
            </w:r>
            <w:r w:rsidRPr="001B387F">
              <w:rPr>
                <w:rFonts w:eastAsia="Calibri Light"/>
                <w:color w:val="000000"/>
              </w:rPr>
              <w:t xml:space="preserve"> </w:t>
            </w:r>
            <w:r w:rsidR="00EF0BF3" w:rsidRPr="001B387F">
              <w:rPr>
                <w:rFonts w:eastAsia="Calibri Light"/>
                <w:color w:val="000000"/>
              </w:rPr>
              <w:t>Aus4Growth</w:t>
            </w:r>
            <w:r w:rsidRPr="001B387F">
              <w:rPr>
                <w:rFonts w:eastAsia="Calibri Light"/>
                <w:color w:val="000000"/>
              </w:rPr>
              <w:t xml:space="preserve"> design and inception</w:t>
            </w:r>
          </w:p>
        </w:tc>
        <w:tc>
          <w:tcPr>
            <w:tcW w:w="2504" w:type="dxa"/>
            <w:shd w:val="clear" w:color="auto" w:fill="F0DBD4"/>
          </w:tcPr>
          <w:p w14:paraId="564678C0" w14:textId="522C3D45" w:rsidR="009E3323" w:rsidRPr="001B387F" w:rsidRDefault="002B43A7" w:rsidP="003B4EBC">
            <w:pPr>
              <w:pStyle w:val="TableBodyCopy"/>
              <w:rPr>
                <w:szCs w:val="18"/>
              </w:rPr>
            </w:pPr>
            <w:r w:rsidRPr="001B387F">
              <w:rPr>
                <w:szCs w:val="18"/>
                <w:lang w:eastAsia="en-AU"/>
              </w:rPr>
              <w:t>SDG</w:t>
            </w:r>
            <w:r w:rsidR="009E3323" w:rsidRPr="001B387F">
              <w:rPr>
                <w:szCs w:val="18"/>
                <w:lang w:eastAsia="en-AU"/>
              </w:rPr>
              <w:t>5,</w:t>
            </w:r>
            <w:r w:rsidRPr="001B387F">
              <w:rPr>
                <w:szCs w:val="18"/>
                <w:lang w:eastAsia="en-AU"/>
              </w:rPr>
              <w:t xml:space="preserve"> SDG</w:t>
            </w:r>
            <w:r w:rsidR="009E3323" w:rsidRPr="001B387F">
              <w:rPr>
                <w:szCs w:val="18"/>
                <w:lang w:eastAsia="en-AU"/>
              </w:rPr>
              <w:t>7</w:t>
            </w:r>
            <w:r w:rsidRPr="001B387F">
              <w:rPr>
                <w:szCs w:val="18"/>
                <w:lang w:eastAsia="en-AU"/>
              </w:rPr>
              <w:t>,</w:t>
            </w:r>
            <w:r w:rsidR="009E3323" w:rsidRPr="001B387F">
              <w:rPr>
                <w:szCs w:val="18"/>
                <w:lang w:eastAsia="en-AU"/>
              </w:rPr>
              <w:t xml:space="preserve"> </w:t>
            </w:r>
            <w:r w:rsidRPr="001B387F">
              <w:rPr>
                <w:szCs w:val="18"/>
                <w:lang w:eastAsia="en-AU"/>
              </w:rPr>
              <w:t>SDG</w:t>
            </w:r>
            <w:r w:rsidR="009E3323" w:rsidRPr="001B387F">
              <w:rPr>
                <w:szCs w:val="18"/>
                <w:lang w:eastAsia="en-AU"/>
              </w:rPr>
              <w:t>13</w:t>
            </w:r>
          </w:p>
        </w:tc>
      </w:tr>
    </w:tbl>
    <w:p w14:paraId="29AE86A2" w14:textId="6FAD812F" w:rsidR="009E3323" w:rsidRPr="001B387F" w:rsidRDefault="009E3323" w:rsidP="001819AF">
      <w:pPr>
        <w:pStyle w:val="Tablenote"/>
      </w:pPr>
      <w:bookmarkStart w:id="6" w:name="T3nc"/>
      <w:r w:rsidRPr="001B387F">
        <w:t>c</w:t>
      </w:r>
      <w:r w:rsidRPr="001B387F">
        <w:tab/>
        <w:t>Aus4Growth and Aus4Adaptation</w:t>
      </w:r>
      <w:r w:rsidR="000102DF" w:rsidRPr="001B387F">
        <w:t>,</w:t>
      </w:r>
      <w:r w:rsidRPr="001B387F">
        <w:t xml:space="preserve"> two of the three main contributors </w:t>
      </w:r>
      <w:r w:rsidR="000102DF" w:rsidRPr="001B387F">
        <w:t>to</w:t>
      </w:r>
      <w:r w:rsidRPr="001B387F">
        <w:t xml:space="preserve"> this objective</w:t>
      </w:r>
      <w:r w:rsidR="000102DF" w:rsidRPr="001B387F">
        <w:t>,</w:t>
      </w:r>
      <w:r w:rsidRPr="001B387F">
        <w:t xml:space="preserve"> are still </w:t>
      </w:r>
      <w:r w:rsidR="000102DF" w:rsidRPr="001B387F">
        <w:t>being designed</w:t>
      </w:r>
      <w:r w:rsidRPr="001B387F">
        <w:t>. We will fill out the expected results in the next round of updating this PAF table.</w:t>
      </w:r>
    </w:p>
    <w:bookmarkEnd w:id="6"/>
    <w:p w14:paraId="0E5430F7" w14:textId="77777777" w:rsidR="003C4084" w:rsidRPr="001B387F" w:rsidRDefault="003C4084">
      <w:pPr>
        <w:spacing w:before="0" w:after="0" w:line="240" w:lineRule="auto"/>
        <w:rPr>
          <w:b/>
          <w:bCs/>
          <w:lang w:eastAsia="en-AU"/>
        </w:rPr>
      </w:pPr>
      <w:r w:rsidRPr="001B387F">
        <w:br w:type="page"/>
      </w:r>
    </w:p>
    <w:p w14:paraId="726F5189" w14:textId="437E668B" w:rsidR="009E3323" w:rsidRPr="001B387F" w:rsidRDefault="009E3323" w:rsidP="00707E6A">
      <w:pPr>
        <w:pStyle w:val="PAFobjectivehead"/>
      </w:pPr>
      <w:r w:rsidRPr="001B387F">
        <w:lastRenderedPageBreak/>
        <w:t xml:space="preserve">Objective 4: </w:t>
      </w:r>
      <w:r w:rsidR="00B12E44" w:rsidRPr="001B387F">
        <w:t>Inclusive and participatory</w:t>
      </w:r>
      <w:r w:rsidRPr="001B387F">
        <w:t xml:space="preserve"> social and economic development</w:t>
      </w:r>
    </w:p>
    <w:tbl>
      <w:tblPr>
        <w:tblStyle w:val="PlainTable1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rformance Assessment Framework for Objective 4"/>
        <w:tblDescription w:val="Expected results for Objective 4 for the first three years of the DPP and against the Sustainable Development Goals"/>
      </w:tblPr>
      <w:tblGrid>
        <w:gridCol w:w="2503"/>
        <w:gridCol w:w="2504"/>
        <w:gridCol w:w="2503"/>
        <w:gridCol w:w="2504"/>
        <w:gridCol w:w="2503"/>
        <w:gridCol w:w="2504"/>
      </w:tblGrid>
      <w:tr w:rsidR="009E3323" w:rsidRPr="001B387F" w14:paraId="59F88EED" w14:textId="77777777" w:rsidTr="00091CB4">
        <w:trPr>
          <w:cnfStyle w:val="100000000000" w:firstRow="1" w:lastRow="0" w:firstColumn="0" w:lastColumn="0" w:oddVBand="0" w:evenVBand="0" w:oddHBand="0" w:evenHBand="0" w:firstRowFirstColumn="0" w:firstRowLastColumn="0" w:lastRowFirstColumn="0" w:lastRowLastColumn="0"/>
          <w:cantSplit/>
          <w:trHeight w:val="846"/>
          <w:tblHeader/>
        </w:trPr>
        <w:tc>
          <w:tcPr>
            <w:cnfStyle w:val="001000000000" w:firstRow="0" w:lastRow="0" w:firstColumn="1" w:lastColumn="0" w:oddVBand="0" w:evenVBand="0" w:oddHBand="0" w:evenHBand="0" w:firstRowFirstColumn="0" w:firstRowLastColumn="0" w:lastRowFirstColumn="0" w:lastRowLastColumn="0"/>
            <w:tcW w:w="2503" w:type="dxa"/>
            <w:shd w:val="clear" w:color="auto" w:fill="3A586E"/>
          </w:tcPr>
          <w:p w14:paraId="08F5A353" w14:textId="77777777" w:rsidR="009E3323" w:rsidRPr="001B387F" w:rsidRDefault="009E3323" w:rsidP="00AB61FD">
            <w:pPr>
              <w:pStyle w:val="TableHeading"/>
              <w:rPr>
                <w:b/>
                <w:bCs/>
              </w:rPr>
            </w:pPr>
            <w:r w:rsidRPr="001B387F">
              <w:rPr>
                <w:b/>
                <w:bCs/>
                <w:lang w:eastAsia="en-AU"/>
              </w:rPr>
              <w:t>Outcome</w:t>
            </w:r>
          </w:p>
        </w:tc>
        <w:tc>
          <w:tcPr>
            <w:tcW w:w="2504" w:type="dxa"/>
            <w:shd w:val="clear" w:color="auto" w:fill="3A586E"/>
          </w:tcPr>
          <w:p w14:paraId="528765F1" w14:textId="77777777" w:rsidR="009E3323" w:rsidRPr="001B387F" w:rsidRDefault="009E3323" w:rsidP="00AB61FD">
            <w:pPr>
              <w:pStyle w:val="TableHeading"/>
              <w:cnfStyle w:val="100000000000" w:firstRow="1" w:lastRow="0" w:firstColumn="0" w:lastColumn="0" w:oddVBand="0" w:evenVBand="0" w:oddHBand="0" w:evenHBand="0" w:firstRowFirstColumn="0" w:firstRowLastColumn="0" w:lastRowFirstColumn="0" w:lastRowLastColumn="0"/>
              <w:rPr>
                <w:b/>
                <w:bCs/>
                <w:lang w:eastAsia="en-AU"/>
              </w:rPr>
            </w:pPr>
            <w:r w:rsidRPr="001B387F">
              <w:rPr>
                <w:b/>
                <w:bCs/>
                <w:lang w:eastAsia="en-AU"/>
              </w:rPr>
              <w:t>Indicator</w:t>
            </w:r>
          </w:p>
        </w:tc>
        <w:tc>
          <w:tcPr>
            <w:tcW w:w="2503" w:type="dxa"/>
            <w:shd w:val="clear" w:color="auto" w:fill="3A586E"/>
          </w:tcPr>
          <w:p w14:paraId="2F5EB0A2" w14:textId="3CC0A077" w:rsidR="009E3323" w:rsidRPr="001B387F" w:rsidRDefault="009E3323" w:rsidP="00AB61FD">
            <w:pPr>
              <w:pStyle w:val="TableHeading"/>
              <w:cnfStyle w:val="100000000000" w:firstRow="1" w:lastRow="0" w:firstColumn="0" w:lastColumn="0" w:oddVBand="0" w:evenVBand="0" w:oddHBand="0" w:evenHBand="0" w:firstRowFirstColumn="0" w:firstRowLastColumn="0" w:lastRowFirstColumn="0" w:lastRowLastColumn="0"/>
              <w:rPr>
                <w:b/>
                <w:bCs/>
                <w:lang w:eastAsia="en-AU"/>
              </w:rPr>
            </w:pPr>
            <w:r w:rsidRPr="001B387F">
              <w:rPr>
                <w:b/>
                <w:bCs/>
                <w:lang w:eastAsia="en-AU"/>
              </w:rPr>
              <w:t>Expected results</w:t>
            </w:r>
            <w:r w:rsidRPr="001B387F">
              <w:rPr>
                <w:b/>
                <w:bCs/>
                <w:lang w:eastAsia="en-AU"/>
              </w:rPr>
              <w:br/>
              <w:t>2024–25</w:t>
            </w:r>
          </w:p>
        </w:tc>
        <w:tc>
          <w:tcPr>
            <w:tcW w:w="2504" w:type="dxa"/>
            <w:shd w:val="clear" w:color="auto" w:fill="3A586E"/>
          </w:tcPr>
          <w:p w14:paraId="5EAB07C6" w14:textId="7BD4F5D4" w:rsidR="009E3323" w:rsidRPr="001B387F" w:rsidRDefault="009E3323" w:rsidP="00AB61FD">
            <w:pPr>
              <w:pStyle w:val="TableHeading"/>
              <w:cnfStyle w:val="100000000000" w:firstRow="1" w:lastRow="0" w:firstColumn="0" w:lastColumn="0" w:oddVBand="0" w:evenVBand="0" w:oddHBand="0" w:evenHBand="0" w:firstRowFirstColumn="0" w:firstRowLastColumn="0" w:lastRowFirstColumn="0" w:lastRowLastColumn="0"/>
              <w:rPr>
                <w:b/>
                <w:bCs/>
                <w:lang w:eastAsia="en-AU"/>
              </w:rPr>
            </w:pPr>
            <w:r w:rsidRPr="001B387F">
              <w:rPr>
                <w:b/>
                <w:bCs/>
                <w:lang w:eastAsia="en-AU"/>
              </w:rPr>
              <w:t>Expected results</w:t>
            </w:r>
            <w:r w:rsidRPr="001B387F">
              <w:rPr>
                <w:b/>
                <w:bCs/>
                <w:lang w:eastAsia="en-AU"/>
              </w:rPr>
              <w:br/>
              <w:t>2025–26</w:t>
            </w:r>
          </w:p>
        </w:tc>
        <w:tc>
          <w:tcPr>
            <w:tcW w:w="2503" w:type="dxa"/>
            <w:shd w:val="clear" w:color="auto" w:fill="3A586E"/>
          </w:tcPr>
          <w:p w14:paraId="6256175C" w14:textId="75E82605" w:rsidR="009E3323" w:rsidRPr="001B387F" w:rsidRDefault="009E3323" w:rsidP="00AB61FD">
            <w:pPr>
              <w:pStyle w:val="TableHeading"/>
              <w:cnfStyle w:val="100000000000" w:firstRow="1" w:lastRow="0" w:firstColumn="0" w:lastColumn="0" w:oddVBand="0" w:evenVBand="0" w:oddHBand="0" w:evenHBand="0" w:firstRowFirstColumn="0" w:firstRowLastColumn="0" w:lastRowFirstColumn="0" w:lastRowLastColumn="0"/>
              <w:rPr>
                <w:b/>
                <w:bCs/>
                <w:lang w:eastAsia="en-AU"/>
              </w:rPr>
            </w:pPr>
            <w:r w:rsidRPr="001B387F">
              <w:rPr>
                <w:b/>
                <w:bCs/>
                <w:lang w:eastAsia="en-AU"/>
              </w:rPr>
              <w:t>Expected results</w:t>
            </w:r>
            <w:r w:rsidRPr="001B387F">
              <w:rPr>
                <w:b/>
                <w:bCs/>
                <w:lang w:eastAsia="en-AU"/>
              </w:rPr>
              <w:br/>
              <w:t>2026–27</w:t>
            </w:r>
          </w:p>
        </w:tc>
        <w:tc>
          <w:tcPr>
            <w:tcW w:w="2504" w:type="dxa"/>
            <w:shd w:val="clear" w:color="auto" w:fill="3A586E"/>
          </w:tcPr>
          <w:p w14:paraId="1BCB1BDC" w14:textId="77777777" w:rsidR="009E3323" w:rsidRPr="001B387F" w:rsidRDefault="009E3323" w:rsidP="00AB61FD">
            <w:pPr>
              <w:pStyle w:val="TableHeading"/>
              <w:cnfStyle w:val="100000000000" w:firstRow="1" w:lastRow="0" w:firstColumn="0" w:lastColumn="0" w:oddVBand="0" w:evenVBand="0" w:oddHBand="0" w:evenHBand="0" w:firstRowFirstColumn="0" w:firstRowLastColumn="0" w:lastRowFirstColumn="0" w:lastRowLastColumn="0"/>
              <w:rPr>
                <w:b/>
                <w:bCs/>
                <w:lang w:eastAsia="en-AU"/>
              </w:rPr>
            </w:pPr>
            <w:r w:rsidRPr="001B387F">
              <w:rPr>
                <w:b/>
                <w:bCs/>
                <w:lang w:eastAsia="en-AU"/>
              </w:rPr>
              <w:t>Sustainable Development Goals (SDGs)</w:t>
            </w:r>
          </w:p>
        </w:tc>
      </w:tr>
      <w:tr w:rsidR="009E3323" w:rsidRPr="001B387F" w14:paraId="35447E02" w14:textId="77777777" w:rsidTr="00091CB4">
        <w:trPr>
          <w:cnfStyle w:val="000000100000" w:firstRow="0" w:lastRow="0" w:firstColumn="0" w:lastColumn="0" w:oddVBand="0" w:evenVBand="0" w:oddHBand="1" w:evenHBand="0" w:firstRowFirstColumn="0" w:firstRowLastColumn="0" w:lastRowFirstColumn="0" w:lastRowLastColumn="0"/>
          <w:cantSplit/>
          <w:trHeight w:val="1921"/>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hideMark/>
          </w:tcPr>
          <w:p w14:paraId="2F90094B" w14:textId="77777777" w:rsidR="009E3323" w:rsidRPr="001B387F" w:rsidRDefault="009E3323" w:rsidP="003B4EBC">
            <w:pPr>
              <w:pStyle w:val="TableBodyCopybold"/>
              <w:rPr>
                <w:b/>
                <w:bCs/>
              </w:rPr>
            </w:pPr>
            <w:r w:rsidRPr="001B387F">
              <w:rPr>
                <w:b/>
                <w:bCs/>
              </w:rPr>
              <w:t>Outcome 4.1</w:t>
            </w:r>
          </w:p>
          <w:p w14:paraId="43C14B00" w14:textId="3D0C488F" w:rsidR="009E3323" w:rsidRPr="001B387F" w:rsidRDefault="009E3323" w:rsidP="003B4EBC">
            <w:pPr>
              <w:pStyle w:val="TableBodyCopy"/>
              <w:rPr>
                <w:b w:val="0"/>
                <w:bCs w:val="0"/>
              </w:rPr>
            </w:pPr>
            <w:r w:rsidRPr="001B387F">
              <w:rPr>
                <w:b w:val="0"/>
                <w:bCs w:val="0"/>
              </w:rPr>
              <w:t xml:space="preserve">Women, children, people with </w:t>
            </w:r>
            <w:r w:rsidR="00A8525B" w:rsidRPr="001B387F">
              <w:rPr>
                <w:b w:val="0"/>
                <w:bCs w:val="0"/>
              </w:rPr>
              <w:t>disability</w:t>
            </w:r>
            <w:r w:rsidRPr="001B387F">
              <w:rPr>
                <w:b w:val="0"/>
                <w:bCs w:val="0"/>
              </w:rPr>
              <w:t xml:space="preserve"> </w:t>
            </w:r>
            <w:r w:rsidR="005145F6" w:rsidRPr="001B387F">
              <w:rPr>
                <w:b w:val="0"/>
                <w:bCs w:val="0"/>
              </w:rPr>
              <w:t xml:space="preserve">and members of </w:t>
            </w:r>
            <w:r w:rsidRPr="001B387F">
              <w:rPr>
                <w:b w:val="0"/>
                <w:bCs w:val="0"/>
              </w:rPr>
              <w:t>ethnic minorit</w:t>
            </w:r>
            <w:r w:rsidR="008D0AC1" w:rsidRPr="001B387F">
              <w:rPr>
                <w:b w:val="0"/>
                <w:bCs w:val="0"/>
              </w:rPr>
              <w:t>y groups</w:t>
            </w:r>
            <w:r w:rsidRPr="001B387F">
              <w:rPr>
                <w:b w:val="0"/>
                <w:bCs w:val="0"/>
              </w:rPr>
              <w:t xml:space="preserve"> and </w:t>
            </w:r>
            <w:r w:rsidR="003016F1" w:rsidRPr="001B387F">
              <w:rPr>
                <w:b w:val="0"/>
                <w:bCs w:val="0"/>
              </w:rPr>
              <w:t>lesbian, gay, bisexual, transgender, queer/</w:t>
            </w:r>
            <w:r w:rsidR="00DD020B" w:rsidRPr="001B387F">
              <w:rPr>
                <w:b w:val="0"/>
                <w:bCs w:val="0"/>
              </w:rPr>
              <w:t>‌</w:t>
            </w:r>
            <w:r w:rsidR="003016F1" w:rsidRPr="001B387F">
              <w:rPr>
                <w:b w:val="0"/>
                <w:bCs w:val="0"/>
              </w:rPr>
              <w:t xml:space="preserve">questioning, </w:t>
            </w:r>
            <w:r w:rsidR="005856D2" w:rsidRPr="001B387F">
              <w:rPr>
                <w:b w:val="0"/>
                <w:bCs w:val="0"/>
              </w:rPr>
              <w:t xml:space="preserve">intersex, </w:t>
            </w:r>
            <w:r w:rsidR="003016F1" w:rsidRPr="001B387F">
              <w:rPr>
                <w:b w:val="0"/>
                <w:bCs w:val="0"/>
              </w:rPr>
              <w:t xml:space="preserve">asexual and </w:t>
            </w:r>
            <w:proofErr w:type="gramStart"/>
            <w:r w:rsidR="003016F1" w:rsidRPr="001B387F">
              <w:rPr>
                <w:b w:val="0"/>
                <w:bCs w:val="0"/>
              </w:rPr>
              <w:t>identity-diverse</w:t>
            </w:r>
            <w:proofErr w:type="gramEnd"/>
            <w:r w:rsidR="003016F1" w:rsidRPr="001B387F">
              <w:rPr>
                <w:b w:val="0"/>
                <w:bCs w:val="0"/>
              </w:rPr>
              <w:t xml:space="preserve"> (</w:t>
            </w:r>
            <w:r w:rsidRPr="001B387F">
              <w:rPr>
                <w:b w:val="0"/>
                <w:bCs w:val="0"/>
              </w:rPr>
              <w:t>LGBTQIA+</w:t>
            </w:r>
            <w:r w:rsidR="003016F1" w:rsidRPr="001B387F">
              <w:rPr>
                <w:b w:val="0"/>
                <w:bCs w:val="0"/>
              </w:rPr>
              <w:t>)</w:t>
            </w:r>
            <w:r w:rsidRPr="001B387F">
              <w:rPr>
                <w:b w:val="0"/>
                <w:bCs w:val="0"/>
              </w:rPr>
              <w:t xml:space="preserve"> communit</w:t>
            </w:r>
            <w:r w:rsidR="003B7DFB" w:rsidRPr="001B387F">
              <w:rPr>
                <w:b w:val="0"/>
                <w:bCs w:val="0"/>
              </w:rPr>
              <w:t>ies</w:t>
            </w:r>
            <w:r w:rsidRPr="001B387F">
              <w:rPr>
                <w:b w:val="0"/>
                <w:bCs w:val="0"/>
              </w:rPr>
              <w:t xml:space="preserve"> live a more secure and dignified li</w:t>
            </w:r>
            <w:r w:rsidR="00392F52" w:rsidRPr="001B387F">
              <w:rPr>
                <w:b w:val="0"/>
                <w:bCs w:val="0"/>
              </w:rPr>
              <w:t>ves</w:t>
            </w:r>
          </w:p>
        </w:tc>
        <w:tc>
          <w:tcPr>
            <w:tcW w:w="2504" w:type="dxa"/>
            <w:shd w:val="clear" w:color="auto" w:fill="D9D9D9"/>
            <w:hideMark/>
          </w:tcPr>
          <w:p w14:paraId="69672726" w14:textId="46B96C29"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4.1.1 Availability, </w:t>
            </w:r>
            <w:proofErr w:type="gramStart"/>
            <w:r w:rsidRPr="001B387F">
              <w:t>inclusivity</w:t>
            </w:r>
            <w:proofErr w:type="gramEnd"/>
            <w:r w:rsidRPr="001B387F">
              <w:t xml:space="preserve"> and quality of violence against women and children prevention and response services</w:t>
            </w:r>
          </w:p>
        </w:tc>
        <w:tc>
          <w:tcPr>
            <w:tcW w:w="2503" w:type="dxa"/>
            <w:shd w:val="clear" w:color="auto" w:fill="D9D9D9"/>
          </w:tcPr>
          <w:p w14:paraId="3555C914" w14:textId="1AAA33E6"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Increased quality of integrated services for prevention </w:t>
            </w:r>
            <w:r w:rsidR="001C3B4C" w:rsidRPr="001B387F">
              <w:t xml:space="preserve">of </w:t>
            </w:r>
            <w:r w:rsidRPr="001B387F">
              <w:t>and response to violence against women and children</w:t>
            </w:r>
          </w:p>
          <w:p w14:paraId="73BD8686" w14:textId="64F26FEB"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600 service providers have increased knowledge and capacity to deliver quality and coordinated </w:t>
            </w:r>
            <w:r w:rsidR="00392F52" w:rsidRPr="001B387F">
              <w:t>Ending Violence Against Women and Children (</w:t>
            </w:r>
            <w:r w:rsidRPr="001B387F">
              <w:t>EVAWC</w:t>
            </w:r>
            <w:r w:rsidR="00392F52" w:rsidRPr="001B387F">
              <w:t>)</w:t>
            </w:r>
            <w:r w:rsidRPr="001B387F">
              <w:t xml:space="preserve"> essential services to </w:t>
            </w:r>
            <w:r w:rsidR="00770040" w:rsidRPr="001B387F">
              <w:t>victim</w:t>
            </w:r>
            <w:r w:rsidR="00340144" w:rsidRPr="001B387F">
              <w:t>/‌</w:t>
            </w:r>
            <w:r w:rsidRPr="001B387F">
              <w:t>survivors of violence</w:t>
            </w:r>
          </w:p>
        </w:tc>
        <w:tc>
          <w:tcPr>
            <w:tcW w:w="2504" w:type="dxa"/>
            <w:shd w:val="clear" w:color="auto" w:fill="D9D9D9"/>
          </w:tcPr>
          <w:p w14:paraId="2579C354" w14:textId="425DB622"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Increased quality of integrated services for prevention </w:t>
            </w:r>
            <w:r w:rsidR="0002660F" w:rsidRPr="001B387F">
              <w:t xml:space="preserve">of </w:t>
            </w:r>
            <w:r w:rsidRPr="001B387F">
              <w:t>and response to violence against women and children</w:t>
            </w:r>
          </w:p>
        </w:tc>
        <w:tc>
          <w:tcPr>
            <w:tcW w:w="2503" w:type="dxa"/>
            <w:shd w:val="clear" w:color="auto" w:fill="D9D9D9"/>
            <w:hideMark/>
          </w:tcPr>
          <w:p w14:paraId="07CE6824" w14:textId="4184390E"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Increased quality of integrated services for prevention </w:t>
            </w:r>
            <w:r w:rsidR="0002660F" w:rsidRPr="001B387F">
              <w:t xml:space="preserve">of </w:t>
            </w:r>
            <w:r w:rsidRPr="001B387F">
              <w:t>and response to violence against women and children</w:t>
            </w:r>
          </w:p>
        </w:tc>
        <w:tc>
          <w:tcPr>
            <w:tcW w:w="2504" w:type="dxa"/>
            <w:shd w:val="clear" w:color="auto" w:fill="D9D9D9"/>
          </w:tcPr>
          <w:p w14:paraId="344E912E" w14:textId="088DAC20" w:rsidR="002B43A7"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2</w:t>
            </w:r>
            <w:r w:rsidRPr="001B387F">
              <w:t>: Zero hunger</w:t>
            </w:r>
          </w:p>
          <w:p w14:paraId="12F1F8F6" w14:textId="3E10F987" w:rsidR="002B43A7"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3</w:t>
            </w:r>
            <w:r w:rsidRPr="001B387F">
              <w:t>:</w:t>
            </w:r>
            <w:r w:rsidR="00ED3D36" w:rsidRPr="001B387F">
              <w:t xml:space="preserve"> Good health and wellbeing</w:t>
            </w:r>
          </w:p>
          <w:p w14:paraId="78ECE1C2" w14:textId="2C4188D6" w:rsidR="002B43A7"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5</w:t>
            </w:r>
            <w:r w:rsidRPr="001B387F">
              <w:t>:</w:t>
            </w:r>
            <w:r w:rsidR="00ED3D36" w:rsidRPr="001B387F">
              <w:t xml:space="preserve"> Gender equality</w:t>
            </w:r>
          </w:p>
          <w:p w14:paraId="3BF15B33" w14:textId="76471A2C" w:rsidR="009E3323"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10</w:t>
            </w:r>
            <w:r w:rsidRPr="001B387F">
              <w:t>:</w:t>
            </w:r>
            <w:r w:rsidR="00ED3D36" w:rsidRPr="001B387F">
              <w:t xml:space="preserve"> Reduced inequalities</w:t>
            </w:r>
          </w:p>
        </w:tc>
      </w:tr>
      <w:tr w:rsidR="009E3323" w:rsidRPr="001B387F" w14:paraId="350E6E1E" w14:textId="77777777" w:rsidTr="00091CB4">
        <w:trPr>
          <w:cantSplit/>
          <w:trHeight w:val="566"/>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1FA2DB56" w14:textId="02C824F6" w:rsidR="009E3323" w:rsidRPr="001B387F" w:rsidRDefault="009E3323" w:rsidP="003B4EBC">
            <w:pPr>
              <w:pStyle w:val="TableBodyCopybold"/>
              <w:rPr>
                <w:b/>
                <w:bCs/>
              </w:rPr>
            </w:pPr>
            <w:r w:rsidRPr="001B387F">
              <w:rPr>
                <w:b/>
                <w:bCs/>
              </w:rPr>
              <w:t>Outcome 4.1</w:t>
            </w:r>
          </w:p>
        </w:tc>
        <w:tc>
          <w:tcPr>
            <w:tcW w:w="2504" w:type="dxa"/>
            <w:shd w:val="clear" w:color="auto" w:fill="D9D9D9"/>
          </w:tcPr>
          <w:p w14:paraId="375334DF" w14:textId="6EF61DD8"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4.1.2 N</w:t>
            </w:r>
            <w:r w:rsidR="004F532A" w:rsidRPr="001B387F">
              <w:t>umber</w:t>
            </w:r>
            <w:r w:rsidRPr="001B387F">
              <w:t xml:space="preserve"> of services provided to victim</w:t>
            </w:r>
            <w:r w:rsidR="00340144" w:rsidRPr="001B387F">
              <w:t>/</w:t>
            </w:r>
            <w:r w:rsidRPr="001B387F">
              <w:t>survivors of sexual and gender-based violence (Tier</w:t>
            </w:r>
            <w:r w:rsidR="009A3D72" w:rsidRPr="001B387F">
              <w:t> </w:t>
            </w:r>
            <w:r w:rsidRPr="001B387F">
              <w:t>2)</w:t>
            </w:r>
          </w:p>
        </w:tc>
        <w:tc>
          <w:tcPr>
            <w:tcW w:w="2503" w:type="dxa"/>
            <w:shd w:val="clear" w:color="auto" w:fill="D9D9D9"/>
          </w:tcPr>
          <w:p w14:paraId="7FA44934" w14:textId="2B482FEA"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2</w:t>
            </w:r>
            <w:r w:rsidR="002F3A9F" w:rsidRPr="001B387F">
              <w:t>,</w:t>
            </w:r>
            <w:r w:rsidRPr="001B387F">
              <w:t>440</w:t>
            </w:r>
          </w:p>
        </w:tc>
        <w:tc>
          <w:tcPr>
            <w:tcW w:w="2504" w:type="dxa"/>
            <w:shd w:val="clear" w:color="auto" w:fill="D9D9D9"/>
          </w:tcPr>
          <w:p w14:paraId="2DCF11E4" w14:textId="7BAC34B9"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rPr>
                <w:szCs w:val="20"/>
              </w:rPr>
            </w:pPr>
            <w:r w:rsidRPr="001B387F">
              <w:rPr>
                <w:rFonts w:eastAsia="Calibri Light"/>
                <w:szCs w:val="20"/>
              </w:rPr>
              <w:t xml:space="preserve">Targets to be defined </w:t>
            </w:r>
            <w:r w:rsidR="00C778AA" w:rsidRPr="001B387F">
              <w:rPr>
                <w:rFonts w:eastAsia="Calibri Light"/>
                <w:szCs w:val="20"/>
              </w:rPr>
              <w:t>in</w:t>
            </w:r>
            <w:r w:rsidRPr="001B387F">
              <w:rPr>
                <w:rFonts w:eastAsia="Calibri Light"/>
                <w:szCs w:val="20"/>
              </w:rPr>
              <w:t xml:space="preserve"> </w:t>
            </w:r>
            <w:r w:rsidR="00EF0BF3" w:rsidRPr="001B387F">
              <w:rPr>
                <w:rFonts w:eastAsia="Calibri Light"/>
                <w:szCs w:val="20"/>
              </w:rPr>
              <w:t>EVAWC</w:t>
            </w:r>
            <w:r w:rsidRPr="001B387F">
              <w:rPr>
                <w:rFonts w:eastAsia="Calibri Light"/>
                <w:szCs w:val="20"/>
              </w:rPr>
              <w:t xml:space="preserve"> design and inception</w:t>
            </w:r>
          </w:p>
        </w:tc>
        <w:tc>
          <w:tcPr>
            <w:tcW w:w="2503" w:type="dxa"/>
            <w:shd w:val="clear" w:color="auto" w:fill="D9D9D9"/>
          </w:tcPr>
          <w:p w14:paraId="01A24EE2" w14:textId="04B531C1"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rPr>
                <w:rFonts w:eastAsia="Calibri Light"/>
                <w:szCs w:val="20"/>
              </w:rPr>
              <w:t xml:space="preserve">Targets to be defined </w:t>
            </w:r>
            <w:r w:rsidR="00C778AA" w:rsidRPr="001B387F">
              <w:rPr>
                <w:rFonts w:eastAsia="Calibri Light"/>
                <w:szCs w:val="20"/>
              </w:rPr>
              <w:t>in</w:t>
            </w:r>
            <w:r w:rsidRPr="001B387F">
              <w:rPr>
                <w:rFonts w:eastAsia="Calibri Light"/>
                <w:szCs w:val="20"/>
              </w:rPr>
              <w:t xml:space="preserve"> </w:t>
            </w:r>
            <w:r w:rsidR="00EF0BF3" w:rsidRPr="001B387F">
              <w:rPr>
                <w:rFonts w:eastAsia="Calibri Light"/>
                <w:szCs w:val="20"/>
              </w:rPr>
              <w:t>EVAWC</w:t>
            </w:r>
            <w:r w:rsidRPr="001B387F">
              <w:rPr>
                <w:rFonts w:eastAsia="Calibri Light"/>
                <w:szCs w:val="20"/>
              </w:rPr>
              <w:t xml:space="preserve"> design and inception</w:t>
            </w:r>
          </w:p>
        </w:tc>
        <w:tc>
          <w:tcPr>
            <w:tcW w:w="2504" w:type="dxa"/>
            <w:shd w:val="clear" w:color="auto" w:fill="D9D9D9"/>
          </w:tcPr>
          <w:p w14:paraId="4AB8F7FC" w14:textId="03ABFCB1" w:rsidR="009E3323" w:rsidRPr="001B387F" w:rsidRDefault="002B43A7" w:rsidP="003B4EBC">
            <w:pPr>
              <w:pStyle w:val="TableBodyCopy"/>
              <w:cnfStyle w:val="000000000000" w:firstRow="0" w:lastRow="0" w:firstColumn="0" w:lastColumn="0" w:oddVBand="0" w:evenVBand="0" w:oddHBand="0"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ED3D36" w:rsidRPr="001B387F">
              <w:t>,</w:t>
            </w:r>
            <w:r w:rsidR="009E3323" w:rsidRPr="001B387F">
              <w:t xml:space="preserve"> </w:t>
            </w:r>
            <w:r w:rsidRPr="001B387F">
              <w:t>SDG</w:t>
            </w:r>
            <w:r w:rsidR="009E3323" w:rsidRPr="001B387F">
              <w:t>10</w:t>
            </w:r>
          </w:p>
        </w:tc>
      </w:tr>
      <w:tr w:rsidR="009E3323" w:rsidRPr="001B387F" w14:paraId="6BF4C1A3" w14:textId="77777777" w:rsidTr="00091CB4">
        <w:trPr>
          <w:cnfStyle w:val="000000100000" w:firstRow="0" w:lastRow="0" w:firstColumn="0" w:lastColumn="0" w:oddVBand="0" w:evenVBand="0" w:oddHBand="1" w:evenHBand="0" w:firstRowFirstColumn="0" w:firstRowLastColumn="0" w:lastRowFirstColumn="0" w:lastRowLastColumn="0"/>
          <w:cantSplit/>
          <w:trHeight w:val="1601"/>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hideMark/>
          </w:tcPr>
          <w:p w14:paraId="1878862D" w14:textId="1597AEA6" w:rsidR="009E3323" w:rsidRPr="001B387F" w:rsidRDefault="009E3323" w:rsidP="003B4EBC">
            <w:pPr>
              <w:pStyle w:val="TableBodyCopybold"/>
            </w:pPr>
            <w:r w:rsidRPr="001B387F">
              <w:rPr>
                <w:b/>
                <w:bCs/>
              </w:rPr>
              <w:t>Outcome 4.1</w:t>
            </w:r>
          </w:p>
        </w:tc>
        <w:tc>
          <w:tcPr>
            <w:tcW w:w="2504" w:type="dxa"/>
            <w:shd w:val="clear" w:color="auto" w:fill="D9D9D9"/>
          </w:tcPr>
          <w:p w14:paraId="507F9E92" w14:textId="7713D517"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rPr>
                <w:rFonts w:cs="Calibri"/>
                <w:szCs w:val="20"/>
              </w:rPr>
            </w:pPr>
            <w:r w:rsidRPr="001B387F">
              <w:rPr>
                <w:rFonts w:cs="Calibri"/>
                <w:szCs w:val="20"/>
              </w:rPr>
              <w:t>4.1.3 Number of organisations Australia has supported to strengthen accountability and/or inclusion (Tier</w:t>
            </w:r>
            <w:r w:rsidR="009A3D72" w:rsidRPr="001B387F">
              <w:rPr>
                <w:rFonts w:cs="Calibri"/>
                <w:szCs w:val="20"/>
              </w:rPr>
              <w:t> </w:t>
            </w:r>
            <w:r w:rsidRPr="001B387F">
              <w:rPr>
                <w:rFonts w:cs="Calibri"/>
                <w:szCs w:val="20"/>
              </w:rPr>
              <w:t>2</w:t>
            </w:r>
            <w:r w:rsidRPr="001B387F">
              <w:t>)</w:t>
            </w:r>
          </w:p>
        </w:tc>
        <w:tc>
          <w:tcPr>
            <w:tcW w:w="2503" w:type="dxa"/>
            <w:shd w:val="clear" w:color="auto" w:fill="D9D9D9"/>
          </w:tcPr>
          <w:p w14:paraId="7C4FCF34" w14:textId="6533916F"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rPr>
                <w:rFonts w:cs="Calibri"/>
                <w:szCs w:val="20"/>
              </w:rPr>
            </w:pPr>
            <w:r w:rsidRPr="001B387F">
              <w:rPr>
                <w:rFonts w:cs="Calibri"/>
                <w:szCs w:val="20"/>
              </w:rPr>
              <w:t>60</w:t>
            </w:r>
            <w:r w:rsidR="00664481" w:rsidRPr="001B387F">
              <w:rPr>
                <w:rFonts w:cs="Calibri"/>
                <w:szCs w:val="20"/>
              </w:rPr>
              <w:t> </w:t>
            </w:r>
            <w:r w:rsidRPr="001B387F">
              <w:rPr>
                <w:rFonts w:cs="Calibri"/>
                <w:szCs w:val="20"/>
              </w:rPr>
              <w:t xml:space="preserve">provinces issued action plans and directives in response to </w:t>
            </w:r>
            <w:r w:rsidR="00B443D4" w:rsidRPr="001B387F">
              <w:rPr>
                <w:rFonts w:eastAsia="Calibri Light"/>
              </w:rPr>
              <w:t>Public Administration Performance Index</w:t>
            </w:r>
            <w:r w:rsidR="00B443D4" w:rsidRPr="001B387F">
              <w:rPr>
                <w:rFonts w:cs="Calibri"/>
                <w:szCs w:val="20"/>
              </w:rPr>
              <w:t xml:space="preserve"> (</w:t>
            </w:r>
            <w:r w:rsidRPr="001B387F">
              <w:rPr>
                <w:rFonts w:cs="Calibri"/>
                <w:szCs w:val="20"/>
              </w:rPr>
              <w:t>PAPI</w:t>
            </w:r>
            <w:r w:rsidR="00B443D4" w:rsidRPr="001B387F">
              <w:rPr>
                <w:rFonts w:cs="Calibri"/>
                <w:szCs w:val="20"/>
              </w:rPr>
              <w:t>)</w:t>
            </w:r>
            <w:r w:rsidRPr="001B387F">
              <w:rPr>
                <w:rFonts w:cs="Calibri"/>
                <w:szCs w:val="20"/>
              </w:rPr>
              <w:t xml:space="preserve"> findings</w:t>
            </w:r>
          </w:p>
        </w:tc>
        <w:tc>
          <w:tcPr>
            <w:tcW w:w="2504" w:type="dxa"/>
            <w:shd w:val="clear" w:color="auto" w:fill="D9D9D9"/>
          </w:tcPr>
          <w:p w14:paraId="65C1708B" w14:textId="486A6A3C"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rPr>
                <w:rFonts w:eastAsia="Calibri Light"/>
                <w:szCs w:val="20"/>
              </w:rPr>
            </w:pPr>
            <w:r w:rsidRPr="001B387F">
              <w:rPr>
                <w:rFonts w:eastAsia="Calibri Light"/>
                <w:szCs w:val="20"/>
              </w:rPr>
              <w:t xml:space="preserve">Targets to be defined </w:t>
            </w:r>
            <w:r w:rsidR="00C778AA" w:rsidRPr="001B387F">
              <w:rPr>
                <w:rFonts w:eastAsia="Calibri Light"/>
                <w:szCs w:val="20"/>
              </w:rPr>
              <w:t>in</w:t>
            </w:r>
            <w:r w:rsidRPr="001B387F">
              <w:rPr>
                <w:rFonts w:eastAsia="Calibri Light"/>
                <w:szCs w:val="20"/>
              </w:rPr>
              <w:t xml:space="preserve"> PAPI Phase</w:t>
            </w:r>
            <w:r w:rsidR="00AF14A2" w:rsidRPr="001B387F">
              <w:rPr>
                <w:rFonts w:eastAsia="Calibri Light"/>
                <w:szCs w:val="20"/>
              </w:rPr>
              <w:t> </w:t>
            </w:r>
            <w:r w:rsidRPr="001B387F">
              <w:rPr>
                <w:rFonts w:eastAsia="Calibri Light"/>
                <w:szCs w:val="20"/>
              </w:rPr>
              <w:t>2</w:t>
            </w:r>
            <w:r w:rsidR="006B5E9A" w:rsidRPr="001B387F">
              <w:rPr>
                <w:rFonts w:eastAsia="Calibri Light"/>
                <w:szCs w:val="20"/>
              </w:rPr>
              <w:t xml:space="preserve"> design</w:t>
            </w:r>
          </w:p>
        </w:tc>
        <w:tc>
          <w:tcPr>
            <w:tcW w:w="2503" w:type="dxa"/>
            <w:shd w:val="clear" w:color="auto" w:fill="D9D9D9"/>
          </w:tcPr>
          <w:p w14:paraId="78FB7A8A" w14:textId="4C54E07A"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rPr>
                <w:rFonts w:eastAsia="Calibri Light"/>
                <w:szCs w:val="20"/>
              </w:rPr>
            </w:pPr>
            <w:r w:rsidRPr="001B387F">
              <w:rPr>
                <w:rFonts w:eastAsia="Calibri Light"/>
                <w:szCs w:val="20"/>
              </w:rPr>
              <w:t xml:space="preserve">Targets to be defined </w:t>
            </w:r>
            <w:r w:rsidR="00C778AA" w:rsidRPr="001B387F">
              <w:rPr>
                <w:rFonts w:eastAsia="Calibri Light"/>
                <w:szCs w:val="20"/>
              </w:rPr>
              <w:t>in</w:t>
            </w:r>
            <w:r w:rsidRPr="001B387F">
              <w:rPr>
                <w:rFonts w:eastAsia="Calibri Light"/>
                <w:szCs w:val="20"/>
              </w:rPr>
              <w:t xml:space="preserve"> PAPI Phase</w:t>
            </w:r>
            <w:r w:rsidR="00AF14A2" w:rsidRPr="001B387F">
              <w:rPr>
                <w:rFonts w:eastAsia="Calibri Light"/>
                <w:szCs w:val="20"/>
              </w:rPr>
              <w:t> </w:t>
            </w:r>
            <w:r w:rsidRPr="001B387F">
              <w:rPr>
                <w:rFonts w:eastAsia="Calibri Light"/>
                <w:szCs w:val="20"/>
              </w:rPr>
              <w:t>2</w:t>
            </w:r>
            <w:r w:rsidR="006B5E9A" w:rsidRPr="001B387F">
              <w:rPr>
                <w:rFonts w:eastAsia="Calibri Light"/>
                <w:szCs w:val="20"/>
              </w:rPr>
              <w:t xml:space="preserve"> design</w:t>
            </w:r>
          </w:p>
        </w:tc>
        <w:tc>
          <w:tcPr>
            <w:tcW w:w="2504" w:type="dxa"/>
            <w:shd w:val="clear" w:color="auto" w:fill="D9D9D9"/>
          </w:tcPr>
          <w:p w14:paraId="5F807CF5" w14:textId="4D9AE7C4" w:rsidR="009E3323"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ED3D36" w:rsidRPr="001B387F">
              <w:t>,</w:t>
            </w:r>
            <w:r w:rsidR="009E3323" w:rsidRPr="001B387F">
              <w:t xml:space="preserve"> </w:t>
            </w:r>
            <w:r w:rsidRPr="001B387F">
              <w:t>SDG</w:t>
            </w:r>
            <w:r w:rsidR="009E3323" w:rsidRPr="001B387F">
              <w:t>10</w:t>
            </w:r>
          </w:p>
        </w:tc>
      </w:tr>
      <w:tr w:rsidR="009E3323" w:rsidRPr="001B387F" w14:paraId="6A9E3DF3" w14:textId="77777777" w:rsidTr="00091CB4">
        <w:trPr>
          <w:cantSplit/>
          <w:trHeight w:val="557"/>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05A3459A" w14:textId="29160CC6" w:rsidR="009E3323" w:rsidRPr="001B387F" w:rsidRDefault="009E3323" w:rsidP="003B4EBC">
            <w:pPr>
              <w:pStyle w:val="TableBodyCopybold"/>
            </w:pPr>
            <w:r w:rsidRPr="001B387F">
              <w:rPr>
                <w:b/>
                <w:bCs/>
              </w:rPr>
              <w:t>Outcome 4.1</w:t>
            </w:r>
          </w:p>
        </w:tc>
        <w:tc>
          <w:tcPr>
            <w:tcW w:w="2504" w:type="dxa"/>
            <w:shd w:val="clear" w:color="auto" w:fill="D9D9D9"/>
            <w:hideMark/>
          </w:tcPr>
          <w:p w14:paraId="63B1CA1C" w14:textId="4DF4C6A5"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4.1.4 Institutional rights-based reform informed by international best practice and inputs from inclusive organisations</w:t>
            </w:r>
          </w:p>
        </w:tc>
        <w:tc>
          <w:tcPr>
            <w:tcW w:w="2503" w:type="dxa"/>
            <w:shd w:val="clear" w:color="auto" w:fill="D9D9D9"/>
          </w:tcPr>
          <w:p w14:paraId="36A3719C" w14:textId="31318521"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Arrangements with Vietnam’s central </w:t>
            </w:r>
            <w:r w:rsidR="005F28F6" w:rsidRPr="001B387F">
              <w:t>m</w:t>
            </w:r>
            <w:r w:rsidRPr="001B387F">
              <w:t>inistries enabling the provision of Australian technical assistance to 3</w:t>
            </w:r>
            <w:r w:rsidR="005F28F6" w:rsidRPr="001B387F">
              <w:t> </w:t>
            </w:r>
            <w:r w:rsidRPr="001B387F">
              <w:t>National Target Programs are agreed</w:t>
            </w:r>
          </w:p>
        </w:tc>
        <w:tc>
          <w:tcPr>
            <w:tcW w:w="2504" w:type="dxa"/>
            <w:shd w:val="clear" w:color="auto" w:fill="D9D9D9"/>
          </w:tcPr>
          <w:p w14:paraId="34CEFEFB" w14:textId="1C07F77B"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Policy and practices informed by high</w:t>
            </w:r>
            <w:r w:rsidR="009B4DD6" w:rsidRPr="001B387F">
              <w:t>-</w:t>
            </w:r>
            <w:r w:rsidRPr="001B387F">
              <w:t xml:space="preserve">quality evidence, </w:t>
            </w:r>
            <w:proofErr w:type="gramStart"/>
            <w:r w:rsidRPr="001B387F">
              <w:t>analysis</w:t>
            </w:r>
            <w:proofErr w:type="gramEnd"/>
            <w:r w:rsidRPr="001B387F">
              <w:t xml:space="preserve"> and inclusive stakeholder consultations</w:t>
            </w:r>
          </w:p>
        </w:tc>
        <w:tc>
          <w:tcPr>
            <w:tcW w:w="2503" w:type="dxa"/>
            <w:shd w:val="clear" w:color="auto" w:fill="D9D9D9"/>
            <w:hideMark/>
          </w:tcPr>
          <w:p w14:paraId="450CB5DC" w14:textId="3E5681B5"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Policy and practices informed by high</w:t>
            </w:r>
            <w:r w:rsidR="009B4DD6" w:rsidRPr="001B387F">
              <w:t>-</w:t>
            </w:r>
            <w:r w:rsidRPr="001B387F">
              <w:t xml:space="preserve">quality evidence, </w:t>
            </w:r>
            <w:proofErr w:type="gramStart"/>
            <w:r w:rsidRPr="001B387F">
              <w:t>analysis</w:t>
            </w:r>
            <w:proofErr w:type="gramEnd"/>
            <w:r w:rsidRPr="001B387F">
              <w:t xml:space="preserve"> and inclusive stakeholder consultations</w:t>
            </w:r>
          </w:p>
        </w:tc>
        <w:tc>
          <w:tcPr>
            <w:tcW w:w="2504" w:type="dxa"/>
            <w:shd w:val="clear" w:color="auto" w:fill="D9D9D9"/>
          </w:tcPr>
          <w:p w14:paraId="13A98D4B" w14:textId="2367429A" w:rsidR="009E3323" w:rsidRPr="001B387F" w:rsidRDefault="002B43A7" w:rsidP="003B4EBC">
            <w:pPr>
              <w:pStyle w:val="TableBodyCopy"/>
              <w:cnfStyle w:val="000000000000" w:firstRow="0" w:lastRow="0" w:firstColumn="0" w:lastColumn="0" w:oddVBand="0" w:evenVBand="0" w:oddHBand="0"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ED3D36" w:rsidRPr="001B387F">
              <w:t>,</w:t>
            </w:r>
            <w:r w:rsidR="009E3323" w:rsidRPr="001B387F">
              <w:t xml:space="preserve"> </w:t>
            </w:r>
            <w:r w:rsidRPr="001B387F">
              <w:t>SDG</w:t>
            </w:r>
            <w:r w:rsidR="009E3323" w:rsidRPr="001B387F">
              <w:t>10</w:t>
            </w:r>
          </w:p>
        </w:tc>
      </w:tr>
      <w:tr w:rsidR="009E3323" w:rsidRPr="001B387F" w14:paraId="06631A4F" w14:textId="77777777" w:rsidTr="00091CB4">
        <w:trPr>
          <w:cnfStyle w:val="000000100000" w:firstRow="0" w:lastRow="0" w:firstColumn="0" w:lastColumn="0" w:oddVBand="0" w:evenVBand="0" w:oddHBand="1" w:evenHBand="0" w:firstRowFirstColumn="0" w:firstRowLastColumn="0" w:lastRowFirstColumn="0" w:lastRowLastColumn="0"/>
          <w:cantSplit/>
          <w:trHeight w:val="983"/>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53BB8CF6" w14:textId="77777777" w:rsidR="009E3323" w:rsidRPr="001B387F" w:rsidRDefault="009E3323" w:rsidP="003B4EBC">
            <w:pPr>
              <w:pStyle w:val="TableBodyCopybold"/>
              <w:rPr>
                <w:b/>
                <w:bCs/>
              </w:rPr>
            </w:pPr>
            <w:r w:rsidRPr="001B387F">
              <w:rPr>
                <w:b/>
                <w:bCs/>
              </w:rPr>
              <w:lastRenderedPageBreak/>
              <w:t>Outcome 4.2</w:t>
            </w:r>
          </w:p>
          <w:p w14:paraId="3780F35D" w14:textId="4E9E4BDD" w:rsidR="009E3323" w:rsidRPr="001B387F" w:rsidRDefault="009E3323" w:rsidP="003B4EBC">
            <w:pPr>
              <w:pStyle w:val="TableBodyCopybold"/>
            </w:pPr>
            <w:r w:rsidRPr="001B387F">
              <w:t xml:space="preserve">Women, </w:t>
            </w:r>
            <w:r w:rsidR="003016F1" w:rsidRPr="001B387F">
              <w:t xml:space="preserve">members of </w:t>
            </w:r>
            <w:r w:rsidRPr="001B387F">
              <w:t>ethnic minorit</w:t>
            </w:r>
            <w:r w:rsidR="003016F1" w:rsidRPr="001B387F">
              <w:t>y groups</w:t>
            </w:r>
            <w:r w:rsidRPr="001B387F">
              <w:t xml:space="preserve"> and people with </w:t>
            </w:r>
            <w:r w:rsidR="00A8525B" w:rsidRPr="001B387F">
              <w:t>disability</w:t>
            </w:r>
            <w:r w:rsidRPr="001B387F">
              <w:t xml:space="preserve"> participate in and benefit from sustainable economic opportunities</w:t>
            </w:r>
          </w:p>
        </w:tc>
        <w:tc>
          <w:tcPr>
            <w:tcW w:w="2504" w:type="dxa"/>
            <w:shd w:val="clear" w:color="auto" w:fill="D9D9D9"/>
          </w:tcPr>
          <w:p w14:paraId="002B1505" w14:textId="7933BD80"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4.2.1 Private sector develop</w:t>
            </w:r>
            <w:r w:rsidR="00634FB9" w:rsidRPr="001B387F">
              <w:t>s</w:t>
            </w:r>
            <w:r w:rsidRPr="001B387F">
              <w:t xml:space="preserve"> policies and practices that enable inclusive economic opportunity</w:t>
            </w:r>
          </w:p>
        </w:tc>
        <w:tc>
          <w:tcPr>
            <w:tcW w:w="2503" w:type="dxa"/>
            <w:shd w:val="clear" w:color="auto" w:fill="D9D9D9"/>
          </w:tcPr>
          <w:p w14:paraId="0FD211D3" w14:textId="29D14596"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w:t>
            </w:r>
            <w:r w:rsidR="00664481" w:rsidRPr="001B387F">
              <w:t> </w:t>
            </w:r>
            <w:r w:rsidRPr="001B387F">
              <w:t xml:space="preserve">companies/entities implement changes in policies and practices </w:t>
            </w:r>
            <w:proofErr w:type="gramStart"/>
            <w:r w:rsidRPr="001B387F">
              <w:t xml:space="preserve">as </w:t>
            </w:r>
            <w:r w:rsidR="00700551" w:rsidRPr="001B387F">
              <w:t>a</w:t>
            </w:r>
            <w:r w:rsidRPr="001B387F">
              <w:t xml:space="preserve"> result </w:t>
            </w:r>
            <w:r w:rsidR="00700551" w:rsidRPr="001B387F">
              <w:t>of</w:t>
            </w:r>
            <w:proofErr w:type="gramEnd"/>
            <w:r w:rsidR="00700551" w:rsidRPr="001B387F">
              <w:t xml:space="preserve"> </w:t>
            </w:r>
            <w:r w:rsidRPr="001B387F">
              <w:t>the advisory support (IFC partnership)</w:t>
            </w:r>
          </w:p>
        </w:tc>
        <w:tc>
          <w:tcPr>
            <w:tcW w:w="2504" w:type="dxa"/>
            <w:shd w:val="clear" w:color="auto" w:fill="D9D9D9"/>
          </w:tcPr>
          <w:p w14:paraId="09027731" w14:textId="64928E09"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w:t>
            </w:r>
            <w:r w:rsidR="00664481" w:rsidRPr="001B387F">
              <w:t> </w:t>
            </w:r>
            <w:r w:rsidRPr="001B387F">
              <w:t xml:space="preserve">companies/entities implement changes in policies </w:t>
            </w:r>
            <w:proofErr w:type="gramStart"/>
            <w:r w:rsidRPr="001B387F">
              <w:t xml:space="preserve">as </w:t>
            </w:r>
            <w:r w:rsidR="00D05964" w:rsidRPr="001B387F">
              <w:t>a</w:t>
            </w:r>
            <w:r w:rsidRPr="001B387F">
              <w:t xml:space="preserve"> result </w:t>
            </w:r>
            <w:r w:rsidR="00294FFE" w:rsidRPr="001B387F">
              <w:t>of</w:t>
            </w:r>
            <w:proofErr w:type="gramEnd"/>
            <w:r w:rsidRPr="001B387F">
              <w:t xml:space="preserve"> the advisory support (IFC partnership)</w:t>
            </w:r>
          </w:p>
        </w:tc>
        <w:tc>
          <w:tcPr>
            <w:tcW w:w="2503" w:type="dxa"/>
            <w:shd w:val="clear" w:color="auto" w:fill="D9D9D9"/>
          </w:tcPr>
          <w:p w14:paraId="3EA342BD" w14:textId="294AAE88"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w:t>
            </w:r>
            <w:r w:rsidR="00664481" w:rsidRPr="001B387F">
              <w:t> </w:t>
            </w:r>
            <w:r w:rsidRPr="001B387F">
              <w:t xml:space="preserve">companies/entities implement changes in policies </w:t>
            </w:r>
            <w:proofErr w:type="gramStart"/>
            <w:r w:rsidRPr="001B387F">
              <w:t xml:space="preserve">as </w:t>
            </w:r>
            <w:r w:rsidR="00294FFE" w:rsidRPr="001B387F">
              <w:t>a</w:t>
            </w:r>
            <w:r w:rsidRPr="001B387F">
              <w:t xml:space="preserve"> result </w:t>
            </w:r>
            <w:r w:rsidR="00294FFE" w:rsidRPr="001B387F">
              <w:t>of</w:t>
            </w:r>
            <w:proofErr w:type="gramEnd"/>
            <w:r w:rsidRPr="001B387F">
              <w:t xml:space="preserve"> the advisory support (IFC partnership)</w:t>
            </w:r>
          </w:p>
        </w:tc>
        <w:tc>
          <w:tcPr>
            <w:tcW w:w="2504" w:type="dxa"/>
            <w:shd w:val="clear" w:color="auto" w:fill="D9D9D9"/>
          </w:tcPr>
          <w:p w14:paraId="18441194" w14:textId="5E790E41" w:rsidR="009E3323"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F35FEE" w:rsidRPr="001B387F">
              <w:t>,</w:t>
            </w:r>
            <w:r w:rsidR="009E3323" w:rsidRPr="001B387F">
              <w:t xml:space="preserve"> </w:t>
            </w:r>
            <w:r w:rsidRPr="001B387F">
              <w:t>SDG</w:t>
            </w:r>
            <w:r w:rsidR="009E3323" w:rsidRPr="001B387F">
              <w:t>10</w:t>
            </w:r>
          </w:p>
        </w:tc>
      </w:tr>
      <w:tr w:rsidR="009E3323" w:rsidRPr="001B387F" w14:paraId="64C3008D" w14:textId="77777777" w:rsidTr="00091CB4">
        <w:trPr>
          <w:cantSplit/>
          <w:trHeight w:val="1019"/>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22F4FD60" w14:textId="59BC3264" w:rsidR="009E3323" w:rsidRPr="001B387F" w:rsidRDefault="009E3323" w:rsidP="003B4EBC">
            <w:pPr>
              <w:pStyle w:val="TableBodyCopybold"/>
              <w:rPr>
                <w:b/>
                <w:bCs/>
              </w:rPr>
            </w:pPr>
            <w:r w:rsidRPr="001B387F">
              <w:rPr>
                <w:b/>
                <w:bCs/>
              </w:rPr>
              <w:t>Outcome 4.2</w:t>
            </w:r>
          </w:p>
        </w:tc>
        <w:tc>
          <w:tcPr>
            <w:tcW w:w="2504" w:type="dxa"/>
            <w:shd w:val="clear" w:color="auto" w:fill="D9D9D9"/>
          </w:tcPr>
          <w:p w14:paraId="2BA919F4" w14:textId="22665028" w:rsidR="00F7676A" w:rsidRPr="001B387F" w:rsidRDefault="009E3323" w:rsidP="001A4BA4">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4.2.2 </w:t>
            </w:r>
            <w:r w:rsidR="00F7676A" w:rsidRPr="001B387F">
              <w:t>Number of women entrepreneurs provided with financial and/or business development service</w:t>
            </w:r>
            <w:r w:rsidR="00796AD7" w:rsidRPr="001B387F">
              <w:t>s</w:t>
            </w:r>
          </w:p>
        </w:tc>
        <w:tc>
          <w:tcPr>
            <w:tcW w:w="2503" w:type="dxa"/>
            <w:shd w:val="clear" w:color="auto" w:fill="D9D9D9"/>
          </w:tcPr>
          <w:p w14:paraId="13D553BA" w14:textId="225C1757"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100</w:t>
            </w:r>
            <w:r w:rsidR="00342DAF" w:rsidRPr="001B387F">
              <w:t xml:space="preserve"> </w:t>
            </w:r>
            <w:r w:rsidRPr="001B387F">
              <w:t>(</w:t>
            </w:r>
            <w:r w:rsidR="00F762CE" w:rsidRPr="001B387F">
              <w:t xml:space="preserve">including </w:t>
            </w:r>
            <w:r w:rsidRPr="001B387F">
              <w:t>75</w:t>
            </w:r>
            <w:r w:rsidR="00664481" w:rsidRPr="001B387F">
              <w:t> </w:t>
            </w:r>
            <w:r w:rsidRPr="001B387F">
              <w:t>women from ethnic minorities)</w:t>
            </w:r>
          </w:p>
        </w:tc>
        <w:tc>
          <w:tcPr>
            <w:tcW w:w="2504" w:type="dxa"/>
            <w:shd w:val="clear" w:color="auto" w:fill="D9D9D9"/>
          </w:tcPr>
          <w:p w14:paraId="7D54A52A" w14:textId="25DA38A2"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240</w:t>
            </w:r>
            <w:r w:rsidR="00342DAF" w:rsidRPr="001B387F">
              <w:t xml:space="preserve"> </w:t>
            </w:r>
            <w:r w:rsidRPr="001B387F">
              <w:t>(</w:t>
            </w:r>
            <w:r w:rsidR="00F762CE" w:rsidRPr="001B387F">
              <w:t xml:space="preserve">including </w:t>
            </w:r>
            <w:r w:rsidRPr="001B387F">
              <w:t>185</w:t>
            </w:r>
            <w:r w:rsidR="00664481" w:rsidRPr="001B387F">
              <w:t> </w:t>
            </w:r>
            <w:r w:rsidRPr="001B387F">
              <w:t>women from ethnic minorities)</w:t>
            </w:r>
          </w:p>
        </w:tc>
        <w:tc>
          <w:tcPr>
            <w:tcW w:w="2503" w:type="dxa"/>
            <w:shd w:val="clear" w:color="auto" w:fill="D9D9D9"/>
          </w:tcPr>
          <w:p w14:paraId="4E5B4EAF" w14:textId="078AFC1C"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240</w:t>
            </w:r>
            <w:r w:rsidR="00342DAF" w:rsidRPr="001B387F">
              <w:t xml:space="preserve"> </w:t>
            </w:r>
            <w:r w:rsidRPr="001B387F">
              <w:t>(</w:t>
            </w:r>
            <w:r w:rsidR="00F762CE" w:rsidRPr="001B387F">
              <w:t xml:space="preserve">including </w:t>
            </w:r>
            <w:r w:rsidRPr="001B387F">
              <w:t>185</w:t>
            </w:r>
            <w:r w:rsidR="00664481" w:rsidRPr="001B387F">
              <w:t> </w:t>
            </w:r>
            <w:r w:rsidRPr="001B387F">
              <w:t>women from ethnic minorities)</w:t>
            </w:r>
          </w:p>
        </w:tc>
        <w:tc>
          <w:tcPr>
            <w:tcW w:w="2504" w:type="dxa"/>
            <w:shd w:val="clear" w:color="auto" w:fill="D9D9D9"/>
          </w:tcPr>
          <w:p w14:paraId="1FE66525" w14:textId="0A33D032" w:rsidR="009E3323" w:rsidRPr="001B387F" w:rsidRDefault="002B43A7" w:rsidP="003B4EBC">
            <w:pPr>
              <w:pStyle w:val="TableBodyCopy"/>
              <w:cnfStyle w:val="000000000000" w:firstRow="0" w:lastRow="0" w:firstColumn="0" w:lastColumn="0" w:oddVBand="0" w:evenVBand="0" w:oddHBand="0"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F35FEE" w:rsidRPr="001B387F">
              <w:t>,</w:t>
            </w:r>
            <w:r w:rsidR="009E3323" w:rsidRPr="001B387F">
              <w:t xml:space="preserve"> </w:t>
            </w:r>
            <w:r w:rsidRPr="001B387F">
              <w:t>SDG</w:t>
            </w:r>
            <w:r w:rsidR="009E3323" w:rsidRPr="001B387F">
              <w:t>10</w:t>
            </w:r>
          </w:p>
        </w:tc>
      </w:tr>
      <w:tr w:rsidR="009E3323" w:rsidRPr="001B387F" w14:paraId="760F559C" w14:textId="77777777" w:rsidTr="00091CB4">
        <w:trPr>
          <w:cnfStyle w:val="000000100000" w:firstRow="0" w:lastRow="0" w:firstColumn="0" w:lastColumn="0" w:oddVBand="0" w:evenVBand="0" w:oddHBand="1" w:evenHBand="0" w:firstRowFirstColumn="0" w:firstRowLastColumn="0" w:lastRowFirstColumn="0" w:lastRowLastColumn="0"/>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27F8FF56" w14:textId="5FA51B72" w:rsidR="009E3323" w:rsidRPr="001B387F" w:rsidRDefault="009E3323" w:rsidP="003B4EBC">
            <w:pPr>
              <w:pStyle w:val="TableBodyCopybold"/>
              <w:rPr>
                <w:b/>
                <w:bCs/>
              </w:rPr>
            </w:pPr>
            <w:r w:rsidRPr="001B387F">
              <w:rPr>
                <w:b/>
                <w:bCs/>
              </w:rPr>
              <w:t>Outcome 4.2</w:t>
            </w:r>
          </w:p>
        </w:tc>
        <w:tc>
          <w:tcPr>
            <w:tcW w:w="2504" w:type="dxa"/>
            <w:shd w:val="clear" w:color="auto" w:fill="D9D9D9"/>
          </w:tcPr>
          <w:p w14:paraId="16683F1E" w14:textId="6B27BC7C"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4.2.3 Number of people (disaggregated) who gain employment in women-led, women-</w:t>
            </w:r>
            <w:proofErr w:type="gramStart"/>
            <w:r w:rsidRPr="001B387F">
              <w:t>owned</w:t>
            </w:r>
            <w:proofErr w:type="gramEnd"/>
            <w:r w:rsidRPr="001B387F">
              <w:t xml:space="preserve"> or inclusive businesses</w:t>
            </w:r>
          </w:p>
        </w:tc>
        <w:tc>
          <w:tcPr>
            <w:tcW w:w="2503" w:type="dxa"/>
            <w:shd w:val="clear" w:color="auto" w:fill="D9D9D9"/>
          </w:tcPr>
          <w:p w14:paraId="384A1034" w14:textId="5E058986"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190</w:t>
            </w:r>
            <w:r w:rsidR="00DA76F8" w:rsidRPr="001B387F">
              <w:t> </w:t>
            </w:r>
            <w:r w:rsidRPr="001B387F">
              <w:t>men</w:t>
            </w:r>
            <w:r w:rsidR="00DA76F8" w:rsidRPr="001B387F">
              <w:t xml:space="preserve"> and </w:t>
            </w:r>
            <w:r w:rsidRPr="001B387F">
              <w:t>380</w:t>
            </w:r>
            <w:r w:rsidR="00DA76F8" w:rsidRPr="001B387F">
              <w:t> </w:t>
            </w:r>
            <w:r w:rsidRPr="001B387F">
              <w:t>women (including 310</w:t>
            </w:r>
            <w:r w:rsidR="00DA76F8" w:rsidRPr="001B387F">
              <w:t> </w:t>
            </w:r>
            <w:r w:rsidRPr="001B387F">
              <w:t>women from ethnic minorities)</w:t>
            </w:r>
          </w:p>
        </w:tc>
        <w:tc>
          <w:tcPr>
            <w:tcW w:w="2504" w:type="dxa"/>
            <w:shd w:val="clear" w:color="auto" w:fill="D9D9D9"/>
          </w:tcPr>
          <w:p w14:paraId="0C5C7E79" w14:textId="57236293"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800</w:t>
            </w:r>
            <w:r w:rsidR="00DA76F8" w:rsidRPr="001B387F">
              <w:t> </w:t>
            </w:r>
            <w:r w:rsidRPr="001B387F">
              <w:t>men</w:t>
            </w:r>
            <w:r w:rsidR="00DA76F8" w:rsidRPr="001B387F">
              <w:t xml:space="preserve"> and </w:t>
            </w:r>
            <w:r w:rsidRPr="001B387F">
              <w:t>1,510</w:t>
            </w:r>
            <w:r w:rsidR="00DA76F8" w:rsidRPr="001B387F">
              <w:t> </w:t>
            </w:r>
            <w:r w:rsidRPr="001B387F">
              <w:t>women (including 1,290</w:t>
            </w:r>
            <w:r w:rsidR="00DA76F8" w:rsidRPr="001B387F">
              <w:t> </w:t>
            </w:r>
            <w:r w:rsidRPr="001B387F">
              <w:t>women from ethnic minorities)</w:t>
            </w:r>
          </w:p>
        </w:tc>
        <w:tc>
          <w:tcPr>
            <w:tcW w:w="2503" w:type="dxa"/>
            <w:shd w:val="clear" w:color="auto" w:fill="D9D9D9"/>
          </w:tcPr>
          <w:p w14:paraId="536CAACB" w14:textId="3DCD632F"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1,130</w:t>
            </w:r>
            <w:r w:rsidR="00DA76F8" w:rsidRPr="001B387F">
              <w:t> </w:t>
            </w:r>
            <w:r w:rsidRPr="001B387F">
              <w:t>men</w:t>
            </w:r>
            <w:r w:rsidR="00DA76F8" w:rsidRPr="001B387F">
              <w:t xml:space="preserve"> and </w:t>
            </w:r>
            <w:r w:rsidRPr="001B387F">
              <w:t>2,330</w:t>
            </w:r>
            <w:r w:rsidR="00972932" w:rsidRPr="001B387F">
              <w:t> </w:t>
            </w:r>
            <w:r w:rsidRPr="001B387F">
              <w:t>women (including 1,860</w:t>
            </w:r>
            <w:r w:rsidR="00DA76F8" w:rsidRPr="001B387F">
              <w:t> </w:t>
            </w:r>
            <w:r w:rsidRPr="001B387F">
              <w:t>women from ethnic minorities)</w:t>
            </w:r>
          </w:p>
        </w:tc>
        <w:tc>
          <w:tcPr>
            <w:tcW w:w="2504" w:type="dxa"/>
            <w:shd w:val="clear" w:color="auto" w:fill="D9D9D9"/>
          </w:tcPr>
          <w:p w14:paraId="0AE1087D" w14:textId="19D2A848" w:rsidR="009E3323"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F35FEE" w:rsidRPr="001B387F">
              <w:t>,</w:t>
            </w:r>
            <w:r w:rsidR="009E3323" w:rsidRPr="001B387F">
              <w:t xml:space="preserve"> </w:t>
            </w:r>
            <w:r w:rsidRPr="001B387F">
              <w:t>SDG</w:t>
            </w:r>
            <w:r w:rsidR="009E3323" w:rsidRPr="001B387F">
              <w:t>10</w:t>
            </w:r>
          </w:p>
        </w:tc>
      </w:tr>
      <w:tr w:rsidR="009E3323" w:rsidRPr="001B387F" w14:paraId="322363A3" w14:textId="77777777" w:rsidTr="00091CB4">
        <w:trPr>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45543656" w14:textId="39D5FF46" w:rsidR="009E3323" w:rsidRPr="001B387F" w:rsidRDefault="009E3323" w:rsidP="003B4EBC">
            <w:pPr>
              <w:pStyle w:val="TableBodyCopybold"/>
              <w:rPr>
                <w:b/>
                <w:bCs/>
              </w:rPr>
            </w:pPr>
            <w:r w:rsidRPr="001B387F">
              <w:rPr>
                <w:b/>
                <w:bCs/>
              </w:rPr>
              <w:t>Outcome 4.2</w:t>
            </w:r>
          </w:p>
        </w:tc>
        <w:tc>
          <w:tcPr>
            <w:tcW w:w="2504" w:type="dxa"/>
            <w:shd w:val="clear" w:color="auto" w:fill="D9D9D9"/>
          </w:tcPr>
          <w:p w14:paraId="2965D276" w14:textId="61AF0282"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rPr>
                <w:szCs w:val="20"/>
              </w:rPr>
              <w:t>4.2.4 N</w:t>
            </w:r>
            <w:r w:rsidR="004F532A" w:rsidRPr="001B387F">
              <w:rPr>
                <w:szCs w:val="20"/>
              </w:rPr>
              <w:t>umber</w:t>
            </w:r>
            <w:r w:rsidRPr="001B387F">
              <w:rPr>
                <w:szCs w:val="20"/>
              </w:rPr>
              <w:t xml:space="preserve"> of people reached with new or improved social protection programs </w:t>
            </w:r>
            <w:r w:rsidRPr="001B387F">
              <w:t>(Tier</w:t>
            </w:r>
            <w:r w:rsidR="007F12FB" w:rsidRPr="001B387F">
              <w:t> </w:t>
            </w:r>
            <w:r w:rsidRPr="001B387F">
              <w:t>2)</w:t>
            </w:r>
          </w:p>
        </w:tc>
        <w:tc>
          <w:tcPr>
            <w:tcW w:w="2503" w:type="dxa"/>
            <w:shd w:val="clear" w:color="auto" w:fill="D9D9D9"/>
          </w:tcPr>
          <w:p w14:paraId="5329F7F3" w14:textId="07FB1299"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18,500,000</w:t>
            </w:r>
            <w:r w:rsidR="0002370B" w:rsidRPr="001B387F">
              <w:t xml:space="preserve"> </w:t>
            </w:r>
            <w:r w:rsidRPr="001B387F">
              <w:t>(45%</w:t>
            </w:r>
            <w:r w:rsidR="00847F67" w:rsidRPr="001B387F">
              <w:t xml:space="preserve"> men, 55% women</w:t>
            </w:r>
            <w:r w:rsidRPr="001B387F">
              <w:t>)</w:t>
            </w:r>
          </w:p>
        </w:tc>
        <w:tc>
          <w:tcPr>
            <w:tcW w:w="2504" w:type="dxa"/>
            <w:shd w:val="clear" w:color="auto" w:fill="D9D9D9"/>
          </w:tcPr>
          <w:p w14:paraId="5DDE223D" w14:textId="2FF777E9"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pPr>
            <w:r w:rsidRPr="001B387F">
              <w:t>19,000,000</w:t>
            </w:r>
            <w:r w:rsidR="0002370B" w:rsidRPr="001B387F">
              <w:t xml:space="preserve"> </w:t>
            </w:r>
            <w:r w:rsidRPr="001B387F">
              <w:t>(45%</w:t>
            </w:r>
            <w:r w:rsidR="00847F67" w:rsidRPr="001B387F">
              <w:t xml:space="preserve"> men, 55% women</w:t>
            </w:r>
            <w:r w:rsidRPr="001B387F">
              <w:t>)</w:t>
            </w:r>
          </w:p>
        </w:tc>
        <w:tc>
          <w:tcPr>
            <w:tcW w:w="2503" w:type="dxa"/>
            <w:shd w:val="clear" w:color="auto" w:fill="D9D9D9"/>
          </w:tcPr>
          <w:p w14:paraId="2DD46EC7" w14:textId="3D349070" w:rsidR="009E3323" w:rsidRPr="001B387F" w:rsidRDefault="009E3323" w:rsidP="003B4EBC">
            <w:pPr>
              <w:pStyle w:val="TableBodyCopy"/>
              <w:cnfStyle w:val="000000000000" w:firstRow="0" w:lastRow="0" w:firstColumn="0" w:lastColumn="0" w:oddVBand="0" w:evenVBand="0" w:oddHBand="0" w:evenHBand="0" w:firstRowFirstColumn="0" w:firstRowLastColumn="0" w:lastRowFirstColumn="0" w:lastRowLastColumn="0"/>
              <w:rPr>
                <w:szCs w:val="20"/>
              </w:rPr>
            </w:pPr>
            <w:r w:rsidRPr="001B387F">
              <w:rPr>
                <w:szCs w:val="20"/>
              </w:rPr>
              <w:t>Investments contributing to this indicator will be concluded in 2026</w:t>
            </w:r>
          </w:p>
        </w:tc>
        <w:tc>
          <w:tcPr>
            <w:tcW w:w="2504" w:type="dxa"/>
            <w:shd w:val="clear" w:color="auto" w:fill="D9D9D9"/>
          </w:tcPr>
          <w:p w14:paraId="49AAA25B" w14:textId="1489D27B" w:rsidR="009E3323" w:rsidRPr="001B387F" w:rsidRDefault="002B43A7" w:rsidP="003B4EBC">
            <w:pPr>
              <w:pStyle w:val="TableBodyCopy"/>
              <w:cnfStyle w:val="000000000000" w:firstRow="0" w:lastRow="0" w:firstColumn="0" w:lastColumn="0" w:oddVBand="0" w:evenVBand="0" w:oddHBand="0"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F35FEE" w:rsidRPr="001B387F">
              <w:t>,</w:t>
            </w:r>
            <w:r w:rsidR="009E3323" w:rsidRPr="001B387F">
              <w:t xml:space="preserve"> </w:t>
            </w:r>
            <w:r w:rsidRPr="001B387F">
              <w:t>SDG</w:t>
            </w:r>
            <w:r w:rsidR="009E3323" w:rsidRPr="001B387F">
              <w:t>10</w:t>
            </w:r>
          </w:p>
        </w:tc>
      </w:tr>
      <w:tr w:rsidR="009E3323" w:rsidRPr="001B387F" w14:paraId="6C4E155D" w14:textId="77777777" w:rsidTr="00091CB4">
        <w:trPr>
          <w:cnfStyle w:val="000000100000" w:firstRow="0" w:lastRow="0" w:firstColumn="0" w:lastColumn="0" w:oddVBand="0" w:evenVBand="0" w:oddHBand="1" w:evenHBand="0" w:firstRowFirstColumn="0" w:firstRowLastColumn="0" w:lastRowFirstColumn="0" w:lastRowLastColumn="0"/>
          <w:cantSplit/>
          <w:trHeight w:val="472"/>
        </w:trPr>
        <w:tc>
          <w:tcPr>
            <w:cnfStyle w:val="001000000000" w:firstRow="0" w:lastRow="0" w:firstColumn="1" w:lastColumn="0" w:oddVBand="0" w:evenVBand="0" w:oddHBand="0" w:evenHBand="0" w:firstRowFirstColumn="0" w:firstRowLastColumn="0" w:lastRowFirstColumn="0" w:lastRowLastColumn="0"/>
            <w:tcW w:w="2503" w:type="dxa"/>
            <w:shd w:val="clear" w:color="auto" w:fill="D9D9D9"/>
          </w:tcPr>
          <w:p w14:paraId="12B2313F" w14:textId="6E0C3BB2" w:rsidR="009E3323" w:rsidRPr="001B387F" w:rsidRDefault="009E3323" w:rsidP="003B4EBC">
            <w:pPr>
              <w:pStyle w:val="TableBodyCopybold"/>
              <w:rPr>
                <w:b/>
                <w:bCs/>
              </w:rPr>
            </w:pPr>
            <w:r w:rsidRPr="001B387F">
              <w:rPr>
                <w:b/>
                <w:bCs/>
              </w:rPr>
              <w:t>Outcome 4.2</w:t>
            </w:r>
          </w:p>
        </w:tc>
        <w:tc>
          <w:tcPr>
            <w:tcW w:w="2504" w:type="dxa"/>
            <w:shd w:val="clear" w:color="auto" w:fill="D9D9D9"/>
          </w:tcPr>
          <w:p w14:paraId="0500E091" w14:textId="665B0277"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4.2.5 Additional private funds leveraged to support sustainable development (Tier</w:t>
            </w:r>
            <w:r w:rsidR="007F12FB" w:rsidRPr="001B387F">
              <w:t> </w:t>
            </w:r>
            <w:r w:rsidRPr="001B387F">
              <w:t>2)</w:t>
            </w:r>
          </w:p>
        </w:tc>
        <w:tc>
          <w:tcPr>
            <w:tcW w:w="2503" w:type="dxa"/>
            <w:shd w:val="clear" w:color="auto" w:fill="D9D9D9"/>
          </w:tcPr>
          <w:p w14:paraId="4620BE07" w14:textId="05A60234"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$400,000</w:t>
            </w:r>
          </w:p>
        </w:tc>
        <w:tc>
          <w:tcPr>
            <w:tcW w:w="2504" w:type="dxa"/>
            <w:shd w:val="clear" w:color="auto" w:fill="D9D9D9"/>
          </w:tcPr>
          <w:p w14:paraId="00101D34" w14:textId="1738AC91"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$2.1</w:t>
            </w:r>
            <w:r w:rsidR="003D6FAD" w:rsidRPr="001B387F">
              <w:t> </w:t>
            </w:r>
            <w:r w:rsidRPr="001B387F">
              <w:t>m</w:t>
            </w:r>
            <w:r w:rsidR="003D6FAD" w:rsidRPr="001B387F">
              <w:t>illion</w:t>
            </w:r>
          </w:p>
        </w:tc>
        <w:tc>
          <w:tcPr>
            <w:tcW w:w="2503" w:type="dxa"/>
            <w:shd w:val="clear" w:color="auto" w:fill="D9D9D9"/>
          </w:tcPr>
          <w:p w14:paraId="1355DB8C" w14:textId="28ADCED8" w:rsidR="009E3323" w:rsidRPr="001B387F" w:rsidRDefault="009E3323" w:rsidP="003B4EBC">
            <w:pPr>
              <w:pStyle w:val="TableBodyCopy"/>
              <w:cnfStyle w:val="000000100000" w:firstRow="0" w:lastRow="0" w:firstColumn="0" w:lastColumn="0" w:oddVBand="0" w:evenVBand="0" w:oddHBand="1" w:evenHBand="0" w:firstRowFirstColumn="0" w:firstRowLastColumn="0" w:lastRowFirstColumn="0" w:lastRowLastColumn="0"/>
            </w:pPr>
            <w:r w:rsidRPr="001B387F">
              <w:t>$6.5</w:t>
            </w:r>
            <w:r w:rsidR="003D6FAD" w:rsidRPr="001B387F">
              <w:t> </w:t>
            </w:r>
            <w:r w:rsidRPr="001B387F">
              <w:t>m</w:t>
            </w:r>
            <w:r w:rsidR="003D6FAD" w:rsidRPr="001B387F">
              <w:t>illion</w:t>
            </w:r>
          </w:p>
        </w:tc>
        <w:tc>
          <w:tcPr>
            <w:tcW w:w="2504" w:type="dxa"/>
            <w:shd w:val="clear" w:color="auto" w:fill="D9D9D9"/>
          </w:tcPr>
          <w:p w14:paraId="5FD43DA7" w14:textId="065BB973" w:rsidR="009E3323" w:rsidRPr="001B387F" w:rsidRDefault="002B43A7" w:rsidP="003B4EBC">
            <w:pPr>
              <w:pStyle w:val="TableBodyCopy"/>
              <w:cnfStyle w:val="000000100000" w:firstRow="0" w:lastRow="0" w:firstColumn="0" w:lastColumn="0" w:oddVBand="0" w:evenVBand="0" w:oddHBand="1" w:evenHBand="0" w:firstRowFirstColumn="0" w:firstRowLastColumn="0" w:lastRowFirstColumn="0" w:lastRowLastColumn="0"/>
            </w:pPr>
            <w:r w:rsidRPr="001B387F">
              <w:t>SDG</w:t>
            </w:r>
            <w:r w:rsidR="009E3323" w:rsidRPr="001B387F">
              <w:t xml:space="preserve">2, </w:t>
            </w:r>
            <w:r w:rsidRPr="001B387F">
              <w:t>SDG</w:t>
            </w:r>
            <w:r w:rsidR="009E3323" w:rsidRPr="001B387F">
              <w:t xml:space="preserve">3, </w:t>
            </w:r>
            <w:r w:rsidRPr="001B387F">
              <w:t>SDG</w:t>
            </w:r>
            <w:r w:rsidR="009E3323" w:rsidRPr="001B387F">
              <w:t>5</w:t>
            </w:r>
            <w:r w:rsidR="00F35FEE" w:rsidRPr="001B387F">
              <w:t>,</w:t>
            </w:r>
            <w:r w:rsidR="009E3323" w:rsidRPr="001B387F">
              <w:t xml:space="preserve"> </w:t>
            </w:r>
            <w:r w:rsidRPr="001B387F">
              <w:t>SDG</w:t>
            </w:r>
            <w:r w:rsidR="009E3323" w:rsidRPr="001B387F">
              <w:t>10</w:t>
            </w:r>
          </w:p>
        </w:tc>
      </w:tr>
    </w:tbl>
    <w:p w14:paraId="0E3AF422" w14:textId="77777777" w:rsidR="003563CC" w:rsidRPr="001B387F" w:rsidRDefault="003563CC" w:rsidP="00707E6A">
      <w:pPr>
        <w:pStyle w:val="PAFobjectivehead"/>
      </w:pPr>
      <w:r w:rsidRPr="001B387F">
        <w:br w:type="page"/>
      </w:r>
    </w:p>
    <w:p w14:paraId="49233B40" w14:textId="1B405649" w:rsidR="009E3323" w:rsidRPr="001B387F" w:rsidRDefault="009E3323" w:rsidP="00707E6A">
      <w:pPr>
        <w:pStyle w:val="PAFobjectivehead"/>
      </w:pPr>
      <w:r w:rsidRPr="001B387F">
        <w:lastRenderedPageBreak/>
        <w:t>Cross-program</w:t>
      </w:r>
    </w:p>
    <w:tbl>
      <w:tblPr>
        <w:tblStyle w:val="DFATBluegum"/>
        <w:tblW w:w="15021" w:type="dxa"/>
        <w:tblLayout w:type="fixed"/>
        <w:tblLook w:val="04A0" w:firstRow="1" w:lastRow="0" w:firstColumn="1" w:lastColumn="0" w:noHBand="0" w:noVBand="1"/>
        <w:tblCaption w:val="Cross-program Performance Assessment Framework"/>
        <w:tblDescription w:val="Expected results for the first 3 years of the DPP and against the Sustainable Development Goals"/>
      </w:tblPr>
      <w:tblGrid>
        <w:gridCol w:w="2503"/>
        <w:gridCol w:w="2504"/>
        <w:gridCol w:w="2503"/>
        <w:gridCol w:w="2504"/>
        <w:gridCol w:w="2503"/>
        <w:gridCol w:w="2504"/>
      </w:tblGrid>
      <w:tr w:rsidR="009E3323" w:rsidRPr="001B387F" w14:paraId="66A6FFEB" w14:textId="77777777" w:rsidTr="00091CB4">
        <w:trPr>
          <w:cnfStyle w:val="100000000000" w:firstRow="1" w:lastRow="0" w:firstColumn="0" w:lastColumn="0" w:oddVBand="0" w:evenVBand="0" w:oddHBand="0" w:evenHBand="0" w:firstRowFirstColumn="0" w:firstRowLastColumn="0" w:lastRowFirstColumn="0" w:lastRowLastColumn="0"/>
          <w:trHeight w:val="787"/>
        </w:trPr>
        <w:tc>
          <w:tcPr>
            <w:tcW w:w="2503" w:type="dxa"/>
            <w:shd w:val="clear" w:color="auto" w:fill="3A586E"/>
          </w:tcPr>
          <w:p w14:paraId="618B3497" w14:textId="34C5CEF5" w:rsidR="009E3323" w:rsidRPr="001B387F" w:rsidRDefault="009E3323" w:rsidP="007605A6">
            <w:pPr>
              <w:pStyle w:val="TableHeading"/>
            </w:pPr>
            <w:r w:rsidRPr="001B387F">
              <w:t>Theme</w:t>
            </w:r>
          </w:p>
        </w:tc>
        <w:tc>
          <w:tcPr>
            <w:tcW w:w="2504" w:type="dxa"/>
            <w:shd w:val="clear" w:color="auto" w:fill="3A586E"/>
            <w:hideMark/>
          </w:tcPr>
          <w:p w14:paraId="346D6C1C" w14:textId="77777777" w:rsidR="009E3323" w:rsidRPr="001B387F" w:rsidRDefault="009E3323" w:rsidP="007605A6">
            <w:pPr>
              <w:pStyle w:val="TableHeading"/>
            </w:pPr>
            <w:r w:rsidRPr="001B387F">
              <w:t>Indicator</w:t>
            </w:r>
          </w:p>
        </w:tc>
        <w:tc>
          <w:tcPr>
            <w:tcW w:w="2503" w:type="dxa"/>
            <w:shd w:val="clear" w:color="auto" w:fill="3A586E"/>
            <w:hideMark/>
          </w:tcPr>
          <w:p w14:paraId="64D92D2F" w14:textId="25674BD3" w:rsidR="009E3323" w:rsidRPr="001B387F" w:rsidRDefault="009E3323" w:rsidP="007605A6">
            <w:pPr>
              <w:pStyle w:val="TableHeading"/>
            </w:pPr>
            <w:r w:rsidRPr="001B387F">
              <w:t>Expected results</w:t>
            </w:r>
            <w:r w:rsidRPr="001B387F">
              <w:br/>
              <w:t>2024–25</w:t>
            </w:r>
          </w:p>
        </w:tc>
        <w:tc>
          <w:tcPr>
            <w:tcW w:w="2504" w:type="dxa"/>
            <w:shd w:val="clear" w:color="auto" w:fill="3A586E"/>
            <w:hideMark/>
          </w:tcPr>
          <w:p w14:paraId="7AA75B0F" w14:textId="36B336EE" w:rsidR="009E3323" w:rsidRPr="001B387F" w:rsidRDefault="009E3323" w:rsidP="007605A6">
            <w:pPr>
              <w:pStyle w:val="TableHeading"/>
            </w:pPr>
            <w:r w:rsidRPr="001B387F">
              <w:t>Expected results</w:t>
            </w:r>
            <w:r w:rsidRPr="001B387F">
              <w:br/>
              <w:t>2025–26</w:t>
            </w:r>
          </w:p>
        </w:tc>
        <w:tc>
          <w:tcPr>
            <w:tcW w:w="2503" w:type="dxa"/>
            <w:shd w:val="clear" w:color="auto" w:fill="3A586E"/>
            <w:hideMark/>
          </w:tcPr>
          <w:p w14:paraId="015D3960" w14:textId="11B3D468" w:rsidR="009E3323" w:rsidRPr="001B387F" w:rsidRDefault="009E3323" w:rsidP="007605A6">
            <w:pPr>
              <w:pStyle w:val="TableHeading"/>
            </w:pPr>
            <w:r w:rsidRPr="001B387F">
              <w:t>Expected results</w:t>
            </w:r>
            <w:r w:rsidRPr="001B387F">
              <w:br/>
              <w:t>2026–27</w:t>
            </w:r>
          </w:p>
        </w:tc>
        <w:tc>
          <w:tcPr>
            <w:tcW w:w="2504" w:type="dxa"/>
            <w:shd w:val="clear" w:color="auto" w:fill="3A586E"/>
            <w:hideMark/>
          </w:tcPr>
          <w:p w14:paraId="706ED324" w14:textId="77777777" w:rsidR="009E3323" w:rsidRPr="001B387F" w:rsidRDefault="009E3323" w:rsidP="007605A6">
            <w:pPr>
              <w:pStyle w:val="TableHeading"/>
            </w:pPr>
            <w:r w:rsidRPr="001B387F">
              <w:t>Sustainable Development Goals (SDGs)</w:t>
            </w:r>
          </w:p>
        </w:tc>
      </w:tr>
      <w:tr w:rsidR="009E3323" w:rsidRPr="001B387F" w14:paraId="27CF8ACA" w14:textId="77777777" w:rsidTr="00091CB4">
        <w:trPr>
          <w:trHeight w:val="762"/>
        </w:trPr>
        <w:tc>
          <w:tcPr>
            <w:tcW w:w="2503" w:type="dxa"/>
            <w:shd w:val="clear" w:color="auto" w:fill="D2DEE7"/>
          </w:tcPr>
          <w:p w14:paraId="2FB4B8B5" w14:textId="15F6B9F8" w:rsidR="009E3323" w:rsidRPr="001B387F" w:rsidRDefault="009E3323" w:rsidP="003B4EBC">
            <w:pPr>
              <w:pStyle w:val="TableBodyCopy"/>
            </w:pPr>
            <w:r w:rsidRPr="001B387F">
              <w:t>Gender equality</w:t>
            </w:r>
          </w:p>
        </w:tc>
        <w:tc>
          <w:tcPr>
            <w:tcW w:w="2504" w:type="dxa"/>
            <w:shd w:val="clear" w:color="auto" w:fill="D2DEE7"/>
            <w:hideMark/>
          </w:tcPr>
          <w:p w14:paraId="431EC588" w14:textId="25318A75" w:rsidR="009E3323" w:rsidRPr="001B387F" w:rsidRDefault="00DA76F8" w:rsidP="003B4EBC">
            <w:pPr>
              <w:pStyle w:val="TableBodyCopy"/>
            </w:pPr>
            <w:r w:rsidRPr="001B387F">
              <w:rPr>
                <w:lang w:eastAsia="en-AU"/>
              </w:rPr>
              <w:t>Percentage</w:t>
            </w:r>
            <w:r w:rsidR="009E3323" w:rsidRPr="001B387F">
              <w:rPr>
                <w:lang w:eastAsia="en-AU"/>
              </w:rPr>
              <w:t xml:space="preserve"> of the development cooperation budget earmarked to address gender equality (Vietnam </w:t>
            </w:r>
            <w:r w:rsidR="00324C1F" w:rsidRPr="001B387F">
              <w:rPr>
                <w:lang w:eastAsia="en-AU"/>
              </w:rPr>
              <w:t>p</w:t>
            </w:r>
            <w:r w:rsidR="009E3323" w:rsidRPr="001B387F">
              <w:rPr>
                <w:lang w:eastAsia="en-AU"/>
              </w:rPr>
              <w:t>rogram target)</w:t>
            </w:r>
          </w:p>
        </w:tc>
        <w:tc>
          <w:tcPr>
            <w:tcW w:w="2503" w:type="dxa"/>
            <w:shd w:val="clear" w:color="auto" w:fill="D2DEE7"/>
          </w:tcPr>
          <w:p w14:paraId="0E8CBAB7" w14:textId="77777777" w:rsidR="009E3323" w:rsidRPr="001B387F" w:rsidRDefault="009E3323" w:rsidP="003B4EBC">
            <w:pPr>
              <w:pStyle w:val="TableBodyCopy"/>
            </w:pPr>
            <w:r w:rsidRPr="001B387F">
              <w:rPr>
                <w:lang w:eastAsia="en-AU"/>
              </w:rPr>
              <w:t>20%</w:t>
            </w:r>
          </w:p>
        </w:tc>
        <w:tc>
          <w:tcPr>
            <w:tcW w:w="2504" w:type="dxa"/>
            <w:shd w:val="clear" w:color="auto" w:fill="D2DEE7"/>
          </w:tcPr>
          <w:p w14:paraId="47E3BCD2" w14:textId="77777777" w:rsidR="009E3323" w:rsidRPr="001B387F" w:rsidRDefault="009E3323" w:rsidP="003B4EBC">
            <w:pPr>
              <w:pStyle w:val="TableBodyCopy"/>
            </w:pPr>
            <w:r w:rsidRPr="001B387F">
              <w:rPr>
                <w:lang w:eastAsia="en-AU"/>
              </w:rPr>
              <w:t>20%</w:t>
            </w:r>
          </w:p>
        </w:tc>
        <w:tc>
          <w:tcPr>
            <w:tcW w:w="2503" w:type="dxa"/>
            <w:shd w:val="clear" w:color="auto" w:fill="D2DEE7"/>
          </w:tcPr>
          <w:p w14:paraId="06CFA2ED" w14:textId="77777777" w:rsidR="009E3323" w:rsidRPr="001B387F" w:rsidRDefault="009E3323" w:rsidP="003B4EBC">
            <w:pPr>
              <w:pStyle w:val="TableBodyCopy"/>
            </w:pPr>
            <w:r w:rsidRPr="001B387F">
              <w:rPr>
                <w:lang w:eastAsia="en-AU"/>
              </w:rPr>
              <w:t>20%</w:t>
            </w:r>
          </w:p>
        </w:tc>
        <w:tc>
          <w:tcPr>
            <w:tcW w:w="2504" w:type="dxa"/>
            <w:shd w:val="clear" w:color="auto" w:fill="D2DEE7"/>
          </w:tcPr>
          <w:p w14:paraId="66AA2162" w14:textId="5809D7A8" w:rsidR="009E3323" w:rsidRPr="001B387F" w:rsidRDefault="00B90E7F" w:rsidP="003B4EBC">
            <w:pPr>
              <w:pStyle w:val="TableBodyCopy"/>
            </w:pPr>
            <w:r w:rsidRPr="001B387F">
              <w:t>SDG</w:t>
            </w:r>
            <w:r w:rsidR="009E3323" w:rsidRPr="001B387F">
              <w:t>5</w:t>
            </w:r>
            <w:r w:rsidRPr="001B387F">
              <w:t>:</w:t>
            </w:r>
            <w:r w:rsidR="001D2967" w:rsidRPr="001B387F">
              <w:t xml:space="preserve"> Gender equality</w:t>
            </w:r>
          </w:p>
        </w:tc>
      </w:tr>
      <w:tr w:rsidR="009E3323" w:rsidRPr="001B387F" w14:paraId="7B804136" w14:textId="77777777" w:rsidTr="00091CB4">
        <w:trPr>
          <w:trHeight w:val="762"/>
        </w:trPr>
        <w:tc>
          <w:tcPr>
            <w:tcW w:w="2503" w:type="dxa"/>
            <w:shd w:val="clear" w:color="auto" w:fill="D2DEE7"/>
          </w:tcPr>
          <w:p w14:paraId="600C2738" w14:textId="581BC71C" w:rsidR="009E3323" w:rsidRPr="001B387F" w:rsidRDefault="009E3323" w:rsidP="003B4EBC">
            <w:pPr>
              <w:pStyle w:val="TableBodyCopy"/>
            </w:pPr>
            <w:r w:rsidRPr="001B387F">
              <w:t>Gender equality</w:t>
            </w:r>
          </w:p>
        </w:tc>
        <w:tc>
          <w:tcPr>
            <w:tcW w:w="2504" w:type="dxa"/>
            <w:shd w:val="clear" w:color="auto" w:fill="D2DEE7"/>
          </w:tcPr>
          <w:p w14:paraId="4D498641" w14:textId="5A42E6F9" w:rsidR="009E3323" w:rsidRPr="001B387F" w:rsidRDefault="00DA76F8" w:rsidP="003B4EBC">
            <w:pPr>
              <w:pStyle w:val="TableBodyCopy"/>
            </w:pPr>
            <w:r w:rsidRPr="001B387F">
              <w:rPr>
                <w:lang w:eastAsia="en-AU"/>
              </w:rPr>
              <w:t>Percentage</w:t>
            </w:r>
            <w:r w:rsidR="009E3323" w:rsidRPr="001B387F">
              <w:rPr>
                <w:lang w:eastAsia="en-AU"/>
              </w:rPr>
              <w:t xml:space="preserve"> of development investments </w:t>
            </w:r>
            <w:r w:rsidRPr="001B387F">
              <w:rPr>
                <w:lang w:eastAsia="en-AU"/>
              </w:rPr>
              <w:t>that</w:t>
            </w:r>
            <w:r w:rsidR="009E3323" w:rsidRPr="001B387F">
              <w:rPr>
                <w:lang w:eastAsia="en-AU"/>
              </w:rPr>
              <w:t xml:space="preserve"> address gender equality effectively (Tier</w:t>
            </w:r>
            <w:r w:rsidR="007F12FB" w:rsidRPr="001B387F">
              <w:rPr>
                <w:lang w:eastAsia="en-AU"/>
              </w:rPr>
              <w:t> </w:t>
            </w:r>
            <w:r w:rsidR="009E3323" w:rsidRPr="001B387F">
              <w:rPr>
                <w:lang w:eastAsia="en-AU"/>
              </w:rPr>
              <w:t>3)</w:t>
            </w:r>
          </w:p>
        </w:tc>
        <w:tc>
          <w:tcPr>
            <w:tcW w:w="2503" w:type="dxa"/>
            <w:shd w:val="clear" w:color="auto" w:fill="D2DEE7"/>
          </w:tcPr>
          <w:p w14:paraId="18B04F92" w14:textId="4C68FBB1" w:rsidR="009E3323" w:rsidRPr="001B387F" w:rsidRDefault="009E3323" w:rsidP="003B4EBC">
            <w:pPr>
              <w:pStyle w:val="TableBodyCopy"/>
            </w:pPr>
            <w:r w:rsidRPr="001B387F">
              <w:rPr>
                <w:szCs w:val="20"/>
              </w:rPr>
              <w:t>80%</w:t>
            </w:r>
          </w:p>
        </w:tc>
        <w:tc>
          <w:tcPr>
            <w:tcW w:w="2504" w:type="dxa"/>
            <w:shd w:val="clear" w:color="auto" w:fill="D2DEE7"/>
          </w:tcPr>
          <w:p w14:paraId="3EE9535B" w14:textId="728C9DAC" w:rsidR="009E3323" w:rsidRPr="001B387F" w:rsidRDefault="009E3323" w:rsidP="003B4EBC">
            <w:pPr>
              <w:pStyle w:val="TableBodyCopy"/>
            </w:pPr>
            <w:r w:rsidRPr="001B387F">
              <w:rPr>
                <w:szCs w:val="20"/>
              </w:rPr>
              <w:t>80%</w:t>
            </w:r>
          </w:p>
        </w:tc>
        <w:tc>
          <w:tcPr>
            <w:tcW w:w="2503" w:type="dxa"/>
            <w:shd w:val="clear" w:color="auto" w:fill="D2DEE7"/>
          </w:tcPr>
          <w:p w14:paraId="182F9032" w14:textId="1D16C2EE" w:rsidR="009E3323" w:rsidRPr="001B387F" w:rsidRDefault="009E3323" w:rsidP="003B4EBC">
            <w:pPr>
              <w:pStyle w:val="TableBodyCopy"/>
            </w:pPr>
            <w:r w:rsidRPr="001B387F">
              <w:rPr>
                <w:szCs w:val="20"/>
              </w:rPr>
              <w:t>80%</w:t>
            </w:r>
          </w:p>
        </w:tc>
        <w:tc>
          <w:tcPr>
            <w:tcW w:w="2504" w:type="dxa"/>
            <w:shd w:val="clear" w:color="auto" w:fill="D2DEE7"/>
          </w:tcPr>
          <w:p w14:paraId="73BB823D" w14:textId="4F560F13" w:rsidR="009E3323" w:rsidRPr="001B387F" w:rsidRDefault="001D2967" w:rsidP="003B4EBC">
            <w:pPr>
              <w:pStyle w:val="TableBodyCopy"/>
            </w:pPr>
            <w:r w:rsidRPr="001B387F">
              <w:t>SDG</w:t>
            </w:r>
            <w:r w:rsidR="009E3323" w:rsidRPr="001B387F">
              <w:t>5</w:t>
            </w:r>
          </w:p>
        </w:tc>
      </w:tr>
      <w:tr w:rsidR="009E3323" w:rsidRPr="001B387F" w14:paraId="5058CC69" w14:textId="77777777" w:rsidTr="00091CB4">
        <w:trPr>
          <w:trHeight w:val="688"/>
        </w:trPr>
        <w:tc>
          <w:tcPr>
            <w:tcW w:w="2503" w:type="dxa"/>
            <w:shd w:val="clear" w:color="auto" w:fill="D2DEE7"/>
          </w:tcPr>
          <w:p w14:paraId="0252B9EB" w14:textId="0A3FB705" w:rsidR="009E3323" w:rsidRPr="001B387F" w:rsidRDefault="009E3323" w:rsidP="003B4EBC">
            <w:pPr>
              <w:pStyle w:val="TableBodyCopy"/>
            </w:pPr>
            <w:r w:rsidRPr="001B387F">
              <w:t>Disability equity</w:t>
            </w:r>
          </w:p>
        </w:tc>
        <w:tc>
          <w:tcPr>
            <w:tcW w:w="2504" w:type="dxa"/>
            <w:shd w:val="clear" w:color="auto" w:fill="D2DEE7"/>
          </w:tcPr>
          <w:p w14:paraId="3AB3253E" w14:textId="0D40EEA5" w:rsidR="009E3323" w:rsidRPr="001B387F" w:rsidRDefault="009E3323" w:rsidP="003B4EBC">
            <w:pPr>
              <w:pStyle w:val="TableBodyCopy"/>
            </w:pPr>
            <w:r w:rsidRPr="001B387F">
              <w:t xml:space="preserve">Percentage of investments </w:t>
            </w:r>
            <w:r w:rsidR="00DE54F4" w:rsidRPr="001B387F">
              <w:t xml:space="preserve">that </w:t>
            </w:r>
            <w:r w:rsidRPr="001B387F">
              <w:t>effectively address disability equity</w:t>
            </w:r>
            <w:r w:rsidR="00DE54F4" w:rsidRPr="001B387F">
              <w:t xml:space="preserve"> (Tier 3)</w:t>
            </w:r>
          </w:p>
        </w:tc>
        <w:tc>
          <w:tcPr>
            <w:tcW w:w="2503" w:type="dxa"/>
            <w:shd w:val="clear" w:color="auto" w:fill="D2DEE7"/>
          </w:tcPr>
          <w:p w14:paraId="05A89033" w14:textId="77777777" w:rsidR="009E3323" w:rsidRPr="001B387F" w:rsidRDefault="009E3323" w:rsidP="003B4EBC">
            <w:pPr>
              <w:pStyle w:val="TableBodyCopy"/>
            </w:pPr>
            <w:r w:rsidRPr="001B387F">
              <w:rPr>
                <w:szCs w:val="20"/>
                <w:lang w:eastAsia="en-AU"/>
              </w:rPr>
              <w:t>70%</w:t>
            </w:r>
          </w:p>
        </w:tc>
        <w:tc>
          <w:tcPr>
            <w:tcW w:w="2504" w:type="dxa"/>
            <w:shd w:val="clear" w:color="auto" w:fill="D2DEE7"/>
          </w:tcPr>
          <w:p w14:paraId="2EB0A263" w14:textId="77777777" w:rsidR="009E3323" w:rsidRPr="001B387F" w:rsidRDefault="009E3323" w:rsidP="003B4EBC">
            <w:pPr>
              <w:pStyle w:val="TableBodyCopy"/>
            </w:pPr>
            <w:r w:rsidRPr="001B387F">
              <w:rPr>
                <w:szCs w:val="20"/>
                <w:lang w:eastAsia="en-AU"/>
              </w:rPr>
              <w:t>80%</w:t>
            </w:r>
          </w:p>
        </w:tc>
        <w:tc>
          <w:tcPr>
            <w:tcW w:w="2503" w:type="dxa"/>
            <w:shd w:val="clear" w:color="auto" w:fill="D2DEE7"/>
          </w:tcPr>
          <w:p w14:paraId="495269BC" w14:textId="77777777" w:rsidR="009E3323" w:rsidRPr="001B387F" w:rsidRDefault="009E3323" w:rsidP="003B4EBC">
            <w:pPr>
              <w:pStyle w:val="TableBodyCopy"/>
            </w:pPr>
            <w:r w:rsidRPr="001B387F">
              <w:rPr>
                <w:szCs w:val="20"/>
                <w:lang w:eastAsia="en-AU"/>
              </w:rPr>
              <w:t>80%</w:t>
            </w:r>
          </w:p>
        </w:tc>
        <w:tc>
          <w:tcPr>
            <w:tcW w:w="2504" w:type="dxa"/>
            <w:shd w:val="clear" w:color="auto" w:fill="D2DEE7"/>
          </w:tcPr>
          <w:p w14:paraId="79AF2CDB" w14:textId="557B2B37" w:rsidR="009E3323" w:rsidRPr="001B387F" w:rsidRDefault="001D2967" w:rsidP="003B4EBC">
            <w:pPr>
              <w:pStyle w:val="TableBodyCopy"/>
            </w:pPr>
            <w:r w:rsidRPr="001B387F">
              <w:t>SDG</w:t>
            </w:r>
            <w:r w:rsidR="009E3323" w:rsidRPr="001B387F">
              <w:t>10</w:t>
            </w:r>
            <w:r w:rsidRPr="001B387F">
              <w:t>: Reduced inequalities</w:t>
            </w:r>
          </w:p>
        </w:tc>
      </w:tr>
      <w:tr w:rsidR="009E3323" w:rsidRPr="001B387F" w14:paraId="1DD338A0" w14:textId="77777777" w:rsidTr="00091CB4">
        <w:trPr>
          <w:trHeight w:val="688"/>
        </w:trPr>
        <w:tc>
          <w:tcPr>
            <w:tcW w:w="2503" w:type="dxa"/>
            <w:shd w:val="clear" w:color="auto" w:fill="D2DEE7"/>
          </w:tcPr>
          <w:p w14:paraId="79A6C5E9" w14:textId="22327BDE" w:rsidR="009E3323" w:rsidRPr="001B387F" w:rsidRDefault="009E3323" w:rsidP="003B4EBC">
            <w:pPr>
              <w:pStyle w:val="TableBodyCopy"/>
            </w:pPr>
            <w:r w:rsidRPr="001B387F">
              <w:t>Disability equity</w:t>
            </w:r>
          </w:p>
        </w:tc>
        <w:tc>
          <w:tcPr>
            <w:tcW w:w="2504" w:type="dxa"/>
            <w:shd w:val="clear" w:color="auto" w:fill="D2DEE7"/>
          </w:tcPr>
          <w:p w14:paraId="374B5EA7" w14:textId="0F0FDCAD" w:rsidR="009E3323" w:rsidRPr="001B387F" w:rsidRDefault="009E3323" w:rsidP="003B4EBC">
            <w:pPr>
              <w:pStyle w:val="TableBodyCopy"/>
            </w:pPr>
            <w:r w:rsidRPr="001B387F">
              <w:rPr>
                <w:szCs w:val="20"/>
                <w:lang w:eastAsia="en-AU"/>
              </w:rPr>
              <w:t>Number of organisations of persons with disabilities receiving capacity building support (Tier</w:t>
            </w:r>
            <w:r w:rsidR="007F12FB" w:rsidRPr="001B387F">
              <w:rPr>
                <w:szCs w:val="20"/>
                <w:lang w:eastAsia="en-AU"/>
              </w:rPr>
              <w:t> </w:t>
            </w:r>
            <w:r w:rsidRPr="001B387F">
              <w:rPr>
                <w:szCs w:val="20"/>
                <w:lang w:eastAsia="en-AU"/>
              </w:rPr>
              <w:t>2)</w:t>
            </w:r>
            <w:hyperlink w:anchor="T3nd" w:history="1">
              <w:r w:rsidRPr="001B387F">
                <w:rPr>
                  <w:rStyle w:val="tablehyperlink"/>
                </w:rPr>
                <w:t>d</w:t>
              </w:r>
            </w:hyperlink>
          </w:p>
        </w:tc>
        <w:tc>
          <w:tcPr>
            <w:tcW w:w="2503" w:type="dxa"/>
            <w:shd w:val="clear" w:color="auto" w:fill="D2DEE7"/>
          </w:tcPr>
          <w:p w14:paraId="617AEB75" w14:textId="77777777" w:rsidR="009E3323" w:rsidRPr="001B387F" w:rsidRDefault="009E3323" w:rsidP="003B4EBC">
            <w:pPr>
              <w:pStyle w:val="TableBodyCopy"/>
            </w:pPr>
            <w:r w:rsidRPr="001B387F">
              <w:rPr>
                <w:szCs w:val="20"/>
                <w:lang w:eastAsia="en-AU"/>
              </w:rPr>
              <w:t>25</w:t>
            </w:r>
          </w:p>
        </w:tc>
        <w:tc>
          <w:tcPr>
            <w:tcW w:w="2504" w:type="dxa"/>
            <w:shd w:val="clear" w:color="auto" w:fill="D2DEE7"/>
          </w:tcPr>
          <w:p w14:paraId="43A7C996" w14:textId="77777777" w:rsidR="009E3323" w:rsidRPr="001B387F" w:rsidRDefault="009E3323" w:rsidP="003B4EBC">
            <w:pPr>
              <w:pStyle w:val="TableBodyCopy"/>
            </w:pPr>
            <w:r w:rsidRPr="001B387F">
              <w:rPr>
                <w:szCs w:val="20"/>
                <w:lang w:eastAsia="en-AU"/>
              </w:rPr>
              <w:t>30</w:t>
            </w:r>
          </w:p>
        </w:tc>
        <w:tc>
          <w:tcPr>
            <w:tcW w:w="2503" w:type="dxa"/>
            <w:shd w:val="clear" w:color="auto" w:fill="D2DEE7"/>
          </w:tcPr>
          <w:p w14:paraId="16ED506B" w14:textId="77777777" w:rsidR="009E3323" w:rsidRPr="001B387F" w:rsidRDefault="009E3323" w:rsidP="003B4EBC">
            <w:pPr>
              <w:pStyle w:val="TableBodyCopy"/>
            </w:pPr>
            <w:r w:rsidRPr="001B387F">
              <w:rPr>
                <w:szCs w:val="20"/>
                <w:lang w:eastAsia="en-AU"/>
              </w:rPr>
              <w:t>40</w:t>
            </w:r>
          </w:p>
        </w:tc>
        <w:tc>
          <w:tcPr>
            <w:tcW w:w="2504" w:type="dxa"/>
            <w:shd w:val="clear" w:color="auto" w:fill="D2DEE7"/>
          </w:tcPr>
          <w:p w14:paraId="2932D2F1" w14:textId="2FF7E8F0" w:rsidR="009E3323" w:rsidRPr="001B387F" w:rsidRDefault="001D2967" w:rsidP="003B4EBC">
            <w:pPr>
              <w:pStyle w:val="TableBodyCopy"/>
            </w:pPr>
            <w:r w:rsidRPr="001B387F">
              <w:t>SDG</w:t>
            </w:r>
            <w:r w:rsidR="009E3323" w:rsidRPr="001B387F">
              <w:t>10</w:t>
            </w:r>
          </w:p>
        </w:tc>
      </w:tr>
      <w:tr w:rsidR="009E3323" w:rsidRPr="001B387F" w14:paraId="54903405" w14:textId="77777777" w:rsidTr="00091CB4">
        <w:trPr>
          <w:trHeight w:val="688"/>
        </w:trPr>
        <w:tc>
          <w:tcPr>
            <w:tcW w:w="2503" w:type="dxa"/>
            <w:shd w:val="clear" w:color="auto" w:fill="D2DEE7"/>
          </w:tcPr>
          <w:p w14:paraId="4F9E56EE" w14:textId="1D73F42A" w:rsidR="009E3323" w:rsidRPr="001B387F" w:rsidRDefault="009E3323" w:rsidP="003B4EBC">
            <w:pPr>
              <w:pStyle w:val="TableBodyCopy"/>
            </w:pPr>
            <w:r w:rsidRPr="001B387F">
              <w:t>Climate change</w:t>
            </w:r>
          </w:p>
        </w:tc>
        <w:tc>
          <w:tcPr>
            <w:tcW w:w="2504" w:type="dxa"/>
            <w:shd w:val="clear" w:color="auto" w:fill="D2DEE7"/>
          </w:tcPr>
          <w:p w14:paraId="0879BA83" w14:textId="6347E0B9" w:rsidR="009E3323" w:rsidRPr="001B387F" w:rsidRDefault="009E3323" w:rsidP="003B4EBC">
            <w:pPr>
              <w:pStyle w:val="TableBodyCopy"/>
              <w:rPr>
                <w:szCs w:val="20"/>
                <w:lang w:eastAsia="en-AU"/>
              </w:rPr>
            </w:pPr>
            <w:r w:rsidRPr="001B387F">
              <w:t>Percentage of new investments over $3</w:t>
            </w:r>
            <w:r w:rsidR="007F12FB" w:rsidRPr="001B387F">
              <w:t> </w:t>
            </w:r>
            <w:r w:rsidRPr="001B387F">
              <w:t>million that have a climate change objective (Tier</w:t>
            </w:r>
            <w:r w:rsidR="007F12FB" w:rsidRPr="001B387F">
              <w:t> </w:t>
            </w:r>
            <w:r w:rsidRPr="001B387F">
              <w:t>3)</w:t>
            </w:r>
          </w:p>
        </w:tc>
        <w:tc>
          <w:tcPr>
            <w:tcW w:w="2503" w:type="dxa"/>
            <w:shd w:val="clear" w:color="auto" w:fill="D2DEE7"/>
          </w:tcPr>
          <w:p w14:paraId="40F4E318" w14:textId="5AB45263" w:rsidR="009E3323" w:rsidRPr="001B387F" w:rsidRDefault="009E3323" w:rsidP="003B4EBC">
            <w:pPr>
              <w:pStyle w:val="TableBodyCopy"/>
              <w:rPr>
                <w:szCs w:val="20"/>
                <w:lang w:eastAsia="en-AU"/>
              </w:rPr>
            </w:pPr>
            <w:r w:rsidRPr="001B387F">
              <w:rPr>
                <w:szCs w:val="20"/>
                <w:lang w:eastAsia="en-AU"/>
              </w:rPr>
              <w:t>50%</w:t>
            </w:r>
          </w:p>
        </w:tc>
        <w:tc>
          <w:tcPr>
            <w:tcW w:w="2504" w:type="dxa"/>
            <w:shd w:val="clear" w:color="auto" w:fill="D2DEE7"/>
          </w:tcPr>
          <w:p w14:paraId="0DB8EFB5" w14:textId="52C98F62" w:rsidR="009E3323" w:rsidRPr="001B387F" w:rsidRDefault="009E3323" w:rsidP="003B4EBC">
            <w:pPr>
              <w:pStyle w:val="TableBodyCopy"/>
              <w:rPr>
                <w:szCs w:val="20"/>
                <w:lang w:eastAsia="en-AU"/>
              </w:rPr>
            </w:pPr>
            <w:r w:rsidRPr="001B387F">
              <w:rPr>
                <w:szCs w:val="20"/>
                <w:lang w:eastAsia="en-AU"/>
              </w:rPr>
              <w:t>50%</w:t>
            </w:r>
          </w:p>
        </w:tc>
        <w:tc>
          <w:tcPr>
            <w:tcW w:w="2503" w:type="dxa"/>
            <w:shd w:val="clear" w:color="auto" w:fill="D2DEE7"/>
          </w:tcPr>
          <w:p w14:paraId="0AD09A05" w14:textId="198E8044" w:rsidR="009E3323" w:rsidRPr="001B387F" w:rsidRDefault="009E3323" w:rsidP="003B4EBC">
            <w:pPr>
              <w:pStyle w:val="TableBodyCopy"/>
              <w:rPr>
                <w:szCs w:val="20"/>
                <w:lang w:eastAsia="en-AU"/>
              </w:rPr>
            </w:pPr>
            <w:r w:rsidRPr="001B387F">
              <w:rPr>
                <w:szCs w:val="20"/>
                <w:lang w:eastAsia="en-AU"/>
              </w:rPr>
              <w:t>60%</w:t>
            </w:r>
          </w:p>
        </w:tc>
        <w:tc>
          <w:tcPr>
            <w:tcW w:w="2504" w:type="dxa"/>
            <w:shd w:val="clear" w:color="auto" w:fill="D2DEE7"/>
          </w:tcPr>
          <w:p w14:paraId="7FB16C2F" w14:textId="7C7870C6" w:rsidR="009E3323" w:rsidRPr="001B387F" w:rsidRDefault="001D2967" w:rsidP="003B4EBC">
            <w:pPr>
              <w:pStyle w:val="TableBodyCopy"/>
            </w:pPr>
            <w:r w:rsidRPr="001B387F">
              <w:t>SDG</w:t>
            </w:r>
            <w:r w:rsidR="009E3323" w:rsidRPr="001B387F">
              <w:t>13</w:t>
            </w:r>
            <w:r w:rsidRPr="001B387F">
              <w:t>: Climate action</w:t>
            </w:r>
          </w:p>
        </w:tc>
      </w:tr>
      <w:tr w:rsidR="009E3323" w:rsidRPr="001B387F" w14:paraId="65485E9B" w14:textId="77777777" w:rsidTr="00091CB4">
        <w:trPr>
          <w:trHeight w:val="700"/>
        </w:trPr>
        <w:tc>
          <w:tcPr>
            <w:tcW w:w="2503" w:type="dxa"/>
            <w:shd w:val="clear" w:color="auto" w:fill="D2DEE7"/>
          </w:tcPr>
          <w:p w14:paraId="4B301A21" w14:textId="77777777" w:rsidR="009E3323" w:rsidRPr="001B387F" w:rsidRDefault="009E3323" w:rsidP="003B4EBC">
            <w:pPr>
              <w:pStyle w:val="TableBodyCopy"/>
            </w:pPr>
            <w:r w:rsidRPr="001B387F">
              <w:t>Localisation</w:t>
            </w:r>
          </w:p>
        </w:tc>
        <w:tc>
          <w:tcPr>
            <w:tcW w:w="2504" w:type="dxa"/>
            <w:shd w:val="clear" w:color="auto" w:fill="D2DEE7"/>
          </w:tcPr>
          <w:p w14:paraId="0F67532F" w14:textId="57851284" w:rsidR="009E3323" w:rsidRPr="001B387F" w:rsidRDefault="009E3323" w:rsidP="003B4EBC">
            <w:pPr>
              <w:pStyle w:val="TableBodyCopy"/>
            </w:pPr>
            <w:r w:rsidRPr="001B387F">
              <w:t>Number of local personnel, sub-contractors and staff engaged (employment created) – Managing Contractors (Tier</w:t>
            </w:r>
            <w:r w:rsidR="007F12FB" w:rsidRPr="001B387F">
              <w:t> </w:t>
            </w:r>
            <w:r w:rsidRPr="001B387F">
              <w:t>3)</w:t>
            </w:r>
            <w:hyperlink w:anchor="T3ne" w:history="1">
              <w:r w:rsidRPr="001B387F">
                <w:rPr>
                  <w:rStyle w:val="tablehyperlink"/>
                </w:rPr>
                <w:t>e</w:t>
              </w:r>
            </w:hyperlink>
          </w:p>
        </w:tc>
        <w:tc>
          <w:tcPr>
            <w:tcW w:w="2503" w:type="dxa"/>
            <w:shd w:val="clear" w:color="auto" w:fill="D2DEE7"/>
          </w:tcPr>
          <w:p w14:paraId="09EEFAD5" w14:textId="77777777" w:rsidR="009E3323" w:rsidRPr="001B387F" w:rsidRDefault="009E3323" w:rsidP="003B4EBC">
            <w:pPr>
              <w:pStyle w:val="TableBodyCopy"/>
            </w:pPr>
            <w:r w:rsidRPr="001B387F">
              <w:t>Results collected centrally</w:t>
            </w:r>
          </w:p>
        </w:tc>
        <w:tc>
          <w:tcPr>
            <w:tcW w:w="2504" w:type="dxa"/>
            <w:shd w:val="clear" w:color="auto" w:fill="D2DEE7"/>
          </w:tcPr>
          <w:p w14:paraId="30197F2B" w14:textId="77777777" w:rsidR="009E3323" w:rsidRPr="001B387F" w:rsidRDefault="009E3323" w:rsidP="003B4EBC">
            <w:pPr>
              <w:pStyle w:val="TableBodyCopy"/>
            </w:pPr>
            <w:r w:rsidRPr="001B387F">
              <w:t>Results collected centrally</w:t>
            </w:r>
          </w:p>
        </w:tc>
        <w:tc>
          <w:tcPr>
            <w:tcW w:w="2503" w:type="dxa"/>
            <w:shd w:val="clear" w:color="auto" w:fill="D2DEE7"/>
          </w:tcPr>
          <w:p w14:paraId="5D305A87" w14:textId="77777777" w:rsidR="009E3323" w:rsidRPr="001B387F" w:rsidRDefault="009E3323" w:rsidP="003B4EBC">
            <w:pPr>
              <w:pStyle w:val="TableBodyCopy"/>
            </w:pPr>
            <w:r w:rsidRPr="001B387F">
              <w:t>Results collected centrally</w:t>
            </w:r>
          </w:p>
        </w:tc>
        <w:tc>
          <w:tcPr>
            <w:tcW w:w="2504" w:type="dxa"/>
            <w:shd w:val="clear" w:color="auto" w:fill="D2DEE7"/>
          </w:tcPr>
          <w:p w14:paraId="2293F120" w14:textId="27242EB7" w:rsidR="001D2967" w:rsidRPr="001B387F" w:rsidRDefault="001D2967" w:rsidP="003B4EBC">
            <w:pPr>
              <w:pStyle w:val="TableBodyCopy"/>
            </w:pPr>
            <w:r w:rsidRPr="001B387F">
              <w:t>SDG</w:t>
            </w:r>
            <w:r w:rsidR="009E3323" w:rsidRPr="001B387F">
              <w:t>8</w:t>
            </w:r>
            <w:r w:rsidRPr="001B387F">
              <w:t>: Decent work and economic growth</w:t>
            </w:r>
          </w:p>
          <w:p w14:paraId="230DD8F1" w14:textId="760E92C6" w:rsidR="009E3323" w:rsidRPr="001B387F" w:rsidRDefault="001D2967" w:rsidP="003B4EBC">
            <w:pPr>
              <w:pStyle w:val="TableBodyCopy"/>
            </w:pPr>
            <w:r w:rsidRPr="001B387F">
              <w:t>SDG</w:t>
            </w:r>
            <w:r w:rsidR="009E3323" w:rsidRPr="001B387F">
              <w:t>16</w:t>
            </w:r>
            <w:r w:rsidRPr="001B387F">
              <w:t xml:space="preserve">: </w:t>
            </w:r>
            <w:r w:rsidR="002B309E" w:rsidRPr="001B387F">
              <w:t xml:space="preserve">Peace, </w:t>
            </w:r>
            <w:proofErr w:type="gramStart"/>
            <w:r w:rsidR="002B309E" w:rsidRPr="001B387F">
              <w:t>justice</w:t>
            </w:r>
            <w:proofErr w:type="gramEnd"/>
            <w:r w:rsidR="002B309E" w:rsidRPr="001B387F">
              <w:t xml:space="preserve"> and strong institutions</w:t>
            </w:r>
          </w:p>
        </w:tc>
      </w:tr>
      <w:tr w:rsidR="00865821" w:rsidRPr="001B387F" w14:paraId="0B89DDD6" w14:textId="77777777" w:rsidTr="007F3FE2">
        <w:trPr>
          <w:cantSplit/>
          <w:trHeight w:val="700"/>
        </w:trPr>
        <w:tc>
          <w:tcPr>
            <w:tcW w:w="2503" w:type="dxa"/>
            <w:shd w:val="clear" w:color="auto" w:fill="D2DEE7"/>
          </w:tcPr>
          <w:p w14:paraId="24623DF9" w14:textId="77777777" w:rsidR="009E3323" w:rsidRPr="001B387F" w:rsidRDefault="009E3323" w:rsidP="003B4EBC">
            <w:pPr>
              <w:pStyle w:val="TableBodyCopy"/>
            </w:pPr>
            <w:r w:rsidRPr="001B387F">
              <w:lastRenderedPageBreak/>
              <w:t>Localisation</w:t>
            </w:r>
          </w:p>
        </w:tc>
        <w:tc>
          <w:tcPr>
            <w:tcW w:w="2504" w:type="dxa"/>
            <w:shd w:val="clear" w:color="auto" w:fill="D2DEE7"/>
          </w:tcPr>
          <w:p w14:paraId="67F02EE1" w14:textId="3220F760" w:rsidR="00865821" w:rsidRPr="001B387F" w:rsidRDefault="009E3323" w:rsidP="003B4EBC">
            <w:pPr>
              <w:pStyle w:val="TableBodyCopy"/>
            </w:pPr>
            <w:r w:rsidRPr="001B387F">
              <w:t>Number and dollar value of local contracts and grants (local supply chains) – Managing Contractors (Tier</w:t>
            </w:r>
            <w:r w:rsidR="007F12FB" w:rsidRPr="001B387F">
              <w:t> </w:t>
            </w:r>
            <w:r w:rsidRPr="001B387F">
              <w:t>3)</w:t>
            </w:r>
            <w:hyperlink w:anchor="T3ne" w:history="1">
              <w:r w:rsidRPr="001B387F">
                <w:rPr>
                  <w:rStyle w:val="Hyperlink"/>
                  <w:color w:val="000000" w:themeColor="text1"/>
                  <w:vertAlign w:val="superscript"/>
                </w:rPr>
                <w:t>e</w:t>
              </w:r>
            </w:hyperlink>
          </w:p>
        </w:tc>
        <w:tc>
          <w:tcPr>
            <w:tcW w:w="2503" w:type="dxa"/>
            <w:shd w:val="clear" w:color="auto" w:fill="D2DEE7"/>
          </w:tcPr>
          <w:p w14:paraId="04435B23" w14:textId="77777777" w:rsidR="00865821" w:rsidRPr="001B387F" w:rsidRDefault="00865821" w:rsidP="003B4EBC">
            <w:pPr>
              <w:pStyle w:val="TableBodyCopy"/>
            </w:pPr>
            <w:r w:rsidRPr="001B387F">
              <w:t>Results collected centrally</w:t>
            </w:r>
          </w:p>
        </w:tc>
        <w:tc>
          <w:tcPr>
            <w:tcW w:w="2504" w:type="dxa"/>
            <w:shd w:val="clear" w:color="auto" w:fill="D2DEE7"/>
          </w:tcPr>
          <w:p w14:paraId="270C08AF" w14:textId="77777777" w:rsidR="00865821" w:rsidRPr="001B387F" w:rsidRDefault="00865821" w:rsidP="003B4EBC">
            <w:pPr>
              <w:pStyle w:val="TableBodyCopy"/>
            </w:pPr>
            <w:r w:rsidRPr="001B387F">
              <w:t>Results collected centrally</w:t>
            </w:r>
          </w:p>
        </w:tc>
        <w:tc>
          <w:tcPr>
            <w:tcW w:w="2503" w:type="dxa"/>
            <w:shd w:val="clear" w:color="auto" w:fill="D2DEE7"/>
          </w:tcPr>
          <w:p w14:paraId="13B5F98B" w14:textId="77777777" w:rsidR="00865821" w:rsidRPr="001B387F" w:rsidRDefault="00865821" w:rsidP="003B4EBC">
            <w:pPr>
              <w:pStyle w:val="TableBodyCopy"/>
            </w:pPr>
            <w:r w:rsidRPr="001B387F">
              <w:t>Results collected centrally</w:t>
            </w:r>
          </w:p>
        </w:tc>
        <w:tc>
          <w:tcPr>
            <w:tcW w:w="2504" w:type="dxa"/>
            <w:shd w:val="clear" w:color="auto" w:fill="D2DEE7"/>
          </w:tcPr>
          <w:p w14:paraId="4733066A" w14:textId="35BEEFFF" w:rsidR="00865821" w:rsidRPr="001B387F" w:rsidRDefault="002B309E" w:rsidP="003B4EBC">
            <w:pPr>
              <w:pStyle w:val="TableBodyCopy"/>
            </w:pPr>
            <w:r w:rsidRPr="001B387F">
              <w:t>SDG</w:t>
            </w:r>
            <w:r w:rsidR="00865821" w:rsidRPr="001B387F">
              <w:t>8</w:t>
            </w:r>
            <w:r w:rsidRPr="001B387F">
              <w:t>,</w:t>
            </w:r>
            <w:r w:rsidR="00865821" w:rsidRPr="001B387F">
              <w:t xml:space="preserve"> </w:t>
            </w:r>
            <w:r w:rsidRPr="001B387F">
              <w:t>SDG</w:t>
            </w:r>
            <w:r w:rsidR="00865821" w:rsidRPr="001B387F">
              <w:t>16</w:t>
            </w:r>
          </w:p>
        </w:tc>
      </w:tr>
      <w:tr w:rsidR="00865821" w:rsidRPr="001B387F" w14:paraId="51D80FB3" w14:textId="77777777" w:rsidTr="00091CB4">
        <w:trPr>
          <w:trHeight w:val="700"/>
        </w:trPr>
        <w:tc>
          <w:tcPr>
            <w:tcW w:w="2503" w:type="dxa"/>
            <w:shd w:val="clear" w:color="auto" w:fill="D2DEE7"/>
          </w:tcPr>
          <w:p w14:paraId="43101F9A" w14:textId="77777777" w:rsidR="00865821" w:rsidRPr="001B387F" w:rsidRDefault="00865821" w:rsidP="003B4EBC">
            <w:pPr>
              <w:pStyle w:val="TableBodyCopy"/>
            </w:pPr>
            <w:r w:rsidRPr="001B387F">
              <w:t>Localisation</w:t>
            </w:r>
          </w:p>
        </w:tc>
        <w:tc>
          <w:tcPr>
            <w:tcW w:w="2504" w:type="dxa"/>
            <w:shd w:val="clear" w:color="auto" w:fill="D2DEE7"/>
          </w:tcPr>
          <w:p w14:paraId="5C992E03" w14:textId="0BDB8BD3" w:rsidR="00865821" w:rsidRPr="001B387F" w:rsidRDefault="00DA76F8" w:rsidP="003B4EBC">
            <w:pPr>
              <w:pStyle w:val="TableBodyCopy"/>
            </w:pPr>
            <w:r w:rsidRPr="001B387F">
              <w:t>Percentage</w:t>
            </w:r>
            <w:r w:rsidR="00865821" w:rsidRPr="001B387F">
              <w:t xml:space="preserve"> of bilateral investment designs and evaluations </w:t>
            </w:r>
            <w:r w:rsidRPr="001B387F">
              <w:t xml:space="preserve">that </w:t>
            </w:r>
            <w:r w:rsidR="00865821" w:rsidRPr="001B387F">
              <w:t xml:space="preserve">include local participation </w:t>
            </w:r>
            <w:r w:rsidR="00CD7A95" w:rsidRPr="001B387F">
              <w:t>(</w:t>
            </w:r>
            <w:r w:rsidR="00865821" w:rsidRPr="001B387F">
              <w:t>Tier</w:t>
            </w:r>
            <w:r w:rsidR="007F12FB" w:rsidRPr="001B387F">
              <w:t> </w:t>
            </w:r>
            <w:r w:rsidR="00865821" w:rsidRPr="001B387F">
              <w:t>3</w:t>
            </w:r>
            <w:r w:rsidR="00CD7A95" w:rsidRPr="001B387F">
              <w:t>)</w:t>
            </w:r>
          </w:p>
        </w:tc>
        <w:tc>
          <w:tcPr>
            <w:tcW w:w="2503" w:type="dxa"/>
            <w:shd w:val="clear" w:color="auto" w:fill="D2DEE7"/>
          </w:tcPr>
          <w:p w14:paraId="7B870579" w14:textId="77777777" w:rsidR="00865821" w:rsidRPr="001B387F" w:rsidRDefault="00865821" w:rsidP="003B4EBC">
            <w:pPr>
              <w:pStyle w:val="TableBodyCopy"/>
            </w:pPr>
            <w:r w:rsidRPr="001B387F">
              <w:t>80%</w:t>
            </w:r>
          </w:p>
        </w:tc>
        <w:tc>
          <w:tcPr>
            <w:tcW w:w="2504" w:type="dxa"/>
            <w:shd w:val="clear" w:color="auto" w:fill="D2DEE7"/>
          </w:tcPr>
          <w:p w14:paraId="05E9F1BD" w14:textId="77777777" w:rsidR="00865821" w:rsidRPr="001B387F" w:rsidRDefault="00865821" w:rsidP="003B4EBC">
            <w:pPr>
              <w:pStyle w:val="TableBodyCopy"/>
            </w:pPr>
            <w:r w:rsidRPr="001B387F">
              <w:t>80%</w:t>
            </w:r>
          </w:p>
        </w:tc>
        <w:tc>
          <w:tcPr>
            <w:tcW w:w="2503" w:type="dxa"/>
            <w:shd w:val="clear" w:color="auto" w:fill="D2DEE7"/>
          </w:tcPr>
          <w:p w14:paraId="7AEBA005" w14:textId="77777777" w:rsidR="00865821" w:rsidRPr="001B387F" w:rsidRDefault="00865821" w:rsidP="003B4EBC">
            <w:pPr>
              <w:pStyle w:val="TableBodyCopy"/>
            </w:pPr>
            <w:r w:rsidRPr="001B387F">
              <w:t>80%</w:t>
            </w:r>
          </w:p>
        </w:tc>
        <w:tc>
          <w:tcPr>
            <w:tcW w:w="2504" w:type="dxa"/>
            <w:shd w:val="clear" w:color="auto" w:fill="D2DEE7"/>
          </w:tcPr>
          <w:p w14:paraId="3C66E125" w14:textId="008FC572" w:rsidR="00865821" w:rsidRPr="001B387F" w:rsidRDefault="002B309E" w:rsidP="003B4EBC">
            <w:pPr>
              <w:pStyle w:val="TableBodyCopy"/>
            </w:pPr>
            <w:r w:rsidRPr="001B387F">
              <w:t>SDG</w:t>
            </w:r>
            <w:r w:rsidR="00865821" w:rsidRPr="001B387F">
              <w:t>8</w:t>
            </w:r>
            <w:r w:rsidRPr="001B387F">
              <w:t>,</w:t>
            </w:r>
            <w:r w:rsidR="00865821" w:rsidRPr="001B387F">
              <w:t xml:space="preserve"> </w:t>
            </w:r>
            <w:r w:rsidRPr="001B387F">
              <w:t>SDG</w:t>
            </w:r>
            <w:r w:rsidR="00865821" w:rsidRPr="001B387F">
              <w:t>16</w:t>
            </w:r>
          </w:p>
        </w:tc>
      </w:tr>
    </w:tbl>
    <w:p w14:paraId="68DF15E6" w14:textId="6DDB95D7" w:rsidR="00A3397F" w:rsidRPr="001B387F" w:rsidRDefault="00B87479" w:rsidP="00B87479">
      <w:pPr>
        <w:pStyle w:val="Tablenote"/>
      </w:pPr>
      <w:bookmarkStart w:id="7" w:name="T3nd"/>
      <w:r w:rsidRPr="001B387F">
        <w:t>d</w:t>
      </w:r>
      <w:r w:rsidRPr="001B387F">
        <w:tab/>
      </w:r>
      <w:r w:rsidR="005609DE" w:rsidRPr="001B387F">
        <w:t xml:space="preserve">Cumulative </w:t>
      </w:r>
      <w:r w:rsidR="004F0188" w:rsidRPr="001B387F">
        <w:t>t</w:t>
      </w:r>
      <w:r w:rsidR="00653E08" w:rsidRPr="001B387F">
        <w:t xml:space="preserve">otal number </w:t>
      </w:r>
      <w:r w:rsidR="000C7982" w:rsidRPr="001B387F">
        <w:t xml:space="preserve">of organisations of people with disability </w:t>
      </w:r>
      <w:r w:rsidR="004F0188" w:rsidRPr="001B387F">
        <w:t>reported by each</w:t>
      </w:r>
      <w:r w:rsidR="009A13BA" w:rsidRPr="001B387F">
        <w:t xml:space="preserve"> investment</w:t>
      </w:r>
      <w:r w:rsidRPr="001B387F">
        <w:t>.</w:t>
      </w:r>
    </w:p>
    <w:p w14:paraId="67CB5F08" w14:textId="1F09516A" w:rsidR="00B91F30" w:rsidRPr="001B387F" w:rsidRDefault="00B91F30" w:rsidP="00B87479">
      <w:pPr>
        <w:pStyle w:val="Tablenote"/>
        <w:rPr>
          <w:rFonts w:cs="Calibri Light"/>
          <w:lang w:eastAsia="en-AU"/>
        </w:rPr>
      </w:pPr>
      <w:bookmarkStart w:id="8" w:name="T3ne"/>
      <w:r w:rsidRPr="001B387F">
        <w:t>e</w:t>
      </w:r>
      <w:r w:rsidRPr="001B387F">
        <w:tab/>
        <w:t>Targets are not required for this indicator. Actual results are sourced centrally and will be published.</w:t>
      </w:r>
    </w:p>
    <w:bookmarkEnd w:id="7"/>
    <w:bookmarkEnd w:id="8"/>
    <w:p w14:paraId="013A15FE" w14:textId="77777777" w:rsidR="00B87479" w:rsidRPr="001B387F" w:rsidRDefault="00B87479" w:rsidP="00A3397F">
      <w:pPr>
        <w:widowControl w:val="0"/>
        <w:spacing w:after="0" w:line="240" w:lineRule="auto"/>
        <w:textAlignment w:val="baseline"/>
        <w:rPr>
          <w:rFonts w:cs="Calibri Light"/>
          <w:lang w:eastAsia="en-AU"/>
        </w:rPr>
      </w:pPr>
    </w:p>
    <w:p w14:paraId="47CF5941" w14:textId="77777777" w:rsidR="00A3397F" w:rsidRPr="001B387F" w:rsidRDefault="00A3397F" w:rsidP="00255B33">
      <w:pPr>
        <w:spacing w:after="0" w:line="240" w:lineRule="auto"/>
        <w:rPr>
          <w:b/>
          <w:bCs/>
          <w:sz w:val="24"/>
          <w:szCs w:val="24"/>
        </w:rPr>
        <w:sectPr w:rsidR="00A3397F" w:rsidRPr="001B387F" w:rsidSect="00704477">
          <w:headerReference w:type="default" r:id="rId15"/>
          <w:footerReference w:type="default" r:id="rId16"/>
          <w:endnotePr>
            <w:numFmt w:val="decimal"/>
          </w:endnotePr>
          <w:pgSz w:w="16838" w:h="11906" w:orient="landscape" w:code="9"/>
          <w:pgMar w:top="851" w:right="851" w:bottom="1276" w:left="851" w:header="907" w:footer="567" w:gutter="0"/>
          <w:cols w:space="708"/>
          <w:noEndnote/>
          <w:docGrid w:linePitch="360"/>
        </w:sectPr>
      </w:pPr>
    </w:p>
    <w:p w14:paraId="5492C93C" w14:textId="7F14E888" w:rsidR="00722328" w:rsidRPr="001B387F" w:rsidRDefault="00722328" w:rsidP="00DF2E3B">
      <w:pPr>
        <w:pStyle w:val="H2-Heading2"/>
        <w:rPr>
          <w:rFonts w:ascii="Calibri Light" w:hAnsi="Calibri Light" w:cs="Calibri"/>
          <w:b w:val="0"/>
          <w:bCs w:val="0"/>
          <w:sz w:val="24"/>
          <w:szCs w:val="24"/>
        </w:rPr>
      </w:pPr>
      <w:r w:rsidRPr="001B387F">
        <w:rPr>
          <w:rFonts w:eastAsia="Yu Gothic Light"/>
        </w:rPr>
        <w:lastRenderedPageBreak/>
        <w:t>Annex 1: Supporting investments/activities</w:t>
      </w:r>
      <w:r w:rsidR="000A726A" w:rsidRPr="001B387F">
        <w:rPr>
          <w:rFonts w:eastAsia="Yu Gothic Light"/>
        </w:rPr>
        <w:t xml:space="preserve"> in </w:t>
      </w:r>
      <w:proofErr w:type="gramStart"/>
      <w:r w:rsidR="000A726A" w:rsidRPr="001B387F">
        <w:rPr>
          <w:rFonts w:eastAsia="Yu Gothic Light"/>
        </w:rPr>
        <w:t>Vietnam</w:t>
      </w:r>
      <w:proofErr w:type="gramEnd"/>
    </w:p>
    <w:p w14:paraId="4416E67E" w14:textId="5ED1DA6C" w:rsidR="00FC6A61" w:rsidRPr="001B387F" w:rsidRDefault="00797D55" w:rsidP="003C4084">
      <w:pPr>
        <w:rPr>
          <w:rFonts w:cs="Calibri"/>
          <w:b/>
          <w:bCs/>
          <w:sz w:val="24"/>
          <w:szCs w:val="24"/>
        </w:rPr>
      </w:pPr>
      <w:r w:rsidRPr="001B387F">
        <w:rPr>
          <w:lang w:eastAsia="en-AU"/>
        </w:rPr>
        <w:t>Australian Government supporting investments/activities for Objective 1 (</w:t>
      </w:r>
      <w:r w:rsidRPr="001B387F">
        <w:rPr>
          <w:rFonts w:eastAsia="Calibri Light"/>
        </w:rPr>
        <w:t xml:space="preserve">bilateral </w:t>
      </w:r>
      <w:r w:rsidRPr="001B387F">
        <w:rPr>
          <w:lang w:eastAsia="en-AU"/>
        </w:rPr>
        <w:t xml:space="preserve">Official Development Assistance (ODA) as well as significant regional and global ODA, and significant </w:t>
      </w:r>
      <w:proofErr w:type="spellStart"/>
      <w:r w:rsidRPr="001B387F">
        <w:rPr>
          <w:lang w:eastAsia="en-AU"/>
        </w:rPr>
        <w:t>non-ODA</w:t>
      </w:r>
      <w:proofErr w:type="spellEnd"/>
      <w:r w:rsidRPr="001B387F">
        <w:rPr>
          <w:lang w:eastAsia="en-AU"/>
        </w:rPr>
        <w:t xml:space="preserve"> development investments/activities)</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
      </w:tblPr>
      <w:tblGrid>
        <w:gridCol w:w="4105"/>
        <w:gridCol w:w="2693"/>
        <w:gridCol w:w="3396"/>
      </w:tblGrid>
      <w:tr w:rsidR="00722328" w:rsidRPr="001B387F" w14:paraId="4AE1978F" w14:textId="77777777" w:rsidTr="003B77A3">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1E3ED286" w14:textId="67158B4E" w:rsidR="00722328" w:rsidRPr="001B387F" w:rsidRDefault="00722328" w:rsidP="007617F4">
            <w:pPr>
              <w:pStyle w:val="TableHeading"/>
              <w:rPr>
                <w:b w:val="0"/>
                <w:bCs/>
              </w:rPr>
            </w:pPr>
            <w:r w:rsidRPr="001B387F">
              <w:rPr>
                <w:bCs/>
              </w:rPr>
              <w:t>Name of investment</w:t>
            </w:r>
            <w:r w:rsidR="003F4BE0" w:rsidRPr="001B387F">
              <w:rPr>
                <w:bCs/>
              </w:rPr>
              <w:t>/activity</w:t>
            </w:r>
          </w:p>
        </w:tc>
        <w:tc>
          <w:tcPr>
            <w:tcW w:w="2693" w:type="dxa"/>
            <w:shd w:val="clear" w:color="auto" w:fill="3A586E"/>
          </w:tcPr>
          <w:p w14:paraId="6B1F1C58" w14:textId="77777777" w:rsidR="00722328" w:rsidRPr="001B387F" w:rsidRDefault="00722328" w:rsidP="007617F4">
            <w:pPr>
              <w:pStyle w:val="TableHeading"/>
              <w:cnfStyle w:val="100000000000" w:firstRow="1" w:lastRow="0" w:firstColumn="0" w:lastColumn="0" w:oddVBand="0" w:evenVBand="0" w:oddHBand="0" w:evenHBand="0" w:firstRowFirstColumn="0" w:firstRowLastColumn="0" w:lastRowFirstColumn="0" w:lastRowLastColumn="0"/>
              <w:rPr>
                <w:b w:val="0"/>
                <w:bCs/>
              </w:rPr>
            </w:pPr>
            <w:r w:rsidRPr="001B387F">
              <w:rPr>
                <w:bCs/>
              </w:rPr>
              <w:t>Duration</w:t>
            </w:r>
          </w:p>
        </w:tc>
        <w:tc>
          <w:tcPr>
            <w:tcW w:w="3396" w:type="dxa"/>
            <w:shd w:val="clear" w:color="auto" w:fill="3A586E"/>
          </w:tcPr>
          <w:p w14:paraId="238F489E" w14:textId="77777777" w:rsidR="00722328" w:rsidRPr="001B387F" w:rsidRDefault="00722328" w:rsidP="007617F4">
            <w:pPr>
              <w:pStyle w:val="TableHeading"/>
              <w:cnfStyle w:val="100000000000" w:firstRow="1" w:lastRow="0" w:firstColumn="0" w:lastColumn="0" w:oddVBand="0" w:evenVBand="0" w:oddHBand="0" w:evenHBand="0" w:firstRowFirstColumn="0" w:firstRowLastColumn="0" w:lastRowFirstColumn="0" w:lastRowLastColumn="0"/>
              <w:rPr>
                <w:b w:val="0"/>
                <w:bCs/>
              </w:rPr>
            </w:pPr>
            <w:r w:rsidRPr="001B387F">
              <w:rPr>
                <w:bCs/>
              </w:rPr>
              <w:t>Key partners</w:t>
            </w:r>
          </w:p>
        </w:tc>
      </w:tr>
      <w:tr w:rsidR="00DE1C81" w:rsidRPr="001B387F" w14:paraId="2737660B" w14:textId="77777777" w:rsidTr="009E4FFD">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FFF7752" w14:textId="2A87D141" w:rsidR="00722328" w:rsidRPr="001B387F" w:rsidRDefault="00722328" w:rsidP="003F4BE0">
            <w:pPr>
              <w:pStyle w:val="TableBodyCopy"/>
            </w:pPr>
            <w:r w:rsidRPr="001B387F">
              <w:t>Aus4Growth</w:t>
            </w:r>
          </w:p>
        </w:tc>
        <w:tc>
          <w:tcPr>
            <w:tcW w:w="2693" w:type="dxa"/>
            <w:shd w:val="clear" w:color="auto" w:fill="D2DEE7"/>
          </w:tcPr>
          <w:p w14:paraId="56914FB7" w14:textId="1DA9E3F5"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2024</w:t>
            </w:r>
            <w:r w:rsidR="009E3323" w:rsidRPr="001B387F">
              <w:t>–20</w:t>
            </w:r>
            <w:r w:rsidRPr="001B387F">
              <w:t>31</w:t>
            </w:r>
          </w:p>
        </w:tc>
        <w:tc>
          <w:tcPr>
            <w:tcW w:w="3396" w:type="dxa"/>
            <w:shd w:val="clear" w:color="auto" w:fill="F2F2F2"/>
          </w:tcPr>
          <w:p w14:paraId="1FAC11E6" w14:textId="37737FF5"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Ministry of Planning and Investment </w:t>
            </w:r>
            <w:r w:rsidR="003D7C93" w:rsidRPr="001B387F">
              <w:t>(MPI)</w:t>
            </w:r>
            <w:r w:rsidR="00A565C5" w:rsidRPr="001B387F">
              <w:t>;</w:t>
            </w:r>
            <w:r w:rsidR="003D7C93" w:rsidRPr="001B387F">
              <w:t xml:space="preserve"> </w:t>
            </w:r>
            <w:r w:rsidRPr="001B387F">
              <w:t xml:space="preserve">other </w:t>
            </w:r>
            <w:r w:rsidR="005101BC" w:rsidRPr="001B387F">
              <w:t>Government of Vietnam</w:t>
            </w:r>
            <w:r w:rsidR="00E67EAA" w:rsidRPr="001B387F">
              <w:t xml:space="preserve"> </w:t>
            </w:r>
            <w:r w:rsidRPr="001B387F">
              <w:t>ministries (</w:t>
            </w:r>
            <w:r w:rsidR="008E0F6E" w:rsidRPr="001B387F">
              <w:t>to be confirmed (</w:t>
            </w:r>
            <w:r w:rsidRPr="001B387F">
              <w:t>TBC</w:t>
            </w:r>
            <w:r w:rsidR="008E0F6E" w:rsidRPr="001B387F">
              <w:t>)</w:t>
            </w:r>
            <w:r w:rsidRPr="001B387F">
              <w:t>)</w:t>
            </w:r>
          </w:p>
        </w:tc>
      </w:tr>
      <w:tr w:rsidR="00DE1C81" w:rsidRPr="001B387F" w14:paraId="7C117DE8" w14:textId="77777777" w:rsidTr="009E4FFD">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5FADECB5" w14:textId="00A2A5B4" w:rsidR="00722328" w:rsidRPr="001B387F" w:rsidRDefault="00722328" w:rsidP="003F4BE0">
            <w:pPr>
              <w:pStyle w:val="TableBodyCopy"/>
            </w:pPr>
            <w:r w:rsidRPr="001B387F">
              <w:t>Aus4Innovation</w:t>
            </w:r>
          </w:p>
        </w:tc>
        <w:tc>
          <w:tcPr>
            <w:tcW w:w="2693" w:type="dxa"/>
            <w:shd w:val="clear" w:color="auto" w:fill="D2DEE7"/>
          </w:tcPr>
          <w:p w14:paraId="2E5EC9AD" w14:textId="0C1DDBE7"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2018</w:t>
            </w:r>
            <w:r w:rsidR="009E3323" w:rsidRPr="001B387F">
              <w:t>–20</w:t>
            </w:r>
            <w:r w:rsidRPr="001B387F">
              <w:t>28</w:t>
            </w:r>
          </w:p>
        </w:tc>
        <w:tc>
          <w:tcPr>
            <w:tcW w:w="3396" w:type="dxa"/>
            <w:shd w:val="clear" w:color="auto" w:fill="F2F2F2"/>
          </w:tcPr>
          <w:p w14:paraId="106133EB" w14:textId="37E9C5D4" w:rsidR="00722328" w:rsidRPr="001B387F" w:rsidRDefault="00E67EAA" w:rsidP="003F4BE0">
            <w:pPr>
              <w:pStyle w:val="TableBodyCopy"/>
              <w:cnfStyle w:val="000000000000" w:firstRow="0" w:lastRow="0" w:firstColumn="0" w:lastColumn="0" w:oddVBand="0" w:evenVBand="0" w:oddHBand="0" w:evenHBand="0" w:firstRowFirstColumn="0" w:firstRowLastColumn="0" w:lastRowFirstColumn="0" w:lastRowLastColumn="0"/>
            </w:pPr>
            <w:r w:rsidRPr="001B387F">
              <w:t>The Commonwealth Scientific and Industrial Research Organisation</w:t>
            </w:r>
            <w:r w:rsidR="005B5130" w:rsidRPr="001B387F">
              <w:t>;</w:t>
            </w:r>
            <w:r w:rsidR="00722328" w:rsidRPr="001B387F">
              <w:t xml:space="preserve"> Ministry of Science and Technology; Ministry of Agriculture and Rural Development (MARD)</w:t>
            </w:r>
          </w:p>
        </w:tc>
      </w:tr>
      <w:tr w:rsidR="00DE1C81" w:rsidRPr="001B387F" w14:paraId="086E6C29" w14:textId="77777777" w:rsidTr="009E4F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6182EAF" w14:textId="7644CD82" w:rsidR="00722328" w:rsidRPr="001B387F" w:rsidRDefault="00722328" w:rsidP="003F4BE0">
            <w:pPr>
              <w:pStyle w:val="TableBodyCopy"/>
            </w:pPr>
            <w:r w:rsidRPr="001B387F">
              <w:t>Australia</w:t>
            </w:r>
            <w:r w:rsidR="00591059" w:rsidRPr="001B387F">
              <w:t>–</w:t>
            </w:r>
            <w:r w:rsidRPr="001B387F">
              <w:t xml:space="preserve">World Bank </w:t>
            </w:r>
            <w:r w:rsidR="00591059" w:rsidRPr="001B387F">
              <w:t xml:space="preserve">Strategic </w:t>
            </w:r>
            <w:r w:rsidRPr="001B387F">
              <w:t>Partnership Phase</w:t>
            </w:r>
            <w:r w:rsidR="00AF14A2" w:rsidRPr="001B387F">
              <w:t> </w:t>
            </w:r>
            <w:r w:rsidRPr="001B387F">
              <w:t xml:space="preserve">2 </w:t>
            </w:r>
          </w:p>
        </w:tc>
        <w:tc>
          <w:tcPr>
            <w:tcW w:w="2693" w:type="dxa"/>
            <w:shd w:val="clear" w:color="auto" w:fill="D2DEE7"/>
          </w:tcPr>
          <w:p w14:paraId="28C3BDBA" w14:textId="6A37D801"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2017</w:t>
            </w:r>
            <w:r w:rsidR="009E3323" w:rsidRPr="001B387F">
              <w:t>–20</w:t>
            </w:r>
            <w:r w:rsidRPr="001B387F">
              <w:t>26</w:t>
            </w:r>
          </w:p>
        </w:tc>
        <w:tc>
          <w:tcPr>
            <w:tcW w:w="3396" w:type="dxa"/>
            <w:shd w:val="clear" w:color="auto" w:fill="F2F2F2"/>
          </w:tcPr>
          <w:p w14:paraId="78524D5A" w14:textId="1F576CE0"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World Bank</w:t>
            </w:r>
          </w:p>
        </w:tc>
      </w:tr>
      <w:tr w:rsidR="00DE1C81" w:rsidRPr="001B387F" w14:paraId="59510BC7" w14:textId="77777777" w:rsidTr="009E4FFD">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F381B1E" w14:textId="77F884AB" w:rsidR="00722328" w:rsidRPr="001B387F" w:rsidRDefault="00722328" w:rsidP="003F4BE0">
            <w:pPr>
              <w:pStyle w:val="TableBodyCopy"/>
            </w:pPr>
            <w:r w:rsidRPr="001B387F">
              <w:t xml:space="preserve">Vietnam Private Sector Development Partnership </w:t>
            </w:r>
          </w:p>
        </w:tc>
        <w:tc>
          <w:tcPr>
            <w:tcW w:w="2693" w:type="dxa"/>
            <w:shd w:val="clear" w:color="auto" w:fill="D2DEE7"/>
          </w:tcPr>
          <w:p w14:paraId="7675068B" w14:textId="7E1F9ABB"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–20</w:t>
            </w:r>
            <w:r w:rsidRPr="001B387F">
              <w:t>27</w:t>
            </w:r>
          </w:p>
        </w:tc>
        <w:tc>
          <w:tcPr>
            <w:tcW w:w="3396" w:type="dxa"/>
            <w:shd w:val="clear" w:color="auto" w:fill="F2F2F2"/>
          </w:tcPr>
          <w:p w14:paraId="0288E8A1" w14:textId="12158372"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International Finance Corporation (IFC)</w:t>
            </w:r>
          </w:p>
        </w:tc>
      </w:tr>
      <w:tr w:rsidR="00DE1C81" w:rsidRPr="001B387F" w14:paraId="76E7C927" w14:textId="77777777" w:rsidTr="009E4F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53DC058" w14:textId="75AE23E7" w:rsidR="00722328" w:rsidRPr="001B387F" w:rsidRDefault="00722328" w:rsidP="003F4BE0">
            <w:pPr>
              <w:pStyle w:val="TableBodyCopy"/>
            </w:pPr>
            <w:r w:rsidRPr="001B387F">
              <w:t>Mekong</w:t>
            </w:r>
            <w:r w:rsidR="007A38BA" w:rsidRPr="001B387F">
              <w:t>–</w:t>
            </w:r>
            <w:r w:rsidRPr="001B387F">
              <w:t>Australia Partnership Phase</w:t>
            </w:r>
            <w:r w:rsidR="00AF14A2" w:rsidRPr="001B387F">
              <w:t> </w:t>
            </w:r>
            <w:r w:rsidRPr="001B387F">
              <w:t>2</w:t>
            </w:r>
          </w:p>
        </w:tc>
        <w:tc>
          <w:tcPr>
            <w:tcW w:w="2693" w:type="dxa"/>
            <w:shd w:val="clear" w:color="auto" w:fill="D2DEE7"/>
          </w:tcPr>
          <w:p w14:paraId="7D089B6C" w14:textId="358FAE92"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2024</w:t>
            </w:r>
            <w:r w:rsidR="009E3323" w:rsidRPr="001B387F">
              <w:t>–</w:t>
            </w:r>
            <w:r w:rsidRPr="001B387F">
              <w:t>2029</w:t>
            </w:r>
          </w:p>
        </w:tc>
        <w:tc>
          <w:tcPr>
            <w:tcW w:w="3396" w:type="dxa"/>
            <w:shd w:val="clear" w:color="auto" w:fill="F2F2F2"/>
          </w:tcPr>
          <w:p w14:paraId="4E3F8BEC" w14:textId="58643DC0"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Mekong River Commission (MRC)</w:t>
            </w:r>
            <w:r w:rsidR="0048172D" w:rsidRPr="001B387F">
              <w:t>;</w:t>
            </w:r>
            <w:r w:rsidRPr="001B387F">
              <w:t xml:space="preserve"> </w:t>
            </w:r>
            <w:proofErr w:type="spellStart"/>
            <w:r w:rsidRPr="001B387F">
              <w:t>Ayeyawady</w:t>
            </w:r>
            <w:proofErr w:type="spellEnd"/>
            <w:r w:rsidRPr="001B387F">
              <w:t>-Chao Phraya-Mekong Economic Cooperation Strategy (ACMECS)</w:t>
            </w:r>
            <w:r w:rsidR="00EC5098" w:rsidRPr="001B387F">
              <w:t>;</w:t>
            </w:r>
            <w:r w:rsidRPr="001B387F">
              <w:t xml:space="preserve"> </w:t>
            </w:r>
            <w:r w:rsidR="00453C2D" w:rsidRPr="002C57BC">
              <w:t>Australian Centre for International Agricultural Research (</w:t>
            </w:r>
            <w:r w:rsidR="00437CB2" w:rsidRPr="001B387F">
              <w:t>ACIAR</w:t>
            </w:r>
            <w:r w:rsidR="00453C2D" w:rsidRPr="001B387F">
              <w:t>)</w:t>
            </w:r>
            <w:r w:rsidR="0095083A" w:rsidRPr="001B387F">
              <w:t>;</w:t>
            </w:r>
            <w:r w:rsidRPr="001B387F">
              <w:t xml:space="preserve"> Asia Foundation</w:t>
            </w:r>
            <w:r w:rsidR="008C0C3E" w:rsidRPr="001B387F">
              <w:t>;</w:t>
            </w:r>
            <w:r w:rsidRPr="001B387F">
              <w:t xml:space="preserve"> World Bank</w:t>
            </w:r>
            <w:r w:rsidR="008C0C3E" w:rsidRPr="001B387F">
              <w:t>;</w:t>
            </w:r>
            <w:r w:rsidR="00D62116" w:rsidRPr="001B387F">
              <w:t xml:space="preserve"> other </w:t>
            </w:r>
            <w:r w:rsidR="008E0F6E" w:rsidRPr="001B387F">
              <w:t xml:space="preserve">partners </w:t>
            </w:r>
            <w:r w:rsidR="00D62116" w:rsidRPr="001B387F">
              <w:t>(TBC)</w:t>
            </w:r>
          </w:p>
        </w:tc>
      </w:tr>
      <w:tr w:rsidR="00DE1C81" w:rsidRPr="001B387F" w14:paraId="1A32F901" w14:textId="77777777" w:rsidTr="009E4FFD">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51CD701" w14:textId="3B61ADD0" w:rsidR="00722328" w:rsidRPr="001B387F" w:rsidRDefault="00722328" w:rsidP="003F4BE0">
            <w:pPr>
              <w:pStyle w:val="TableBodyCopy"/>
            </w:pPr>
            <w:r w:rsidRPr="001B387F">
              <w:t>Partnership</w:t>
            </w:r>
            <w:r w:rsidR="005F0689" w:rsidRPr="001B387F">
              <w:t>s</w:t>
            </w:r>
            <w:r w:rsidRPr="001B387F">
              <w:t xml:space="preserve"> for Infrastructure (P4I)</w:t>
            </w:r>
          </w:p>
        </w:tc>
        <w:tc>
          <w:tcPr>
            <w:tcW w:w="2693" w:type="dxa"/>
            <w:shd w:val="clear" w:color="auto" w:fill="D2DEE7"/>
          </w:tcPr>
          <w:p w14:paraId="2E710254" w14:textId="211CEE52"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2024</w:t>
            </w:r>
            <w:r w:rsidR="009E3323" w:rsidRPr="001B387F">
              <w:t>–</w:t>
            </w:r>
            <w:r w:rsidRPr="001B387F">
              <w:t>2028</w:t>
            </w:r>
          </w:p>
        </w:tc>
        <w:tc>
          <w:tcPr>
            <w:tcW w:w="3396" w:type="dxa"/>
            <w:shd w:val="clear" w:color="auto" w:fill="F2F2F2"/>
          </w:tcPr>
          <w:p w14:paraId="40731680" w14:textId="22EE74C6" w:rsidR="00722328" w:rsidRPr="001B387F" w:rsidRDefault="00453C2D" w:rsidP="003F4BE0">
            <w:pPr>
              <w:pStyle w:val="TableBodyCopy"/>
              <w:cnfStyle w:val="000000000000" w:firstRow="0" w:lastRow="0" w:firstColumn="0" w:lastColumn="0" w:oddVBand="0" w:evenVBand="0" w:oddHBand="0" w:evenHBand="0" w:firstRowFirstColumn="0" w:firstRowLastColumn="0" w:lastRowFirstColumn="0" w:lastRowLastColumn="0"/>
            </w:pPr>
            <w:r w:rsidRPr="001B387F">
              <w:rPr>
                <w:lang w:eastAsia="en-AU"/>
              </w:rPr>
              <w:t>Association of Southeast Asian Nations (</w:t>
            </w:r>
            <w:r w:rsidR="00722328" w:rsidRPr="001B387F">
              <w:t>ASEAN</w:t>
            </w:r>
            <w:r w:rsidRPr="001B387F">
              <w:t>)</w:t>
            </w:r>
            <w:r w:rsidR="00C97A9A" w:rsidRPr="001B387F">
              <w:t>;</w:t>
            </w:r>
            <w:r w:rsidR="00722328" w:rsidRPr="001B387F">
              <w:t xml:space="preserve"> Cambodia</w:t>
            </w:r>
            <w:r w:rsidR="00C97A9A" w:rsidRPr="001B387F">
              <w:t>;</w:t>
            </w:r>
            <w:r w:rsidR="00722328" w:rsidRPr="001B387F">
              <w:t xml:space="preserve"> Indonesia</w:t>
            </w:r>
            <w:r w:rsidR="00C97A9A" w:rsidRPr="001B387F">
              <w:t>;</w:t>
            </w:r>
            <w:r w:rsidR="00722328" w:rsidRPr="001B387F">
              <w:t xml:space="preserve"> Laos</w:t>
            </w:r>
            <w:r w:rsidR="00C97A9A" w:rsidRPr="001B387F">
              <w:t>;</w:t>
            </w:r>
            <w:r w:rsidR="00722328" w:rsidRPr="001B387F">
              <w:t xml:space="preserve"> Malaysia</w:t>
            </w:r>
            <w:r w:rsidR="00C97A9A" w:rsidRPr="001B387F">
              <w:t>;</w:t>
            </w:r>
            <w:r w:rsidR="00722328" w:rsidRPr="001B387F">
              <w:t xml:space="preserve"> the Philippines</w:t>
            </w:r>
            <w:r w:rsidR="00C97A9A" w:rsidRPr="001B387F">
              <w:t>;</w:t>
            </w:r>
            <w:r w:rsidR="00722328" w:rsidRPr="001B387F">
              <w:t xml:space="preserve"> Thailand</w:t>
            </w:r>
            <w:r w:rsidR="00C97A9A" w:rsidRPr="001B387F">
              <w:t>;</w:t>
            </w:r>
            <w:r w:rsidR="00722328" w:rsidRPr="001B387F">
              <w:t xml:space="preserve"> Timor-Leste</w:t>
            </w:r>
            <w:r w:rsidR="00C97A9A" w:rsidRPr="001B387F">
              <w:t>;</w:t>
            </w:r>
            <w:r w:rsidR="00722328" w:rsidRPr="001B387F">
              <w:t xml:space="preserve"> Vietnam</w:t>
            </w:r>
          </w:p>
        </w:tc>
      </w:tr>
      <w:tr w:rsidR="00DE1C81" w:rsidRPr="001B387F" w14:paraId="0E13BD0C" w14:textId="77777777" w:rsidTr="009E4FF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087604C" w14:textId="0A8811BC" w:rsidR="00722328" w:rsidRPr="001B387F" w:rsidRDefault="00722328" w:rsidP="003F4BE0">
            <w:pPr>
              <w:pStyle w:val="TableBodyCopy"/>
            </w:pPr>
            <w:r w:rsidRPr="001B387F">
              <w:t>Southeast Asia and Australia Government</w:t>
            </w:r>
            <w:r w:rsidR="006E3C11" w:rsidRPr="001B387F">
              <w:t>-</w:t>
            </w:r>
            <w:r w:rsidRPr="001B387F">
              <w:t>to</w:t>
            </w:r>
            <w:r w:rsidR="006E3C11" w:rsidRPr="001B387F">
              <w:t>-</w:t>
            </w:r>
            <w:r w:rsidRPr="001B387F">
              <w:t xml:space="preserve">Government </w:t>
            </w:r>
            <w:r w:rsidR="00AE5B13" w:rsidRPr="001B387F">
              <w:t xml:space="preserve">Partnerships </w:t>
            </w:r>
            <w:r w:rsidR="008F0645" w:rsidRPr="001B387F">
              <w:t xml:space="preserve">program </w:t>
            </w:r>
            <w:r w:rsidRPr="001B387F">
              <w:t>(</w:t>
            </w:r>
            <w:r w:rsidR="004A2BF9" w:rsidRPr="001B387F">
              <w:t>SEA</w:t>
            </w:r>
            <w:r w:rsidRPr="001B387F">
              <w:t>G2G)</w:t>
            </w:r>
          </w:p>
        </w:tc>
        <w:tc>
          <w:tcPr>
            <w:tcW w:w="2693" w:type="dxa"/>
            <w:shd w:val="clear" w:color="auto" w:fill="D2DEE7"/>
          </w:tcPr>
          <w:p w14:paraId="548621A5" w14:textId="6A74BFD4"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w:t>
            </w:r>
            <w:r w:rsidRPr="001B387F">
              <w:t>2028</w:t>
            </w:r>
          </w:p>
        </w:tc>
        <w:tc>
          <w:tcPr>
            <w:tcW w:w="3396" w:type="dxa"/>
            <w:shd w:val="clear" w:color="auto" w:fill="F2F2F2"/>
          </w:tcPr>
          <w:p w14:paraId="38C58F35" w14:textId="016B2578" w:rsidR="00722328" w:rsidRPr="001B387F" w:rsidRDefault="00D07664" w:rsidP="003F4BE0">
            <w:pPr>
              <w:pStyle w:val="TableBodyCopy"/>
              <w:cnfStyle w:val="000000100000" w:firstRow="0" w:lastRow="0" w:firstColumn="0" w:lastColumn="0" w:oddVBand="0" w:evenVBand="0" w:oddHBand="1" w:evenHBand="0" w:firstRowFirstColumn="0" w:firstRowLastColumn="0" w:lastRowFirstColumn="0" w:lastRowLastColumn="0"/>
            </w:pPr>
            <w:r w:rsidRPr="001B387F">
              <w:t>ASEAN</w:t>
            </w:r>
            <w:r w:rsidR="00C97A9A" w:rsidRPr="001B387F">
              <w:t>;</w:t>
            </w:r>
            <w:r w:rsidR="0013072B" w:rsidRPr="001B387F">
              <w:t xml:space="preserve"> </w:t>
            </w:r>
            <w:r w:rsidR="00722328" w:rsidRPr="001B387F">
              <w:t>Cambodia</w:t>
            </w:r>
            <w:r w:rsidR="00C97A9A" w:rsidRPr="001B387F">
              <w:t>;</w:t>
            </w:r>
            <w:r w:rsidR="00722328" w:rsidRPr="001B387F">
              <w:t xml:space="preserve"> Indonesia</w:t>
            </w:r>
            <w:r w:rsidR="00C97A9A" w:rsidRPr="001B387F">
              <w:t>;</w:t>
            </w:r>
            <w:r w:rsidR="00722328" w:rsidRPr="001B387F">
              <w:t xml:space="preserve"> Laos</w:t>
            </w:r>
            <w:r w:rsidR="00C97A9A" w:rsidRPr="001B387F">
              <w:t>;</w:t>
            </w:r>
            <w:r w:rsidR="00722328" w:rsidRPr="001B387F">
              <w:t xml:space="preserve"> Malaysia</w:t>
            </w:r>
            <w:r w:rsidR="00C97A9A" w:rsidRPr="001B387F">
              <w:t>;</w:t>
            </w:r>
            <w:r w:rsidR="00722328" w:rsidRPr="001B387F">
              <w:t xml:space="preserve"> the Philippines</w:t>
            </w:r>
            <w:r w:rsidR="00C97A9A" w:rsidRPr="001B387F">
              <w:t>;</w:t>
            </w:r>
            <w:r w:rsidR="00722328" w:rsidRPr="001B387F">
              <w:t xml:space="preserve"> Thailand</w:t>
            </w:r>
            <w:r w:rsidR="00C97A9A" w:rsidRPr="001B387F">
              <w:t>;</w:t>
            </w:r>
            <w:r w:rsidR="00722328" w:rsidRPr="001B387F">
              <w:t xml:space="preserve"> Timor-Leste</w:t>
            </w:r>
            <w:r w:rsidR="00C97A9A" w:rsidRPr="001B387F">
              <w:t>;</w:t>
            </w:r>
            <w:r w:rsidR="00722328" w:rsidRPr="001B387F">
              <w:t xml:space="preserve"> Vietnam</w:t>
            </w:r>
          </w:p>
        </w:tc>
      </w:tr>
      <w:tr w:rsidR="00DE1C81" w:rsidRPr="001B387F" w14:paraId="42226120" w14:textId="77777777" w:rsidTr="009E4FFD">
        <w:trPr>
          <w:trHeight w:val="282"/>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6483234" w14:textId="57D38ADD" w:rsidR="00722328" w:rsidRPr="001B387F" w:rsidRDefault="00722328" w:rsidP="003F4BE0">
            <w:pPr>
              <w:pStyle w:val="TableBodyCopy"/>
            </w:pPr>
            <w:r w:rsidRPr="001B387F">
              <w:t>Regional Trade for Development (RT4D)</w:t>
            </w:r>
            <w:r w:rsidR="00F3374B" w:rsidRPr="001B387F">
              <w:t xml:space="preserve"> initiative</w:t>
            </w:r>
          </w:p>
        </w:tc>
        <w:tc>
          <w:tcPr>
            <w:tcW w:w="2693" w:type="dxa"/>
            <w:shd w:val="clear" w:color="auto" w:fill="D2DEE7"/>
          </w:tcPr>
          <w:p w14:paraId="3ABABB40" w14:textId="34B75A92"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w:t>
            </w:r>
            <w:r w:rsidRPr="001B387F">
              <w:t>2028</w:t>
            </w:r>
          </w:p>
        </w:tc>
        <w:tc>
          <w:tcPr>
            <w:tcW w:w="3396" w:type="dxa"/>
            <w:shd w:val="clear" w:color="auto" w:fill="F2F2F2"/>
          </w:tcPr>
          <w:p w14:paraId="28AE4F3B" w14:textId="66E561DF"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ASEAN </w:t>
            </w:r>
            <w:r w:rsidR="007617F4" w:rsidRPr="001B387F">
              <w:t>M</w:t>
            </w:r>
            <w:r w:rsidRPr="001B387F">
              <w:t xml:space="preserve">ember </w:t>
            </w:r>
            <w:r w:rsidR="007617F4" w:rsidRPr="001B387F">
              <w:t>S</w:t>
            </w:r>
            <w:r w:rsidRPr="001B387F">
              <w:t>tates; ASEAN Secretariat</w:t>
            </w:r>
          </w:p>
        </w:tc>
      </w:tr>
      <w:tr w:rsidR="00DE1C81" w:rsidRPr="001B387F" w14:paraId="1A1D005A" w14:textId="77777777" w:rsidTr="009E4F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BF4E889" w14:textId="4891D705" w:rsidR="00722328" w:rsidRPr="001B387F" w:rsidRDefault="00722328" w:rsidP="003F4BE0">
            <w:pPr>
              <w:pStyle w:val="TableBodyCopy"/>
            </w:pPr>
            <w:r w:rsidRPr="001B387F">
              <w:t xml:space="preserve">Australia–Vietnam Energy Transition </w:t>
            </w:r>
            <w:r w:rsidR="00D62C83" w:rsidRPr="001B387F">
              <w:t>P</w:t>
            </w:r>
            <w:r w:rsidRPr="001B387F">
              <w:t>latform (AVETP)</w:t>
            </w:r>
          </w:p>
        </w:tc>
        <w:tc>
          <w:tcPr>
            <w:tcW w:w="2693" w:type="dxa"/>
            <w:shd w:val="clear" w:color="auto" w:fill="D2DEE7"/>
          </w:tcPr>
          <w:p w14:paraId="3D89966D" w14:textId="2B5E2D28"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w:t>
            </w:r>
            <w:r w:rsidRPr="001B387F">
              <w:t>2027</w:t>
            </w:r>
          </w:p>
        </w:tc>
        <w:tc>
          <w:tcPr>
            <w:tcW w:w="3396" w:type="dxa"/>
            <w:shd w:val="clear" w:color="auto" w:fill="F2F2F2"/>
          </w:tcPr>
          <w:p w14:paraId="625CB873" w14:textId="1DF2BF13"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Private sector</w:t>
            </w:r>
            <w:r w:rsidR="00A6162A" w:rsidRPr="001B387F">
              <w:t>;</w:t>
            </w:r>
            <w:r w:rsidRPr="001B387F">
              <w:t xml:space="preserve"> </w:t>
            </w:r>
            <w:r w:rsidR="000E032C" w:rsidRPr="001B387F">
              <w:t>Government of V</w:t>
            </w:r>
            <w:r w:rsidR="00D62116" w:rsidRPr="001B387F">
              <w:t>i</w:t>
            </w:r>
            <w:r w:rsidR="000E032C" w:rsidRPr="001B387F">
              <w:t>etnam</w:t>
            </w:r>
          </w:p>
        </w:tc>
      </w:tr>
      <w:tr w:rsidR="00DE1C81" w:rsidRPr="001B387F" w14:paraId="615F30F0" w14:textId="77777777" w:rsidTr="009E4FFD">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5A337BD" w14:textId="6D379CB5" w:rsidR="00722328" w:rsidRPr="001B387F" w:rsidRDefault="00722328" w:rsidP="003F4BE0">
            <w:pPr>
              <w:pStyle w:val="TableBodyCopy"/>
            </w:pPr>
            <w:r w:rsidRPr="001B387F">
              <w:t>Australian Development Investment</w:t>
            </w:r>
            <w:r w:rsidR="00D144D1" w:rsidRPr="001B387F">
              <w:t>s</w:t>
            </w:r>
            <w:r w:rsidRPr="001B387F">
              <w:t xml:space="preserve"> (ADI)</w:t>
            </w:r>
          </w:p>
        </w:tc>
        <w:tc>
          <w:tcPr>
            <w:tcW w:w="2693" w:type="dxa"/>
            <w:shd w:val="clear" w:color="auto" w:fill="D2DEE7"/>
          </w:tcPr>
          <w:p w14:paraId="419E2C98" w14:textId="0B35210C"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2023</w:t>
            </w:r>
            <w:r w:rsidR="009E3323" w:rsidRPr="001B387F">
              <w:t>–</w:t>
            </w:r>
            <w:r w:rsidRPr="001B387F">
              <w:t>2028</w:t>
            </w:r>
          </w:p>
        </w:tc>
        <w:tc>
          <w:tcPr>
            <w:tcW w:w="3396" w:type="dxa"/>
            <w:shd w:val="clear" w:color="auto" w:fill="F2F2F2"/>
          </w:tcPr>
          <w:p w14:paraId="6C21A260" w14:textId="356DCB72"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Cambodia</w:t>
            </w:r>
            <w:r w:rsidR="000C5BF0" w:rsidRPr="001B387F">
              <w:t>;</w:t>
            </w:r>
            <w:r w:rsidRPr="001B387F">
              <w:t xml:space="preserve"> Indonesia</w:t>
            </w:r>
            <w:r w:rsidR="000C5BF0" w:rsidRPr="001B387F">
              <w:t>;</w:t>
            </w:r>
            <w:r w:rsidRPr="001B387F">
              <w:t xml:space="preserve"> Laos</w:t>
            </w:r>
            <w:r w:rsidR="000C5BF0" w:rsidRPr="001B387F">
              <w:t>;</w:t>
            </w:r>
            <w:r w:rsidRPr="001B387F">
              <w:t xml:space="preserve"> Malaysia</w:t>
            </w:r>
            <w:r w:rsidR="000C5BF0" w:rsidRPr="001B387F">
              <w:t>;</w:t>
            </w:r>
            <w:r w:rsidRPr="001B387F">
              <w:t xml:space="preserve"> the Philippines</w:t>
            </w:r>
            <w:r w:rsidR="000C5BF0" w:rsidRPr="001B387F">
              <w:t>;</w:t>
            </w:r>
            <w:r w:rsidRPr="001B387F">
              <w:t xml:space="preserve"> Thailand</w:t>
            </w:r>
            <w:r w:rsidR="000C5BF0" w:rsidRPr="001B387F">
              <w:t>;</w:t>
            </w:r>
            <w:r w:rsidRPr="001B387F">
              <w:t xml:space="preserve"> Timor-Leste</w:t>
            </w:r>
            <w:r w:rsidR="000C5BF0" w:rsidRPr="001B387F">
              <w:t>;</w:t>
            </w:r>
            <w:r w:rsidRPr="001B387F">
              <w:t xml:space="preserve"> Vietnam</w:t>
            </w:r>
          </w:p>
        </w:tc>
      </w:tr>
      <w:tr w:rsidR="00DE1C81" w:rsidRPr="001B387F" w14:paraId="4EAC3E73" w14:textId="77777777" w:rsidTr="009E4FF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BE54EF7" w14:textId="5973341A" w:rsidR="00722328" w:rsidRPr="001B387F" w:rsidRDefault="00722328" w:rsidP="003F4BE0">
            <w:pPr>
              <w:pStyle w:val="TableBodyCopy"/>
            </w:pPr>
            <w:r w:rsidRPr="001B387F">
              <w:t xml:space="preserve">Agricultural </w:t>
            </w:r>
            <w:r w:rsidR="00D144D1" w:rsidRPr="001B387F">
              <w:t>r</w:t>
            </w:r>
            <w:r w:rsidRPr="001B387F">
              <w:t xml:space="preserve">esearch to improve </w:t>
            </w:r>
            <w:r w:rsidR="003112A0" w:rsidRPr="001B387F">
              <w:t xml:space="preserve">the </w:t>
            </w:r>
            <w:r w:rsidRPr="001B387F">
              <w:t xml:space="preserve">livelihood of farmers in the </w:t>
            </w:r>
            <w:r w:rsidR="00D144D1" w:rsidRPr="001B387F">
              <w:t>Southeast Asia</w:t>
            </w:r>
            <w:r w:rsidRPr="001B387F">
              <w:t xml:space="preserve"> region</w:t>
            </w:r>
          </w:p>
        </w:tc>
        <w:tc>
          <w:tcPr>
            <w:tcW w:w="2693" w:type="dxa"/>
            <w:shd w:val="clear" w:color="auto" w:fill="D2DEE7"/>
          </w:tcPr>
          <w:p w14:paraId="47132329" w14:textId="13913C67"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2018</w:t>
            </w:r>
            <w:r w:rsidR="009E3323" w:rsidRPr="001B387F">
              <w:t>–20</w:t>
            </w:r>
            <w:r w:rsidRPr="001B387F">
              <w:t>28</w:t>
            </w:r>
          </w:p>
        </w:tc>
        <w:tc>
          <w:tcPr>
            <w:tcW w:w="3396" w:type="dxa"/>
            <w:shd w:val="clear" w:color="auto" w:fill="F2F2F2"/>
          </w:tcPr>
          <w:p w14:paraId="4438B609" w14:textId="77777777"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ACIAR</w:t>
            </w:r>
          </w:p>
        </w:tc>
      </w:tr>
      <w:tr w:rsidR="00DE1C81" w:rsidRPr="001B387F" w14:paraId="0EB34FAE" w14:textId="77777777" w:rsidTr="009E4FFD">
        <w:trPr>
          <w:trHeight w:val="267"/>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0E4B10C" w14:textId="4E7E76A0" w:rsidR="00722328" w:rsidRPr="001B387F" w:rsidRDefault="00722328" w:rsidP="003F4BE0">
            <w:pPr>
              <w:pStyle w:val="TableBodyCopy"/>
            </w:pPr>
            <w:r w:rsidRPr="001B387F">
              <w:t xml:space="preserve">Agricultural research to improve </w:t>
            </w:r>
            <w:r w:rsidR="003112A0" w:rsidRPr="001B387F">
              <w:t xml:space="preserve">the </w:t>
            </w:r>
            <w:r w:rsidRPr="001B387F">
              <w:t>livelihood of farmers in Vietnam</w:t>
            </w:r>
          </w:p>
        </w:tc>
        <w:tc>
          <w:tcPr>
            <w:tcW w:w="2693" w:type="dxa"/>
            <w:shd w:val="clear" w:color="auto" w:fill="D2DEE7"/>
          </w:tcPr>
          <w:p w14:paraId="2068E916" w14:textId="4D53A1E3"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–20</w:t>
            </w:r>
            <w:r w:rsidRPr="001B387F">
              <w:t>27</w:t>
            </w:r>
          </w:p>
        </w:tc>
        <w:tc>
          <w:tcPr>
            <w:tcW w:w="3396" w:type="dxa"/>
            <w:shd w:val="clear" w:color="auto" w:fill="F2F2F2"/>
          </w:tcPr>
          <w:p w14:paraId="73C2AEA8" w14:textId="77777777" w:rsidR="00722328" w:rsidRPr="001B387F" w:rsidRDefault="00722328" w:rsidP="003F4BE0">
            <w:pPr>
              <w:pStyle w:val="TableBodyCopy"/>
              <w:cnfStyle w:val="000000000000" w:firstRow="0" w:lastRow="0" w:firstColumn="0" w:lastColumn="0" w:oddVBand="0" w:evenVBand="0" w:oddHBand="0" w:evenHBand="0" w:firstRowFirstColumn="0" w:firstRowLastColumn="0" w:lastRowFirstColumn="0" w:lastRowLastColumn="0"/>
            </w:pPr>
            <w:r w:rsidRPr="001B387F">
              <w:t>ACIAR</w:t>
            </w:r>
          </w:p>
        </w:tc>
      </w:tr>
      <w:tr w:rsidR="00DE1C81" w:rsidRPr="001B387F" w14:paraId="37D283C8" w14:textId="77777777" w:rsidTr="009E4F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0048860" w14:textId="33A29E7D" w:rsidR="00722328" w:rsidRPr="001B387F" w:rsidRDefault="00F03B91" w:rsidP="003F4BE0">
            <w:pPr>
              <w:pStyle w:val="TableBodyCopy"/>
            </w:pPr>
            <w:r w:rsidRPr="001B387F">
              <w:t xml:space="preserve">Southeast Asia Investment </w:t>
            </w:r>
            <w:r w:rsidR="00722328" w:rsidRPr="001B387F">
              <w:t>Deal Team</w:t>
            </w:r>
            <w:r w:rsidRPr="001B387F">
              <w:t>s</w:t>
            </w:r>
            <w:r w:rsidR="00722328" w:rsidRPr="001B387F">
              <w:t xml:space="preserve"> </w:t>
            </w:r>
            <w:r w:rsidR="00E024ED" w:rsidRPr="001B387F">
              <w:t>–</w:t>
            </w:r>
            <w:r w:rsidR="00722328" w:rsidRPr="001B387F">
              <w:t xml:space="preserve"> Southeast Asia Investment Financing Facility</w:t>
            </w:r>
          </w:p>
        </w:tc>
        <w:tc>
          <w:tcPr>
            <w:tcW w:w="2693" w:type="dxa"/>
            <w:shd w:val="clear" w:color="auto" w:fill="D2DEE7"/>
          </w:tcPr>
          <w:p w14:paraId="18F08D44" w14:textId="0FB8F9BB"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t>2022</w:t>
            </w:r>
            <w:r w:rsidR="009E3323" w:rsidRPr="001B387F">
              <w:t>–</w:t>
            </w:r>
            <w:r w:rsidRPr="001B387F">
              <w:t>2040</w:t>
            </w:r>
          </w:p>
        </w:tc>
        <w:tc>
          <w:tcPr>
            <w:tcW w:w="3396" w:type="dxa"/>
            <w:shd w:val="clear" w:color="auto" w:fill="F2F2F2"/>
          </w:tcPr>
          <w:p w14:paraId="5F681AA1" w14:textId="12836561" w:rsidR="00722328" w:rsidRPr="001B387F" w:rsidRDefault="00722328" w:rsidP="003F4BE0">
            <w:pPr>
              <w:pStyle w:val="TableBodyCopy"/>
              <w:cnfStyle w:val="000000100000" w:firstRow="0" w:lastRow="0" w:firstColumn="0" w:lastColumn="0" w:oddVBand="0" w:evenVBand="0" w:oddHBand="1" w:evenHBand="0" w:firstRowFirstColumn="0" w:firstRowLastColumn="0" w:lastRowFirstColumn="0" w:lastRowLastColumn="0"/>
            </w:pPr>
            <w:r w:rsidRPr="001B387F">
              <w:rPr>
                <w:rFonts w:eastAsia="Calibri Light"/>
              </w:rPr>
              <w:t>Gov</w:t>
            </w:r>
            <w:r w:rsidR="00A6162A" w:rsidRPr="001B387F">
              <w:rPr>
                <w:rFonts w:eastAsia="Calibri Light"/>
              </w:rPr>
              <w:t>ernment of Vietnam;</w:t>
            </w:r>
            <w:r w:rsidRPr="001B387F">
              <w:rPr>
                <w:rFonts w:eastAsia="Calibri Light"/>
              </w:rPr>
              <w:t xml:space="preserve"> </w:t>
            </w:r>
            <w:r w:rsidR="00A6162A" w:rsidRPr="001B387F">
              <w:rPr>
                <w:rFonts w:eastAsia="Calibri Light"/>
              </w:rPr>
              <w:t>m</w:t>
            </w:r>
            <w:r w:rsidRPr="001B387F">
              <w:rPr>
                <w:rFonts w:eastAsia="Calibri Light"/>
              </w:rPr>
              <w:t xml:space="preserve">ultilateral </w:t>
            </w:r>
            <w:r w:rsidR="00493979" w:rsidRPr="001B387F">
              <w:rPr>
                <w:rFonts w:eastAsia="Calibri Light"/>
              </w:rPr>
              <w:t xml:space="preserve">development </w:t>
            </w:r>
            <w:r w:rsidRPr="001B387F">
              <w:rPr>
                <w:rFonts w:eastAsia="Calibri Light"/>
              </w:rPr>
              <w:t>banks</w:t>
            </w:r>
            <w:r w:rsidR="00A6162A" w:rsidRPr="001B387F">
              <w:rPr>
                <w:rFonts w:eastAsia="Calibri Light"/>
              </w:rPr>
              <w:t>;</w:t>
            </w:r>
            <w:r w:rsidRPr="001B387F">
              <w:rPr>
                <w:rFonts w:eastAsia="Calibri Light"/>
              </w:rPr>
              <w:t xml:space="preserve"> </w:t>
            </w:r>
            <w:r w:rsidR="00437CB2" w:rsidRPr="001B387F">
              <w:rPr>
                <w:rFonts w:eastAsia="Calibri Light"/>
              </w:rPr>
              <w:t>d</w:t>
            </w:r>
            <w:r w:rsidRPr="001B387F">
              <w:rPr>
                <w:rFonts w:eastAsia="Calibri Light"/>
              </w:rPr>
              <w:t xml:space="preserve">evelopment </w:t>
            </w:r>
            <w:r w:rsidR="008B5DBF" w:rsidRPr="001B387F">
              <w:rPr>
                <w:rFonts w:eastAsia="Calibri Light"/>
              </w:rPr>
              <w:lastRenderedPageBreak/>
              <w:t>f</w:t>
            </w:r>
            <w:r w:rsidRPr="001B387F">
              <w:rPr>
                <w:rFonts w:eastAsia="Calibri Light"/>
              </w:rPr>
              <w:t xml:space="preserve">inance </w:t>
            </w:r>
            <w:r w:rsidR="008B5DBF" w:rsidRPr="001B387F">
              <w:rPr>
                <w:rFonts w:eastAsia="Calibri Light"/>
              </w:rPr>
              <w:t>i</w:t>
            </w:r>
            <w:r w:rsidRPr="001B387F">
              <w:rPr>
                <w:rFonts w:eastAsia="Calibri Light"/>
              </w:rPr>
              <w:t>nstitutions</w:t>
            </w:r>
            <w:r w:rsidR="00D62C83" w:rsidRPr="001B387F">
              <w:rPr>
                <w:rFonts w:eastAsia="Calibri Light"/>
              </w:rPr>
              <w:t>;</w:t>
            </w:r>
            <w:r w:rsidRPr="001B387F">
              <w:rPr>
                <w:rFonts w:eastAsia="Calibri Light"/>
              </w:rPr>
              <w:t xml:space="preserve"> </w:t>
            </w:r>
            <w:r w:rsidR="00D62C83" w:rsidRPr="001B387F">
              <w:rPr>
                <w:rFonts w:eastAsia="Calibri Light"/>
              </w:rPr>
              <w:t>p</w:t>
            </w:r>
            <w:r w:rsidRPr="001B387F">
              <w:rPr>
                <w:rFonts w:eastAsia="Calibri Light"/>
              </w:rPr>
              <w:t xml:space="preserve">rivate </w:t>
            </w:r>
            <w:r w:rsidR="00795F59" w:rsidRPr="001B387F">
              <w:rPr>
                <w:rFonts w:eastAsia="Calibri Light"/>
              </w:rPr>
              <w:t>s</w:t>
            </w:r>
            <w:r w:rsidRPr="001B387F">
              <w:rPr>
                <w:rFonts w:eastAsia="Calibri Light"/>
              </w:rPr>
              <w:t>ector</w:t>
            </w:r>
            <w:r w:rsidR="00D62C83" w:rsidRPr="001B387F">
              <w:rPr>
                <w:rFonts w:eastAsia="Calibri Light"/>
              </w:rPr>
              <w:t>;</w:t>
            </w:r>
            <w:r w:rsidRPr="001B387F">
              <w:rPr>
                <w:rFonts w:eastAsia="Calibri Light"/>
              </w:rPr>
              <w:t xml:space="preserve"> export credit agencies</w:t>
            </w:r>
          </w:p>
        </w:tc>
      </w:tr>
    </w:tbl>
    <w:p w14:paraId="6D262AB9" w14:textId="1A4E4B46" w:rsidR="00797D55" w:rsidRPr="001B387F" w:rsidRDefault="00797D55" w:rsidP="00565B78">
      <w:pPr>
        <w:keepNext/>
        <w:keepLines/>
        <w:widowControl w:val="0"/>
        <w:spacing w:before="360"/>
        <w:rPr>
          <w:rFonts w:cs="Calibri"/>
          <w:b/>
          <w:bCs/>
          <w:sz w:val="24"/>
          <w:szCs w:val="24"/>
        </w:rPr>
      </w:pPr>
      <w:r w:rsidRPr="001B387F">
        <w:rPr>
          <w:rFonts w:asciiTheme="majorHAnsi" w:hAnsiTheme="majorHAnsi"/>
          <w:lang w:eastAsia="en-AU"/>
        </w:rPr>
        <w:lastRenderedPageBreak/>
        <w:t xml:space="preserve">Australian Government supporting investments/activities for Objective 2 (bilateral Official Development Assistance (ODA) as well as significant regional and global ODA, and significant </w:t>
      </w:r>
      <w:proofErr w:type="spellStart"/>
      <w:r w:rsidRPr="001B387F">
        <w:rPr>
          <w:rFonts w:asciiTheme="majorHAnsi" w:hAnsiTheme="majorHAnsi"/>
          <w:lang w:eastAsia="en-AU"/>
        </w:rPr>
        <w:t>non-ODA</w:t>
      </w:r>
      <w:proofErr w:type="spellEnd"/>
      <w:r w:rsidRPr="001B387F">
        <w:rPr>
          <w:rFonts w:asciiTheme="majorHAnsi" w:hAnsiTheme="majorHAnsi"/>
          <w:lang w:eastAsia="en-AU"/>
        </w:rPr>
        <w:t xml:space="preserve"> development investments/activities)</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
      </w:tblPr>
      <w:tblGrid>
        <w:gridCol w:w="4105"/>
        <w:gridCol w:w="2693"/>
        <w:gridCol w:w="3396"/>
      </w:tblGrid>
      <w:tr w:rsidR="00722328" w:rsidRPr="001B387F" w14:paraId="4B66CCCB" w14:textId="77777777" w:rsidTr="008529E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137508B6" w14:textId="4C66D97F" w:rsidR="00722328" w:rsidRPr="001B387F" w:rsidRDefault="00722328" w:rsidP="008529EA">
            <w:pPr>
              <w:pStyle w:val="TableHeading"/>
              <w:rPr>
                <w:b w:val="0"/>
                <w:bCs/>
              </w:rPr>
            </w:pPr>
            <w:r w:rsidRPr="001B387F">
              <w:rPr>
                <w:bCs/>
              </w:rPr>
              <w:t>Name of investment</w:t>
            </w:r>
            <w:r w:rsidR="00C13AA5" w:rsidRPr="001B387F">
              <w:rPr>
                <w:bCs/>
              </w:rPr>
              <w:t>/activity</w:t>
            </w:r>
          </w:p>
        </w:tc>
        <w:tc>
          <w:tcPr>
            <w:tcW w:w="2693" w:type="dxa"/>
            <w:shd w:val="clear" w:color="auto" w:fill="3A586E"/>
          </w:tcPr>
          <w:p w14:paraId="0BDBDDC6" w14:textId="77777777" w:rsidR="00722328" w:rsidRPr="001B387F" w:rsidRDefault="00722328" w:rsidP="008529EA">
            <w:pPr>
              <w:pStyle w:val="TableHeading"/>
              <w:cnfStyle w:val="100000000000" w:firstRow="1" w:lastRow="0" w:firstColumn="0" w:lastColumn="0" w:oddVBand="0" w:evenVBand="0" w:oddHBand="0" w:evenHBand="0" w:firstRowFirstColumn="0" w:firstRowLastColumn="0" w:lastRowFirstColumn="0" w:lastRowLastColumn="0"/>
              <w:rPr>
                <w:b w:val="0"/>
                <w:bCs/>
              </w:rPr>
            </w:pPr>
            <w:r w:rsidRPr="001B387F">
              <w:rPr>
                <w:bCs/>
              </w:rPr>
              <w:t>Duration</w:t>
            </w:r>
          </w:p>
        </w:tc>
        <w:tc>
          <w:tcPr>
            <w:tcW w:w="3396" w:type="dxa"/>
            <w:shd w:val="clear" w:color="auto" w:fill="3A586E"/>
          </w:tcPr>
          <w:p w14:paraId="0CD7BC7D" w14:textId="77777777" w:rsidR="00722328" w:rsidRPr="001B387F" w:rsidRDefault="00722328" w:rsidP="008529EA">
            <w:pPr>
              <w:pStyle w:val="TableHeading"/>
              <w:cnfStyle w:val="100000000000" w:firstRow="1" w:lastRow="0" w:firstColumn="0" w:lastColumn="0" w:oddVBand="0" w:evenVBand="0" w:oddHBand="0" w:evenHBand="0" w:firstRowFirstColumn="0" w:firstRowLastColumn="0" w:lastRowFirstColumn="0" w:lastRowLastColumn="0"/>
              <w:rPr>
                <w:b w:val="0"/>
                <w:bCs/>
              </w:rPr>
            </w:pPr>
            <w:r w:rsidRPr="001B387F">
              <w:rPr>
                <w:bCs/>
              </w:rPr>
              <w:t>Key partners</w:t>
            </w:r>
          </w:p>
        </w:tc>
      </w:tr>
      <w:tr w:rsidR="00DE1C81" w:rsidRPr="001B387F" w14:paraId="5D7823CB" w14:textId="77777777" w:rsidTr="008529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390BBF9" w14:textId="1119F1C8" w:rsidR="00722328" w:rsidRPr="001B387F" w:rsidRDefault="00722328" w:rsidP="008529EA">
            <w:pPr>
              <w:pStyle w:val="TableBodyCopy"/>
            </w:pPr>
            <w:r w:rsidRPr="001B387F">
              <w:t>Aus4Skills</w:t>
            </w:r>
          </w:p>
        </w:tc>
        <w:tc>
          <w:tcPr>
            <w:tcW w:w="2693" w:type="dxa"/>
            <w:shd w:val="clear" w:color="auto" w:fill="D2DEE7"/>
          </w:tcPr>
          <w:p w14:paraId="52881A7E" w14:textId="5769F41C"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2016</w:t>
            </w:r>
            <w:r w:rsidR="009E3323" w:rsidRPr="001B387F">
              <w:t>–20</w:t>
            </w:r>
            <w:r w:rsidRPr="001B387F">
              <w:t>25</w:t>
            </w:r>
          </w:p>
        </w:tc>
        <w:tc>
          <w:tcPr>
            <w:tcW w:w="3396" w:type="dxa"/>
            <w:shd w:val="clear" w:color="auto" w:fill="F2F2F2"/>
          </w:tcPr>
          <w:p w14:paraId="4A6D4836" w14:textId="74750EF7"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Ministry of Education and Training; Ministry of Labo</w:t>
            </w:r>
            <w:r w:rsidR="00220A6E" w:rsidRPr="001B387F">
              <w:t>u</w:t>
            </w:r>
            <w:r w:rsidRPr="001B387F">
              <w:t>r, Invalid and Social Affairs (MOLISA); Office of Government</w:t>
            </w:r>
            <w:r w:rsidR="00391786" w:rsidRPr="001B387F">
              <w:t>;</w:t>
            </w:r>
            <w:r w:rsidRPr="001B387F">
              <w:t xml:space="preserve"> Ministry of Foreign Affairs</w:t>
            </w:r>
            <w:r w:rsidR="007F65CA" w:rsidRPr="001B387F">
              <w:t>;</w:t>
            </w:r>
            <w:r w:rsidR="0061203C" w:rsidRPr="001B387F">
              <w:t xml:space="preserve"> Ho Chi Minh </w:t>
            </w:r>
            <w:r w:rsidR="00DF1830" w:rsidRPr="001B387F">
              <w:t>National</w:t>
            </w:r>
            <w:r w:rsidR="00212D01" w:rsidRPr="001B387F">
              <w:t xml:space="preserve"> </w:t>
            </w:r>
            <w:r w:rsidR="0061203C" w:rsidRPr="001B387F">
              <w:t>Academy</w:t>
            </w:r>
            <w:r w:rsidR="00DF1830" w:rsidRPr="001B387F">
              <w:t xml:space="preserve"> of Politics;</w:t>
            </w:r>
            <w:r w:rsidR="0061203C" w:rsidRPr="001B387F">
              <w:t xml:space="preserve"> </w:t>
            </w:r>
            <w:r w:rsidR="00E67EAA" w:rsidRPr="001B387F">
              <w:t xml:space="preserve">the </w:t>
            </w:r>
            <w:r w:rsidR="0061203C" w:rsidRPr="001B387F">
              <w:t>External Relation</w:t>
            </w:r>
            <w:r w:rsidR="00253DA5" w:rsidRPr="001B387F">
              <w:t>s</w:t>
            </w:r>
            <w:r w:rsidR="00316DB5" w:rsidRPr="001B387F">
              <w:t xml:space="preserve"> Commission</w:t>
            </w:r>
            <w:r w:rsidR="00E67EAA" w:rsidRPr="001B387F">
              <w:t xml:space="preserve"> of the </w:t>
            </w:r>
            <w:r w:rsidR="00316DB5" w:rsidRPr="001B387F">
              <w:t>Comm</w:t>
            </w:r>
            <w:r w:rsidR="00212D01" w:rsidRPr="001B387F">
              <w:t>unist Party of Vietnam</w:t>
            </w:r>
          </w:p>
        </w:tc>
      </w:tr>
      <w:tr w:rsidR="00DE1C81" w:rsidRPr="001B387F" w14:paraId="35734324" w14:textId="77777777" w:rsidTr="008529EA">
        <w:trPr>
          <w:trHeight w:val="301"/>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5021D54" w14:textId="720F07A6" w:rsidR="00722328" w:rsidRPr="001B387F" w:rsidRDefault="00722328" w:rsidP="008529EA">
            <w:pPr>
              <w:pStyle w:val="TableBodyCopy"/>
            </w:pPr>
            <w:r w:rsidRPr="001B387F">
              <w:t>Australian Volunteers Program (AVP)</w:t>
            </w:r>
          </w:p>
        </w:tc>
        <w:tc>
          <w:tcPr>
            <w:tcW w:w="2693" w:type="dxa"/>
            <w:shd w:val="clear" w:color="auto" w:fill="D2DEE7"/>
          </w:tcPr>
          <w:p w14:paraId="1D2BFFA7" w14:textId="0767305E" w:rsidR="00722328" w:rsidRPr="001B387F" w:rsidRDefault="00722328" w:rsidP="008529EA">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–20</w:t>
            </w:r>
            <w:r w:rsidRPr="001B387F">
              <w:t>27</w:t>
            </w:r>
          </w:p>
        </w:tc>
        <w:tc>
          <w:tcPr>
            <w:tcW w:w="3396" w:type="dxa"/>
            <w:shd w:val="clear" w:color="auto" w:fill="F2F2F2"/>
          </w:tcPr>
          <w:p w14:paraId="3BFB5EDE" w14:textId="4DE6882B" w:rsidR="00722328" w:rsidRPr="001B387F" w:rsidRDefault="00295BD2" w:rsidP="008529EA">
            <w:pPr>
              <w:pStyle w:val="TableBodyCopy"/>
              <w:cnfStyle w:val="000000000000" w:firstRow="0" w:lastRow="0" w:firstColumn="0" w:lastColumn="0" w:oddVBand="0" w:evenVBand="0" w:oddHBand="0" w:evenHBand="0" w:firstRowFirstColumn="0" w:firstRowLastColumn="0" w:lastRowFirstColumn="0" w:lastRowLastColumn="0"/>
            </w:pPr>
            <w:r w:rsidRPr="001B387F">
              <w:t>I</w:t>
            </w:r>
            <w:r w:rsidR="00722328" w:rsidRPr="001B387F">
              <w:t xml:space="preserve">n Vietnam: </w:t>
            </w:r>
            <w:r w:rsidR="00CD13D2" w:rsidRPr="001B387F">
              <w:t>Government of Vietnam</w:t>
            </w:r>
            <w:r w:rsidR="00D93D9E" w:rsidRPr="001B387F">
              <w:t>;</w:t>
            </w:r>
            <w:r w:rsidR="00722328" w:rsidRPr="001B387F">
              <w:t xml:space="preserve"> </w:t>
            </w:r>
            <w:r w:rsidR="00D93D9E" w:rsidRPr="001B387F">
              <w:t>non-government organisations;</w:t>
            </w:r>
            <w:r w:rsidR="00722328" w:rsidRPr="001B387F">
              <w:t xml:space="preserve"> </w:t>
            </w:r>
            <w:r w:rsidR="00795F59" w:rsidRPr="001B387F">
              <w:t>p</w:t>
            </w:r>
            <w:r w:rsidR="00722328" w:rsidRPr="001B387F">
              <w:t xml:space="preserve">rivate </w:t>
            </w:r>
            <w:r w:rsidR="00795F59" w:rsidRPr="001B387F">
              <w:t>s</w:t>
            </w:r>
            <w:r w:rsidR="00722328" w:rsidRPr="001B387F">
              <w:t>ector</w:t>
            </w:r>
          </w:p>
        </w:tc>
      </w:tr>
      <w:tr w:rsidR="00DE1C81" w:rsidRPr="001B387F" w14:paraId="32CE5F1C" w14:textId="77777777" w:rsidTr="008529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1E38369" w14:textId="23D0BA5A" w:rsidR="00722328" w:rsidRPr="001B387F" w:rsidRDefault="00722328" w:rsidP="008529EA">
            <w:pPr>
              <w:pStyle w:val="TableBodyCopy"/>
            </w:pPr>
            <w:r w:rsidRPr="001B387F">
              <w:t>Mekong</w:t>
            </w:r>
            <w:r w:rsidR="00502C3A" w:rsidRPr="001B387F">
              <w:t>–</w:t>
            </w:r>
            <w:r w:rsidRPr="001B387F">
              <w:t>Australia Partnership Phase</w:t>
            </w:r>
            <w:r w:rsidR="00AF14A2" w:rsidRPr="001B387F">
              <w:t> </w:t>
            </w:r>
            <w:r w:rsidRPr="001B387F">
              <w:t>2</w:t>
            </w:r>
          </w:p>
        </w:tc>
        <w:tc>
          <w:tcPr>
            <w:tcW w:w="2693" w:type="dxa"/>
            <w:shd w:val="clear" w:color="auto" w:fill="D2DEE7"/>
          </w:tcPr>
          <w:p w14:paraId="303529FD" w14:textId="665D77FF"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2024</w:t>
            </w:r>
            <w:r w:rsidR="009E3323" w:rsidRPr="001B387F">
              <w:t>–</w:t>
            </w:r>
            <w:r w:rsidRPr="001B387F">
              <w:t>2029</w:t>
            </w:r>
          </w:p>
        </w:tc>
        <w:tc>
          <w:tcPr>
            <w:tcW w:w="3396" w:type="dxa"/>
            <w:shd w:val="clear" w:color="auto" w:fill="F2F2F2"/>
          </w:tcPr>
          <w:p w14:paraId="02989665" w14:textId="1CE80DFF" w:rsidR="00722328" w:rsidRPr="001B387F" w:rsidRDefault="00884100" w:rsidP="008529EA">
            <w:pPr>
              <w:pStyle w:val="TableBodyCopy"/>
              <w:cnfStyle w:val="000000100000" w:firstRow="0" w:lastRow="0" w:firstColumn="0" w:lastColumn="0" w:oddVBand="0" w:evenVBand="0" w:oddHBand="1" w:evenHBand="0" w:firstRowFirstColumn="0" w:firstRowLastColumn="0" w:lastRowFirstColumn="0" w:lastRowLastColumn="0"/>
            </w:pPr>
            <w:r w:rsidRPr="001B387F">
              <w:t>MRC; ACMECS; ACIAR; Asia Foundation; World Bank; other partners (TBC)</w:t>
            </w:r>
          </w:p>
        </w:tc>
      </w:tr>
      <w:tr w:rsidR="00DE1C81" w:rsidRPr="001B387F" w14:paraId="47B0231C" w14:textId="77777777" w:rsidTr="008529EA">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223746A" w14:textId="0791F06C" w:rsidR="00722328" w:rsidRPr="001B387F" w:rsidRDefault="00722328" w:rsidP="008529EA">
            <w:pPr>
              <w:pStyle w:val="TableBodyCopy"/>
            </w:pPr>
            <w:r w:rsidRPr="001B387F">
              <w:t xml:space="preserve">Australia for ASEAN Digital Transformation and Futures Skills </w:t>
            </w:r>
            <w:r w:rsidR="001E0462" w:rsidRPr="001B387F">
              <w:t>I</w:t>
            </w:r>
            <w:r w:rsidRPr="001B387F">
              <w:t>nitiative</w:t>
            </w:r>
          </w:p>
        </w:tc>
        <w:tc>
          <w:tcPr>
            <w:tcW w:w="2693" w:type="dxa"/>
            <w:shd w:val="clear" w:color="auto" w:fill="D2DEE7"/>
          </w:tcPr>
          <w:p w14:paraId="1535DCAE" w14:textId="0C6C9912" w:rsidR="00722328" w:rsidRPr="001B387F" w:rsidRDefault="00722328" w:rsidP="008529EA">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w:t>
            </w:r>
            <w:r w:rsidRPr="001B387F">
              <w:t>2025</w:t>
            </w:r>
          </w:p>
        </w:tc>
        <w:tc>
          <w:tcPr>
            <w:tcW w:w="3396" w:type="dxa"/>
            <w:shd w:val="clear" w:color="auto" w:fill="F2F2F2"/>
          </w:tcPr>
          <w:p w14:paraId="4E5FAE57" w14:textId="7E0EA0C0" w:rsidR="00722328" w:rsidRPr="001B387F" w:rsidRDefault="00722328" w:rsidP="008529EA">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ASEAN </w:t>
            </w:r>
            <w:r w:rsidR="00AF707B" w:rsidRPr="001B387F">
              <w:t>M</w:t>
            </w:r>
            <w:r w:rsidRPr="001B387F">
              <w:t xml:space="preserve">ember </w:t>
            </w:r>
            <w:r w:rsidR="00AF707B" w:rsidRPr="001B387F">
              <w:t>S</w:t>
            </w:r>
            <w:r w:rsidRPr="001B387F">
              <w:t>tates</w:t>
            </w:r>
          </w:p>
        </w:tc>
      </w:tr>
      <w:tr w:rsidR="00DE1C81" w:rsidRPr="001B387F" w14:paraId="6FA2795E" w14:textId="77777777" w:rsidTr="008529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B3FCB67" w14:textId="27456A1C" w:rsidR="00722328" w:rsidRPr="001B387F" w:rsidRDefault="00722328" w:rsidP="008529EA">
            <w:pPr>
              <w:pStyle w:val="TableBodyCopy"/>
            </w:pPr>
            <w:r w:rsidRPr="001B387F">
              <w:t>Southeast Asia and Australia Government</w:t>
            </w:r>
            <w:r w:rsidR="00FB235C" w:rsidRPr="001B387F">
              <w:t>-</w:t>
            </w:r>
            <w:r w:rsidRPr="001B387F">
              <w:t>to</w:t>
            </w:r>
            <w:r w:rsidR="00FB235C" w:rsidRPr="001B387F">
              <w:t>-</w:t>
            </w:r>
            <w:r w:rsidRPr="001B387F">
              <w:t xml:space="preserve">Government </w:t>
            </w:r>
            <w:r w:rsidR="008D6EB4" w:rsidRPr="001B387F">
              <w:t xml:space="preserve">Partnerships program </w:t>
            </w:r>
            <w:r w:rsidRPr="001B387F">
              <w:t>(</w:t>
            </w:r>
            <w:r w:rsidR="008D6EB4" w:rsidRPr="001B387F">
              <w:t>SEA</w:t>
            </w:r>
            <w:r w:rsidRPr="001B387F">
              <w:t>G2G)</w:t>
            </w:r>
          </w:p>
        </w:tc>
        <w:tc>
          <w:tcPr>
            <w:tcW w:w="2693" w:type="dxa"/>
            <w:shd w:val="clear" w:color="auto" w:fill="D2DEE7"/>
          </w:tcPr>
          <w:p w14:paraId="696B0D46" w14:textId="238FB266"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w:t>
            </w:r>
            <w:r w:rsidRPr="001B387F">
              <w:t>2028</w:t>
            </w:r>
          </w:p>
        </w:tc>
        <w:tc>
          <w:tcPr>
            <w:tcW w:w="3396" w:type="dxa"/>
            <w:shd w:val="clear" w:color="auto" w:fill="F2F2F2"/>
          </w:tcPr>
          <w:p w14:paraId="4AE934FC" w14:textId="7FA1F6CB" w:rsidR="00722328" w:rsidRPr="001B387F" w:rsidRDefault="00D07664" w:rsidP="008529EA">
            <w:pPr>
              <w:pStyle w:val="TableBodyCopy"/>
              <w:cnfStyle w:val="000000100000" w:firstRow="0" w:lastRow="0" w:firstColumn="0" w:lastColumn="0" w:oddVBand="0" w:evenVBand="0" w:oddHBand="1" w:evenHBand="0" w:firstRowFirstColumn="0" w:firstRowLastColumn="0" w:lastRowFirstColumn="0" w:lastRowLastColumn="0"/>
            </w:pPr>
            <w:r w:rsidRPr="001B387F">
              <w:t>ASEAN</w:t>
            </w:r>
            <w:r w:rsidR="00360A64" w:rsidRPr="001B387F">
              <w:t>;</w:t>
            </w:r>
            <w:r w:rsidRPr="001B387F">
              <w:t xml:space="preserve"> Cambodia</w:t>
            </w:r>
            <w:r w:rsidR="00360A64" w:rsidRPr="001B387F">
              <w:t>;</w:t>
            </w:r>
            <w:r w:rsidRPr="001B387F">
              <w:t xml:space="preserve"> Indonesia</w:t>
            </w:r>
            <w:r w:rsidR="00360A64" w:rsidRPr="001B387F">
              <w:t>;</w:t>
            </w:r>
            <w:r w:rsidRPr="001B387F">
              <w:t xml:space="preserve"> Laos</w:t>
            </w:r>
            <w:r w:rsidR="00360A64" w:rsidRPr="001B387F">
              <w:t>;</w:t>
            </w:r>
            <w:r w:rsidRPr="001B387F">
              <w:t xml:space="preserve"> Malaysia</w:t>
            </w:r>
            <w:r w:rsidR="00360A64" w:rsidRPr="001B387F">
              <w:t>;</w:t>
            </w:r>
            <w:r w:rsidRPr="001B387F">
              <w:t xml:space="preserve"> the Philippines</w:t>
            </w:r>
            <w:r w:rsidR="00360A64" w:rsidRPr="001B387F">
              <w:t>;</w:t>
            </w:r>
            <w:r w:rsidRPr="001B387F">
              <w:t xml:space="preserve"> Thailand</w:t>
            </w:r>
            <w:r w:rsidR="00360A64" w:rsidRPr="001B387F">
              <w:t>;</w:t>
            </w:r>
            <w:r w:rsidRPr="001B387F">
              <w:t xml:space="preserve"> Timor-Leste</w:t>
            </w:r>
            <w:r w:rsidR="00360A64" w:rsidRPr="001B387F">
              <w:t>;</w:t>
            </w:r>
            <w:r w:rsidRPr="001B387F">
              <w:t xml:space="preserve"> Vietnam</w:t>
            </w:r>
          </w:p>
        </w:tc>
      </w:tr>
      <w:tr w:rsidR="00DE1C81" w:rsidRPr="001B387F" w14:paraId="74FB2AED" w14:textId="77777777" w:rsidTr="008529EA">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4716F279" w14:textId="77777777" w:rsidR="00722328" w:rsidRPr="001B387F" w:rsidRDefault="00722328" w:rsidP="008529EA">
            <w:pPr>
              <w:pStyle w:val="TableBodyCopy"/>
            </w:pPr>
            <w:r w:rsidRPr="001B387F">
              <w:t>New Colombo Plan (NCP)</w:t>
            </w:r>
          </w:p>
        </w:tc>
        <w:tc>
          <w:tcPr>
            <w:tcW w:w="2693" w:type="dxa"/>
            <w:shd w:val="clear" w:color="auto" w:fill="D2DEE7"/>
          </w:tcPr>
          <w:p w14:paraId="5660F861" w14:textId="1678F888" w:rsidR="00722328" w:rsidRPr="001B387F" w:rsidRDefault="00722328" w:rsidP="008529EA">
            <w:pPr>
              <w:pStyle w:val="TableBodyCopy"/>
              <w:cnfStyle w:val="000000000000" w:firstRow="0" w:lastRow="0" w:firstColumn="0" w:lastColumn="0" w:oddVBand="0" w:evenVBand="0" w:oddHBand="0" w:evenHBand="0" w:firstRowFirstColumn="0" w:firstRowLastColumn="0" w:lastRowFirstColumn="0" w:lastRowLastColumn="0"/>
            </w:pPr>
            <w:r w:rsidRPr="001B387F">
              <w:t>2016–ongoing</w:t>
            </w:r>
          </w:p>
        </w:tc>
        <w:tc>
          <w:tcPr>
            <w:tcW w:w="3396" w:type="dxa"/>
            <w:shd w:val="clear" w:color="auto" w:fill="F2F2F2"/>
          </w:tcPr>
          <w:p w14:paraId="612574B5" w14:textId="13D426BE" w:rsidR="00722328" w:rsidRPr="001B387F" w:rsidRDefault="00722328" w:rsidP="008529EA">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Academic </w:t>
            </w:r>
            <w:r w:rsidR="00084A6D" w:rsidRPr="001B387F">
              <w:t>i</w:t>
            </w:r>
            <w:r w:rsidRPr="001B387F">
              <w:t>nstitutions in Vietnam and Australia</w:t>
            </w:r>
          </w:p>
        </w:tc>
      </w:tr>
      <w:tr w:rsidR="00DE1C81" w:rsidRPr="001B387F" w14:paraId="03606909" w14:textId="77777777" w:rsidTr="008529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FFC8012" w14:textId="39E3484E" w:rsidR="00722328" w:rsidRPr="001B387F" w:rsidRDefault="006D0C88" w:rsidP="008529EA">
            <w:pPr>
              <w:pStyle w:val="TableBodyCopy"/>
            </w:pPr>
            <w:r w:rsidRPr="001B387F">
              <w:t>Australian Centre for International Agricultural Research (</w:t>
            </w:r>
            <w:r w:rsidR="00722328" w:rsidRPr="001B387F">
              <w:t>ACIAR</w:t>
            </w:r>
            <w:r w:rsidRPr="001B387F">
              <w:t>)</w:t>
            </w:r>
            <w:r w:rsidR="00722328" w:rsidRPr="001B387F">
              <w:t xml:space="preserve"> </w:t>
            </w:r>
            <w:r w:rsidRPr="001B387F">
              <w:t>s</w:t>
            </w:r>
            <w:r w:rsidR="00722328" w:rsidRPr="001B387F">
              <w:t>cholarships</w:t>
            </w:r>
          </w:p>
        </w:tc>
        <w:tc>
          <w:tcPr>
            <w:tcW w:w="2693" w:type="dxa"/>
            <w:shd w:val="clear" w:color="auto" w:fill="D2DEE7"/>
          </w:tcPr>
          <w:p w14:paraId="34CA0795" w14:textId="0CC3FBC9"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2025</w:t>
            </w:r>
            <w:r w:rsidR="009E3323" w:rsidRPr="001B387F">
              <w:t>–20</w:t>
            </w:r>
            <w:r w:rsidRPr="001B387F">
              <w:t>30</w:t>
            </w:r>
          </w:p>
        </w:tc>
        <w:tc>
          <w:tcPr>
            <w:tcW w:w="3396" w:type="dxa"/>
            <w:shd w:val="clear" w:color="auto" w:fill="F2F2F2"/>
          </w:tcPr>
          <w:p w14:paraId="4591BF30" w14:textId="5F59BC70" w:rsidR="00722328" w:rsidRPr="001B387F" w:rsidRDefault="00722328" w:rsidP="008529EA">
            <w:pPr>
              <w:pStyle w:val="TableBodyCopy"/>
              <w:cnfStyle w:val="000000100000" w:firstRow="0" w:lastRow="0" w:firstColumn="0" w:lastColumn="0" w:oddVBand="0" w:evenVBand="0" w:oddHBand="1" w:evenHBand="0" w:firstRowFirstColumn="0" w:firstRowLastColumn="0" w:lastRowFirstColumn="0" w:lastRowLastColumn="0"/>
            </w:pPr>
            <w:r w:rsidRPr="001B387F">
              <w:t>ACIAR</w:t>
            </w:r>
          </w:p>
        </w:tc>
      </w:tr>
      <w:tr w:rsidR="00682B57" w:rsidRPr="001B387F" w14:paraId="72D203D5" w14:textId="77777777" w:rsidTr="008529EA">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4AA3485" w14:textId="77777777" w:rsidR="00682B57" w:rsidRPr="001B387F" w:rsidRDefault="00682B57" w:rsidP="008529EA">
            <w:pPr>
              <w:pStyle w:val="TableBodyCopy"/>
            </w:pPr>
            <w:r w:rsidRPr="001B387F">
              <w:t>Biosecurity regional networks for animal health and forest plant health</w:t>
            </w:r>
          </w:p>
        </w:tc>
        <w:tc>
          <w:tcPr>
            <w:tcW w:w="2693" w:type="dxa"/>
            <w:shd w:val="clear" w:color="auto" w:fill="D2DEE7"/>
          </w:tcPr>
          <w:p w14:paraId="30AD9946" w14:textId="66E18D6E" w:rsidR="00682B57" w:rsidRPr="001B387F" w:rsidRDefault="00682B57" w:rsidP="008529EA">
            <w:pPr>
              <w:pStyle w:val="TableBodyCopy"/>
              <w:cnfStyle w:val="000000000000" w:firstRow="0" w:lastRow="0" w:firstColumn="0" w:lastColumn="0" w:oddVBand="0" w:evenVBand="0" w:oddHBand="0" w:evenHBand="0" w:firstRowFirstColumn="0" w:firstRowLastColumn="0" w:lastRowFirstColumn="0" w:lastRowLastColumn="0"/>
            </w:pPr>
            <w:r w:rsidRPr="001B387F">
              <w:t>2021</w:t>
            </w:r>
            <w:r w:rsidR="009E3323" w:rsidRPr="001B387F">
              <w:t>–20</w:t>
            </w:r>
            <w:r w:rsidRPr="001B387F">
              <w:t>27</w:t>
            </w:r>
          </w:p>
        </w:tc>
        <w:tc>
          <w:tcPr>
            <w:tcW w:w="3396" w:type="dxa"/>
            <w:shd w:val="clear" w:color="auto" w:fill="F2F2F2"/>
          </w:tcPr>
          <w:p w14:paraId="0EDDECCC" w14:textId="109F084E" w:rsidR="00682B57" w:rsidRPr="001B387F" w:rsidRDefault="00682B57" w:rsidP="008529EA">
            <w:pPr>
              <w:pStyle w:val="TableBodyCopy"/>
              <w:cnfStyle w:val="000000000000" w:firstRow="0" w:lastRow="0" w:firstColumn="0" w:lastColumn="0" w:oddVBand="0" w:evenVBand="0" w:oddHBand="0" w:evenHBand="0" w:firstRowFirstColumn="0" w:firstRowLastColumn="0" w:lastRowFirstColumn="0" w:lastRowLastColumn="0"/>
            </w:pPr>
            <w:r w:rsidRPr="001B387F">
              <w:t>ACIAR</w:t>
            </w:r>
          </w:p>
        </w:tc>
      </w:tr>
      <w:tr w:rsidR="00682B57" w:rsidRPr="001B387F" w14:paraId="3107111A" w14:textId="77777777" w:rsidTr="008529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DE9E548" w14:textId="77777777" w:rsidR="00682B57" w:rsidRPr="001B387F" w:rsidRDefault="00682B57" w:rsidP="008529EA">
            <w:pPr>
              <w:pStyle w:val="TableBodyCopy"/>
            </w:pPr>
            <w:r w:rsidRPr="001B387F">
              <w:t>Research capacity development for soils and water management in Vietnam</w:t>
            </w:r>
          </w:p>
        </w:tc>
        <w:tc>
          <w:tcPr>
            <w:tcW w:w="2693" w:type="dxa"/>
            <w:shd w:val="clear" w:color="auto" w:fill="D2DEE7"/>
          </w:tcPr>
          <w:p w14:paraId="110DF25F" w14:textId="487F62DD" w:rsidR="00682B57" w:rsidRPr="001B387F" w:rsidRDefault="00682B57" w:rsidP="008529EA">
            <w:pPr>
              <w:pStyle w:val="TableBodyCopy"/>
              <w:cnfStyle w:val="000000100000" w:firstRow="0" w:lastRow="0" w:firstColumn="0" w:lastColumn="0" w:oddVBand="0" w:evenVBand="0" w:oddHBand="1" w:evenHBand="0" w:firstRowFirstColumn="0" w:firstRowLastColumn="0" w:lastRowFirstColumn="0" w:lastRowLastColumn="0"/>
            </w:pPr>
            <w:r w:rsidRPr="001B387F">
              <w:t>2022</w:t>
            </w:r>
            <w:r w:rsidR="009E3323" w:rsidRPr="001B387F">
              <w:t>–20</w:t>
            </w:r>
            <w:r w:rsidRPr="001B387F">
              <w:t>25</w:t>
            </w:r>
          </w:p>
        </w:tc>
        <w:tc>
          <w:tcPr>
            <w:tcW w:w="3396" w:type="dxa"/>
            <w:shd w:val="clear" w:color="auto" w:fill="F2F2F2"/>
          </w:tcPr>
          <w:p w14:paraId="5F17D9B0" w14:textId="400E563A" w:rsidR="00682B57" w:rsidRPr="001B387F" w:rsidRDefault="00682B57" w:rsidP="008529EA">
            <w:pPr>
              <w:pStyle w:val="TableBodyCopy"/>
              <w:cnfStyle w:val="000000100000" w:firstRow="0" w:lastRow="0" w:firstColumn="0" w:lastColumn="0" w:oddVBand="0" w:evenVBand="0" w:oddHBand="1" w:evenHBand="0" w:firstRowFirstColumn="0" w:firstRowLastColumn="0" w:lastRowFirstColumn="0" w:lastRowLastColumn="0"/>
            </w:pPr>
            <w:r w:rsidRPr="001B387F">
              <w:t>ACIAR</w:t>
            </w:r>
          </w:p>
        </w:tc>
      </w:tr>
    </w:tbl>
    <w:p w14:paraId="4BFA796E" w14:textId="4987D033" w:rsidR="00797D55" w:rsidRPr="001B387F" w:rsidRDefault="00797D55" w:rsidP="00B21FE9">
      <w:pPr>
        <w:keepNext/>
        <w:keepLines/>
        <w:widowControl w:val="0"/>
        <w:rPr>
          <w:rFonts w:cs="Calibri"/>
          <w:b/>
          <w:bCs/>
          <w:sz w:val="24"/>
          <w:szCs w:val="24"/>
        </w:rPr>
      </w:pPr>
      <w:r w:rsidRPr="001B387F">
        <w:rPr>
          <w:lang w:eastAsia="en-AU"/>
        </w:rPr>
        <w:lastRenderedPageBreak/>
        <w:t>Australian Government supporting investments/activities for Objective 3 (</w:t>
      </w:r>
      <w:r w:rsidRPr="001B387F">
        <w:rPr>
          <w:rFonts w:eastAsia="Calibri Light"/>
        </w:rPr>
        <w:t xml:space="preserve">bilateral </w:t>
      </w:r>
      <w:r w:rsidRPr="001B387F">
        <w:rPr>
          <w:lang w:eastAsia="en-AU"/>
        </w:rPr>
        <w:t xml:space="preserve">Official Development Assistance (ODA) as well as significant regional and global ODA, and significant </w:t>
      </w:r>
      <w:proofErr w:type="spellStart"/>
      <w:r w:rsidRPr="001B387F">
        <w:rPr>
          <w:lang w:eastAsia="en-AU"/>
        </w:rPr>
        <w:t>non-ODA</w:t>
      </w:r>
      <w:proofErr w:type="spellEnd"/>
      <w:r w:rsidRPr="001B387F">
        <w:rPr>
          <w:lang w:eastAsia="en-AU"/>
        </w:rPr>
        <w:t xml:space="preserve"> development investments/activities)</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
      </w:tblPr>
      <w:tblGrid>
        <w:gridCol w:w="4105"/>
        <w:gridCol w:w="2693"/>
        <w:gridCol w:w="3396"/>
      </w:tblGrid>
      <w:tr w:rsidR="00722328" w:rsidRPr="001B387F" w14:paraId="71EF06A5" w14:textId="77777777" w:rsidTr="005E49D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6679BD58" w14:textId="6F82845D" w:rsidR="00722328" w:rsidRPr="001B387F" w:rsidRDefault="00722328" w:rsidP="00B21FE9">
            <w:pPr>
              <w:pStyle w:val="TableHeading"/>
              <w:keepNext/>
              <w:keepLines/>
              <w:widowControl w:val="0"/>
              <w:rPr>
                <w:b w:val="0"/>
                <w:bCs/>
              </w:rPr>
            </w:pPr>
            <w:r w:rsidRPr="001B387F">
              <w:rPr>
                <w:bCs/>
              </w:rPr>
              <w:t>Name of investment</w:t>
            </w:r>
            <w:r w:rsidR="00C13AA5" w:rsidRPr="001B387F">
              <w:rPr>
                <w:bCs/>
              </w:rPr>
              <w:t>/activity</w:t>
            </w:r>
          </w:p>
        </w:tc>
        <w:tc>
          <w:tcPr>
            <w:tcW w:w="2693" w:type="dxa"/>
            <w:shd w:val="clear" w:color="auto" w:fill="3A586E"/>
          </w:tcPr>
          <w:p w14:paraId="6761CB4F" w14:textId="77777777" w:rsidR="00722328" w:rsidRPr="001B387F" w:rsidRDefault="00722328" w:rsidP="00B21FE9">
            <w:pPr>
              <w:pStyle w:val="TableHeading"/>
              <w:keepNext/>
              <w:keepLines/>
              <w:widowControl w:val="0"/>
              <w:cnfStyle w:val="100000000000" w:firstRow="1" w:lastRow="0" w:firstColumn="0" w:lastColumn="0" w:oddVBand="0" w:evenVBand="0" w:oddHBand="0" w:evenHBand="0" w:firstRowFirstColumn="0" w:firstRowLastColumn="0" w:lastRowFirstColumn="0" w:lastRowLastColumn="0"/>
              <w:rPr>
                <w:b w:val="0"/>
                <w:bCs/>
              </w:rPr>
            </w:pPr>
            <w:r w:rsidRPr="001B387F">
              <w:rPr>
                <w:bCs/>
              </w:rPr>
              <w:t>Duration</w:t>
            </w:r>
          </w:p>
        </w:tc>
        <w:tc>
          <w:tcPr>
            <w:tcW w:w="3396" w:type="dxa"/>
            <w:shd w:val="clear" w:color="auto" w:fill="3A586E"/>
          </w:tcPr>
          <w:p w14:paraId="2DC17695" w14:textId="77777777" w:rsidR="00722328" w:rsidRPr="001B387F" w:rsidRDefault="00722328" w:rsidP="00B21FE9">
            <w:pPr>
              <w:pStyle w:val="TableHeading"/>
              <w:keepNext/>
              <w:keepLines/>
              <w:widowControl w:val="0"/>
              <w:cnfStyle w:val="100000000000" w:firstRow="1" w:lastRow="0" w:firstColumn="0" w:lastColumn="0" w:oddVBand="0" w:evenVBand="0" w:oddHBand="0" w:evenHBand="0" w:firstRowFirstColumn="0" w:firstRowLastColumn="0" w:lastRowFirstColumn="0" w:lastRowLastColumn="0"/>
              <w:rPr>
                <w:b w:val="0"/>
                <w:bCs/>
              </w:rPr>
            </w:pPr>
            <w:r w:rsidRPr="001B387F">
              <w:rPr>
                <w:bCs/>
              </w:rPr>
              <w:t>Key partners</w:t>
            </w:r>
          </w:p>
        </w:tc>
      </w:tr>
      <w:tr w:rsidR="00722328" w:rsidRPr="001B387F" w14:paraId="5C3D3534"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6DBAC6D" w14:textId="488EC2D9" w:rsidR="00722328" w:rsidRPr="001B387F" w:rsidRDefault="00722328" w:rsidP="00B21FE9">
            <w:pPr>
              <w:pStyle w:val="TableBodyCopy"/>
              <w:keepNext/>
              <w:keepLines/>
              <w:widowControl w:val="0"/>
            </w:pPr>
            <w:r w:rsidRPr="001B387F">
              <w:t>Aus4Adap</w:t>
            </w:r>
            <w:r w:rsidR="00253DA5" w:rsidRPr="001B387F">
              <w:t>t</w:t>
            </w:r>
            <w:r w:rsidRPr="001B387F">
              <w:t>ation</w:t>
            </w:r>
          </w:p>
        </w:tc>
        <w:tc>
          <w:tcPr>
            <w:tcW w:w="2693" w:type="dxa"/>
            <w:shd w:val="clear" w:color="auto" w:fill="D2DEE7"/>
          </w:tcPr>
          <w:p w14:paraId="6472D8FE" w14:textId="3AB04D23" w:rsidR="00722328" w:rsidRPr="001B387F" w:rsidRDefault="00722328" w:rsidP="00B21FE9">
            <w:pPr>
              <w:pStyle w:val="TableBodyCopy"/>
              <w:keepNext/>
              <w:keepLines/>
              <w:widowControl w:val="0"/>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–20</w:t>
            </w:r>
            <w:r w:rsidRPr="001B387F">
              <w:t>35</w:t>
            </w:r>
          </w:p>
        </w:tc>
        <w:tc>
          <w:tcPr>
            <w:tcW w:w="3396" w:type="dxa"/>
            <w:shd w:val="clear" w:color="auto" w:fill="F2F2F2"/>
          </w:tcPr>
          <w:p w14:paraId="24FB6ACE" w14:textId="52E474AC" w:rsidR="00722328" w:rsidRPr="001B387F" w:rsidRDefault="00722328" w:rsidP="00B21FE9">
            <w:pPr>
              <w:pStyle w:val="TableBodyCopy"/>
              <w:keepNext/>
              <w:keepLines/>
              <w:widowControl w:val="0"/>
              <w:cnfStyle w:val="000000100000" w:firstRow="0" w:lastRow="0" w:firstColumn="0" w:lastColumn="0" w:oddVBand="0" w:evenVBand="0" w:oddHBand="1" w:evenHBand="0" w:firstRowFirstColumn="0" w:firstRowLastColumn="0" w:lastRowFirstColumn="0" w:lastRowLastColumn="0"/>
            </w:pPr>
            <w:r w:rsidRPr="001B387F">
              <w:t>Ministry of Natural Resources and Environment</w:t>
            </w:r>
            <w:r w:rsidR="00C6671E" w:rsidRPr="001B387F">
              <w:t xml:space="preserve"> (MONRE)</w:t>
            </w:r>
            <w:r w:rsidR="00C42872" w:rsidRPr="001B387F">
              <w:t>;</w:t>
            </w:r>
            <w:r w:rsidRPr="001B387F">
              <w:t xml:space="preserve"> </w:t>
            </w:r>
            <w:r w:rsidR="00723E85" w:rsidRPr="001B387F">
              <w:t>MARD</w:t>
            </w:r>
            <w:r w:rsidR="00CB23B9" w:rsidRPr="001B387F">
              <w:t>;</w:t>
            </w:r>
            <w:r w:rsidRPr="001B387F">
              <w:t xml:space="preserve"> Mekong Delta provinces</w:t>
            </w:r>
          </w:p>
        </w:tc>
      </w:tr>
      <w:tr w:rsidR="00722328" w:rsidRPr="001B387F" w14:paraId="112F6701" w14:textId="77777777" w:rsidTr="005E49DB">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32EF9F6" w14:textId="01235BF7" w:rsidR="00722328" w:rsidRPr="001B387F" w:rsidRDefault="00722328" w:rsidP="005E49DB">
            <w:pPr>
              <w:pStyle w:val="TableBodyCopy"/>
            </w:pPr>
            <w:r w:rsidRPr="001B387F">
              <w:t xml:space="preserve">Transforming </w:t>
            </w:r>
            <w:r w:rsidR="006E366F" w:rsidRPr="001B387F">
              <w:t xml:space="preserve">the </w:t>
            </w:r>
            <w:r w:rsidRPr="001B387F">
              <w:t xml:space="preserve">Rice Value Chain for Climate Resilient </w:t>
            </w:r>
            <w:r w:rsidR="006E366F" w:rsidRPr="001B387F">
              <w:t xml:space="preserve">and </w:t>
            </w:r>
            <w:r w:rsidRPr="001B387F">
              <w:t>Sustainable Development in the Mekong Delta</w:t>
            </w:r>
          </w:p>
        </w:tc>
        <w:tc>
          <w:tcPr>
            <w:tcW w:w="2693" w:type="dxa"/>
            <w:shd w:val="clear" w:color="auto" w:fill="D2DEE7"/>
          </w:tcPr>
          <w:p w14:paraId="2C3825B0" w14:textId="04659B50"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2023</w:t>
            </w:r>
            <w:r w:rsidR="009E3323" w:rsidRPr="001B387F">
              <w:t>–20</w:t>
            </w:r>
            <w:r w:rsidRPr="001B387F">
              <w:t>28</w:t>
            </w:r>
          </w:p>
        </w:tc>
        <w:tc>
          <w:tcPr>
            <w:tcW w:w="3396" w:type="dxa"/>
            <w:shd w:val="clear" w:color="auto" w:fill="F2F2F2"/>
          </w:tcPr>
          <w:p w14:paraId="010AAA2E" w14:textId="599648B9" w:rsidR="00722328" w:rsidRPr="001B387F" w:rsidRDefault="00723E85" w:rsidP="005E49DB">
            <w:pPr>
              <w:pStyle w:val="TableBodyCopy"/>
              <w:cnfStyle w:val="000000000000" w:firstRow="0" w:lastRow="0" w:firstColumn="0" w:lastColumn="0" w:oddVBand="0" w:evenVBand="0" w:oddHBand="0" w:evenHBand="0" w:firstRowFirstColumn="0" w:firstRowLastColumn="0" w:lastRowFirstColumn="0" w:lastRowLastColumn="0"/>
            </w:pPr>
            <w:r w:rsidRPr="001B387F">
              <w:t>MARD</w:t>
            </w:r>
            <w:r w:rsidR="00CB23B9" w:rsidRPr="001B387F">
              <w:t>;</w:t>
            </w:r>
            <w:r w:rsidR="00722328" w:rsidRPr="001B387F">
              <w:t xml:space="preserve"> Kien Giang, </w:t>
            </w:r>
            <w:proofErr w:type="gramStart"/>
            <w:r w:rsidR="00722328" w:rsidRPr="001B387F">
              <w:t>An</w:t>
            </w:r>
            <w:proofErr w:type="gramEnd"/>
            <w:r w:rsidR="00722328" w:rsidRPr="001B387F">
              <w:t xml:space="preserve"> Giang</w:t>
            </w:r>
            <w:r w:rsidR="005E49DB" w:rsidRPr="001B387F">
              <w:t xml:space="preserve"> and</w:t>
            </w:r>
            <w:r w:rsidR="00722328" w:rsidRPr="001B387F">
              <w:t xml:space="preserve"> Dong </w:t>
            </w:r>
            <w:proofErr w:type="spellStart"/>
            <w:r w:rsidR="00722328" w:rsidRPr="001B387F">
              <w:t>Thap</w:t>
            </w:r>
            <w:proofErr w:type="spellEnd"/>
            <w:r w:rsidR="00722328" w:rsidRPr="001B387F">
              <w:t xml:space="preserve"> provinces</w:t>
            </w:r>
          </w:p>
        </w:tc>
      </w:tr>
      <w:tr w:rsidR="00722328" w:rsidRPr="001B387F" w14:paraId="1FED2A44"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28F3EFE" w14:textId="00D00C85" w:rsidR="00722328" w:rsidRPr="001B387F" w:rsidRDefault="00722328" w:rsidP="005E49DB">
            <w:pPr>
              <w:pStyle w:val="TableBodyCopy"/>
            </w:pPr>
            <w:r w:rsidRPr="001B387F">
              <w:t xml:space="preserve">Australia–Vietnam Energy Transition Platform </w:t>
            </w:r>
            <w:r w:rsidR="00210729" w:rsidRPr="001B387F">
              <w:t xml:space="preserve">(AVETP) </w:t>
            </w:r>
            <w:r w:rsidRPr="001B387F">
              <w:t>(</w:t>
            </w:r>
            <w:r w:rsidR="00AD2ACC" w:rsidRPr="001B387F">
              <w:t xml:space="preserve">Private </w:t>
            </w:r>
            <w:r w:rsidR="00816970" w:rsidRPr="001B387F">
              <w:t>Infrastructure Development Group (</w:t>
            </w:r>
            <w:r w:rsidRPr="001B387F">
              <w:t>PIDG</w:t>
            </w:r>
            <w:r w:rsidR="00816970" w:rsidRPr="001B387F">
              <w:t>)</w:t>
            </w:r>
            <w:r w:rsidRPr="001B387F">
              <w:t xml:space="preserve"> and </w:t>
            </w:r>
            <w:r w:rsidR="00C342DE" w:rsidRPr="001B387F">
              <w:t>Australian Development Investments</w:t>
            </w:r>
            <w:r w:rsidR="00816970" w:rsidRPr="001B387F">
              <w:t xml:space="preserve"> (</w:t>
            </w:r>
            <w:r w:rsidRPr="001B387F">
              <w:t>ADI</w:t>
            </w:r>
            <w:r w:rsidR="00816970" w:rsidRPr="001B387F">
              <w:t>)</w:t>
            </w:r>
            <w:r w:rsidRPr="001B387F">
              <w:t>)</w:t>
            </w:r>
          </w:p>
        </w:tc>
        <w:tc>
          <w:tcPr>
            <w:tcW w:w="2693" w:type="dxa"/>
            <w:shd w:val="clear" w:color="auto" w:fill="D2DEE7"/>
          </w:tcPr>
          <w:p w14:paraId="2C70935E" w14:textId="5AC5A8F0"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–20</w:t>
            </w:r>
            <w:r w:rsidRPr="001B387F">
              <w:t>28</w:t>
            </w:r>
          </w:p>
        </w:tc>
        <w:tc>
          <w:tcPr>
            <w:tcW w:w="3396" w:type="dxa"/>
            <w:shd w:val="clear" w:color="auto" w:fill="F2F2F2"/>
          </w:tcPr>
          <w:p w14:paraId="75D24D52" w14:textId="7553ED85"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Private sector</w:t>
            </w:r>
            <w:r w:rsidR="00A861DE" w:rsidRPr="001B387F">
              <w:t>; Government of V</w:t>
            </w:r>
            <w:r w:rsidR="00142EAC" w:rsidRPr="001B387F">
              <w:t>ietnam</w:t>
            </w:r>
          </w:p>
        </w:tc>
      </w:tr>
      <w:tr w:rsidR="00722328" w:rsidRPr="001B387F" w14:paraId="4DB2E280" w14:textId="77777777" w:rsidTr="005E49DB">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87B46B2" w14:textId="488CF900" w:rsidR="00722328" w:rsidRPr="001B387F" w:rsidRDefault="00722328" w:rsidP="005E49DB">
            <w:pPr>
              <w:pStyle w:val="TableBodyCopy"/>
            </w:pPr>
            <w:r w:rsidRPr="001B387F">
              <w:t>Australia</w:t>
            </w:r>
            <w:r w:rsidR="00591059" w:rsidRPr="001B387F">
              <w:t>–</w:t>
            </w:r>
            <w:r w:rsidRPr="001B387F">
              <w:t xml:space="preserve">World Bank </w:t>
            </w:r>
            <w:r w:rsidR="00C80C31" w:rsidRPr="001B387F">
              <w:t xml:space="preserve">Strategic </w:t>
            </w:r>
            <w:r w:rsidRPr="001B387F">
              <w:t xml:space="preserve">Partnership </w:t>
            </w:r>
            <w:r w:rsidR="00591059" w:rsidRPr="001B387F">
              <w:t>Phase</w:t>
            </w:r>
            <w:r w:rsidR="002B7DBD" w:rsidRPr="001B387F">
              <w:t> </w:t>
            </w:r>
            <w:r w:rsidR="00591059" w:rsidRPr="001B387F">
              <w:t xml:space="preserve">2 </w:t>
            </w:r>
          </w:p>
        </w:tc>
        <w:tc>
          <w:tcPr>
            <w:tcW w:w="2693" w:type="dxa"/>
            <w:shd w:val="clear" w:color="auto" w:fill="D2DEE7"/>
          </w:tcPr>
          <w:p w14:paraId="5C540C41" w14:textId="0C680944"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2017</w:t>
            </w:r>
            <w:r w:rsidR="009E3323" w:rsidRPr="001B387F">
              <w:t>–20</w:t>
            </w:r>
            <w:r w:rsidRPr="001B387F">
              <w:t>26</w:t>
            </w:r>
          </w:p>
        </w:tc>
        <w:tc>
          <w:tcPr>
            <w:tcW w:w="3396" w:type="dxa"/>
            <w:shd w:val="clear" w:color="auto" w:fill="F2F2F2"/>
          </w:tcPr>
          <w:p w14:paraId="1F67018B" w14:textId="5B2F1437"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World Bank</w:t>
            </w:r>
          </w:p>
        </w:tc>
      </w:tr>
      <w:tr w:rsidR="00722328" w:rsidRPr="001B387F" w14:paraId="2265A9CF"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2A81A65" w14:textId="633949BE" w:rsidR="00722328" w:rsidRPr="001B387F" w:rsidRDefault="00722328" w:rsidP="005E49DB">
            <w:pPr>
              <w:pStyle w:val="TableBodyCopy"/>
            </w:pPr>
            <w:r w:rsidRPr="001B387F">
              <w:t xml:space="preserve">Vietnam Private Sector Development Partnership </w:t>
            </w:r>
          </w:p>
        </w:tc>
        <w:tc>
          <w:tcPr>
            <w:tcW w:w="2693" w:type="dxa"/>
            <w:shd w:val="clear" w:color="auto" w:fill="D2DEE7"/>
          </w:tcPr>
          <w:p w14:paraId="660982FC" w14:textId="5D773C3C"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2022</w:t>
            </w:r>
            <w:r w:rsidR="009E3323" w:rsidRPr="001B387F">
              <w:t>–20</w:t>
            </w:r>
            <w:r w:rsidRPr="001B387F">
              <w:t>27</w:t>
            </w:r>
          </w:p>
        </w:tc>
        <w:tc>
          <w:tcPr>
            <w:tcW w:w="3396" w:type="dxa"/>
            <w:shd w:val="clear" w:color="auto" w:fill="F2F2F2"/>
          </w:tcPr>
          <w:p w14:paraId="15F2E5C6" w14:textId="49786A7B" w:rsidR="00722328" w:rsidRPr="001B387F" w:rsidRDefault="00723E85" w:rsidP="005E49DB">
            <w:pPr>
              <w:pStyle w:val="TableBodyCopy"/>
              <w:cnfStyle w:val="000000100000" w:firstRow="0" w:lastRow="0" w:firstColumn="0" w:lastColumn="0" w:oddVBand="0" w:evenVBand="0" w:oddHBand="1" w:evenHBand="0" w:firstRowFirstColumn="0" w:firstRowLastColumn="0" w:lastRowFirstColumn="0" w:lastRowLastColumn="0"/>
            </w:pPr>
            <w:r w:rsidRPr="001B387F">
              <w:t>IFC</w:t>
            </w:r>
          </w:p>
        </w:tc>
      </w:tr>
      <w:tr w:rsidR="00722328" w:rsidRPr="001B387F" w14:paraId="5A563DB1" w14:textId="77777777" w:rsidTr="005E49DB">
        <w:trPr>
          <w:trHeight w:val="525"/>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1302B9D" w14:textId="77777777" w:rsidR="00722328" w:rsidRPr="001B387F" w:rsidRDefault="00722328" w:rsidP="005E49DB">
            <w:pPr>
              <w:pStyle w:val="TableBodyCopy"/>
            </w:pPr>
            <w:r w:rsidRPr="001B387F">
              <w:t>Australian Water Partnership (AWP)</w:t>
            </w:r>
          </w:p>
        </w:tc>
        <w:tc>
          <w:tcPr>
            <w:tcW w:w="2693" w:type="dxa"/>
            <w:shd w:val="clear" w:color="auto" w:fill="D2DEE7"/>
          </w:tcPr>
          <w:p w14:paraId="2005EF78" w14:textId="5ABAC4C9" w:rsidR="00722328" w:rsidRPr="001B387F" w:rsidRDefault="00786572"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2024</w:t>
            </w:r>
            <w:r w:rsidR="00A2021A" w:rsidRPr="001B387F">
              <w:t>–</w:t>
            </w:r>
            <w:r w:rsidRPr="001B387F">
              <w:t>202</w:t>
            </w:r>
            <w:r w:rsidR="00F54C45" w:rsidRPr="001B387F">
              <w:t>8</w:t>
            </w:r>
          </w:p>
        </w:tc>
        <w:tc>
          <w:tcPr>
            <w:tcW w:w="3396" w:type="dxa"/>
            <w:shd w:val="clear" w:color="auto" w:fill="F2F2F2"/>
          </w:tcPr>
          <w:p w14:paraId="1EC0825F" w14:textId="0D6DBDF1" w:rsidR="00722328" w:rsidRPr="001B387F" w:rsidRDefault="00673A7E" w:rsidP="005E49DB">
            <w:pPr>
              <w:pStyle w:val="TableBodyCopy"/>
              <w:cnfStyle w:val="000000000000" w:firstRow="0" w:lastRow="0" w:firstColumn="0" w:lastColumn="0" w:oddVBand="0" w:evenVBand="0" w:oddHBand="0" w:evenHBand="0" w:firstRowFirstColumn="0" w:firstRowLastColumn="0" w:lastRowFirstColumn="0" w:lastRowLastColumn="0"/>
            </w:pPr>
            <w:r w:rsidRPr="001B387F">
              <w:t>MONRE</w:t>
            </w:r>
            <w:r w:rsidR="00A2021A" w:rsidRPr="001B387F">
              <w:t>;</w:t>
            </w:r>
            <w:r w:rsidRPr="001B387F">
              <w:t xml:space="preserve"> MARD</w:t>
            </w:r>
            <w:r w:rsidR="00A2021A" w:rsidRPr="001B387F">
              <w:t>;</w:t>
            </w:r>
            <w:r w:rsidRPr="001B387F">
              <w:t xml:space="preserve"> </w:t>
            </w:r>
            <w:r w:rsidR="00A042BB" w:rsidRPr="001B387F">
              <w:t>Vietnam Mekong River Commission</w:t>
            </w:r>
            <w:r w:rsidR="00A2021A" w:rsidRPr="001B387F">
              <w:t>;</w:t>
            </w:r>
            <w:r w:rsidR="00A042BB" w:rsidRPr="001B387F">
              <w:t xml:space="preserve"> </w:t>
            </w:r>
            <w:r w:rsidR="003A3AF8" w:rsidRPr="001B387F">
              <w:t>other partners (</w:t>
            </w:r>
            <w:r w:rsidR="00A042BB" w:rsidRPr="001B387F">
              <w:t>TBC</w:t>
            </w:r>
            <w:r w:rsidR="003A3AF8" w:rsidRPr="001B387F">
              <w:t>)</w:t>
            </w:r>
          </w:p>
        </w:tc>
      </w:tr>
      <w:tr w:rsidR="00722328" w:rsidRPr="001B387F" w14:paraId="50EEA35E"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9899E92" w14:textId="542C35AA" w:rsidR="00722328" w:rsidRPr="001B387F" w:rsidRDefault="00722328" w:rsidP="005E49DB">
            <w:pPr>
              <w:pStyle w:val="TableBodyCopy"/>
            </w:pPr>
            <w:r w:rsidRPr="001B387F">
              <w:t>Mekong</w:t>
            </w:r>
            <w:r w:rsidR="006114DB" w:rsidRPr="001B387F">
              <w:t>–</w:t>
            </w:r>
            <w:r w:rsidRPr="001B387F">
              <w:t>Australia Partnership Phase</w:t>
            </w:r>
            <w:r w:rsidR="002B7DBD" w:rsidRPr="001B387F">
              <w:t> </w:t>
            </w:r>
            <w:r w:rsidRPr="001B387F">
              <w:t>2</w:t>
            </w:r>
          </w:p>
        </w:tc>
        <w:tc>
          <w:tcPr>
            <w:tcW w:w="2693" w:type="dxa"/>
            <w:shd w:val="clear" w:color="auto" w:fill="D2DEE7"/>
          </w:tcPr>
          <w:p w14:paraId="6F9516C3" w14:textId="2700CD2D"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2024</w:t>
            </w:r>
            <w:r w:rsidR="009E3323" w:rsidRPr="001B387F">
              <w:t>–</w:t>
            </w:r>
            <w:r w:rsidRPr="001B387F">
              <w:t>2029</w:t>
            </w:r>
          </w:p>
        </w:tc>
        <w:tc>
          <w:tcPr>
            <w:tcW w:w="3396" w:type="dxa"/>
            <w:shd w:val="clear" w:color="auto" w:fill="F2F2F2"/>
          </w:tcPr>
          <w:p w14:paraId="45971ADE" w14:textId="09253D60" w:rsidR="00722328" w:rsidRPr="001B387F" w:rsidRDefault="00884100" w:rsidP="005E49DB">
            <w:pPr>
              <w:pStyle w:val="TableBodyCopy"/>
              <w:cnfStyle w:val="000000100000" w:firstRow="0" w:lastRow="0" w:firstColumn="0" w:lastColumn="0" w:oddVBand="0" w:evenVBand="0" w:oddHBand="1" w:evenHBand="0" w:firstRowFirstColumn="0" w:firstRowLastColumn="0" w:lastRowFirstColumn="0" w:lastRowLastColumn="0"/>
            </w:pPr>
            <w:r w:rsidRPr="001B387F">
              <w:t>MRC; ACMECS; ACIAR; Asia Foundation; World Bank; other partners (TBC)</w:t>
            </w:r>
          </w:p>
        </w:tc>
      </w:tr>
      <w:tr w:rsidR="00722328" w:rsidRPr="001B387F" w14:paraId="3BB1709B" w14:textId="77777777" w:rsidTr="005E49DB">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DFE3C7D" w14:textId="25A2B33A" w:rsidR="00722328" w:rsidRPr="001B387F" w:rsidRDefault="00722328" w:rsidP="005E49DB">
            <w:pPr>
              <w:pStyle w:val="TableBodyCopy"/>
            </w:pPr>
            <w:r w:rsidRPr="001B387F">
              <w:t>Australian Climate Finance Partnership</w:t>
            </w:r>
          </w:p>
        </w:tc>
        <w:tc>
          <w:tcPr>
            <w:tcW w:w="2693" w:type="dxa"/>
            <w:shd w:val="clear" w:color="auto" w:fill="D2DEE7"/>
          </w:tcPr>
          <w:p w14:paraId="4D638477" w14:textId="3C3C05ED"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2019</w:t>
            </w:r>
            <w:r w:rsidR="009E3323" w:rsidRPr="001B387F">
              <w:t>–</w:t>
            </w:r>
            <w:r w:rsidRPr="001B387F">
              <w:t>2029</w:t>
            </w:r>
          </w:p>
        </w:tc>
        <w:tc>
          <w:tcPr>
            <w:tcW w:w="3396" w:type="dxa"/>
            <w:shd w:val="clear" w:color="auto" w:fill="F2F2F2"/>
          </w:tcPr>
          <w:p w14:paraId="7DDDA936" w14:textId="66D54F1E" w:rsidR="00722328" w:rsidRPr="001B387F" w:rsidRDefault="00085F45" w:rsidP="005E49DB">
            <w:pPr>
              <w:pStyle w:val="TableBodyCopy"/>
              <w:cnfStyle w:val="000000000000" w:firstRow="0" w:lastRow="0" w:firstColumn="0" w:lastColumn="0" w:oddVBand="0" w:evenVBand="0" w:oddHBand="0" w:evenHBand="0" w:firstRowFirstColumn="0" w:firstRowLastColumn="0" w:lastRowFirstColumn="0" w:lastRowLastColumn="0"/>
            </w:pPr>
            <w:r w:rsidRPr="001B387F">
              <w:t>T</w:t>
            </w:r>
            <w:r w:rsidR="008E0F6E" w:rsidRPr="001B387F">
              <w:t>BC</w:t>
            </w:r>
          </w:p>
        </w:tc>
      </w:tr>
      <w:tr w:rsidR="00722328" w:rsidRPr="001B387F" w14:paraId="404A92FF"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139CB0B" w14:textId="118077F8" w:rsidR="00722328" w:rsidRPr="001B387F" w:rsidRDefault="00722328" w:rsidP="005E49DB">
            <w:pPr>
              <w:pStyle w:val="TableBodyCopy"/>
            </w:pPr>
            <w:r w:rsidRPr="001B387F">
              <w:t>Southeast Asia and Australia Government</w:t>
            </w:r>
            <w:r w:rsidR="008D6EB4" w:rsidRPr="001B387F">
              <w:t>-</w:t>
            </w:r>
            <w:r w:rsidRPr="001B387F">
              <w:t>to</w:t>
            </w:r>
            <w:r w:rsidR="008D6EB4" w:rsidRPr="001B387F">
              <w:t>-</w:t>
            </w:r>
            <w:r w:rsidRPr="001B387F">
              <w:t xml:space="preserve">Government </w:t>
            </w:r>
            <w:r w:rsidR="008D6EB4" w:rsidRPr="001B387F">
              <w:t xml:space="preserve">Partnerships program </w:t>
            </w:r>
            <w:r w:rsidRPr="001B387F">
              <w:t>(</w:t>
            </w:r>
            <w:r w:rsidR="008D6EB4" w:rsidRPr="001B387F">
              <w:t>SEA</w:t>
            </w:r>
            <w:r w:rsidRPr="001B387F">
              <w:t>G2G)</w:t>
            </w:r>
          </w:p>
        </w:tc>
        <w:tc>
          <w:tcPr>
            <w:tcW w:w="2693" w:type="dxa"/>
            <w:shd w:val="clear" w:color="auto" w:fill="D2DEE7"/>
          </w:tcPr>
          <w:p w14:paraId="412F2B94" w14:textId="1A52D63F"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w:t>
            </w:r>
            <w:r w:rsidRPr="001B387F">
              <w:t>2028</w:t>
            </w:r>
          </w:p>
        </w:tc>
        <w:tc>
          <w:tcPr>
            <w:tcW w:w="3396" w:type="dxa"/>
            <w:shd w:val="clear" w:color="auto" w:fill="F2F2F2"/>
          </w:tcPr>
          <w:p w14:paraId="49A7AAA7" w14:textId="58007741" w:rsidR="00722328" w:rsidRPr="001B387F" w:rsidRDefault="00D07664" w:rsidP="005E49DB">
            <w:pPr>
              <w:pStyle w:val="TableBodyCopy"/>
              <w:cnfStyle w:val="000000100000" w:firstRow="0" w:lastRow="0" w:firstColumn="0" w:lastColumn="0" w:oddVBand="0" w:evenVBand="0" w:oddHBand="1" w:evenHBand="0" w:firstRowFirstColumn="0" w:firstRowLastColumn="0" w:lastRowFirstColumn="0" w:lastRowLastColumn="0"/>
            </w:pPr>
            <w:r w:rsidRPr="001B387F">
              <w:t>ASEAN</w:t>
            </w:r>
            <w:r w:rsidR="00360A64" w:rsidRPr="001B387F">
              <w:t>;</w:t>
            </w:r>
            <w:r w:rsidRPr="001B387F">
              <w:t xml:space="preserve"> Cambodia</w:t>
            </w:r>
            <w:r w:rsidR="00360A64" w:rsidRPr="001B387F">
              <w:t>;</w:t>
            </w:r>
            <w:r w:rsidRPr="001B387F">
              <w:t xml:space="preserve"> Indonesia</w:t>
            </w:r>
            <w:r w:rsidR="00360A64" w:rsidRPr="001B387F">
              <w:t>;</w:t>
            </w:r>
            <w:r w:rsidRPr="001B387F">
              <w:t xml:space="preserve"> Laos</w:t>
            </w:r>
            <w:r w:rsidR="00360A64" w:rsidRPr="001B387F">
              <w:t>;</w:t>
            </w:r>
            <w:r w:rsidRPr="001B387F">
              <w:t xml:space="preserve"> Malaysia</w:t>
            </w:r>
            <w:r w:rsidR="00360A64" w:rsidRPr="001B387F">
              <w:t>;</w:t>
            </w:r>
            <w:r w:rsidRPr="001B387F">
              <w:t xml:space="preserve"> the Philippines</w:t>
            </w:r>
            <w:r w:rsidR="00360A64" w:rsidRPr="001B387F">
              <w:t>;</w:t>
            </w:r>
            <w:r w:rsidRPr="001B387F">
              <w:t xml:space="preserve"> Thailand</w:t>
            </w:r>
            <w:r w:rsidR="00360A64" w:rsidRPr="001B387F">
              <w:t>;</w:t>
            </w:r>
            <w:r w:rsidRPr="001B387F">
              <w:t xml:space="preserve"> Timor-Leste</w:t>
            </w:r>
            <w:r w:rsidR="00360A64" w:rsidRPr="001B387F">
              <w:t>;</w:t>
            </w:r>
            <w:r w:rsidRPr="001B387F">
              <w:t xml:space="preserve"> Vietnam</w:t>
            </w:r>
          </w:p>
        </w:tc>
      </w:tr>
      <w:tr w:rsidR="00722328" w:rsidRPr="001B387F" w14:paraId="09D72374" w14:textId="77777777" w:rsidTr="005E49DB">
        <w:trPr>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7F621AC" w14:textId="6131C796" w:rsidR="00722328" w:rsidRPr="001B387F" w:rsidRDefault="00722328" w:rsidP="005E49DB">
            <w:pPr>
              <w:pStyle w:val="TableBodyCopy"/>
            </w:pPr>
            <w:r w:rsidRPr="001B387F">
              <w:t>Impact Private Sector Partnership</w:t>
            </w:r>
            <w:r w:rsidR="001B1538" w:rsidRPr="001B387F">
              <w:t>s</w:t>
            </w:r>
            <w:r w:rsidRPr="001B387F">
              <w:t xml:space="preserve"> (IPSP), including Business Partnership</w:t>
            </w:r>
            <w:r w:rsidR="00F25642" w:rsidRPr="001B387F">
              <w:t>s</w:t>
            </w:r>
            <w:r w:rsidRPr="001B387F">
              <w:t xml:space="preserve"> Platform (BPP) and Business Engagement Support Unit (BESU)</w:t>
            </w:r>
          </w:p>
        </w:tc>
        <w:tc>
          <w:tcPr>
            <w:tcW w:w="2693" w:type="dxa"/>
            <w:shd w:val="clear" w:color="auto" w:fill="D2DEE7"/>
          </w:tcPr>
          <w:p w14:paraId="08767F95" w14:textId="0DC92C44"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2018</w:t>
            </w:r>
            <w:r w:rsidR="009E3323" w:rsidRPr="001B387F">
              <w:t>–</w:t>
            </w:r>
            <w:r w:rsidRPr="001B387F">
              <w:t>2027</w:t>
            </w:r>
          </w:p>
        </w:tc>
        <w:tc>
          <w:tcPr>
            <w:tcW w:w="3396" w:type="dxa"/>
            <w:shd w:val="clear" w:color="auto" w:fill="F2F2F2"/>
          </w:tcPr>
          <w:p w14:paraId="45091E2B" w14:textId="748C7435"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Private </w:t>
            </w:r>
            <w:r w:rsidR="00795F59" w:rsidRPr="001B387F">
              <w:t>s</w:t>
            </w:r>
            <w:r w:rsidRPr="001B387F">
              <w:t>ector</w:t>
            </w:r>
          </w:p>
        </w:tc>
      </w:tr>
      <w:tr w:rsidR="00722328" w:rsidRPr="001B387F" w14:paraId="036D0701" w14:textId="77777777" w:rsidTr="005E49D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0E932E65" w14:textId="24EBD441" w:rsidR="00722328" w:rsidRPr="001B387F" w:rsidRDefault="00AF707B" w:rsidP="005E49DB">
            <w:pPr>
              <w:pStyle w:val="TableBodyCopy"/>
            </w:pPr>
            <w:r w:rsidRPr="001B387F">
              <w:t xml:space="preserve">Southeast Asia Investment </w:t>
            </w:r>
            <w:r w:rsidR="00722328" w:rsidRPr="001B387F">
              <w:t>Deal Team</w:t>
            </w:r>
            <w:r w:rsidRPr="001B387F">
              <w:t>s</w:t>
            </w:r>
            <w:r w:rsidR="00722328" w:rsidRPr="001B387F">
              <w:t xml:space="preserve"> </w:t>
            </w:r>
            <w:r w:rsidRPr="001B387F">
              <w:t>–</w:t>
            </w:r>
            <w:r w:rsidR="00722328" w:rsidRPr="001B387F">
              <w:t xml:space="preserve"> Southeast Asia Investment Financing Facility</w:t>
            </w:r>
          </w:p>
        </w:tc>
        <w:tc>
          <w:tcPr>
            <w:tcW w:w="2693" w:type="dxa"/>
            <w:shd w:val="clear" w:color="auto" w:fill="D2DEE7"/>
          </w:tcPr>
          <w:p w14:paraId="3F679216" w14:textId="17587EA1"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2022</w:t>
            </w:r>
            <w:r w:rsidR="009E3323" w:rsidRPr="001B387F">
              <w:t>–</w:t>
            </w:r>
            <w:r w:rsidRPr="001B387F">
              <w:t>2040</w:t>
            </w:r>
          </w:p>
        </w:tc>
        <w:tc>
          <w:tcPr>
            <w:tcW w:w="3396" w:type="dxa"/>
            <w:shd w:val="clear" w:color="auto" w:fill="F2F2F2"/>
          </w:tcPr>
          <w:p w14:paraId="035C3515" w14:textId="2E1BFC42" w:rsidR="00722328" w:rsidRPr="001B387F" w:rsidRDefault="00456FA0" w:rsidP="005E49DB">
            <w:pPr>
              <w:pStyle w:val="TableBodyCopy"/>
              <w:cnfStyle w:val="000000100000" w:firstRow="0" w:lastRow="0" w:firstColumn="0" w:lastColumn="0" w:oddVBand="0" w:evenVBand="0" w:oddHBand="1" w:evenHBand="0" w:firstRowFirstColumn="0" w:firstRowLastColumn="0" w:lastRowFirstColumn="0" w:lastRowLastColumn="0"/>
            </w:pPr>
            <w:r w:rsidRPr="001B387F">
              <w:t>Government of Vietnam</w:t>
            </w:r>
            <w:r w:rsidR="00885006" w:rsidRPr="001B387F">
              <w:rPr>
                <w:rFonts w:eastAsia="Calibri Light"/>
              </w:rPr>
              <w:t>;</w:t>
            </w:r>
            <w:r w:rsidR="00722328" w:rsidRPr="001B387F">
              <w:rPr>
                <w:rFonts w:eastAsia="Calibri Light"/>
              </w:rPr>
              <w:t xml:space="preserve"> </w:t>
            </w:r>
            <w:r w:rsidR="00723E85" w:rsidRPr="001B387F">
              <w:rPr>
                <w:rFonts w:eastAsia="Calibri Light"/>
              </w:rPr>
              <w:t>m</w:t>
            </w:r>
            <w:r w:rsidR="00722328" w:rsidRPr="001B387F">
              <w:rPr>
                <w:rFonts w:eastAsia="Calibri Light"/>
              </w:rPr>
              <w:t xml:space="preserve">ultilateral </w:t>
            </w:r>
            <w:r w:rsidRPr="001B387F">
              <w:rPr>
                <w:rFonts w:eastAsia="Calibri Light"/>
              </w:rPr>
              <w:t xml:space="preserve">development </w:t>
            </w:r>
            <w:r w:rsidR="00722328" w:rsidRPr="001B387F">
              <w:rPr>
                <w:rFonts w:eastAsia="Calibri Light"/>
              </w:rPr>
              <w:t>banks</w:t>
            </w:r>
            <w:r w:rsidR="00885006" w:rsidRPr="001B387F">
              <w:rPr>
                <w:rFonts w:eastAsia="Calibri Light"/>
              </w:rPr>
              <w:t>’</w:t>
            </w:r>
            <w:r w:rsidR="00722328" w:rsidRPr="001B387F">
              <w:rPr>
                <w:rFonts w:eastAsia="Calibri Light"/>
              </w:rPr>
              <w:t xml:space="preserve"> </w:t>
            </w:r>
            <w:r w:rsidR="00723E85" w:rsidRPr="001B387F">
              <w:rPr>
                <w:rFonts w:eastAsia="Calibri Light"/>
              </w:rPr>
              <w:t>d</w:t>
            </w:r>
            <w:r w:rsidR="00722328" w:rsidRPr="001B387F">
              <w:rPr>
                <w:rFonts w:eastAsia="Calibri Light"/>
              </w:rPr>
              <w:t xml:space="preserve">evelopment </w:t>
            </w:r>
            <w:r w:rsidR="00723E85" w:rsidRPr="001B387F">
              <w:rPr>
                <w:rFonts w:eastAsia="Calibri Light"/>
              </w:rPr>
              <w:t>f</w:t>
            </w:r>
            <w:r w:rsidR="00722328" w:rsidRPr="001B387F">
              <w:rPr>
                <w:rFonts w:eastAsia="Calibri Light"/>
              </w:rPr>
              <w:t xml:space="preserve">inance </w:t>
            </w:r>
            <w:r w:rsidR="00723E85" w:rsidRPr="001B387F">
              <w:rPr>
                <w:rFonts w:eastAsia="Calibri Light"/>
              </w:rPr>
              <w:t>i</w:t>
            </w:r>
            <w:r w:rsidR="00722328" w:rsidRPr="001B387F">
              <w:rPr>
                <w:rFonts w:eastAsia="Calibri Light"/>
              </w:rPr>
              <w:t>nstitutions</w:t>
            </w:r>
            <w:r w:rsidR="00885006" w:rsidRPr="001B387F">
              <w:rPr>
                <w:rFonts w:eastAsia="Calibri Light"/>
              </w:rPr>
              <w:t>;</w:t>
            </w:r>
            <w:r w:rsidR="00722328" w:rsidRPr="001B387F">
              <w:rPr>
                <w:rFonts w:eastAsia="Calibri Light"/>
              </w:rPr>
              <w:t xml:space="preserve"> </w:t>
            </w:r>
            <w:r w:rsidR="00795F59" w:rsidRPr="001B387F">
              <w:rPr>
                <w:rFonts w:eastAsia="Calibri Light"/>
              </w:rPr>
              <w:t>p</w:t>
            </w:r>
            <w:r w:rsidR="00722328" w:rsidRPr="001B387F">
              <w:rPr>
                <w:rFonts w:eastAsia="Calibri Light"/>
              </w:rPr>
              <w:t xml:space="preserve">rivate </w:t>
            </w:r>
            <w:r w:rsidR="00795F59" w:rsidRPr="001B387F">
              <w:rPr>
                <w:rFonts w:eastAsia="Calibri Light"/>
              </w:rPr>
              <w:t>s</w:t>
            </w:r>
            <w:r w:rsidR="00722328" w:rsidRPr="001B387F">
              <w:rPr>
                <w:rFonts w:eastAsia="Calibri Light"/>
              </w:rPr>
              <w:t>ector</w:t>
            </w:r>
            <w:r w:rsidR="00885006" w:rsidRPr="001B387F">
              <w:rPr>
                <w:rFonts w:eastAsia="Calibri Light"/>
              </w:rPr>
              <w:t>;</w:t>
            </w:r>
            <w:r w:rsidR="00722328" w:rsidRPr="001B387F">
              <w:rPr>
                <w:rFonts w:eastAsia="Calibri Light"/>
              </w:rPr>
              <w:t xml:space="preserve"> </w:t>
            </w:r>
            <w:r w:rsidRPr="001B387F">
              <w:rPr>
                <w:rFonts w:eastAsia="Calibri Light"/>
              </w:rPr>
              <w:t>export credit agencies</w:t>
            </w:r>
          </w:p>
        </w:tc>
      </w:tr>
    </w:tbl>
    <w:p w14:paraId="1D59403D" w14:textId="7A4B1149" w:rsidR="00797D55" w:rsidRPr="001B387F" w:rsidRDefault="00797D55" w:rsidP="00B21FE9">
      <w:pPr>
        <w:keepNext/>
        <w:keepLines/>
        <w:widowControl w:val="0"/>
        <w:rPr>
          <w:rFonts w:cs="Calibri"/>
          <w:b/>
          <w:bCs/>
          <w:sz w:val="24"/>
          <w:szCs w:val="24"/>
        </w:rPr>
      </w:pPr>
      <w:r w:rsidRPr="001B387F">
        <w:rPr>
          <w:lang w:eastAsia="en-AU"/>
        </w:rPr>
        <w:lastRenderedPageBreak/>
        <w:t>Australian Government supporting investments/activities for Objective 4 (</w:t>
      </w:r>
      <w:r w:rsidRPr="001B387F">
        <w:rPr>
          <w:rFonts w:eastAsia="Calibri Light"/>
        </w:rPr>
        <w:t xml:space="preserve">bilateral </w:t>
      </w:r>
      <w:r w:rsidRPr="001B387F">
        <w:rPr>
          <w:lang w:eastAsia="en-AU"/>
        </w:rPr>
        <w:t xml:space="preserve">Official Development Assistance (ODA) as well as significant regional and global ODA, and significant </w:t>
      </w:r>
      <w:proofErr w:type="spellStart"/>
      <w:r w:rsidRPr="001B387F">
        <w:rPr>
          <w:lang w:eastAsia="en-AU"/>
        </w:rPr>
        <w:t>non-ODA</w:t>
      </w:r>
      <w:proofErr w:type="spellEnd"/>
      <w:r w:rsidRPr="001B387F">
        <w:rPr>
          <w:lang w:eastAsia="en-AU"/>
        </w:rPr>
        <w:t xml:space="preserve"> development investments/activities)</w:t>
      </w:r>
    </w:p>
    <w:tbl>
      <w:tblPr>
        <w:tblStyle w:val="ListTable3-Accent1"/>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4"/>
        <w:tblDescription w:val="Investments and activities, duration and key partners"/>
      </w:tblPr>
      <w:tblGrid>
        <w:gridCol w:w="4105"/>
        <w:gridCol w:w="2693"/>
        <w:gridCol w:w="3396"/>
      </w:tblGrid>
      <w:tr w:rsidR="00722328" w:rsidRPr="001B387F" w14:paraId="68D4673A" w14:textId="77777777" w:rsidTr="0055653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105" w:type="dxa"/>
            <w:shd w:val="clear" w:color="auto" w:fill="3A586E"/>
          </w:tcPr>
          <w:p w14:paraId="1090F4A6" w14:textId="30D4DFD4" w:rsidR="00722328" w:rsidRPr="001B387F" w:rsidRDefault="00722328" w:rsidP="00B21FE9">
            <w:pPr>
              <w:pStyle w:val="TableHeading"/>
              <w:keepNext/>
              <w:keepLines/>
              <w:widowControl w:val="0"/>
              <w:rPr>
                <w:b w:val="0"/>
                <w:bCs/>
              </w:rPr>
            </w:pPr>
            <w:r w:rsidRPr="001B387F">
              <w:rPr>
                <w:bCs/>
              </w:rPr>
              <w:t>Name of investment</w:t>
            </w:r>
            <w:r w:rsidR="00C13AA5" w:rsidRPr="001B387F">
              <w:rPr>
                <w:bCs/>
              </w:rPr>
              <w:t>/activity</w:t>
            </w:r>
          </w:p>
        </w:tc>
        <w:tc>
          <w:tcPr>
            <w:tcW w:w="2693" w:type="dxa"/>
            <w:shd w:val="clear" w:color="auto" w:fill="3A586E"/>
          </w:tcPr>
          <w:p w14:paraId="24064EDC" w14:textId="77777777" w:rsidR="00722328" w:rsidRPr="001B387F" w:rsidRDefault="00722328" w:rsidP="00B21FE9">
            <w:pPr>
              <w:pStyle w:val="TableHeading"/>
              <w:keepNext/>
              <w:keepLines/>
              <w:widowControl w:val="0"/>
              <w:cnfStyle w:val="100000000000" w:firstRow="1" w:lastRow="0" w:firstColumn="0" w:lastColumn="0" w:oddVBand="0" w:evenVBand="0" w:oddHBand="0" w:evenHBand="0" w:firstRowFirstColumn="0" w:firstRowLastColumn="0" w:lastRowFirstColumn="0" w:lastRowLastColumn="0"/>
              <w:rPr>
                <w:b w:val="0"/>
                <w:bCs/>
              </w:rPr>
            </w:pPr>
            <w:r w:rsidRPr="001B387F">
              <w:rPr>
                <w:bCs/>
              </w:rPr>
              <w:t>Duration</w:t>
            </w:r>
          </w:p>
        </w:tc>
        <w:tc>
          <w:tcPr>
            <w:tcW w:w="3396" w:type="dxa"/>
            <w:shd w:val="clear" w:color="auto" w:fill="3A586E"/>
          </w:tcPr>
          <w:p w14:paraId="210C1D7F" w14:textId="77777777" w:rsidR="00722328" w:rsidRPr="001B387F" w:rsidRDefault="00722328" w:rsidP="00B21FE9">
            <w:pPr>
              <w:pStyle w:val="TableHeading"/>
              <w:keepNext/>
              <w:keepLines/>
              <w:widowControl w:val="0"/>
              <w:cnfStyle w:val="100000000000" w:firstRow="1" w:lastRow="0" w:firstColumn="0" w:lastColumn="0" w:oddVBand="0" w:evenVBand="0" w:oddHBand="0" w:evenHBand="0" w:firstRowFirstColumn="0" w:firstRowLastColumn="0" w:lastRowFirstColumn="0" w:lastRowLastColumn="0"/>
              <w:rPr>
                <w:b w:val="0"/>
                <w:bCs/>
              </w:rPr>
            </w:pPr>
            <w:r w:rsidRPr="001B387F">
              <w:rPr>
                <w:bCs/>
              </w:rPr>
              <w:t>Key partners</w:t>
            </w:r>
          </w:p>
        </w:tc>
      </w:tr>
      <w:tr w:rsidR="00DE1C81" w:rsidRPr="001B387F" w14:paraId="2DA02A5A" w14:textId="77777777" w:rsidTr="00556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78910F6" w14:textId="3211B927" w:rsidR="00722328" w:rsidRPr="001B387F" w:rsidRDefault="00722328" w:rsidP="00B21FE9">
            <w:pPr>
              <w:pStyle w:val="TableBodyCopy"/>
              <w:keepNext/>
              <w:keepLines/>
              <w:widowControl w:val="0"/>
            </w:pPr>
            <w:r w:rsidRPr="001B387F">
              <w:t>Aus4Equality Phase</w:t>
            </w:r>
            <w:r w:rsidR="002B7DBD" w:rsidRPr="001B387F">
              <w:t> </w:t>
            </w:r>
            <w:r w:rsidRPr="001B387F">
              <w:t>2</w:t>
            </w:r>
          </w:p>
        </w:tc>
        <w:tc>
          <w:tcPr>
            <w:tcW w:w="2693" w:type="dxa"/>
            <w:shd w:val="clear" w:color="auto" w:fill="D2DEE7"/>
          </w:tcPr>
          <w:p w14:paraId="205C6EA2" w14:textId="4E2FAE2D" w:rsidR="00722328" w:rsidRPr="001B387F" w:rsidRDefault="00722328" w:rsidP="00B21FE9">
            <w:pPr>
              <w:pStyle w:val="TableBodyCopy"/>
              <w:keepNext/>
              <w:keepLines/>
              <w:widowControl w:val="0"/>
              <w:cnfStyle w:val="000000100000" w:firstRow="0" w:lastRow="0" w:firstColumn="0" w:lastColumn="0" w:oddVBand="0" w:evenVBand="0" w:oddHBand="1" w:evenHBand="0" w:firstRowFirstColumn="0" w:firstRowLastColumn="0" w:lastRowFirstColumn="0" w:lastRowLastColumn="0"/>
            </w:pPr>
            <w:r w:rsidRPr="001B387F">
              <w:t>2022</w:t>
            </w:r>
            <w:r w:rsidR="009E3323" w:rsidRPr="001B387F">
              <w:t>–</w:t>
            </w:r>
            <w:r w:rsidR="00F3663C" w:rsidRPr="001B387F">
              <w:t>20</w:t>
            </w:r>
            <w:r w:rsidRPr="001B387F">
              <w:t>27</w:t>
            </w:r>
          </w:p>
        </w:tc>
        <w:tc>
          <w:tcPr>
            <w:tcW w:w="3396" w:type="dxa"/>
            <w:shd w:val="clear" w:color="auto" w:fill="F2F2F2" w:themeFill="background1" w:themeFillShade="F2"/>
          </w:tcPr>
          <w:p w14:paraId="150CF859" w14:textId="47DF241C" w:rsidR="00722328" w:rsidRPr="001B387F" w:rsidRDefault="00722328" w:rsidP="00B21FE9">
            <w:pPr>
              <w:pStyle w:val="TableBodyCopy"/>
              <w:keepNext/>
              <w:keepLines/>
              <w:widowControl w:val="0"/>
              <w:cnfStyle w:val="000000100000" w:firstRow="0" w:lastRow="0" w:firstColumn="0" w:lastColumn="0" w:oddVBand="0" w:evenVBand="0" w:oddHBand="1" w:evenHBand="0" w:firstRowFirstColumn="0" w:firstRowLastColumn="0" w:lastRowFirstColumn="0" w:lastRowLastColumn="0"/>
            </w:pPr>
            <w:r w:rsidRPr="001B387F">
              <w:t>Son La and Lao Cai Provincial People’s Committees</w:t>
            </w:r>
            <w:r w:rsidR="006A70FE" w:rsidRPr="001B387F">
              <w:t>;</w:t>
            </w:r>
            <w:r w:rsidRPr="001B387F">
              <w:t xml:space="preserve"> National Assembly Ethnic Council</w:t>
            </w:r>
            <w:r w:rsidR="000538AB" w:rsidRPr="001B387F">
              <w:t>;</w:t>
            </w:r>
            <w:r w:rsidRPr="001B387F">
              <w:t xml:space="preserve"> MPI</w:t>
            </w:r>
            <w:r w:rsidR="00720CCE" w:rsidRPr="001B387F">
              <w:t>;</w:t>
            </w:r>
            <w:r w:rsidRPr="001B387F">
              <w:t xml:space="preserve"> MARD</w:t>
            </w:r>
            <w:r w:rsidR="00CB23B9" w:rsidRPr="001B387F">
              <w:t>;</w:t>
            </w:r>
            <w:r w:rsidRPr="001B387F">
              <w:t xml:space="preserve"> MOLISA</w:t>
            </w:r>
            <w:r w:rsidR="00220A6E" w:rsidRPr="001B387F">
              <w:t>;</w:t>
            </w:r>
            <w:r w:rsidRPr="001B387F">
              <w:t xml:space="preserve"> </w:t>
            </w:r>
            <w:r w:rsidR="00A948E2" w:rsidRPr="001B387F">
              <w:t>Committee for Ethnic Minority Affairs;</w:t>
            </w:r>
            <w:r w:rsidRPr="001B387F">
              <w:t xml:space="preserve"> Vietnam Women’s Union</w:t>
            </w:r>
          </w:p>
        </w:tc>
      </w:tr>
      <w:tr w:rsidR="00DE1C81" w:rsidRPr="001B387F" w14:paraId="4AACF9A1" w14:textId="77777777" w:rsidTr="00556536">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4858520" w14:textId="72FF5716" w:rsidR="00722328" w:rsidRPr="001B387F" w:rsidRDefault="00722328" w:rsidP="005E49DB">
            <w:pPr>
              <w:pStyle w:val="TableBodyCopy"/>
            </w:pPr>
            <w:r w:rsidRPr="001B387F">
              <w:t>Gender-Responsive Equitable Agriculture and Tourism (GREAT) Phase</w:t>
            </w:r>
            <w:r w:rsidR="002B7DBD" w:rsidRPr="001B387F">
              <w:t> </w:t>
            </w:r>
            <w:r w:rsidRPr="001B387F">
              <w:t>2</w:t>
            </w:r>
          </w:p>
        </w:tc>
        <w:tc>
          <w:tcPr>
            <w:tcW w:w="2693" w:type="dxa"/>
            <w:shd w:val="clear" w:color="auto" w:fill="D2DEE7"/>
          </w:tcPr>
          <w:p w14:paraId="415112F0" w14:textId="7C3CFDEF"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w:t>
            </w:r>
            <w:r w:rsidR="00F3663C" w:rsidRPr="001B387F">
              <w:t>20</w:t>
            </w:r>
            <w:r w:rsidRPr="001B387F">
              <w:t>27</w:t>
            </w:r>
          </w:p>
        </w:tc>
        <w:tc>
          <w:tcPr>
            <w:tcW w:w="3396" w:type="dxa"/>
            <w:shd w:val="clear" w:color="auto" w:fill="F2F2F2" w:themeFill="background1" w:themeFillShade="F2"/>
          </w:tcPr>
          <w:p w14:paraId="5E5053D5" w14:textId="78EC7D6D" w:rsidR="00722328" w:rsidRPr="001B387F" w:rsidRDefault="009F246B" w:rsidP="005E49DB">
            <w:pPr>
              <w:pStyle w:val="TableBodyCopy"/>
              <w:cnfStyle w:val="000000000000" w:firstRow="0" w:lastRow="0" w:firstColumn="0" w:lastColumn="0" w:oddVBand="0" w:evenVBand="0" w:oddHBand="0" w:evenHBand="0" w:firstRowFirstColumn="0" w:firstRowLastColumn="0" w:lastRowFirstColumn="0" w:lastRowLastColumn="0"/>
            </w:pPr>
            <w:r w:rsidRPr="001B387F">
              <w:t>TBC</w:t>
            </w:r>
          </w:p>
        </w:tc>
      </w:tr>
      <w:tr w:rsidR="00DE1C81" w:rsidRPr="001B387F" w14:paraId="30024778" w14:textId="77777777" w:rsidTr="0055653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8F17ADD" w14:textId="45AF783B" w:rsidR="00722328" w:rsidRPr="001B387F" w:rsidRDefault="00722328" w:rsidP="005E49DB">
            <w:pPr>
              <w:pStyle w:val="TableBodyCopy"/>
            </w:pPr>
            <w:r w:rsidRPr="001B387F">
              <w:t>Technical support for revision of Vietnam’s Gender Equality Law</w:t>
            </w:r>
            <w:r w:rsidR="00A445ED" w:rsidRPr="001B387F">
              <w:t xml:space="preserve"> and</w:t>
            </w:r>
            <w:r w:rsidRPr="001B387F">
              <w:t xml:space="preserve"> Disability Law</w:t>
            </w:r>
          </w:p>
        </w:tc>
        <w:tc>
          <w:tcPr>
            <w:tcW w:w="2693" w:type="dxa"/>
            <w:shd w:val="clear" w:color="auto" w:fill="D2DEE7"/>
          </w:tcPr>
          <w:p w14:paraId="13036746" w14:textId="0A1B9AE5"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2021</w:t>
            </w:r>
            <w:r w:rsidR="009E3323" w:rsidRPr="001B387F">
              <w:t>–</w:t>
            </w:r>
            <w:r w:rsidR="00F3663C" w:rsidRPr="001B387F">
              <w:t>20</w:t>
            </w:r>
            <w:r w:rsidRPr="001B387F">
              <w:t>25</w:t>
            </w:r>
          </w:p>
        </w:tc>
        <w:tc>
          <w:tcPr>
            <w:tcW w:w="3396" w:type="dxa"/>
            <w:shd w:val="clear" w:color="auto" w:fill="F2F2F2" w:themeFill="background1" w:themeFillShade="F2"/>
          </w:tcPr>
          <w:p w14:paraId="049DACFE" w14:textId="77777777"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UN Women</w:t>
            </w:r>
          </w:p>
        </w:tc>
      </w:tr>
      <w:tr w:rsidR="00DE1C81" w:rsidRPr="001B387F" w14:paraId="3C874174" w14:textId="77777777" w:rsidTr="00556536">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627C8D19" w14:textId="0AE81383" w:rsidR="00722328" w:rsidRPr="001B387F" w:rsidRDefault="00722328" w:rsidP="005E49DB">
            <w:pPr>
              <w:pStyle w:val="TableBodyCopy"/>
            </w:pPr>
            <w:r w:rsidRPr="001B387F">
              <w:t xml:space="preserve">Equitable </w:t>
            </w:r>
            <w:r w:rsidR="00F732B2">
              <w:t>S</w:t>
            </w:r>
            <w:r w:rsidRPr="001B387F">
              <w:t xml:space="preserve">ocial </w:t>
            </w:r>
            <w:r w:rsidR="00F732B2">
              <w:t>P</w:t>
            </w:r>
            <w:r w:rsidRPr="001B387F">
              <w:t>rotection</w:t>
            </w:r>
          </w:p>
        </w:tc>
        <w:tc>
          <w:tcPr>
            <w:tcW w:w="2693" w:type="dxa"/>
            <w:shd w:val="clear" w:color="auto" w:fill="D2DEE7"/>
          </w:tcPr>
          <w:p w14:paraId="5F3DF55C" w14:textId="704F39AA"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2023</w:t>
            </w:r>
            <w:r w:rsidR="009E3323" w:rsidRPr="001B387F">
              <w:t>–</w:t>
            </w:r>
            <w:r w:rsidR="00F3663C" w:rsidRPr="001B387F">
              <w:t>20</w:t>
            </w:r>
            <w:r w:rsidRPr="001B387F">
              <w:t>26</w:t>
            </w:r>
          </w:p>
        </w:tc>
        <w:tc>
          <w:tcPr>
            <w:tcW w:w="3396" w:type="dxa"/>
            <w:shd w:val="clear" w:color="auto" w:fill="F2F2F2" w:themeFill="background1" w:themeFillShade="F2"/>
          </w:tcPr>
          <w:p w14:paraId="66FABF3C" w14:textId="10FDF824" w:rsidR="00722328" w:rsidRPr="001B387F" w:rsidRDefault="007F21E3" w:rsidP="005E49DB">
            <w:pPr>
              <w:pStyle w:val="TableBodyCopy"/>
              <w:cnfStyle w:val="000000000000" w:firstRow="0" w:lastRow="0" w:firstColumn="0" w:lastColumn="0" w:oddVBand="0" w:evenVBand="0" w:oddHBand="0" w:evenHBand="0" w:firstRowFirstColumn="0" w:firstRowLastColumn="0" w:lastRowFirstColumn="0" w:lastRowLastColumn="0"/>
            </w:pPr>
            <w:r w:rsidRPr="001B387F">
              <w:t>International Labour Organi</w:t>
            </w:r>
            <w:r w:rsidR="008720E3">
              <w:t>s</w:t>
            </w:r>
            <w:r w:rsidRPr="001B387F">
              <w:t>ation</w:t>
            </w:r>
          </w:p>
        </w:tc>
      </w:tr>
      <w:tr w:rsidR="00DE1C81" w:rsidRPr="001B387F" w14:paraId="3C5F515A" w14:textId="77777777" w:rsidTr="00556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BE6E51F" w14:textId="77777777" w:rsidR="00722328" w:rsidRPr="001B387F" w:rsidRDefault="00722328" w:rsidP="005E49DB">
            <w:pPr>
              <w:pStyle w:val="TableBodyCopy"/>
            </w:pPr>
            <w:r w:rsidRPr="001B387F">
              <w:t>Ending Violence Against Women and Children</w:t>
            </w:r>
          </w:p>
        </w:tc>
        <w:tc>
          <w:tcPr>
            <w:tcW w:w="2693" w:type="dxa"/>
            <w:shd w:val="clear" w:color="auto" w:fill="D2DEE7"/>
          </w:tcPr>
          <w:p w14:paraId="53F091E7" w14:textId="3098B206"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2021</w:t>
            </w:r>
            <w:r w:rsidR="009E3323" w:rsidRPr="001B387F">
              <w:t>–</w:t>
            </w:r>
            <w:r w:rsidR="00F3663C" w:rsidRPr="001B387F">
              <w:t>20</w:t>
            </w:r>
            <w:r w:rsidRPr="001B387F">
              <w:t>25</w:t>
            </w:r>
          </w:p>
        </w:tc>
        <w:tc>
          <w:tcPr>
            <w:tcW w:w="3396" w:type="dxa"/>
            <w:shd w:val="clear" w:color="auto" w:fill="F2F2F2" w:themeFill="background1" w:themeFillShade="F2"/>
          </w:tcPr>
          <w:p w14:paraId="4F1A3B3C" w14:textId="5780918E"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UN Women</w:t>
            </w:r>
            <w:r w:rsidR="001B2731" w:rsidRPr="001B387F">
              <w:t>;</w:t>
            </w:r>
            <w:r w:rsidRPr="001B387F">
              <w:t xml:space="preserve"> </w:t>
            </w:r>
            <w:r w:rsidR="00FF6703" w:rsidRPr="001B387F">
              <w:t>United Nations Population Fund (</w:t>
            </w:r>
            <w:r w:rsidRPr="001B387F">
              <w:t>UNFPA</w:t>
            </w:r>
            <w:r w:rsidR="00FF6703" w:rsidRPr="001B387F">
              <w:t>);</w:t>
            </w:r>
            <w:r w:rsidRPr="001B387F">
              <w:t xml:space="preserve"> UNICEF</w:t>
            </w:r>
            <w:r w:rsidR="007B6CB6" w:rsidRPr="001B387F">
              <w:t>;</w:t>
            </w:r>
            <w:r w:rsidRPr="001B387F">
              <w:t xml:space="preserve"> MOLISA</w:t>
            </w:r>
            <w:r w:rsidR="00220A6E" w:rsidRPr="001B387F">
              <w:t>;</w:t>
            </w:r>
            <w:r w:rsidRPr="001B387F">
              <w:t xml:space="preserve"> </w:t>
            </w:r>
            <w:r w:rsidR="00322508" w:rsidRPr="001B387F">
              <w:t xml:space="preserve">Ministry of Culture, </w:t>
            </w:r>
            <w:proofErr w:type="gramStart"/>
            <w:r w:rsidR="00322508" w:rsidRPr="001B387F">
              <w:t>Sports</w:t>
            </w:r>
            <w:proofErr w:type="gramEnd"/>
            <w:r w:rsidR="00322508" w:rsidRPr="001B387F">
              <w:t xml:space="preserve"> and Tourism</w:t>
            </w:r>
          </w:p>
        </w:tc>
      </w:tr>
      <w:tr w:rsidR="00DE1C81" w:rsidRPr="001B387F" w14:paraId="6140DC89" w14:textId="77777777" w:rsidTr="00556536">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FC0BA65" w14:textId="07A10670" w:rsidR="00722328" w:rsidRPr="001B387F" w:rsidRDefault="00722328" w:rsidP="005E49DB">
            <w:pPr>
              <w:pStyle w:val="TableBodyCopy"/>
            </w:pPr>
            <w:r w:rsidRPr="001B387F">
              <w:t>Vietnam</w:t>
            </w:r>
            <w:r w:rsidR="000A4822" w:rsidRPr="001B387F">
              <w:t>–Australia</w:t>
            </w:r>
            <w:r w:rsidRPr="001B387F">
              <w:t xml:space="preserve"> Human Rights Technical Cooperation Program</w:t>
            </w:r>
          </w:p>
        </w:tc>
        <w:tc>
          <w:tcPr>
            <w:tcW w:w="2693" w:type="dxa"/>
            <w:shd w:val="clear" w:color="auto" w:fill="D2DEE7"/>
          </w:tcPr>
          <w:p w14:paraId="0FBB8039" w14:textId="6F5175E5"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2023</w:t>
            </w:r>
            <w:r w:rsidR="009E3323" w:rsidRPr="001B387F">
              <w:t>–</w:t>
            </w:r>
            <w:r w:rsidR="00F3663C" w:rsidRPr="001B387F">
              <w:t>20</w:t>
            </w:r>
            <w:r w:rsidRPr="001B387F">
              <w:t>26</w:t>
            </w:r>
          </w:p>
        </w:tc>
        <w:tc>
          <w:tcPr>
            <w:tcW w:w="3396" w:type="dxa"/>
            <w:shd w:val="clear" w:color="auto" w:fill="F2F2F2" w:themeFill="background1" w:themeFillShade="F2"/>
          </w:tcPr>
          <w:p w14:paraId="2732C1C8" w14:textId="77777777"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Australian Human Rights Commission</w:t>
            </w:r>
          </w:p>
        </w:tc>
      </w:tr>
      <w:tr w:rsidR="00DE1C81" w:rsidRPr="001B387F" w14:paraId="311F1607" w14:textId="77777777" w:rsidTr="00556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0596D88" w14:textId="00ADE9A4" w:rsidR="00722328" w:rsidRPr="001B387F" w:rsidRDefault="00722328" w:rsidP="005E49DB">
            <w:pPr>
              <w:pStyle w:val="TableBodyCopy"/>
            </w:pPr>
            <w:r w:rsidRPr="001B387F">
              <w:t>Australia</w:t>
            </w:r>
            <w:r w:rsidR="00C80C31" w:rsidRPr="001B387F">
              <w:t>–</w:t>
            </w:r>
            <w:r w:rsidRPr="001B387F">
              <w:t xml:space="preserve">World Bank </w:t>
            </w:r>
            <w:r w:rsidR="00C80C31" w:rsidRPr="001B387F">
              <w:t xml:space="preserve">Strategic </w:t>
            </w:r>
            <w:r w:rsidRPr="001B387F">
              <w:t xml:space="preserve">Partnership </w:t>
            </w:r>
            <w:r w:rsidR="00C80C31" w:rsidRPr="001B387F">
              <w:t>Phase</w:t>
            </w:r>
            <w:r w:rsidR="002B7DBD" w:rsidRPr="001B387F">
              <w:t> </w:t>
            </w:r>
            <w:r w:rsidR="00C80C31" w:rsidRPr="001B387F">
              <w:t>2</w:t>
            </w:r>
          </w:p>
        </w:tc>
        <w:tc>
          <w:tcPr>
            <w:tcW w:w="2693" w:type="dxa"/>
            <w:shd w:val="clear" w:color="auto" w:fill="D2DEE7"/>
          </w:tcPr>
          <w:p w14:paraId="51CBB440" w14:textId="1996A6CF"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2017</w:t>
            </w:r>
            <w:r w:rsidR="009E3323" w:rsidRPr="001B387F">
              <w:t>–</w:t>
            </w:r>
            <w:r w:rsidR="00F3663C" w:rsidRPr="001B387F">
              <w:t>20</w:t>
            </w:r>
            <w:r w:rsidRPr="001B387F">
              <w:t>26</w:t>
            </w:r>
          </w:p>
        </w:tc>
        <w:tc>
          <w:tcPr>
            <w:tcW w:w="3396" w:type="dxa"/>
            <w:shd w:val="clear" w:color="auto" w:fill="F2F2F2" w:themeFill="background1" w:themeFillShade="F2"/>
          </w:tcPr>
          <w:p w14:paraId="0ECEDDC9" w14:textId="2AE8F1D3"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World Bank</w:t>
            </w:r>
          </w:p>
        </w:tc>
      </w:tr>
      <w:tr w:rsidR="00DE1C81" w:rsidRPr="001B387F" w14:paraId="724C7084" w14:textId="77777777" w:rsidTr="00556536">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109CD241" w14:textId="4E99D772" w:rsidR="00722328" w:rsidRPr="001B387F" w:rsidRDefault="00722328" w:rsidP="005E49DB">
            <w:pPr>
              <w:pStyle w:val="TableBodyCopy"/>
            </w:pPr>
            <w:r w:rsidRPr="001B387F">
              <w:t xml:space="preserve">Vietnam Private Sector Development Partnership </w:t>
            </w:r>
          </w:p>
        </w:tc>
        <w:tc>
          <w:tcPr>
            <w:tcW w:w="2693" w:type="dxa"/>
            <w:shd w:val="clear" w:color="auto" w:fill="D2DEE7"/>
          </w:tcPr>
          <w:p w14:paraId="6B3AB491" w14:textId="13DA8172"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2022</w:t>
            </w:r>
            <w:r w:rsidR="009E3323" w:rsidRPr="001B387F">
              <w:t>–</w:t>
            </w:r>
            <w:r w:rsidR="00F3663C" w:rsidRPr="001B387F">
              <w:t>20</w:t>
            </w:r>
            <w:r w:rsidRPr="001B387F">
              <w:t>27</w:t>
            </w:r>
          </w:p>
        </w:tc>
        <w:tc>
          <w:tcPr>
            <w:tcW w:w="3396" w:type="dxa"/>
            <w:shd w:val="clear" w:color="auto" w:fill="F2F2F2" w:themeFill="background1" w:themeFillShade="F2"/>
          </w:tcPr>
          <w:p w14:paraId="462E1E47" w14:textId="7117F18E" w:rsidR="00722328" w:rsidRPr="001B387F" w:rsidRDefault="00084A6D" w:rsidP="005E49DB">
            <w:pPr>
              <w:pStyle w:val="TableBodyCopy"/>
              <w:cnfStyle w:val="000000000000" w:firstRow="0" w:lastRow="0" w:firstColumn="0" w:lastColumn="0" w:oddVBand="0" w:evenVBand="0" w:oddHBand="0" w:evenHBand="0" w:firstRowFirstColumn="0" w:firstRowLastColumn="0" w:lastRowFirstColumn="0" w:lastRowLastColumn="0"/>
            </w:pPr>
            <w:r w:rsidRPr="001B387F">
              <w:t>IFC</w:t>
            </w:r>
          </w:p>
        </w:tc>
      </w:tr>
      <w:tr w:rsidR="00DE1C81" w:rsidRPr="001B387F" w14:paraId="72A83B12" w14:textId="77777777" w:rsidTr="00556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9857947" w14:textId="4591FCCD" w:rsidR="00722328" w:rsidRPr="001B387F" w:rsidRDefault="00722328" w:rsidP="005E49DB">
            <w:pPr>
              <w:pStyle w:val="TableBodyCopy"/>
            </w:pPr>
            <w:r w:rsidRPr="001B387F">
              <w:t>Investing in Women (</w:t>
            </w:r>
            <w:r w:rsidR="001360A3" w:rsidRPr="001B387F">
              <w:t>Southeast Asia</w:t>
            </w:r>
            <w:r w:rsidRPr="001B387F">
              <w:t>)</w:t>
            </w:r>
          </w:p>
        </w:tc>
        <w:tc>
          <w:tcPr>
            <w:tcW w:w="2693" w:type="dxa"/>
            <w:shd w:val="clear" w:color="auto" w:fill="D2DEE7"/>
          </w:tcPr>
          <w:p w14:paraId="108A866B" w14:textId="2E65E14F"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2023</w:t>
            </w:r>
            <w:r w:rsidR="009E3323" w:rsidRPr="001B387F">
              <w:t>–</w:t>
            </w:r>
            <w:r w:rsidRPr="001B387F">
              <w:t>2027</w:t>
            </w:r>
          </w:p>
        </w:tc>
        <w:tc>
          <w:tcPr>
            <w:tcW w:w="3396" w:type="dxa"/>
            <w:shd w:val="clear" w:color="auto" w:fill="F2F2F2" w:themeFill="background1" w:themeFillShade="F2"/>
          </w:tcPr>
          <w:p w14:paraId="2D536075" w14:textId="3E8E68D4" w:rsidR="00722328" w:rsidRPr="001B387F" w:rsidRDefault="00722328" w:rsidP="005E49DB">
            <w:pPr>
              <w:pStyle w:val="TableBodyCopy"/>
              <w:cnfStyle w:val="000000100000" w:firstRow="0" w:lastRow="0" w:firstColumn="0" w:lastColumn="0" w:oddVBand="0" w:evenVBand="0" w:oddHBand="1" w:evenHBand="0" w:firstRowFirstColumn="0" w:firstRowLastColumn="0" w:lastRowFirstColumn="0" w:lastRowLastColumn="0"/>
            </w:pPr>
            <w:r w:rsidRPr="001B387F">
              <w:t xml:space="preserve">Private </w:t>
            </w:r>
            <w:r w:rsidR="00795F59" w:rsidRPr="001B387F">
              <w:t>s</w:t>
            </w:r>
            <w:r w:rsidRPr="001B387F">
              <w:t>ector and social organisation partners</w:t>
            </w:r>
          </w:p>
        </w:tc>
      </w:tr>
      <w:tr w:rsidR="00DE1C81" w:rsidRPr="001B387F" w14:paraId="0FA50B3B" w14:textId="77777777" w:rsidTr="00556536">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3AEF2830" w14:textId="5C5C2399" w:rsidR="00722328" w:rsidRPr="001B387F" w:rsidRDefault="00590315" w:rsidP="005E49DB">
            <w:pPr>
              <w:pStyle w:val="TableBodyCopy"/>
            </w:pPr>
            <w:r w:rsidRPr="001B387F">
              <w:t xml:space="preserve">Southeast Asia </w:t>
            </w:r>
            <w:r w:rsidR="00722328" w:rsidRPr="001B387F">
              <w:t>Gender</w:t>
            </w:r>
            <w:r w:rsidR="00CF1E92" w:rsidRPr="001B387F">
              <w:t>-b</w:t>
            </w:r>
            <w:r w:rsidR="00722328" w:rsidRPr="001B387F">
              <w:t>ased Violence Prevention Platform</w:t>
            </w:r>
          </w:p>
        </w:tc>
        <w:tc>
          <w:tcPr>
            <w:tcW w:w="2693" w:type="dxa"/>
            <w:shd w:val="clear" w:color="auto" w:fill="D2DEE7"/>
          </w:tcPr>
          <w:p w14:paraId="03E57CA7" w14:textId="7CFAB90F"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2024</w:t>
            </w:r>
            <w:r w:rsidR="009E3323" w:rsidRPr="001B387F">
              <w:t>–</w:t>
            </w:r>
            <w:r w:rsidRPr="001B387F">
              <w:t>2029</w:t>
            </w:r>
          </w:p>
        </w:tc>
        <w:tc>
          <w:tcPr>
            <w:tcW w:w="3396" w:type="dxa"/>
            <w:shd w:val="clear" w:color="auto" w:fill="F2F2F2" w:themeFill="background1" w:themeFillShade="F2"/>
          </w:tcPr>
          <w:p w14:paraId="1836F6C1" w14:textId="6C832E69" w:rsidR="00722328" w:rsidRPr="001B387F" w:rsidRDefault="00722328" w:rsidP="005E49DB">
            <w:pPr>
              <w:pStyle w:val="TableBodyCopy"/>
              <w:cnfStyle w:val="000000000000" w:firstRow="0" w:lastRow="0" w:firstColumn="0" w:lastColumn="0" w:oddVBand="0" w:evenVBand="0" w:oddHBand="0" w:evenHBand="0" w:firstRowFirstColumn="0" w:firstRowLastColumn="0" w:lastRowFirstColumn="0" w:lastRowLastColumn="0"/>
            </w:pPr>
            <w:r w:rsidRPr="001B387F">
              <w:t xml:space="preserve">Australian </w:t>
            </w:r>
            <w:r w:rsidR="0007129C" w:rsidRPr="001B387F">
              <w:t>i</w:t>
            </w:r>
            <w:r w:rsidRPr="001B387F">
              <w:t>nternational</w:t>
            </w:r>
            <w:r w:rsidR="00037CBA" w:rsidRPr="001B387F">
              <w:t xml:space="preserve"> and </w:t>
            </w:r>
            <w:r w:rsidR="0007129C" w:rsidRPr="001B387F">
              <w:t>n</w:t>
            </w:r>
            <w:r w:rsidRPr="001B387F">
              <w:t xml:space="preserve">ational </w:t>
            </w:r>
            <w:r w:rsidR="00D93D9E" w:rsidRPr="001B387F">
              <w:t>non-government organisations;</w:t>
            </w:r>
            <w:r w:rsidR="00CF1E92" w:rsidRPr="001B387F">
              <w:t xml:space="preserve"> r</w:t>
            </w:r>
            <w:r w:rsidRPr="001B387F">
              <w:t>egional org</w:t>
            </w:r>
            <w:r w:rsidR="00253DA5" w:rsidRPr="001B387F">
              <w:t>a</w:t>
            </w:r>
            <w:r w:rsidRPr="001B387F">
              <w:t>nisations</w:t>
            </w:r>
            <w:r w:rsidR="00CF1E92" w:rsidRPr="001B387F">
              <w:t>; c</w:t>
            </w:r>
            <w:r w:rsidRPr="001B387F">
              <w:t>ommercial contractor</w:t>
            </w:r>
          </w:p>
        </w:tc>
      </w:tr>
      <w:tr w:rsidR="00DE1C81" w:rsidRPr="001B387F" w14:paraId="434EDAAA" w14:textId="77777777" w:rsidTr="00556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72194B52" w14:textId="248D0A52" w:rsidR="00DE1C81" w:rsidRPr="001B387F" w:rsidRDefault="00DE1C81" w:rsidP="005E49DB">
            <w:pPr>
              <w:pStyle w:val="TableBodyCopy"/>
            </w:pPr>
            <w:r w:rsidRPr="001B387F">
              <w:t>Viet</w:t>
            </w:r>
            <w:r w:rsidR="00B72F33" w:rsidRPr="001B387F">
              <w:t xml:space="preserve"> N</w:t>
            </w:r>
            <w:r w:rsidRPr="001B387F">
              <w:t>am Provincial Governance and Public Administration Performance Index (PAPI) Phase</w:t>
            </w:r>
            <w:r w:rsidR="002B7DBD" w:rsidRPr="001B387F">
              <w:t> </w:t>
            </w:r>
            <w:r w:rsidRPr="001B387F">
              <w:t>2</w:t>
            </w:r>
          </w:p>
        </w:tc>
        <w:tc>
          <w:tcPr>
            <w:tcW w:w="2693" w:type="dxa"/>
            <w:shd w:val="clear" w:color="auto" w:fill="D2DEE7"/>
          </w:tcPr>
          <w:p w14:paraId="4F6B7835" w14:textId="4FF2069B" w:rsidR="00DE1C81" w:rsidRPr="001B387F" w:rsidRDefault="00DE1C81" w:rsidP="005E49DB">
            <w:pPr>
              <w:pStyle w:val="TableBodyCopy"/>
              <w:cnfStyle w:val="000000100000" w:firstRow="0" w:lastRow="0" w:firstColumn="0" w:lastColumn="0" w:oddVBand="0" w:evenVBand="0" w:oddHBand="1" w:evenHBand="0" w:firstRowFirstColumn="0" w:firstRowLastColumn="0" w:lastRowFirstColumn="0" w:lastRowLastColumn="0"/>
            </w:pPr>
            <w:r w:rsidRPr="001B387F">
              <w:t>TBC</w:t>
            </w:r>
          </w:p>
        </w:tc>
        <w:tc>
          <w:tcPr>
            <w:tcW w:w="3396" w:type="dxa"/>
            <w:shd w:val="clear" w:color="auto" w:fill="F2F2F2" w:themeFill="background1" w:themeFillShade="F2"/>
          </w:tcPr>
          <w:p w14:paraId="68EF66FD" w14:textId="1DA48B5C" w:rsidR="00DE1C81" w:rsidRPr="001B387F" w:rsidRDefault="00360A64" w:rsidP="005E49DB">
            <w:pPr>
              <w:pStyle w:val="TableBodyCopy"/>
              <w:cnfStyle w:val="000000100000" w:firstRow="0" w:lastRow="0" w:firstColumn="0" w:lastColumn="0" w:oddVBand="0" w:evenVBand="0" w:oddHBand="1" w:evenHBand="0" w:firstRowFirstColumn="0" w:firstRowLastColumn="0" w:lastRowFirstColumn="0" w:lastRowLastColumn="0"/>
            </w:pPr>
            <w:r w:rsidRPr="001B387F">
              <w:t>United Nations Development Programme (</w:t>
            </w:r>
            <w:r w:rsidR="00DE1C81" w:rsidRPr="001B387F">
              <w:t>UNDP</w:t>
            </w:r>
            <w:r w:rsidRPr="001B387F">
              <w:t>)</w:t>
            </w:r>
          </w:p>
        </w:tc>
      </w:tr>
      <w:tr w:rsidR="00DE1C81" w:rsidRPr="001B387F" w14:paraId="4FDE0689" w14:textId="77777777" w:rsidTr="00556536">
        <w:trPr>
          <w:trHeight w:val="239"/>
        </w:trPr>
        <w:tc>
          <w:tcPr>
            <w:cnfStyle w:val="001000000000" w:firstRow="0" w:lastRow="0" w:firstColumn="1" w:lastColumn="0" w:oddVBand="0" w:evenVBand="0" w:oddHBand="0" w:evenHBand="0" w:firstRowFirstColumn="0" w:firstRowLastColumn="0" w:lastRowFirstColumn="0" w:lastRowLastColumn="0"/>
            <w:tcW w:w="4105" w:type="dxa"/>
            <w:shd w:val="clear" w:color="auto" w:fill="A5BDCF"/>
          </w:tcPr>
          <w:p w14:paraId="2FB0EE96" w14:textId="502A9B31" w:rsidR="00DE1C81" w:rsidRPr="001B387F" w:rsidRDefault="00DE1C81" w:rsidP="005E49DB">
            <w:pPr>
              <w:pStyle w:val="TableBodyCopy"/>
            </w:pPr>
            <w:r w:rsidRPr="001B387F">
              <w:t>Southeast Asia and Australia Government</w:t>
            </w:r>
            <w:r w:rsidR="008D6EB4" w:rsidRPr="001B387F">
              <w:t>-</w:t>
            </w:r>
            <w:r w:rsidRPr="001B387F">
              <w:t>to</w:t>
            </w:r>
            <w:r w:rsidR="008D6EB4" w:rsidRPr="001B387F">
              <w:t>-</w:t>
            </w:r>
            <w:r w:rsidRPr="001B387F">
              <w:t xml:space="preserve">Government </w:t>
            </w:r>
            <w:r w:rsidR="008D6EB4" w:rsidRPr="001B387F">
              <w:t xml:space="preserve">Partnerships program </w:t>
            </w:r>
            <w:r w:rsidRPr="001B387F">
              <w:t>(</w:t>
            </w:r>
            <w:r w:rsidR="008D6EB4" w:rsidRPr="001B387F">
              <w:t>SEA</w:t>
            </w:r>
            <w:r w:rsidRPr="001B387F">
              <w:t>G2G)</w:t>
            </w:r>
          </w:p>
        </w:tc>
        <w:tc>
          <w:tcPr>
            <w:tcW w:w="2693" w:type="dxa"/>
            <w:shd w:val="clear" w:color="auto" w:fill="D2DEE7"/>
          </w:tcPr>
          <w:p w14:paraId="31BDCBC2" w14:textId="383C0CEA" w:rsidR="00DE1C81" w:rsidRPr="001B387F" w:rsidRDefault="00DE1C81" w:rsidP="005E49DB">
            <w:pPr>
              <w:pStyle w:val="TableBodyCopy"/>
              <w:cnfStyle w:val="000000000000" w:firstRow="0" w:lastRow="0" w:firstColumn="0" w:lastColumn="0" w:oddVBand="0" w:evenVBand="0" w:oddHBand="0" w:evenHBand="0" w:firstRowFirstColumn="0" w:firstRowLastColumn="0" w:lastRowFirstColumn="0" w:lastRowLastColumn="0"/>
            </w:pPr>
            <w:r w:rsidRPr="001B387F">
              <w:t>2023</w:t>
            </w:r>
            <w:r w:rsidR="009E3323" w:rsidRPr="001B387F">
              <w:t>–</w:t>
            </w:r>
            <w:r w:rsidRPr="001B387F">
              <w:t>2028</w:t>
            </w:r>
          </w:p>
        </w:tc>
        <w:tc>
          <w:tcPr>
            <w:tcW w:w="3396" w:type="dxa"/>
            <w:shd w:val="clear" w:color="auto" w:fill="F2F2F2" w:themeFill="background1" w:themeFillShade="F2"/>
          </w:tcPr>
          <w:p w14:paraId="593E8E18" w14:textId="1B481D00" w:rsidR="00DE1C81" w:rsidRPr="001B387F" w:rsidRDefault="00D07664" w:rsidP="005E49DB">
            <w:pPr>
              <w:pStyle w:val="TableBodyCopy"/>
              <w:cnfStyle w:val="000000000000" w:firstRow="0" w:lastRow="0" w:firstColumn="0" w:lastColumn="0" w:oddVBand="0" w:evenVBand="0" w:oddHBand="0" w:evenHBand="0" w:firstRowFirstColumn="0" w:firstRowLastColumn="0" w:lastRowFirstColumn="0" w:lastRowLastColumn="0"/>
            </w:pPr>
            <w:r w:rsidRPr="001B387F">
              <w:t>ASEAN</w:t>
            </w:r>
            <w:r w:rsidR="00360A64" w:rsidRPr="001B387F">
              <w:t>;</w:t>
            </w:r>
            <w:r w:rsidRPr="001B387F">
              <w:t xml:space="preserve"> Cambodia</w:t>
            </w:r>
            <w:r w:rsidR="00360A64" w:rsidRPr="001B387F">
              <w:t>;</w:t>
            </w:r>
            <w:r w:rsidRPr="001B387F">
              <w:t xml:space="preserve"> Indonesia</w:t>
            </w:r>
            <w:r w:rsidR="00360A64" w:rsidRPr="001B387F">
              <w:t>;</w:t>
            </w:r>
            <w:r w:rsidRPr="001B387F">
              <w:t xml:space="preserve"> Laos</w:t>
            </w:r>
            <w:r w:rsidR="00360A64" w:rsidRPr="001B387F">
              <w:t>;</w:t>
            </w:r>
            <w:r w:rsidRPr="001B387F">
              <w:t xml:space="preserve"> Malaysia</w:t>
            </w:r>
            <w:r w:rsidR="00360A64" w:rsidRPr="001B387F">
              <w:t>;</w:t>
            </w:r>
            <w:r w:rsidRPr="001B387F">
              <w:t xml:space="preserve"> the Philippines</w:t>
            </w:r>
            <w:r w:rsidR="00360A64" w:rsidRPr="001B387F">
              <w:t>;</w:t>
            </w:r>
            <w:r w:rsidRPr="001B387F">
              <w:t xml:space="preserve"> Thailand</w:t>
            </w:r>
            <w:r w:rsidR="00360A64" w:rsidRPr="001B387F">
              <w:t>;</w:t>
            </w:r>
            <w:r w:rsidRPr="001B387F">
              <w:t xml:space="preserve"> Timor-Leste</w:t>
            </w:r>
            <w:r w:rsidR="00360A64" w:rsidRPr="001B387F">
              <w:t>;</w:t>
            </w:r>
            <w:r w:rsidRPr="001B387F">
              <w:t xml:space="preserve"> Vietnam</w:t>
            </w:r>
          </w:p>
        </w:tc>
      </w:tr>
    </w:tbl>
    <w:p w14:paraId="75C150D3" w14:textId="77777777" w:rsidR="00017274" w:rsidRPr="001B387F" w:rsidRDefault="00017274">
      <w:pPr>
        <w:spacing w:before="0" w:after="0" w:line="240" w:lineRule="auto"/>
        <w:rPr>
          <w:b/>
          <w:bCs/>
          <w:sz w:val="24"/>
          <w:szCs w:val="24"/>
          <w:lang w:eastAsia="en-AU"/>
        </w:rPr>
      </w:pPr>
      <w:r w:rsidRPr="001B387F">
        <w:rPr>
          <w:b/>
          <w:bCs/>
          <w:sz w:val="24"/>
          <w:szCs w:val="24"/>
          <w:lang w:eastAsia="en-AU"/>
        </w:rPr>
        <w:br w:type="page"/>
      </w:r>
    </w:p>
    <w:p w14:paraId="2ECDBA31" w14:textId="51CF8641" w:rsidR="00017274" w:rsidRPr="001B387F" w:rsidRDefault="00722328" w:rsidP="00AB0F54">
      <w:pPr>
        <w:pStyle w:val="H2-Heading2"/>
        <w:rPr>
          <w:rFonts w:eastAsia="Yu Gothic Light"/>
          <w:lang w:eastAsia="en-AU"/>
        </w:rPr>
        <w:sectPr w:rsidR="00017274" w:rsidRPr="001B387F" w:rsidSect="00704477">
          <w:headerReference w:type="default" r:id="rId17"/>
          <w:footerReference w:type="default" r:id="rId18"/>
          <w:endnotePr>
            <w:numFmt w:val="decimal"/>
          </w:endnotePr>
          <w:pgSz w:w="11906" w:h="16838" w:code="9"/>
          <w:pgMar w:top="1418" w:right="851" w:bottom="1276" w:left="851" w:header="964" w:footer="567" w:gutter="0"/>
          <w:cols w:space="708"/>
          <w:docGrid w:linePitch="360"/>
        </w:sectPr>
      </w:pPr>
      <w:r w:rsidRPr="001B387F">
        <w:rPr>
          <w:rFonts w:eastAsia="Yu Gothic Light"/>
          <w:lang w:eastAsia="en-AU"/>
        </w:rPr>
        <w:lastRenderedPageBreak/>
        <w:t>Endnotes</w:t>
      </w:r>
    </w:p>
    <w:p w14:paraId="4D52D43B" w14:textId="6B8B5831" w:rsidR="003F0C6E" w:rsidRPr="001B387F" w:rsidRDefault="00AB0F54" w:rsidP="00E2398E">
      <w:pPr>
        <w:pStyle w:val="Coverphotocreditshead"/>
        <w:spacing w:before="360"/>
      </w:pPr>
      <w:r w:rsidRPr="001B387F">
        <w:t>C</w:t>
      </w:r>
      <w:r w:rsidR="001F74F5" w:rsidRPr="001B387F">
        <w:t xml:space="preserve">over </w:t>
      </w:r>
      <w:r w:rsidRPr="001B387F">
        <w:t xml:space="preserve">photo </w:t>
      </w:r>
      <w:proofErr w:type="gramStart"/>
      <w:r w:rsidR="001F74F5" w:rsidRPr="001B387F">
        <w:t>credits</w:t>
      </w:r>
      <w:proofErr w:type="gramEnd"/>
    </w:p>
    <w:p w14:paraId="4ADC80EE" w14:textId="5F86D923" w:rsidR="0084769B" w:rsidRPr="001B387F" w:rsidRDefault="0084769B" w:rsidP="00472D27">
      <w:pPr>
        <w:spacing w:after="0"/>
        <w:rPr>
          <w:sz w:val="20"/>
          <w:szCs w:val="20"/>
        </w:rPr>
      </w:pPr>
      <w:r w:rsidRPr="001B387F">
        <w:rPr>
          <w:sz w:val="20"/>
          <w:szCs w:val="20"/>
        </w:rPr>
        <w:t>Top row</w:t>
      </w:r>
      <w:r w:rsidR="0075741B" w:rsidRPr="001B387F">
        <w:rPr>
          <w:sz w:val="20"/>
          <w:szCs w:val="20"/>
        </w:rPr>
        <w:t xml:space="preserve"> (from left to right):</w:t>
      </w:r>
    </w:p>
    <w:p w14:paraId="41CB45D1" w14:textId="47928E32" w:rsidR="0084769B" w:rsidRPr="001B387F" w:rsidRDefault="002714DA" w:rsidP="00DA4B24">
      <w:pPr>
        <w:pStyle w:val="NormalBullets-L1"/>
        <w:spacing w:before="0" w:after="0"/>
        <w:rPr>
          <w:sz w:val="20"/>
          <w:szCs w:val="20"/>
        </w:rPr>
      </w:pPr>
      <w:r w:rsidRPr="001B387F">
        <w:rPr>
          <w:sz w:val="20"/>
          <w:szCs w:val="20"/>
        </w:rPr>
        <w:t>Participants attending vocational training</w:t>
      </w:r>
      <w:r w:rsidRPr="001B387F">
        <w:rPr>
          <w:sz w:val="20"/>
          <w:szCs w:val="20"/>
        </w:rPr>
        <w:br/>
        <w:t xml:space="preserve">Credit: Aus4Skills </w:t>
      </w:r>
      <w:proofErr w:type="gramStart"/>
      <w:r w:rsidRPr="001B387F">
        <w:rPr>
          <w:sz w:val="20"/>
          <w:szCs w:val="20"/>
        </w:rPr>
        <w:t>program</w:t>
      </w:r>
      <w:proofErr w:type="gramEnd"/>
    </w:p>
    <w:p w14:paraId="5C5F0DB0" w14:textId="75B49643" w:rsidR="00CE769C" w:rsidRPr="001B387F" w:rsidRDefault="00CE769C" w:rsidP="00DA4B24">
      <w:pPr>
        <w:pStyle w:val="NormalBullets-L1"/>
        <w:spacing w:before="0" w:after="0" w:line="259" w:lineRule="auto"/>
        <w:ind w:left="714" w:hanging="357"/>
        <w:rPr>
          <w:sz w:val="20"/>
          <w:szCs w:val="20"/>
        </w:rPr>
      </w:pPr>
      <w:r w:rsidRPr="001B387F">
        <w:rPr>
          <w:sz w:val="20"/>
          <w:szCs w:val="20"/>
        </w:rPr>
        <w:t>Nam Viet Catfish Factory</w:t>
      </w:r>
      <w:r w:rsidRPr="001B387F">
        <w:rPr>
          <w:sz w:val="20"/>
          <w:szCs w:val="20"/>
        </w:rPr>
        <w:br/>
        <w:t>Credit: ACIAR</w:t>
      </w:r>
    </w:p>
    <w:p w14:paraId="742DBC9A" w14:textId="5692B3FF" w:rsidR="0084769B" w:rsidRPr="001B387F" w:rsidRDefault="0084769B" w:rsidP="00DA4B24">
      <w:pPr>
        <w:spacing w:before="0" w:after="0"/>
        <w:rPr>
          <w:sz w:val="20"/>
          <w:szCs w:val="20"/>
        </w:rPr>
      </w:pPr>
      <w:r w:rsidRPr="001B387F">
        <w:rPr>
          <w:sz w:val="20"/>
          <w:szCs w:val="20"/>
        </w:rPr>
        <w:t>Bottom row (from left to right):</w:t>
      </w:r>
    </w:p>
    <w:p w14:paraId="1B20A251" w14:textId="69170B71" w:rsidR="002714DA" w:rsidRPr="001B387F" w:rsidRDefault="002714DA" w:rsidP="00DA4B24">
      <w:pPr>
        <w:pStyle w:val="NormalBullets-L1"/>
        <w:spacing w:before="0" w:after="0"/>
        <w:rPr>
          <w:sz w:val="20"/>
          <w:szCs w:val="20"/>
        </w:rPr>
      </w:pPr>
      <w:r w:rsidRPr="001B387F">
        <w:rPr>
          <w:sz w:val="20"/>
          <w:szCs w:val="20"/>
        </w:rPr>
        <w:t>Man holding sea cucumbers</w:t>
      </w:r>
      <w:r w:rsidRPr="001B387F">
        <w:rPr>
          <w:sz w:val="20"/>
          <w:szCs w:val="20"/>
        </w:rPr>
        <w:br/>
        <w:t xml:space="preserve">Credit: Aus4Innovation </w:t>
      </w:r>
      <w:proofErr w:type="gramStart"/>
      <w:r w:rsidRPr="001B387F">
        <w:rPr>
          <w:sz w:val="20"/>
          <w:szCs w:val="20"/>
        </w:rPr>
        <w:t>program</w:t>
      </w:r>
      <w:proofErr w:type="gramEnd"/>
    </w:p>
    <w:p w14:paraId="03DB9CD1" w14:textId="0E37F9BA" w:rsidR="00230F01" w:rsidRPr="001B387F" w:rsidRDefault="00230F01" w:rsidP="00DA4B24">
      <w:pPr>
        <w:pStyle w:val="NormalBullets-L1"/>
        <w:spacing w:before="0" w:after="0"/>
        <w:rPr>
          <w:sz w:val="20"/>
          <w:szCs w:val="20"/>
        </w:rPr>
      </w:pPr>
      <w:r w:rsidRPr="001B387F">
        <w:rPr>
          <w:sz w:val="20"/>
          <w:szCs w:val="20"/>
        </w:rPr>
        <w:t>Inland waterway</w:t>
      </w:r>
      <w:r w:rsidRPr="001B387F">
        <w:rPr>
          <w:sz w:val="20"/>
          <w:szCs w:val="20"/>
        </w:rPr>
        <w:br/>
        <w:t>Credit: A</w:t>
      </w:r>
      <w:r w:rsidR="00437B09" w:rsidRPr="001B387F">
        <w:rPr>
          <w:sz w:val="20"/>
          <w:szCs w:val="20"/>
        </w:rPr>
        <w:t>us4Transport program</w:t>
      </w:r>
    </w:p>
    <w:p w14:paraId="10CF0FA8" w14:textId="313CC844" w:rsidR="0084769B" w:rsidRPr="001B387F" w:rsidRDefault="00DD702B" w:rsidP="00DA4B24">
      <w:pPr>
        <w:pStyle w:val="NormalBullets-L1"/>
        <w:spacing w:before="0" w:after="0"/>
        <w:rPr>
          <w:sz w:val="20"/>
          <w:szCs w:val="20"/>
        </w:rPr>
      </w:pPr>
      <w:r w:rsidRPr="001B387F">
        <w:rPr>
          <w:sz w:val="20"/>
          <w:szCs w:val="20"/>
        </w:rPr>
        <w:t>W</w:t>
      </w:r>
      <w:r w:rsidR="000C7787" w:rsidRPr="001B387F">
        <w:rPr>
          <w:sz w:val="20"/>
          <w:szCs w:val="20"/>
        </w:rPr>
        <w:t>oman holding bamboo shoots</w:t>
      </w:r>
      <w:r w:rsidRPr="001B387F">
        <w:rPr>
          <w:sz w:val="20"/>
          <w:szCs w:val="20"/>
        </w:rPr>
        <w:br/>
        <w:t xml:space="preserve">Credit: </w:t>
      </w:r>
      <w:r w:rsidR="000C7787" w:rsidRPr="001B387F">
        <w:rPr>
          <w:sz w:val="20"/>
          <w:szCs w:val="20"/>
        </w:rPr>
        <w:t xml:space="preserve">GREAT </w:t>
      </w:r>
      <w:proofErr w:type="gramStart"/>
      <w:r w:rsidR="000C7787" w:rsidRPr="001B387F">
        <w:rPr>
          <w:sz w:val="20"/>
          <w:szCs w:val="20"/>
        </w:rPr>
        <w:t>program</w:t>
      </w:r>
      <w:bookmarkEnd w:id="0"/>
      <w:proofErr w:type="gramEnd"/>
    </w:p>
    <w:sectPr w:rsidR="0084769B" w:rsidRPr="001B387F" w:rsidSect="00B7276D">
      <w:endnotePr>
        <w:numFmt w:val="decimal"/>
      </w:endnotePr>
      <w:type w:val="continuous"/>
      <w:pgSz w:w="11906" w:h="16838" w:code="9"/>
      <w:pgMar w:top="1418" w:right="851" w:bottom="1276" w:left="85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B478" w14:textId="77777777" w:rsidR="008D1167" w:rsidRPr="00BC5AF9" w:rsidRDefault="008D1167" w:rsidP="00377813">
      <w:pPr>
        <w:pStyle w:val="endnotespacer"/>
      </w:pPr>
    </w:p>
  </w:endnote>
  <w:endnote w:type="continuationSeparator" w:id="0">
    <w:p w14:paraId="6404EF0E" w14:textId="77777777" w:rsidR="008D1167" w:rsidRPr="00BC5AF9" w:rsidRDefault="008D1167" w:rsidP="00377813">
      <w:pPr>
        <w:pStyle w:val="endnotespacer"/>
      </w:pPr>
    </w:p>
  </w:endnote>
  <w:endnote w:type="continuationNotice" w:id="1">
    <w:p w14:paraId="29D36D9C" w14:textId="77777777" w:rsidR="008D1167" w:rsidRPr="00BC5AF9" w:rsidRDefault="008D1167" w:rsidP="00377813">
      <w:pPr>
        <w:pStyle w:val="endnotespacer"/>
      </w:pPr>
    </w:p>
  </w:endnote>
  <w:endnote w:id="2">
    <w:p w14:paraId="53284887" w14:textId="72719EC0" w:rsidR="00301FC3" w:rsidRPr="00BC5AF9" w:rsidRDefault="00301FC3">
      <w:pPr>
        <w:pStyle w:val="EndnoteText"/>
      </w:pPr>
      <w:r w:rsidRPr="00BC5AF9">
        <w:rPr>
          <w:rStyle w:val="EndnoteReference"/>
        </w:rPr>
        <w:endnoteRef/>
      </w:r>
      <w:r w:rsidRPr="00BC5AF9">
        <w:t xml:space="preserve"> </w:t>
      </w:r>
      <w:r w:rsidR="000F19F4" w:rsidRPr="00BC5AF9">
        <w:t xml:space="preserve">A Albanese and PM Chinh, </w:t>
      </w:r>
      <w:r w:rsidR="000F19F4" w:rsidRPr="00BC5AF9">
        <w:rPr>
          <w:i/>
          <w:iCs/>
        </w:rPr>
        <w:t>Joint statement on the elevation to a comprehensive strategic partnership between Vietnam and Australia</w:t>
      </w:r>
      <w:r w:rsidR="000F19F4" w:rsidRPr="00BC5AF9">
        <w:t xml:space="preserve">, 2024. </w:t>
      </w:r>
      <w:hyperlink r:id="rId1" w:history="1">
        <w:r w:rsidR="000F19F4" w:rsidRPr="00BC5AF9">
          <w:rPr>
            <w:rStyle w:val="Hyperlink"/>
          </w:rPr>
          <w:t>https://www.pm.gov.au/media/joint-statement-elevation-comprehensive-strategic-partnership-between-vietnam-and-australia</w:t>
        </w:r>
      </w:hyperlink>
    </w:p>
  </w:endnote>
  <w:endnote w:id="3">
    <w:p w14:paraId="304136E4" w14:textId="1C9223FC" w:rsidR="00B74A22" w:rsidRPr="00BC5AF9" w:rsidRDefault="00B74A22" w:rsidP="00B74A22">
      <w:pPr>
        <w:pStyle w:val="EndnoteText"/>
      </w:pPr>
      <w:r w:rsidRPr="00BC5AF9">
        <w:rPr>
          <w:rStyle w:val="EndnoteReference"/>
        </w:rPr>
        <w:endnoteRef/>
      </w:r>
      <w:r w:rsidRPr="00BC5AF9">
        <w:t xml:space="preserve"> A Albanese and PM Chinh, </w:t>
      </w:r>
      <w:r w:rsidRPr="00BC5AF9">
        <w:rPr>
          <w:i/>
          <w:iCs/>
        </w:rPr>
        <w:t>Joint statement on the elevation to a comprehensive strategic partnership between Vietnam and Australia</w:t>
      </w:r>
      <w:r>
        <w:t>.</w:t>
      </w:r>
    </w:p>
  </w:endnote>
  <w:endnote w:id="4">
    <w:p w14:paraId="1D74D70F" w14:textId="77777777" w:rsidR="00BE53B1" w:rsidRPr="00A618A4" w:rsidRDefault="00BE53B1" w:rsidP="00BE53B1">
      <w:pPr>
        <w:pStyle w:val="EndnoteText"/>
        <w:rPr>
          <w:lang w:val="en-US"/>
        </w:rPr>
      </w:pPr>
      <w:r>
        <w:rPr>
          <w:rStyle w:val="EndnoteReference"/>
        </w:rPr>
        <w:endnoteRef/>
      </w:r>
      <w:r>
        <w:t xml:space="preserve"> </w:t>
      </w:r>
      <w:r w:rsidRPr="004F68BE">
        <w:t>Communist Party of Vietnam</w:t>
      </w:r>
      <w:r>
        <w:t xml:space="preserve">, </w:t>
      </w:r>
      <w:r w:rsidRPr="002F38BD">
        <w:rPr>
          <w:i/>
          <w:iCs/>
        </w:rPr>
        <w:t>Socio</w:t>
      </w:r>
      <w:r>
        <w:rPr>
          <w:i/>
          <w:iCs/>
        </w:rPr>
        <w:t>-</w:t>
      </w:r>
      <w:r w:rsidRPr="002F38BD">
        <w:rPr>
          <w:i/>
          <w:iCs/>
        </w:rPr>
        <w:t>economic development strategy 2021–2030</w:t>
      </w:r>
      <w:r>
        <w:t>, 2021.</w:t>
      </w:r>
      <w:r w:rsidRPr="00D70B4C">
        <w:t xml:space="preserve"> </w:t>
      </w:r>
      <w:hyperlink r:id="rId2" w:history="1">
        <w:r w:rsidRPr="007E600D">
          <w:rPr>
            <w:rStyle w:val="Hyperlink"/>
          </w:rPr>
          <w:t>https://tulieuvankien.dangcongsan.vn/ban-chap-hanh-trung-uong-dang/dai-hoi-dang/lan-thu-xiii/chien-luoc-phat-trien-kinh-te-xa-hoi-10-nam-2021-2030-3735</w:t>
        </w:r>
      </w:hyperlink>
    </w:p>
    <w:p w14:paraId="1F79B4C9" w14:textId="266B13D9" w:rsidR="00BE53B1" w:rsidRDefault="00BE53B1">
      <w:pPr>
        <w:pStyle w:val="EndnoteText"/>
      </w:pPr>
    </w:p>
  </w:endnote>
  <w:endnote w:id="5">
    <w:p w14:paraId="1BE11D9A" w14:textId="5A32434F" w:rsidR="009E3323" w:rsidRPr="00BC5AF9" w:rsidRDefault="009E3323" w:rsidP="00B14957">
      <w:pPr>
        <w:pStyle w:val="EndnoteText"/>
      </w:pPr>
      <w:r w:rsidRPr="00BC5AF9">
        <w:rPr>
          <w:rStyle w:val="EndnoteReference"/>
        </w:rPr>
        <w:endnoteRef/>
      </w:r>
      <w:r w:rsidRPr="00BC5AF9">
        <w:t xml:space="preserve"> Asian Development Bank</w:t>
      </w:r>
      <w:r w:rsidR="00A758FA" w:rsidRPr="00BC5AF9">
        <w:t xml:space="preserve">, </w:t>
      </w:r>
      <w:r w:rsidR="00A758FA" w:rsidRPr="00BC5AF9">
        <w:rPr>
          <w:i/>
          <w:iCs/>
        </w:rPr>
        <w:t>Asian development</w:t>
      </w:r>
      <w:r w:rsidRPr="00BC5AF9">
        <w:rPr>
          <w:i/>
          <w:iCs/>
        </w:rPr>
        <w:t xml:space="preserve"> </w:t>
      </w:r>
      <w:r w:rsidR="00A758FA" w:rsidRPr="00BC5AF9">
        <w:rPr>
          <w:i/>
          <w:iCs/>
        </w:rPr>
        <w:t>o</w:t>
      </w:r>
      <w:r w:rsidRPr="00BC5AF9">
        <w:rPr>
          <w:i/>
          <w:iCs/>
        </w:rPr>
        <w:t>utlook</w:t>
      </w:r>
      <w:r w:rsidR="00443968" w:rsidRPr="00BC5AF9">
        <w:rPr>
          <w:i/>
          <w:iCs/>
        </w:rPr>
        <w:t xml:space="preserve"> April 2024</w:t>
      </w:r>
      <w:r w:rsidRPr="00BC5AF9">
        <w:t>, 2024.</w:t>
      </w:r>
      <w:r w:rsidR="00443968" w:rsidRPr="00BC5AF9">
        <w:t xml:space="preserve"> </w:t>
      </w:r>
      <w:hyperlink r:id="rId3" w:history="1">
        <w:r w:rsidR="00443968" w:rsidRPr="00BC5AF9">
          <w:rPr>
            <w:rStyle w:val="Hyperlink"/>
          </w:rPr>
          <w:t>https://www.adb.org/publications/asian-development-outlook-april-2024</w:t>
        </w:r>
      </w:hyperlink>
    </w:p>
  </w:endnote>
  <w:endnote w:id="6">
    <w:p w14:paraId="43EB3C8C" w14:textId="53035C2A" w:rsidR="00720455" w:rsidRDefault="00720455">
      <w:pPr>
        <w:pStyle w:val="EndnoteText"/>
      </w:pPr>
      <w:r>
        <w:rPr>
          <w:rStyle w:val="EndnoteReference"/>
        </w:rPr>
        <w:endnoteRef/>
      </w:r>
      <w:r>
        <w:t xml:space="preserve"> </w:t>
      </w:r>
      <w:r w:rsidR="00D92953">
        <w:t>United Nations</w:t>
      </w:r>
      <w:r w:rsidR="00A262D6">
        <w:t xml:space="preserve"> Viet Nam</w:t>
      </w:r>
      <w:r w:rsidR="00D92953">
        <w:t xml:space="preserve">, </w:t>
      </w:r>
      <w:r w:rsidR="00D92953" w:rsidRPr="00627794">
        <w:rPr>
          <w:i/>
          <w:iCs/>
        </w:rPr>
        <w:t xml:space="preserve">2022 UN </w:t>
      </w:r>
      <w:r w:rsidR="00A262D6" w:rsidRPr="00627794">
        <w:rPr>
          <w:i/>
          <w:iCs/>
        </w:rPr>
        <w:t>c</w:t>
      </w:r>
      <w:r w:rsidR="00D92953" w:rsidRPr="00627794">
        <w:rPr>
          <w:i/>
          <w:iCs/>
        </w:rPr>
        <w:t xml:space="preserve">ountry </w:t>
      </w:r>
      <w:r w:rsidR="00A262D6" w:rsidRPr="00627794">
        <w:rPr>
          <w:i/>
          <w:iCs/>
        </w:rPr>
        <w:t>a</w:t>
      </w:r>
      <w:r w:rsidR="00D92953" w:rsidRPr="00627794">
        <w:rPr>
          <w:i/>
          <w:iCs/>
        </w:rPr>
        <w:t xml:space="preserve">nnual </w:t>
      </w:r>
      <w:r w:rsidR="00A262D6" w:rsidRPr="00627794">
        <w:rPr>
          <w:i/>
          <w:iCs/>
        </w:rPr>
        <w:t>r</w:t>
      </w:r>
      <w:r w:rsidR="001B50A8" w:rsidRPr="00627794">
        <w:rPr>
          <w:i/>
          <w:iCs/>
        </w:rPr>
        <w:t xml:space="preserve">esults </w:t>
      </w:r>
      <w:r w:rsidR="00A262D6" w:rsidRPr="00627794">
        <w:rPr>
          <w:i/>
          <w:iCs/>
        </w:rPr>
        <w:t>r</w:t>
      </w:r>
      <w:r w:rsidR="00D92953" w:rsidRPr="00627794">
        <w:rPr>
          <w:i/>
          <w:iCs/>
        </w:rPr>
        <w:t>eport</w:t>
      </w:r>
      <w:r w:rsidR="001B50A8" w:rsidRPr="00627794">
        <w:rPr>
          <w:i/>
          <w:iCs/>
        </w:rPr>
        <w:t xml:space="preserve"> Viet</w:t>
      </w:r>
      <w:r w:rsidR="00A262D6" w:rsidRPr="00627794">
        <w:rPr>
          <w:i/>
          <w:iCs/>
        </w:rPr>
        <w:t xml:space="preserve"> N</w:t>
      </w:r>
      <w:r w:rsidR="001B50A8" w:rsidRPr="00627794">
        <w:rPr>
          <w:i/>
          <w:iCs/>
        </w:rPr>
        <w:t>am</w:t>
      </w:r>
      <w:r w:rsidR="001B50A8">
        <w:t>, 2023</w:t>
      </w:r>
      <w:r w:rsidR="00CA4843">
        <w:t>.</w:t>
      </w:r>
      <w:r w:rsidR="00627794">
        <w:t xml:space="preserve"> </w:t>
      </w:r>
      <w:hyperlink r:id="rId4" w:history="1">
        <w:r w:rsidR="00627794" w:rsidRPr="005F011F">
          <w:rPr>
            <w:rStyle w:val="Hyperlink"/>
          </w:rPr>
          <w:t>https://vietnam.un.org/en/237083-2022-un-country-annual-results-report-viet-nam</w:t>
        </w:r>
      </w:hyperlink>
    </w:p>
  </w:endnote>
  <w:endnote w:id="7">
    <w:p w14:paraId="26394D20" w14:textId="17AA3FE2" w:rsidR="009E3323" w:rsidRPr="00BC5AF9" w:rsidRDefault="009E3323" w:rsidP="00B14957">
      <w:pPr>
        <w:pStyle w:val="EndnoteText"/>
      </w:pPr>
      <w:r w:rsidRPr="00BC5AF9">
        <w:rPr>
          <w:rStyle w:val="EndnoteReference"/>
        </w:rPr>
        <w:endnoteRef/>
      </w:r>
      <w:r w:rsidRPr="00BC5AF9">
        <w:t xml:space="preserve"> </w:t>
      </w:r>
      <w:r w:rsidR="005D735B" w:rsidRPr="00BC5AF9">
        <w:t>World Bank,</w:t>
      </w:r>
      <w:r w:rsidRPr="00BC5AF9">
        <w:t xml:space="preserve"> </w:t>
      </w:r>
      <w:r w:rsidRPr="00BC5AF9">
        <w:rPr>
          <w:i/>
          <w:iCs/>
        </w:rPr>
        <w:t>2022 Vietnam poverty and equity assessment</w:t>
      </w:r>
      <w:r w:rsidR="007669FA" w:rsidRPr="00BC5AF9">
        <w:rPr>
          <w:i/>
          <w:iCs/>
        </w:rPr>
        <w:t xml:space="preserve"> – from the last mil</w:t>
      </w:r>
      <w:r w:rsidR="00DA5A0E" w:rsidRPr="00BC5AF9">
        <w:rPr>
          <w:i/>
          <w:iCs/>
        </w:rPr>
        <w:t>e</w:t>
      </w:r>
      <w:r w:rsidR="007669FA" w:rsidRPr="00BC5AF9">
        <w:rPr>
          <w:i/>
          <w:iCs/>
        </w:rPr>
        <w:t xml:space="preserve"> to the next mile</w:t>
      </w:r>
      <w:r w:rsidR="007669FA" w:rsidRPr="00BC5AF9">
        <w:t xml:space="preserve">, 2022. </w:t>
      </w:r>
      <w:hyperlink r:id="rId5" w:history="1">
        <w:r w:rsidR="007669FA" w:rsidRPr="00BC5AF9">
          <w:rPr>
            <w:rStyle w:val="Hyperlink"/>
          </w:rPr>
          <w:t>https://www.worldbank.org/en/country/vietnam/publication/2022-vietnam-poverty-and-equity-assessment-report</w:t>
        </w:r>
      </w:hyperlink>
    </w:p>
  </w:endnote>
  <w:endnote w:id="8">
    <w:p w14:paraId="7F509698" w14:textId="4DA324E5" w:rsidR="009E3323" w:rsidRPr="008720E3" w:rsidRDefault="009E3323" w:rsidP="00B14957">
      <w:pPr>
        <w:pStyle w:val="EndnoteText"/>
      </w:pPr>
      <w:r w:rsidRPr="00BC5AF9">
        <w:rPr>
          <w:rStyle w:val="EndnoteReference"/>
        </w:rPr>
        <w:endnoteRef/>
      </w:r>
      <w:r w:rsidRPr="00BC5AF9">
        <w:t xml:space="preserve"> </w:t>
      </w:r>
      <w:r w:rsidR="00976349" w:rsidRPr="00BC5AF9">
        <w:t>United Nations Development Programme (</w:t>
      </w:r>
      <w:r w:rsidRPr="00BC5AF9">
        <w:t>UNDP</w:t>
      </w:r>
      <w:r w:rsidR="00976349" w:rsidRPr="00BC5AF9">
        <w:t>)</w:t>
      </w:r>
      <w:r w:rsidR="00D40D5C" w:rsidRPr="00BC5AF9">
        <w:t>,</w:t>
      </w:r>
      <w:r w:rsidRPr="00BC5AF9">
        <w:t xml:space="preserve"> </w:t>
      </w:r>
      <w:r w:rsidR="00DA26B3" w:rsidRPr="00BC5AF9">
        <w:rPr>
          <w:i/>
          <w:iCs/>
        </w:rPr>
        <w:t>Global m</w:t>
      </w:r>
      <w:r w:rsidRPr="00BC5AF9">
        <w:rPr>
          <w:i/>
          <w:iCs/>
        </w:rPr>
        <w:t xml:space="preserve">ultidimensional </w:t>
      </w:r>
      <w:r w:rsidR="00362849" w:rsidRPr="00BC5AF9">
        <w:rPr>
          <w:i/>
          <w:iCs/>
        </w:rPr>
        <w:t>p</w:t>
      </w:r>
      <w:r w:rsidRPr="00BC5AF9">
        <w:rPr>
          <w:i/>
          <w:iCs/>
        </w:rPr>
        <w:t xml:space="preserve">overty </w:t>
      </w:r>
      <w:r w:rsidR="00362849" w:rsidRPr="00BC5AF9">
        <w:rPr>
          <w:i/>
          <w:iCs/>
        </w:rPr>
        <w:t>index</w:t>
      </w:r>
      <w:r w:rsidR="00EC1951" w:rsidRPr="00BC5AF9">
        <w:rPr>
          <w:i/>
          <w:iCs/>
        </w:rPr>
        <w:t xml:space="preserve"> 2021</w:t>
      </w:r>
      <w:r w:rsidRPr="00BC5AF9">
        <w:t>, 2021</w:t>
      </w:r>
      <w:r w:rsidR="00EC1951" w:rsidRPr="00BC5AF9">
        <w:t>.</w:t>
      </w:r>
      <w:r w:rsidRPr="00BC5AF9">
        <w:t xml:space="preserve"> </w:t>
      </w:r>
      <w:hyperlink r:id="rId6" w:history="1">
        <w:r w:rsidR="00EC1951" w:rsidRPr="00BC5AF9">
          <w:rPr>
            <w:rStyle w:val="Hyperlink"/>
          </w:rPr>
          <w:t>https://hdr.undp.org/content/2021-global-multidimensional-poverty-index-mpi</w:t>
        </w:r>
      </w:hyperlink>
      <w:r w:rsidR="00D40D5C" w:rsidRPr="00BC5AF9">
        <w:t>;</w:t>
      </w:r>
      <w:r w:rsidR="00EC1951" w:rsidRPr="00BC5AF9">
        <w:t xml:space="preserve"> </w:t>
      </w:r>
      <w:r w:rsidR="00D40D5C" w:rsidRPr="00BC5AF9">
        <w:t>UNDP, Global multidimensional poverty index</w:t>
      </w:r>
      <w:r w:rsidR="004E09AC" w:rsidRPr="00BC5AF9">
        <w:t xml:space="preserve"> 2023,</w:t>
      </w:r>
      <w:r w:rsidRPr="00BC5AF9">
        <w:t xml:space="preserve"> 2023</w:t>
      </w:r>
      <w:r w:rsidR="004E09AC" w:rsidRPr="00BC5AF9">
        <w:t xml:space="preserve">. </w:t>
      </w:r>
      <w:hyperlink r:id="rId7" w:anchor="/indicies/MPI" w:history="1">
        <w:r w:rsidR="00EA7FD3" w:rsidRPr="00BC5AF9">
          <w:rPr>
            <w:rStyle w:val="Hyperlink"/>
          </w:rPr>
          <w:t>https://hdr.undp.org/content/2023-global-multidimensional-poverty-index-mpi#/indicies/MPI</w:t>
        </w:r>
      </w:hyperlink>
      <w:r w:rsidRPr="00BC5AF9">
        <w:t>; UNDP</w:t>
      </w:r>
      <w:r w:rsidR="000E45C7" w:rsidRPr="00BC5AF9">
        <w:t>,</w:t>
      </w:r>
      <w:r w:rsidRPr="00BC5AF9">
        <w:t xml:space="preserve"> </w:t>
      </w:r>
      <w:r w:rsidRPr="00BC5AF9">
        <w:rPr>
          <w:i/>
          <w:iCs/>
        </w:rPr>
        <w:t xml:space="preserve">Human </w:t>
      </w:r>
      <w:r w:rsidR="000E45C7" w:rsidRPr="008720E3">
        <w:rPr>
          <w:i/>
          <w:iCs/>
        </w:rPr>
        <w:t>d</w:t>
      </w:r>
      <w:r w:rsidRPr="008720E3">
        <w:rPr>
          <w:i/>
          <w:iCs/>
        </w:rPr>
        <w:t xml:space="preserve">evelopment </w:t>
      </w:r>
      <w:r w:rsidR="000E45C7" w:rsidRPr="008720E3">
        <w:rPr>
          <w:i/>
          <w:iCs/>
        </w:rPr>
        <w:t>r</w:t>
      </w:r>
      <w:r w:rsidRPr="008720E3">
        <w:rPr>
          <w:i/>
          <w:iCs/>
        </w:rPr>
        <w:t>eport 2023/2024</w:t>
      </w:r>
      <w:r w:rsidR="000E45C7" w:rsidRPr="008720E3">
        <w:t>, 2024</w:t>
      </w:r>
      <w:r w:rsidRPr="008720E3">
        <w:t>.</w:t>
      </w:r>
      <w:r w:rsidR="000E45C7" w:rsidRPr="008720E3">
        <w:t xml:space="preserve"> </w:t>
      </w:r>
      <w:hyperlink r:id="rId8" w:history="1">
        <w:r w:rsidR="00A27268" w:rsidRPr="008720E3">
          <w:rPr>
            <w:rStyle w:val="Hyperlink"/>
          </w:rPr>
          <w:t>https://hdr.undp.org/content/human-development-report-2023-24</w:t>
        </w:r>
      </w:hyperlink>
    </w:p>
  </w:endnote>
  <w:endnote w:id="9">
    <w:p w14:paraId="51AE3A7B" w14:textId="658699A9" w:rsidR="009E3323" w:rsidRPr="008720E3" w:rsidRDefault="009E3323" w:rsidP="00B14957">
      <w:pPr>
        <w:pStyle w:val="EndnoteText"/>
      </w:pPr>
      <w:r w:rsidRPr="008720E3">
        <w:rPr>
          <w:rStyle w:val="EndnoteReference"/>
        </w:rPr>
        <w:endnoteRef/>
      </w:r>
      <w:r w:rsidRPr="008720E3">
        <w:t xml:space="preserve"> World Bank</w:t>
      </w:r>
      <w:r w:rsidR="00C21AC9" w:rsidRPr="008720E3">
        <w:t>,</w:t>
      </w:r>
      <w:r w:rsidRPr="008720E3">
        <w:t xml:space="preserve"> </w:t>
      </w:r>
      <w:r w:rsidR="00C21AC9" w:rsidRPr="008720E3">
        <w:rPr>
          <w:i/>
          <w:iCs/>
        </w:rPr>
        <w:t>D</w:t>
      </w:r>
      <w:r w:rsidRPr="008720E3">
        <w:rPr>
          <w:i/>
          <w:iCs/>
        </w:rPr>
        <w:t>ata</w:t>
      </w:r>
      <w:r w:rsidR="00C21AC9" w:rsidRPr="008720E3">
        <w:rPr>
          <w:i/>
          <w:iCs/>
        </w:rPr>
        <w:t>Bank</w:t>
      </w:r>
      <w:r w:rsidR="00C21AC9" w:rsidRPr="008720E3">
        <w:t>.</w:t>
      </w:r>
      <w:r w:rsidRPr="008720E3">
        <w:t xml:space="preserve"> </w:t>
      </w:r>
      <w:hyperlink r:id="rId9" w:history="1">
        <w:r w:rsidR="004021E9" w:rsidRPr="008720E3">
          <w:rPr>
            <w:rStyle w:val="Hyperlink"/>
          </w:rPr>
          <w:t>https://databank.worldbank.org/</w:t>
        </w:r>
      </w:hyperlink>
    </w:p>
  </w:endnote>
  <w:endnote w:id="10">
    <w:p w14:paraId="240664DD" w14:textId="22B9BA88" w:rsidR="009E3323" w:rsidRPr="00BC5AF9" w:rsidRDefault="009E3323" w:rsidP="00B14957">
      <w:pPr>
        <w:pStyle w:val="EndnoteText"/>
      </w:pPr>
      <w:r w:rsidRPr="008720E3">
        <w:rPr>
          <w:rStyle w:val="EndnoteReference"/>
        </w:rPr>
        <w:endnoteRef/>
      </w:r>
      <w:r w:rsidRPr="008720E3">
        <w:t xml:space="preserve"> World Bank, </w:t>
      </w:r>
      <w:r w:rsidRPr="008720E3">
        <w:rPr>
          <w:i/>
          <w:iCs/>
        </w:rPr>
        <w:t xml:space="preserve">Vietnam </w:t>
      </w:r>
      <w:r w:rsidR="00B91CCA" w:rsidRPr="008720E3">
        <w:rPr>
          <w:i/>
          <w:iCs/>
        </w:rPr>
        <w:t>c</w:t>
      </w:r>
      <w:r w:rsidR="000937DD" w:rsidRPr="008720E3">
        <w:rPr>
          <w:i/>
          <w:iCs/>
        </w:rPr>
        <w:t xml:space="preserve">ountry </w:t>
      </w:r>
      <w:r w:rsidR="00B91CCA" w:rsidRPr="008720E3">
        <w:rPr>
          <w:i/>
          <w:iCs/>
        </w:rPr>
        <w:t>c</w:t>
      </w:r>
      <w:r w:rsidRPr="008720E3">
        <w:rPr>
          <w:i/>
          <w:iCs/>
        </w:rPr>
        <w:t xml:space="preserve">limate and </w:t>
      </w:r>
      <w:r w:rsidR="00B91CCA" w:rsidRPr="008720E3">
        <w:rPr>
          <w:i/>
          <w:iCs/>
        </w:rPr>
        <w:t>d</w:t>
      </w:r>
      <w:r w:rsidRPr="008720E3">
        <w:rPr>
          <w:i/>
          <w:iCs/>
        </w:rPr>
        <w:t xml:space="preserve">evelopment </w:t>
      </w:r>
      <w:r w:rsidR="00B91CCA" w:rsidRPr="008720E3">
        <w:rPr>
          <w:i/>
          <w:iCs/>
        </w:rPr>
        <w:t>r</w:t>
      </w:r>
      <w:r w:rsidRPr="008720E3">
        <w:rPr>
          <w:i/>
          <w:iCs/>
        </w:rPr>
        <w:t>eport</w:t>
      </w:r>
      <w:r w:rsidRPr="008720E3">
        <w:t>, 2022.</w:t>
      </w:r>
      <w:r w:rsidR="00B91CCA" w:rsidRPr="00BC5AF9">
        <w:t xml:space="preserve"> </w:t>
      </w:r>
      <w:hyperlink r:id="rId10" w:history="1">
        <w:r w:rsidR="004021E9" w:rsidRPr="00BC5AF9">
          <w:rPr>
            <w:rStyle w:val="Hyperlink"/>
          </w:rPr>
          <w:t>https://openknowledge.worldbank.org/entities/publication/29e72556-d255-5c50-a086-245c1ccc4704</w:t>
        </w:r>
      </w:hyperlink>
    </w:p>
  </w:endnote>
  <w:endnote w:id="11">
    <w:p w14:paraId="7673EBCA" w14:textId="55B39FB4" w:rsidR="00F15F2F" w:rsidRPr="00F15F2F" w:rsidRDefault="00F15F2F">
      <w:pPr>
        <w:pStyle w:val="EndnoteText"/>
        <w:rPr>
          <w:lang w:val="en-US"/>
        </w:rPr>
      </w:pPr>
      <w:r>
        <w:rPr>
          <w:rStyle w:val="EndnoteReference"/>
        </w:rPr>
        <w:endnoteRef/>
      </w:r>
      <w:r>
        <w:t xml:space="preserve"> </w:t>
      </w:r>
      <w:r w:rsidRPr="00F15F2F">
        <w:t>National Assembly</w:t>
      </w:r>
      <w:r w:rsidR="00F02105">
        <w:t>,</w:t>
      </w:r>
      <w:r w:rsidRPr="00F15F2F">
        <w:t xml:space="preserve"> </w:t>
      </w:r>
      <w:r w:rsidRPr="005531E2">
        <w:rPr>
          <w:i/>
          <w:iCs/>
        </w:rPr>
        <w:t>Resolution</w:t>
      </w:r>
      <w:r w:rsidR="00D25BC5" w:rsidRPr="005531E2">
        <w:rPr>
          <w:i/>
          <w:iCs/>
        </w:rPr>
        <w:t xml:space="preserve"> </w:t>
      </w:r>
      <w:r w:rsidR="005531E2" w:rsidRPr="005531E2">
        <w:rPr>
          <w:i/>
          <w:iCs/>
        </w:rPr>
        <w:t>n</w:t>
      </w:r>
      <w:r w:rsidR="00D25BC5" w:rsidRPr="005531E2">
        <w:rPr>
          <w:i/>
          <w:iCs/>
        </w:rPr>
        <w:t>o. 81/2023/QH15</w:t>
      </w:r>
      <w:r w:rsidR="00D82DDA">
        <w:rPr>
          <w:i/>
          <w:iCs/>
        </w:rPr>
        <w:t>:</w:t>
      </w:r>
      <w:r w:rsidRPr="005531E2">
        <w:rPr>
          <w:i/>
          <w:iCs/>
        </w:rPr>
        <w:t xml:space="preserve"> </w:t>
      </w:r>
      <w:r w:rsidR="005531E2" w:rsidRPr="005531E2">
        <w:rPr>
          <w:i/>
          <w:iCs/>
        </w:rPr>
        <w:t>n</w:t>
      </w:r>
      <w:r w:rsidRPr="005531E2">
        <w:rPr>
          <w:i/>
          <w:iCs/>
        </w:rPr>
        <w:t xml:space="preserve">ational </w:t>
      </w:r>
      <w:r w:rsidR="005531E2" w:rsidRPr="005531E2">
        <w:rPr>
          <w:i/>
          <w:iCs/>
        </w:rPr>
        <w:t>m</w:t>
      </w:r>
      <w:r w:rsidRPr="005531E2">
        <w:rPr>
          <w:i/>
          <w:iCs/>
        </w:rPr>
        <w:t xml:space="preserve">aster </w:t>
      </w:r>
      <w:r w:rsidR="005531E2" w:rsidRPr="005531E2">
        <w:rPr>
          <w:i/>
          <w:iCs/>
        </w:rPr>
        <w:t>p</w:t>
      </w:r>
      <w:r w:rsidRPr="005531E2">
        <w:rPr>
          <w:i/>
          <w:iCs/>
        </w:rPr>
        <w:t xml:space="preserve">lan for 2021–2030 with </w:t>
      </w:r>
      <w:r w:rsidR="005531E2" w:rsidRPr="005531E2">
        <w:rPr>
          <w:i/>
          <w:iCs/>
        </w:rPr>
        <w:t>v</w:t>
      </w:r>
      <w:r w:rsidRPr="005531E2">
        <w:rPr>
          <w:i/>
          <w:iCs/>
        </w:rPr>
        <w:t xml:space="preserve">ision </w:t>
      </w:r>
      <w:r w:rsidR="005531E2" w:rsidRPr="005531E2">
        <w:rPr>
          <w:i/>
          <w:iCs/>
        </w:rPr>
        <w:t>s</w:t>
      </w:r>
      <w:r w:rsidRPr="005531E2">
        <w:rPr>
          <w:i/>
          <w:iCs/>
        </w:rPr>
        <w:t>cheduled for 2050</w:t>
      </w:r>
      <w:r w:rsidRPr="00F15F2F">
        <w:t xml:space="preserve">, </w:t>
      </w:r>
      <w:r w:rsidR="00230A30">
        <w:t>2023.</w:t>
      </w:r>
    </w:p>
  </w:endnote>
  <w:endnote w:id="12">
    <w:p w14:paraId="5115C408" w14:textId="05BEB0D6" w:rsidR="00A419C9" w:rsidRPr="00A419C9" w:rsidRDefault="00A419C9">
      <w:pPr>
        <w:pStyle w:val="EndnoteText"/>
        <w:rPr>
          <w:lang w:val="en-US"/>
        </w:rPr>
      </w:pPr>
      <w:r>
        <w:rPr>
          <w:rStyle w:val="EndnoteReference"/>
        </w:rPr>
        <w:endnoteRef/>
      </w:r>
      <w:r>
        <w:t xml:space="preserve"> </w:t>
      </w:r>
      <w:r w:rsidR="004F68BE">
        <w:t>The Politburo, Communist Party of Vietnam</w:t>
      </w:r>
      <w:r w:rsidR="00827309">
        <w:t xml:space="preserve">, </w:t>
      </w:r>
      <w:r w:rsidRPr="005C0A34">
        <w:rPr>
          <w:i/>
          <w:iCs/>
        </w:rPr>
        <w:t xml:space="preserve">Conclusion of the Politburo continuing to implement </w:t>
      </w:r>
      <w:r w:rsidR="000A7872" w:rsidRPr="005C0A34">
        <w:rPr>
          <w:i/>
          <w:iCs/>
        </w:rPr>
        <w:t>r</w:t>
      </w:r>
      <w:r w:rsidRPr="005C0A34">
        <w:rPr>
          <w:i/>
          <w:iCs/>
        </w:rPr>
        <w:t xml:space="preserve">esolution </w:t>
      </w:r>
      <w:r w:rsidR="000A7872" w:rsidRPr="005C0A34">
        <w:rPr>
          <w:i/>
          <w:iCs/>
        </w:rPr>
        <w:t>n</w:t>
      </w:r>
      <w:r w:rsidRPr="005C0A34">
        <w:rPr>
          <w:i/>
          <w:iCs/>
        </w:rPr>
        <w:t>o. 29-NQ/TW, dated November 4, 2013 of the 11th Party Central Committee</w:t>
      </w:r>
      <w:r w:rsidR="00DE32D9">
        <w:t>.</w:t>
      </w:r>
    </w:p>
  </w:endnote>
  <w:endnote w:id="13">
    <w:p w14:paraId="793F2028" w14:textId="53A24C41" w:rsidR="009E3323" w:rsidRPr="00BC5AF9" w:rsidRDefault="009E3323">
      <w:pPr>
        <w:pStyle w:val="EndnoteText"/>
      </w:pPr>
      <w:r w:rsidRPr="00BC5AF9">
        <w:rPr>
          <w:rStyle w:val="EndnoteReference"/>
        </w:rPr>
        <w:endnoteRef/>
      </w:r>
      <w:r w:rsidRPr="00BC5AF9">
        <w:t xml:space="preserve"> World Bank, </w:t>
      </w:r>
      <w:r w:rsidRPr="00BC5AF9">
        <w:rPr>
          <w:i/>
          <w:iCs/>
        </w:rPr>
        <w:t xml:space="preserve">Vietnam </w:t>
      </w:r>
      <w:r w:rsidR="004021E9" w:rsidRPr="00BC5AF9">
        <w:rPr>
          <w:i/>
          <w:iCs/>
        </w:rPr>
        <w:t>c</w:t>
      </w:r>
      <w:r w:rsidRPr="00BC5AF9">
        <w:rPr>
          <w:i/>
          <w:iCs/>
        </w:rPr>
        <w:t xml:space="preserve">ountry </w:t>
      </w:r>
      <w:r w:rsidR="004021E9" w:rsidRPr="00BC5AF9">
        <w:rPr>
          <w:i/>
          <w:iCs/>
        </w:rPr>
        <w:t>c</w:t>
      </w:r>
      <w:r w:rsidRPr="00BC5AF9">
        <w:rPr>
          <w:i/>
          <w:iCs/>
        </w:rPr>
        <w:t xml:space="preserve">limate and </w:t>
      </w:r>
      <w:r w:rsidR="004021E9" w:rsidRPr="00BC5AF9">
        <w:rPr>
          <w:i/>
          <w:iCs/>
        </w:rPr>
        <w:t>d</w:t>
      </w:r>
      <w:r w:rsidRPr="00BC5AF9">
        <w:rPr>
          <w:i/>
          <w:iCs/>
        </w:rPr>
        <w:t xml:space="preserve">evelopment </w:t>
      </w:r>
      <w:r w:rsidR="004021E9" w:rsidRPr="00BC5AF9">
        <w:rPr>
          <w:i/>
          <w:iCs/>
        </w:rPr>
        <w:t>r</w:t>
      </w:r>
      <w:r w:rsidRPr="00BC5AF9">
        <w:rPr>
          <w:i/>
          <w:iCs/>
        </w:rPr>
        <w:t>eport</w:t>
      </w:r>
      <w:r w:rsidR="004021E9" w:rsidRPr="00BC5AF9">
        <w:t>.</w:t>
      </w:r>
    </w:p>
  </w:endnote>
  <w:endnote w:id="14">
    <w:p w14:paraId="2C9AEC33" w14:textId="14544F07" w:rsidR="009E3323" w:rsidRPr="00BC5AF9" w:rsidRDefault="009E3323" w:rsidP="00B14957">
      <w:pPr>
        <w:pStyle w:val="EndnoteText"/>
      </w:pPr>
      <w:r w:rsidRPr="00BC5AF9">
        <w:rPr>
          <w:rStyle w:val="EndnoteReference"/>
        </w:rPr>
        <w:endnoteRef/>
      </w:r>
      <w:r w:rsidRPr="00BC5AF9">
        <w:t xml:space="preserve"> </w:t>
      </w:r>
      <w:r w:rsidR="00537FF6" w:rsidRPr="00BC5AF9">
        <w:t>T Ha and N Hien</w:t>
      </w:r>
      <w:r w:rsidR="00364D22" w:rsidRPr="00BC5AF9">
        <w:t xml:space="preserve">, </w:t>
      </w:r>
      <w:r w:rsidR="00DC78BB" w:rsidRPr="00BC5AF9">
        <w:rPr>
          <w:i/>
          <w:iCs/>
        </w:rPr>
        <w:t>Vietnam likely to lose up to 14.5% of GDP annually to climate change: official</w:t>
      </w:r>
      <w:r w:rsidR="00364D22" w:rsidRPr="00BC5AF9">
        <w:t xml:space="preserve">, </w:t>
      </w:r>
      <w:r w:rsidR="00DC78BB" w:rsidRPr="00BC5AF9">
        <w:t>14 May 2024</w:t>
      </w:r>
      <w:r w:rsidR="00364D22" w:rsidRPr="00BC5AF9">
        <w:t xml:space="preserve">. </w:t>
      </w:r>
      <w:hyperlink r:id="rId11" w:history="1">
        <w:r w:rsidR="00DC78BB" w:rsidRPr="00BC5AF9">
          <w:rPr>
            <w:rStyle w:val="Hyperlink"/>
          </w:rPr>
          <w:t>https://tuoitrenews.vn/news/society/20240514/vietnam-likely-to-lose-up-to-145-of-gdp-annually-to-climate-change-official/79858.html</w:t>
        </w:r>
      </w:hyperlink>
    </w:p>
  </w:endnote>
  <w:endnote w:id="15">
    <w:p w14:paraId="4E643904" w14:textId="30B87915" w:rsidR="009E3323" w:rsidRPr="00BC5AF9" w:rsidRDefault="009E3323" w:rsidP="00B14957">
      <w:pPr>
        <w:pStyle w:val="EndnoteText"/>
      </w:pPr>
      <w:r w:rsidRPr="00BC5AF9">
        <w:rPr>
          <w:rStyle w:val="EndnoteReference"/>
        </w:rPr>
        <w:endnoteRef/>
      </w:r>
      <w:r w:rsidRPr="00BC5AF9">
        <w:t xml:space="preserve"> </w:t>
      </w:r>
      <w:bookmarkStart w:id="3" w:name="_Hlk173144664"/>
      <w:r w:rsidRPr="00BC5AF9">
        <w:t xml:space="preserve">World Bank, </w:t>
      </w:r>
      <w:r w:rsidRPr="00BC5AF9">
        <w:rPr>
          <w:i/>
          <w:iCs/>
        </w:rPr>
        <w:t xml:space="preserve">Vietnam </w:t>
      </w:r>
      <w:r w:rsidR="008C6A67" w:rsidRPr="00BC5AF9">
        <w:rPr>
          <w:i/>
          <w:iCs/>
        </w:rPr>
        <w:t>c</w:t>
      </w:r>
      <w:r w:rsidRPr="00BC5AF9">
        <w:rPr>
          <w:i/>
          <w:iCs/>
        </w:rPr>
        <w:t xml:space="preserve">ountry </w:t>
      </w:r>
      <w:r w:rsidR="008C6A67" w:rsidRPr="00BC5AF9">
        <w:rPr>
          <w:i/>
          <w:iCs/>
        </w:rPr>
        <w:t>c</w:t>
      </w:r>
      <w:r w:rsidRPr="00BC5AF9">
        <w:rPr>
          <w:i/>
          <w:iCs/>
        </w:rPr>
        <w:t xml:space="preserve">limate and </w:t>
      </w:r>
      <w:r w:rsidR="003F7AE2" w:rsidRPr="00BC5AF9">
        <w:rPr>
          <w:i/>
          <w:iCs/>
        </w:rPr>
        <w:t>d</w:t>
      </w:r>
      <w:r w:rsidRPr="00BC5AF9">
        <w:rPr>
          <w:i/>
          <w:iCs/>
        </w:rPr>
        <w:t xml:space="preserve">evelopment </w:t>
      </w:r>
      <w:r w:rsidR="003F7AE2" w:rsidRPr="00BC5AF9">
        <w:rPr>
          <w:i/>
          <w:iCs/>
        </w:rPr>
        <w:t>r</w:t>
      </w:r>
      <w:r w:rsidRPr="00BC5AF9">
        <w:rPr>
          <w:i/>
          <w:iCs/>
        </w:rPr>
        <w:t>eport</w:t>
      </w:r>
      <w:bookmarkEnd w:id="3"/>
      <w:r w:rsidR="003F7AE2" w:rsidRPr="00BC5AF9">
        <w:t>.</w:t>
      </w:r>
    </w:p>
  </w:endnote>
  <w:endnote w:id="16">
    <w:p w14:paraId="75EC3C25" w14:textId="564CE003" w:rsidR="009E3323" w:rsidRPr="00BC5AF9" w:rsidRDefault="009E3323" w:rsidP="00B14957">
      <w:pPr>
        <w:pStyle w:val="EndnoteText"/>
      </w:pPr>
      <w:r w:rsidRPr="00BC5AF9">
        <w:rPr>
          <w:rStyle w:val="EndnoteReference"/>
        </w:rPr>
        <w:endnoteRef/>
      </w:r>
      <w:r w:rsidRPr="00BC5AF9">
        <w:t xml:space="preserve"> General Statistics Office</w:t>
      </w:r>
      <w:r w:rsidR="0009799D" w:rsidRPr="00BC5AF9">
        <w:t xml:space="preserve"> and United Nations Population Fund</w:t>
      </w:r>
      <w:r w:rsidR="00106F82" w:rsidRPr="00BC5AF9">
        <w:t xml:space="preserve"> (UNF</w:t>
      </w:r>
      <w:r w:rsidR="007C2BEB" w:rsidRPr="00BC5AF9">
        <w:t>P</w:t>
      </w:r>
      <w:r w:rsidR="00106F82" w:rsidRPr="00BC5AF9">
        <w:t>A)</w:t>
      </w:r>
      <w:r w:rsidRPr="00BC5AF9">
        <w:t xml:space="preserve">, </w:t>
      </w:r>
      <w:r w:rsidR="00E56BB7" w:rsidRPr="00BC5AF9">
        <w:rPr>
          <w:i/>
          <w:iCs/>
        </w:rPr>
        <w:t>Factsheet on</w:t>
      </w:r>
      <w:r w:rsidRPr="00BC5AF9">
        <w:rPr>
          <w:i/>
          <w:iCs/>
        </w:rPr>
        <w:t xml:space="preserve"> </w:t>
      </w:r>
      <w:r w:rsidR="00E56BB7" w:rsidRPr="00BC5AF9">
        <w:rPr>
          <w:i/>
          <w:iCs/>
        </w:rPr>
        <w:t>s</w:t>
      </w:r>
      <w:r w:rsidRPr="00BC5AF9">
        <w:rPr>
          <w:i/>
          <w:iCs/>
        </w:rPr>
        <w:t xml:space="preserve">ex </w:t>
      </w:r>
      <w:r w:rsidR="0027334A" w:rsidRPr="00BC5AF9">
        <w:rPr>
          <w:i/>
          <w:iCs/>
        </w:rPr>
        <w:t>i</w:t>
      </w:r>
      <w:r w:rsidRPr="00BC5AF9">
        <w:rPr>
          <w:i/>
          <w:iCs/>
        </w:rPr>
        <w:t xml:space="preserve">mbalances </w:t>
      </w:r>
      <w:r w:rsidR="0027334A" w:rsidRPr="00BC5AF9">
        <w:rPr>
          <w:i/>
          <w:iCs/>
        </w:rPr>
        <w:t xml:space="preserve">at birth </w:t>
      </w:r>
      <w:r w:rsidRPr="00BC5AF9">
        <w:rPr>
          <w:i/>
          <w:iCs/>
        </w:rPr>
        <w:t>in Viet</w:t>
      </w:r>
      <w:r w:rsidR="0027334A" w:rsidRPr="00BC5AF9">
        <w:rPr>
          <w:i/>
          <w:iCs/>
        </w:rPr>
        <w:t xml:space="preserve"> N</w:t>
      </w:r>
      <w:r w:rsidRPr="00BC5AF9">
        <w:rPr>
          <w:i/>
          <w:iCs/>
        </w:rPr>
        <w:t xml:space="preserve">am: </w:t>
      </w:r>
      <w:r w:rsidR="0027334A" w:rsidRPr="00BC5AF9">
        <w:rPr>
          <w:i/>
          <w:iCs/>
        </w:rPr>
        <w:t>t</w:t>
      </w:r>
      <w:r w:rsidRPr="00BC5AF9">
        <w:rPr>
          <w:i/>
          <w:iCs/>
        </w:rPr>
        <w:t xml:space="preserve">rends and </w:t>
      </w:r>
      <w:r w:rsidR="0027334A" w:rsidRPr="00BC5AF9">
        <w:rPr>
          <w:i/>
          <w:iCs/>
        </w:rPr>
        <w:t>v</w:t>
      </w:r>
      <w:r w:rsidRPr="00BC5AF9">
        <w:rPr>
          <w:i/>
          <w:iCs/>
        </w:rPr>
        <w:t>ariations</w:t>
      </w:r>
      <w:r w:rsidRPr="00BC5AF9">
        <w:t xml:space="preserve">, </w:t>
      </w:r>
      <w:r w:rsidR="0027334A" w:rsidRPr="00BC5AF9">
        <w:t xml:space="preserve">2020. </w:t>
      </w:r>
      <w:hyperlink r:id="rId12" w:history="1">
        <w:r w:rsidR="0027334A" w:rsidRPr="00BC5AF9">
          <w:rPr>
            <w:rStyle w:val="Hyperlink"/>
          </w:rPr>
          <w:t>https://vietnam.unfpa.org/en/publications/factsheet-sex-imbalances-birth-viet-nam-trends-and-variations</w:t>
        </w:r>
      </w:hyperlink>
    </w:p>
  </w:endnote>
  <w:endnote w:id="17">
    <w:p w14:paraId="02CC54A7" w14:textId="0B97D51C" w:rsidR="009E3323" w:rsidRDefault="009E3323" w:rsidP="00B14957">
      <w:pPr>
        <w:pStyle w:val="EndnoteText"/>
      </w:pPr>
      <w:r w:rsidRPr="00BC5AF9">
        <w:rPr>
          <w:rStyle w:val="EndnoteReference"/>
        </w:rPr>
        <w:endnoteRef/>
      </w:r>
      <w:r w:rsidRPr="00BC5AF9">
        <w:t xml:space="preserve"> </w:t>
      </w:r>
      <w:r w:rsidR="00A3217B" w:rsidRPr="00BC5AF9">
        <w:t>Ministry of Labour, Invalids and Social Affairs</w:t>
      </w:r>
      <w:r w:rsidR="007C2BEB" w:rsidRPr="00BC5AF9">
        <w:t>,</w:t>
      </w:r>
      <w:r w:rsidRPr="00BC5AF9">
        <w:t xml:space="preserve"> General Statistics Office</w:t>
      </w:r>
      <w:r w:rsidR="007C2BEB" w:rsidRPr="00BC5AF9">
        <w:t xml:space="preserve"> and UNFPA</w:t>
      </w:r>
      <w:r w:rsidRPr="00BC5AF9">
        <w:t xml:space="preserve">, </w:t>
      </w:r>
      <w:r w:rsidRPr="00BC5AF9">
        <w:rPr>
          <w:i/>
          <w:iCs/>
        </w:rPr>
        <w:t xml:space="preserve">National </w:t>
      </w:r>
      <w:r w:rsidR="00836F3B" w:rsidRPr="00BC5AF9">
        <w:rPr>
          <w:i/>
          <w:iCs/>
        </w:rPr>
        <w:t>s</w:t>
      </w:r>
      <w:r w:rsidRPr="00BC5AF9">
        <w:rPr>
          <w:i/>
          <w:iCs/>
        </w:rPr>
        <w:t xml:space="preserve">tudy on </w:t>
      </w:r>
      <w:r w:rsidR="00836F3B" w:rsidRPr="00BC5AF9">
        <w:rPr>
          <w:i/>
          <w:iCs/>
        </w:rPr>
        <w:t>v</w:t>
      </w:r>
      <w:r w:rsidRPr="00BC5AF9">
        <w:rPr>
          <w:i/>
          <w:iCs/>
        </w:rPr>
        <w:t xml:space="preserve">iolence </w:t>
      </w:r>
      <w:r w:rsidR="00836F3B" w:rsidRPr="00BC5AF9">
        <w:rPr>
          <w:i/>
          <w:iCs/>
        </w:rPr>
        <w:t>a</w:t>
      </w:r>
      <w:r w:rsidRPr="00BC5AF9">
        <w:rPr>
          <w:i/>
          <w:iCs/>
        </w:rPr>
        <w:t xml:space="preserve">gainst </w:t>
      </w:r>
      <w:r w:rsidR="00836F3B" w:rsidRPr="00BC5AF9">
        <w:rPr>
          <w:i/>
          <w:iCs/>
        </w:rPr>
        <w:t>w</w:t>
      </w:r>
      <w:r w:rsidRPr="00BC5AF9">
        <w:rPr>
          <w:i/>
          <w:iCs/>
        </w:rPr>
        <w:t>omen in Viet</w:t>
      </w:r>
      <w:r w:rsidR="00836F3B" w:rsidRPr="00BC5AF9">
        <w:rPr>
          <w:i/>
          <w:iCs/>
        </w:rPr>
        <w:t xml:space="preserve"> N</w:t>
      </w:r>
      <w:r w:rsidRPr="00BC5AF9">
        <w:rPr>
          <w:i/>
          <w:iCs/>
        </w:rPr>
        <w:t xml:space="preserve">am </w:t>
      </w:r>
      <w:r w:rsidR="00836F3B" w:rsidRPr="00BC5AF9">
        <w:rPr>
          <w:i/>
          <w:iCs/>
        </w:rPr>
        <w:t>(</w:t>
      </w:r>
      <w:r w:rsidRPr="00BC5AF9">
        <w:rPr>
          <w:i/>
          <w:iCs/>
        </w:rPr>
        <w:t>2019</w:t>
      </w:r>
      <w:r w:rsidR="00836F3B" w:rsidRPr="00BC5AF9">
        <w:rPr>
          <w:i/>
          <w:iCs/>
        </w:rPr>
        <w:t>)</w:t>
      </w:r>
      <w:r w:rsidRPr="00BC5AF9">
        <w:t>, 2020.</w:t>
      </w:r>
      <w:r w:rsidR="00962BE3" w:rsidRPr="00BC5AF9">
        <w:t xml:space="preserve"> </w:t>
      </w:r>
      <w:hyperlink r:id="rId13" w:history="1">
        <w:r w:rsidR="00962BE3" w:rsidRPr="00BC5AF9">
          <w:rPr>
            <w:rStyle w:val="Hyperlink"/>
          </w:rPr>
          <w:t>https://asiapacific.unfpa.org/en/publications/national-study-violence-against-women-viet-nam-2019-0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23701"/>
      <w:docPartObj>
        <w:docPartGallery w:val="Page Numbers (Bottom of Page)"/>
        <w:docPartUnique/>
      </w:docPartObj>
    </w:sdtPr>
    <w:sdtContent>
      <w:p w14:paraId="62C33E14" w14:textId="065815FF" w:rsidR="009E3323" w:rsidRPr="00BC5AF9" w:rsidRDefault="000C3701" w:rsidP="000C3701">
        <w:pPr>
          <w:pStyle w:val="Footer"/>
          <w:jc w:val="center"/>
        </w:pPr>
        <w:r w:rsidRPr="00BC5AF9">
          <w:fldChar w:fldCharType="begin"/>
        </w:r>
        <w:r w:rsidRPr="00BC5AF9">
          <w:instrText xml:space="preserve"> PAGE   \* MERGEFORMAT </w:instrText>
        </w:r>
        <w:r w:rsidRPr="00BC5AF9">
          <w:fldChar w:fldCharType="separate"/>
        </w:r>
        <w:r w:rsidRPr="00BC5AF9">
          <w:t>2</w:t>
        </w:r>
        <w:r w:rsidRPr="00BC5AF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498847"/>
      <w:docPartObj>
        <w:docPartGallery w:val="Page Numbers (Bottom of Page)"/>
        <w:docPartUnique/>
      </w:docPartObj>
    </w:sdtPr>
    <w:sdtContent>
      <w:p w14:paraId="0E13D936" w14:textId="2E7375A6" w:rsidR="000B2B2D" w:rsidRPr="00BC5AF9" w:rsidRDefault="00704477" w:rsidP="00704477">
        <w:pPr>
          <w:pStyle w:val="Footer"/>
          <w:jc w:val="center"/>
        </w:pPr>
        <w:r w:rsidRPr="00BC5AF9">
          <w:fldChar w:fldCharType="begin"/>
        </w:r>
        <w:r w:rsidRPr="00BC5AF9">
          <w:instrText xml:space="preserve"> PAGE   \* MERGEFORMAT </w:instrText>
        </w:r>
        <w:r w:rsidRPr="00BC5AF9">
          <w:fldChar w:fldCharType="separate"/>
        </w:r>
        <w:r w:rsidRPr="00BC5AF9">
          <w:t>2</w:t>
        </w:r>
        <w:r w:rsidRPr="00BC5AF9">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9577"/>
      <w:docPartObj>
        <w:docPartGallery w:val="Page Numbers (Bottom of Page)"/>
        <w:docPartUnique/>
      </w:docPartObj>
    </w:sdtPr>
    <w:sdtContent>
      <w:p w14:paraId="441BC851" w14:textId="2C047552" w:rsidR="00FF5B19" w:rsidRPr="00BC5AF9" w:rsidRDefault="00704477" w:rsidP="00704477">
        <w:pPr>
          <w:pStyle w:val="Footer"/>
          <w:jc w:val="center"/>
        </w:pPr>
        <w:r w:rsidRPr="00BC5AF9">
          <w:fldChar w:fldCharType="begin"/>
        </w:r>
        <w:r w:rsidRPr="00BC5AF9">
          <w:instrText xml:space="preserve"> PAGE   \* MERGEFORMAT </w:instrText>
        </w:r>
        <w:r w:rsidRPr="00BC5AF9">
          <w:fldChar w:fldCharType="separate"/>
        </w:r>
        <w:r w:rsidRPr="00BC5AF9">
          <w:t>2</w:t>
        </w:r>
        <w:r w:rsidRPr="00BC5AF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2D34" w14:textId="77777777" w:rsidR="008D1167" w:rsidRPr="00BC5AF9" w:rsidRDefault="008D1167" w:rsidP="00EE32FE">
      <w:pPr>
        <w:spacing w:after="0" w:line="240" w:lineRule="auto"/>
      </w:pPr>
      <w:r w:rsidRPr="00BC5AF9">
        <w:separator/>
      </w:r>
    </w:p>
  </w:footnote>
  <w:footnote w:type="continuationSeparator" w:id="0">
    <w:p w14:paraId="35676996" w14:textId="77777777" w:rsidR="008D1167" w:rsidRPr="00BC5AF9" w:rsidRDefault="008D1167" w:rsidP="00EE32FE">
      <w:pPr>
        <w:spacing w:after="0" w:line="240" w:lineRule="auto"/>
      </w:pPr>
      <w:r w:rsidRPr="00BC5AF9">
        <w:continuationSeparator/>
      </w:r>
    </w:p>
  </w:footnote>
  <w:footnote w:type="continuationNotice" w:id="1">
    <w:p w14:paraId="525A0C58" w14:textId="77777777" w:rsidR="008D1167" w:rsidRPr="00BC5AF9" w:rsidRDefault="008D11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BF5E" w14:textId="1A70ACED" w:rsidR="009E3323" w:rsidRPr="00BC5AF9" w:rsidRDefault="009E3323" w:rsidP="002305CC">
    <w:pPr>
      <w:pStyle w:val="SECCLASSIFICATION"/>
      <w:rPr>
        <w:noProof w:val="0"/>
        <w:color w:val="FFFFFF" w:themeColor="background1"/>
      </w:rPr>
    </w:pPr>
    <w:r w:rsidRPr="00BC5AF9">
      <w:rPr>
        <w:noProof w:val="0"/>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BA83" w14:textId="11370EEA" w:rsidR="009E3323" w:rsidRPr="00BC5AF9" w:rsidRDefault="009E3323">
    <w:pPr>
      <w:pStyle w:val="Header"/>
    </w:pPr>
    <w:r w:rsidRPr="00BC5AF9">
      <w:rPr>
        <w:noProof/>
      </w:rPr>
      <w:drawing>
        <wp:anchor distT="0" distB="0" distL="114300" distR="114300" simplePos="0" relativeHeight="251658240" behindDoc="1" locked="0" layoutInCell="1" allowOverlap="1" wp14:anchorId="0843D53E" wp14:editId="007E1A46">
          <wp:simplePos x="0" y="0"/>
          <wp:positionH relativeFrom="column">
            <wp:posOffset>-528955</wp:posOffset>
          </wp:positionH>
          <wp:positionV relativeFrom="paragraph">
            <wp:posOffset>-234315</wp:posOffset>
          </wp:positionV>
          <wp:extent cx="7564652" cy="10699200"/>
          <wp:effectExtent l="0" t="0" r="0" b="6985"/>
          <wp:wrapNone/>
          <wp:docPr id="1574395188" name="Picture 5" descr="Australian Government Department of Foreign Affairs and Trade banner.&#10;Photographs of: (left top) participants attending vocational training; (right top) Nam Viet Catfish Factory; (left bottom) man holding sea cucumbers; (middle bottom) inland waterway; and (right bottom) woman holding bamboo sh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95188" name="Picture 5" descr="Australian Government Department of Foreign Affairs and Trade banner.&#10;Photographs of: (left top) participants attending vocational training; (right top) Nam Viet Catfish Factory; (left bottom) man holding sea cucumbers; (middle bottom) inland waterway; and (right bottom) woman holding bamboo shoots"/>
                  <pic:cNvPicPr/>
                </pic:nvPicPr>
                <pic:blipFill>
                  <a:blip r:embed="rId1"/>
                  <a:stretch>
                    <a:fillRect/>
                  </a:stretch>
                </pic:blipFill>
                <pic:spPr>
                  <a:xfrm>
                    <a:off x="0" y="0"/>
                    <a:ext cx="7564652"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0CB2" w14:textId="0EB38296" w:rsidR="00FF41AD" w:rsidRPr="00BC5AF9" w:rsidRDefault="00FF41AD" w:rsidP="00FF41AD">
    <w:pPr>
      <w:pStyle w:val="SECCLASSIFICATION"/>
      <w:tabs>
        <w:tab w:val="center" w:pos="5102"/>
        <w:tab w:val="left" w:pos="7005"/>
      </w:tabs>
      <w:jc w:val="left"/>
      <w:rPr>
        <w:noProof w:val="0"/>
        <w:color w:val="FFFFFF" w:themeColor="background1"/>
      </w:rPr>
    </w:pPr>
    <w:r w:rsidRPr="00BC5AF9">
      <w:rPr>
        <w:noProof w:val="0"/>
        <w:color w:val="FFFFFF" w:themeColor="background1"/>
      </w:rPr>
      <w:tab/>
    </w:r>
    <w:r w:rsidRPr="00BC5AF9">
      <w:rPr>
        <w:noProof w:val="0"/>
        <w:color w:val="FFFFFF" w:themeColor="background1"/>
      </w:rPr>
      <w:tab/>
      <w:t xml:space="preserve"> </w:t>
    </w:r>
    <w:r w:rsidRPr="00BC5AF9">
      <w:rPr>
        <w:noProof w:val="0"/>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9E8" w14:textId="29AC6773" w:rsidR="00FF41AD" w:rsidRPr="00BC5AF9" w:rsidRDefault="00FF41AD" w:rsidP="00FF41AD">
    <w:pPr>
      <w:pStyle w:val="SECCLASSIFICATION"/>
      <w:tabs>
        <w:tab w:val="center" w:pos="5102"/>
        <w:tab w:val="left" w:pos="7005"/>
      </w:tabs>
      <w:jc w:val="left"/>
      <w:rPr>
        <w:noProof w:val="0"/>
        <w:color w:val="FFFFFF" w:themeColor="background1"/>
      </w:rPr>
    </w:pPr>
    <w:r w:rsidRPr="00BC5AF9">
      <w:rPr>
        <w:noProof w:val="0"/>
        <w:color w:val="FFFFFF" w:themeColor="background1"/>
      </w:rPr>
      <w:tab/>
    </w:r>
    <w:r w:rsidRPr="00BC5AF9">
      <w:rPr>
        <w:noProof w:val="0"/>
        <w:color w:val="FFFFFF" w:themeColor="background1"/>
      </w:rPr>
      <w:tab/>
      <w:t xml:space="preserve"> </w:t>
    </w:r>
    <w:r w:rsidRPr="00BC5AF9">
      <w:rPr>
        <w:noProof w:val="0"/>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1"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2D7028"/>
    <w:multiLevelType w:val="hybridMultilevel"/>
    <w:tmpl w:val="0794046C"/>
    <w:lvl w:ilvl="0" w:tplc="19B0D4A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E47A3"/>
    <w:multiLevelType w:val="hybridMultilevel"/>
    <w:tmpl w:val="E1866DC8"/>
    <w:lvl w:ilvl="0" w:tplc="24042BE4">
      <w:start w:val="1"/>
      <w:numFmt w:val="bullet"/>
      <w:lvlText w:val=""/>
      <w:lvlJc w:val="left"/>
      <w:pPr>
        <w:ind w:left="720" w:hanging="360"/>
      </w:pPr>
      <w:rPr>
        <w:rFonts w:ascii="Symbol" w:hAnsi="Symbol"/>
      </w:rPr>
    </w:lvl>
    <w:lvl w:ilvl="1" w:tplc="0FCEA5DC">
      <w:start w:val="1"/>
      <w:numFmt w:val="bullet"/>
      <w:lvlText w:val=""/>
      <w:lvlJc w:val="left"/>
      <w:pPr>
        <w:ind w:left="720" w:hanging="360"/>
      </w:pPr>
      <w:rPr>
        <w:rFonts w:ascii="Symbol" w:hAnsi="Symbol"/>
      </w:rPr>
    </w:lvl>
    <w:lvl w:ilvl="2" w:tplc="69381FDA">
      <w:start w:val="1"/>
      <w:numFmt w:val="bullet"/>
      <w:lvlText w:val=""/>
      <w:lvlJc w:val="left"/>
      <w:pPr>
        <w:ind w:left="720" w:hanging="360"/>
      </w:pPr>
      <w:rPr>
        <w:rFonts w:ascii="Symbol" w:hAnsi="Symbol"/>
      </w:rPr>
    </w:lvl>
    <w:lvl w:ilvl="3" w:tplc="576EB132">
      <w:start w:val="1"/>
      <w:numFmt w:val="bullet"/>
      <w:lvlText w:val=""/>
      <w:lvlJc w:val="left"/>
      <w:pPr>
        <w:ind w:left="720" w:hanging="360"/>
      </w:pPr>
      <w:rPr>
        <w:rFonts w:ascii="Symbol" w:hAnsi="Symbol"/>
      </w:rPr>
    </w:lvl>
    <w:lvl w:ilvl="4" w:tplc="721AEE74">
      <w:start w:val="1"/>
      <w:numFmt w:val="bullet"/>
      <w:lvlText w:val=""/>
      <w:lvlJc w:val="left"/>
      <w:pPr>
        <w:ind w:left="720" w:hanging="360"/>
      </w:pPr>
      <w:rPr>
        <w:rFonts w:ascii="Symbol" w:hAnsi="Symbol"/>
      </w:rPr>
    </w:lvl>
    <w:lvl w:ilvl="5" w:tplc="6A7EE664">
      <w:start w:val="1"/>
      <w:numFmt w:val="bullet"/>
      <w:lvlText w:val=""/>
      <w:lvlJc w:val="left"/>
      <w:pPr>
        <w:ind w:left="720" w:hanging="360"/>
      </w:pPr>
      <w:rPr>
        <w:rFonts w:ascii="Symbol" w:hAnsi="Symbol"/>
      </w:rPr>
    </w:lvl>
    <w:lvl w:ilvl="6" w:tplc="3A56891C">
      <w:start w:val="1"/>
      <w:numFmt w:val="bullet"/>
      <w:lvlText w:val=""/>
      <w:lvlJc w:val="left"/>
      <w:pPr>
        <w:ind w:left="720" w:hanging="360"/>
      </w:pPr>
      <w:rPr>
        <w:rFonts w:ascii="Symbol" w:hAnsi="Symbol"/>
      </w:rPr>
    </w:lvl>
    <w:lvl w:ilvl="7" w:tplc="9C528966">
      <w:start w:val="1"/>
      <w:numFmt w:val="bullet"/>
      <w:lvlText w:val=""/>
      <w:lvlJc w:val="left"/>
      <w:pPr>
        <w:ind w:left="720" w:hanging="360"/>
      </w:pPr>
      <w:rPr>
        <w:rFonts w:ascii="Symbol" w:hAnsi="Symbol"/>
      </w:rPr>
    </w:lvl>
    <w:lvl w:ilvl="8" w:tplc="AAB693F8">
      <w:start w:val="1"/>
      <w:numFmt w:val="bullet"/>
      <w:lvlText w:val=""/>
      <w:lvlJc w:val="left"/>
      <w:pPr>
        <w:ind w:left="720" w:hanging="360"/>
      </w:pPr>
      <w:rPr>
        <w:rFonts w:ascii="Symbol" w:hAnsi="Symbol"/>
      </w:rPr>
    </w:lvl>
  </w:abstractNum>
  <w:abstractNum w:abstractNumId="5" w15:restartNumberingAfterBreak="0">
    <w:nsid w:val="384F61C8"/>
    <w:multiLevelType w:val="hybridMultilevel"/>
    <w:tmpl w:val="7C1809EE"/>
    <w:lvl w:ilvl="0" w:tplc="65E21E82">
      <w:start w:val="1"/>
      <w:numFmt w:val="decimal"/>
      <w:pStyle w:val="H3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943B1"/>
    <w:multiLevelType w:val="multilevel"/>
    <w:tmpl w:val="1CCC087E"/>
    <w:lvl w:ilvl="0">
      <w:start w:val="1"/>
      <w:numFmt w:val="bullet"/>
      <w:pStyle w:val="NormalBullets-L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580FB7"/>
    <w:multiLevelType w:val="hybridMultilevel"/>
    <w:tmpl w:val="856612D8"/>
    <w:lvl w:ilvl="0" w:tplc="4902594E">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942D10"/>
    <w:multiLevelType w:val="hybridMultilevel"/>
    <w:tmpl w:val="16C839F4"/>
    <w:lvl w:ilvl="0" w:tplc="B8D448B0">
      <w:start w:val="1"/>
      <w:numFmt w:val="bullet"/>
      <w:lvlText w:val=""/>
      <w:lvlJc w:val="left"/>
      <w:pPr>
        <w:ind w:left="720" w:hanging="360"/>
      </w:pPr>
      <w:rPr>
        <w:rFonts w:ascii="Symbol" w:hAnsi="Symbol"/>
      </w:rPr>
    </w:lvl>
    <w:lvl w:ilvl="1" w:tplc="E7205AD0">
      <w:start w:val="1"/>
      <w:numFmt w:val="bullet"/>
      <w:lvlText w:val=""/>
      <w:lvlJc w:val="left"/>
      <w:pPr>
        <w:ind w:left="720" w:hanging="360"/>
      </w:pPr>
      <w:rPr>
        <w:rFonts w:ascii="Symbol" w:hAnsi="Symbol"/>
      </w:rPr>
    </w:lvl>
    <w:lvl w:ilvl="2" w:tplc="6088BB50">
      <w:start w:val="1"/>
      <w:numFmt w:val="bullet"/>
      <w:lvlText w:val=""/>
      <w:lvlJc w:val="left"/>
      <w:pPr>
        <w:ind w:left="720" w:hanging="360"/>
      </w:pPr>
      <w:rPr>
        <w:rFonts w:ascii="Symbol" w:hAnsi="Symbol"/>
      </w:rPr>
    </w:lvl>
    <w:lvl w:ilvl="3" w:tplc="96BC3C9E">
      <w:start w:val="1"/>
      <w:numFmt w:val="bullet"/>
      <w:lvlText w:val=""/>
      <w:lvlJc w:val="left"/>
      <w:pPr>
        <w:ind w:left="720" w:hanging="360"/>
      </w:pPr>
      <w:rPr>
        <w:rFonts w:ascii="Symbol" w:hAnsi="Symbol"/>
      </w:rPr>
    </w:lvl>
    <w:lvl w:ilvl="4" w:tplc="0C7EAD32">
      <w:start w:val="1"/>
      <w:numFmt w:val="bullet"/>
      <w:lvlText w:val=""/>
      <w:lvlJc w:val="left"/>
      <w:pPr>
        <w:ind w:left="720" w:hanging="360"/>
      </w:pPr>
      <w:rPr>
        <w:rFonts w:ascii="Symbol" w:hAnsi="Symbol"/>
      </w:rPr>
    </w:lvl>
    <w:lvl w:ilvl="5" w:tplc="CAB88922">
      <w:start w:val="1"/>
      <w:numFmt w:val="bullet"/>
      <w:lvlText w:val=""/>
      <w:lvlJc w:val="left"/>
      <w:pPr>
        <w:ind w:left="720" w:hanging="360"/>
      </w:pPr>
      <w:rPr>
        <w:rFonts w:ascii="Symbol" w:hAnsi="Symbol"/>
      </w:rPr>
    </w:lvl>
    <w:lvl w:ilvl="6" w:tplc="3ECA2134">
      <w:start w:val="1"/>
      <w:numFmt w:val="bullet"/>
      <w:lvlText w:val=""/>
      <w:lvlJc w:val="left"/>
      <w:pPr>
        <w:ind w:left="720" w:hanging="360"/>
      </w:pPr>
      <w:rPr>
        <w:rFonts w:ascii="Symbol" w:hAnsi="Symbol"/>
      </w:rPr>
    </w:lvl>
    <w:lvl w:ilvl="7" w:tplc="1542EEBC">
      <w:start w:val="1"/>
      <w:numFmt w:val="bullet"/>
      <w:lvlText w:val=""/>
      <w:lvlJc w:val="left"/>
      <w:pPr>
        <w:ind w:left="720" w:hanging="360"/>
      </w:pPr>
      <w:rPr>
        <w:rFonts w:ascii="Symbol" w:hAnsi="Symbol"/>
      </w:rPr>
    </w:lvl>
    <w:lvl w:ilvl="8" w:tplc="59CA33EA">
      <w:start w:val="1"/>
      <w:numFmt w:val="bullet"/>
      <w:lvlText w:val=""/>
      <w:lvlJc w:val="left"/>
      <w:pPr>
        <w:ind w:left="720" w:hanging="360"/>
      </w:pPr>
      <w:rPr>
        <w:rFonts w:ascii="Symbol" w:hAnsi="Symbol"/>
      </w:rPr>
    </w:lvl>
  </w:abstractNum>
  <w:abstractNum w:abstractNumId="10" w15:restartNumberingAfterBreak="0">
    <w:nsid w:val="62A656B0"/>
    <w:multiLevelType w:val="hybridMultilevel"/>
    <w:tmpl w:val="F232E7AA"/>
    <w:lvl w:ilvl="0" w:tplc="EB860F3E">
      <w:start w:val="1"/>
      <w:numFmt w:val="bullet"/>
      <w:lvlText w:val=""/>
      <w:lvlJc w:val="left"/>
      <w:pPr>
        <w:ind w:left="720" w:hanging="360"/>
      </w:pPr>
      <w:rPr>
        <w:rFonts w:ascii="Symbol" w:hAnsi="Symbol"/>
      </w:rPr>
    </w:lvl>
    <w:lvl w:ilvl="1" w:tplc="015EAD4C">
      <w:start w:val="1"/>
      <w:numFmt w:val="bullet"/>
      <w:lvlText w:val=""/>
      <w:lvlJc w:val="left"/>
      <w:pPr>
        <w:ind w:left="720" w:hanging="360"/>
      </w:pPr>
      <w:rPr>
        <w:rFonts w:ascii="Symbol" w:hAnsi="Symbol"/>
      </w:rPr>
    </w:lvl>
    <w:lvl w:ilvl="2" w:tplc="D24A1EF0">
      <w:start w:val="1"/>
      <w:numFmt w:val="bullet"/>
      <w:lvlText w:val=""/>
      <w:lvlJc w:val="left"/>
      <w:pPr>
        <w:ind w:left="720" w:hanging="360"/>
      </w:pPr>
      <w:rPr>
        <w:rFonts w:ascii="Symbol" w:hAnsi="Symbol"/>
      </w:rPr>
    </w:lvl>
    <w:lvl w:ilvl="3" w:tplc="2834A584">
      <w:start w:val="1"/>
      <w:numFmt w:val="bullet"/>
      <w:lvlText w:val=""/>
      <w:lvlJc w:val="left"/>
      <w:pPr>
        <w:ind w:left="720" w:hanging="360"/>
      </w:pPr>
      <w:rPr>
        <w:rFonts w:ascii="Symbol" w:hAnsi="Symbol"/>
      </w:rPr>
    </w:lvl>
    <w:lvl w:ilvl="4" w:tplc="43F45E7E">
      <w:start w:val="1"/>
      <w:numFmt w:val="bullet"/>
      <w:lvlText w:val=""/>
      <w:lvlJc w:val="left"/>
      <w:pPr>
        <w:ind w:left="720" w:hanging="360"/>
      </w:pPr>
      <w:rPr>
        <w:rFonts w:ascii="Symbol" w:hAnsi="Symbol"/>
      </w:rPr>
    </w:lvl>
    <w:lvl w:ilvl="5" w:tplc="95568E6E">
      <w:start w:val="1"/>
      <w:numFmt w:val="bullet"/>
      <w:lvlText w:val=""/>
      <w:lvlJc w:val="left"/>
      <w:pPr>
        <w:ind w:left="720" w:hanging="360"/>
      </w:pPr>
      <w:rPr>
        <w:rFonts w:ascii="Symbol" w:hAnsi="Symbol"/>
      </w:rPr>
    </w:lvl>
    <w:lvl w:ilvl="6" w:tplc="ADFE53B6">
      <w:start w:val="1"/>
      <w:numFmt w:val="bullet"/>
      <w:lvlText w:val=""/>
      <w:lvlJc w:val="left"/>
      <w:pPr>
        <w:ind w:left="720" w:hanging="360"/>
      </w:pPr>
      <w:rPr>
        <w:rFonts w:ascii="Symbol" w:hAnsi="Symbol"/>
      </w:rPr>
    </w:lvl>
    <w:lvl w:ilvl="7" w:tplc="03169A22">
      <w:start w:val="1"/>
      <w:numFmt w:val="bullet"/>
      <w:lvlText w:val=""/>
      <w:lvlJc w:val="left"/>
      <w:pPr>
        <w:ind w:left="720" w:hanging="360"/>
      </w:pPr>
      <w:rPr>
        <w:rFonts w:ascii="Symbol" w:hAnsi="Symbol"/>
      </w:rPr>
    </w:lvl>
    <w:lvl w:ilvl="8" w:tplc="B582CC40">
      <w:start w:val="1"/>
      <w:numFmt w:val="bullet"/>
      <w:lvlText w:val=""/>
      <w:lvlJc w:val="left"/>
      <w:pPr>
        <w:ind w:left="720" w:hanging="360"/>
      </w:pPr>
      <w:rPr>
        <w:rFonts w:ascii="Symbol" w:hAnsi="Symbol"/>
      </w:rPr>
    </w:lvl>
  </w:abstractNum>
  <w:num w:numId="1" w16cid:durableId="974791935">
    <w:abstractNumId w:val="3"/>
  </w:num>
  <w:num w:numId="2" w16cid:durableId="292370362">
    <w:abstractNumId w:val="8"/>
  </w:num>
  <w:num w:numId="3" w16cid:durableId="1528985031">
    <w:abstractNumId w:val="6"/>
  </w:num>
  <w:num w:numId="4" w16cid:durableId="881328848">
    <w:abstractNumId w:val="5"/>
  </w:num>
  <w:num w:numId="5" w16cid:durableId="909847184">
    <w:abstractNumId w:val="0"/>
  </w:num>
  <w:num w:numId="6" w16cid:durableId="723600152">
    <w:abstractNumId w:val="7"/>
  </w:num>
  <w:num w:numId="7" w16cid:durableId="826245015">
    <w:abstractNumId w:val="1"/>
  </w:num>
  <w:num w:numId="8" w16cid:durableId="1396322137">
    <w:abstractNumId w:val="2"/>
  </w:num>
  <w:num w:numId="9" w16cid:durableId="331223353">
    <w:abstractNumId w:val="6"/>
  </w:num>
  <w:num w:numId="10" w16cid:durableId="436217247">
    <w:abstractNumId w:val="4"/>
  </w:num>
  <w:num w:numId="11" w16cid:durableId="725035768">
    <w:abstractNumId w:val="10"/>
  </w:num>
  <w:num w:numId="12" w16cid:durableId="201333736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9A"/>
    <w:rsid w:val="000009B7"/>
    <w:rsid w:val="00000A38"/>
    <w:rsid w:val="00000AB9"/>
    <w:rsid w:val="000016AF"/>
    <w:rsid w:val="00002583"/>
    <w:rsid w:val="000040BF"/>
    <w:rsid w:val="0000503F"/>
    <w:rsid w:val="00006A0E"/>
    <w:rsid w:val="000070E8"/>
    <w:rsid w:val="00010045"/>
    <w:rsid w:val="00010115"/>
    <w:rsid w:val="000102DF"/>
    <w:rsid w:val="000114BA"/>
    <w:rsid w:val="00013072"/>
    <w:rsid w:val="00014342"/>
    <w:rsid w:val="00014A2E"/>
    <w:rsid w:val="00015301"/>
    <w:rsid w:val="000168B1"/>
    <w:rsid w:val="00017274"/>
    <w:rsid w:val="0002370B"/>
    <w:rsid w:val="0002381B"/>
    <w:rsid w:val="000242B6"/>
    <w:rsid w:val="00025428"/>
    <w:rsid w:val="00025FFF"/>
    <w:rsid w:val="0002660F"/>
    <w:rsid w:val="00026CBE"/>
    <w:rsid w:val="0003037A"/>
    <w:rsid w:val="00030679"/>
    <w:rsid w:val="00030E5F"/>
    <w:rsid w:val="000312E1"/>
    <w:rsid w:val="00031BAB"/>
    <w:rsid w:val="00033696"/>
    <w:rsid w:val="00034C58"/>
    <w:rsid w:val="000353D7"/>
    <w:rsid w:val="00035CE1"/>
    <w:rsid w:val="000367FD"/>
    <w:rsid w:val="00037CBA"/>
    <w:rsid w:val="000400DA"/>
    <w:rsid w:val="000400FE"/>
    <w:rsid w:val="00043301"/>
    <w:rsid w:val="00045A48"/>
    <w:rsid w:val="000501F4"/>
    <w:rsid w:val="0005358F"/>
    <w:rsid w:val="00053629"/>
    <w:rsid w:val="000538AB"/>
    <w:rsid w:val="00056009"/>
    <w:rsid w:val="00056066"/>
    <w:rsid w:val="00056207"/>
    <w:rsid w:val="00056BF7"/>
    <w:rsid w:val="00057316"/>
    <w:rsid w:val="00057D5C"/>
    <w:rsid w:val="00062FB2"/>
    <w:rsid w:val="000632C2"/>
    <w:rsid w:val="00064A01"/>
    <w:rsid w:val="00064C60"/>
    <w:rsid w:val="000651A7"/>
    <w:rsid w:val="00065373"/>
    <w:rsid w:val="00065375"/>
    <w:rsid w:val="00065F60"/>
    <w:rsid w:val="00067C1D"/>
    <w:rsid w:val="00070254"/>
    <w:rsid w:val="0007058E"/>
    <w:rsid w:val="0007129C"/>
    <w:rsid w:val="00071423"/>
    <w:rsid w:val="0007219E"/>
    <w:rsid w:val="00072D54"/>
    <w:rsid w:val="00073774"/>
    <w:rsid w:val="000742CF"/>
    <w:rsid w:val="0007450B"/>
    <w:rsid w:val="00074658"/>
    <w:rsid w:val="00076D37"/>
    <w:rsid w:val="00081274"/>
    <w:rsid w:val="00083AD0"/>
    <w:rsid w:val="00083DB4"/>
    <w:rsid w:val="0008498B"/>
    <w:rsid w:val="00084A6D"/>
    <w:rsid w:val="00085F45"/>
    <w:rsid w:val="00086F27"/>
    <w:rsid w:val="000876FF"/>
    <w:rsid w:val="00090380"/>
    <w:rsid w:val="00090B73"/>
    <w:rsid w:val="00090BC8"/>
    <w:rsid w:val="000911E4"/>
    <w:rsid w:val="000917E7"/>
    <w:rsid w:val="00091CB4"/>
    <w:rsid w:val="0009236E"/>
    <w:rsid w:val="000937DD"/>
    <w:rsid w:val="00095C92"/>
    <w:rsid w:val="00095C95"/>
    <w:rsid w:val="00096C2B"/>
    <w:rsid w:val="00096D7E"/>
    <w:rsid w:val="0009799D"/>
    <w:rsid w:val="00097F1E"/>
    <w:rsid w:val="000A1547"/>
    <w:rsid w:val="000A4822"/>
    <w:rsid w:val="000A4962"/>
    <w:rsid w:val="000A49F1"/>
    <w:rsid w:val="000A5344"/>
    <w:rsid w:val="000A726A"/>
    <w:rsid w:val="000A7687"/>
    <w:rsid w:val="000A7872"/>
    <w:rsid w:val="000A7C9B"/>
    <w:rsid w:val="000A7CC0"/>
    <w:rsid w:val="000A7D09"/>
    <w:rsid w:val="000B0225"/>
    <w:rsid w:val="000B0706"/>
    <w:rsid w:val="000B0EC2"/>
    <w:rsid w:val="000B12A8"/>
    <w:rsid w:val="000B2715"/>
    <w:rsid w:val="000B2B2D"/>
    <w:rsid w:val="000B2F76"/>
    <w:rsid w:val="000B63CE"/>
    <w:rsid w:val="000B70AC"/>
    <w:rsid w:val="000B75AB"/>
    <w:rsid w:val="000C07BC"/>
    <w:rsid w:val="000C0EC8"/>
    <w:rsid w:val="000C1733"/>
    <w:rsid w:val="000C18DD"/>
    <w:rsid w:val="000C22C5"/>
    <w:rsid w:val="000C3701"/>
    <w:rsid w:val="000C5BF0"/>
    <w:rsid w:val="000C6BB1"/>
    <w:rsid w:val="000C6C70"/>
    <w:rsid w:val="000C7787"/>
    <w:rsid w:val="000C7982"/>
    <w:rsid w:val="000C7AD6"/>
    <w:rsid w:val="000C7CF2"/>
    <w:rsid w:val="000D19D6"/>
    <w:rsid w:val="000D22E2"/>
    <w:rsid w:val="000D3232"/>
    <w:rsid w:val="000D4AFD"/>
    <w:rsid w:val="000D5498"/>
    <w:rsid w:val="000E032C"/>
    <w:rsid w:val="000E0532"/>
    <w:rsid w:val="000E1197"/>
    <w:rsid w:val="000E1405"/>
    <w:rsid w:val="000E2E6D"/>
    <w:rsid w:val="000E4502"/>
    <w:rsid w:val="000E45C7"/>
    <w:rsid w:val="000E6AE7"/>
    <w:rsid w:val="000E71C4"/>
    <w:rsid w:val="000E780E"/>
    <w:rsid w:val="000E7880"/>
    <w:rsid w:val="000E7D02"/>
    <w:rsid w:val="000F0927"/>
    <w:rsid w:val="000F19F4"/>
    <w:rsid w:val="000F2D75"/>
    <w:rsid w:val="000F312D"/>
    <w:rsid w:val="000F42C5"/>
    <w:rsid w:val="000F4965"/>
    <w:rsid w:val="000F4DCA"/>
    <w:rsid w:val="000F6A96"/>
    <w:rsid w:val="000F7370"/>
    <w:rsid w:val="001001C7"/>
    <w:rsid w:val="0010040D"/>
    <w:rsid w:val="0010063A"/>
    <w:rsid w:val="00101DE0"/>
    <w:rsid w:val="0010204E"/>
    <w:rsid w:val="00104624"/>
    <w:rsid w:val="00104BE4"/>
    <w:rsid w:val="0010613C"/>
    <w:rsid w:val="00106E77"/>
    <w:rsid w:val="00106F82"/>
    <w:rsid w:val="001108BB"/>
    <w:rsid w:val="00110E4C"/>
    <w:rsid w:val="00112E91"/>
    <w:rsid w:val="001131AE"/>
    <w:rsid w:val="0011386B"/>
    <w:rsid w:val="00113C66"/>
    <w:rsid w:val="0011615D"/>
    <w:rsid w:val="00116E6A"/>
    <w:rsid w:val="00120639"/>
    <w:rsid w:val="00120B62"/>
    <w:rsid w:val="001226A1"/>
    <w:rsid w:val="00122F36"/>
    <w:rsid w:val="00123423"/>
    <w:rsid w:val="001236D7"/>
    <w:rsid w:val="001250DB"/>
    <w:rsid w:val="001251D1"/>
    <w:rsid w:val="00127650"/>
    <w:rsid w:val="00127F50"/>
    <w:rsid w:val="0013039C"/>
    <w:rsid w:val="0013072B"/>
    <w:rsid w:val="00131137"/>
    <w:rsid w:val="00131477"/>
    <w:rsid w:val="00131F31"/>
    <w:rsid w:val="001346AD"/>
    <w:rsid w:val="0013504F"/>
    <w:rsid w:val="001360A3"/>
    <w:rsid w:val="0013656E"/>
    <w:rsid w:val="00136A9E"/>
    <w:rsid w:val="00137032"/>
    <w:rsid w:val="0013794A"/>
    <w:rsid w:val="001405B7"/>
    <w:rsid w:val="001410CA"/>
    <w:rsid w:val="00141402"/>
    <w:rsid w:val="0014185A"/>
    <w:rsid w:val="00142EAC"/>
    <w:rsid w:val="00143987"/>
    <w:rsid w:val="00145C98"/>
    <w:rsid w:val="001460E0"/>
    <w:rsid w:val="00147077"/>
    <w:rsid w:val="00147676"/>
    <w:rsid w:val="001476FD"/>
    <w:rsid w:val="001477D4"/>
    <w:rsid w:val="0015012F"/>
    <w:rsid w:val="00151B79"/>
    <w:rsid w:val="00152D6B"/>
    <w:rsid w:val="001541AE"/>
    <w:rsid w:val="001541C8"/>
    <w:rsid w:val="00155A75"/>
    <w:rsid w:val="00156DED"/>
    <w:rsid w:val="00157350"/>
    <w:rsid w:val="00157668"/>
    <w:rsid w:val="00157B80"/>
    <w:rsid w:val="001609CD"/>
    <w:rsid w:val="00161A05"/>
    <w:rsid w:val="00163ABE"/>
    <w:rsid w:val="00163B42"/>
    <w:rsid w:val="00163F3A"/>
    <w:rsid w:val="00164773"/>
    <w:rsid w:val="00164E35"/>
    <w:rsid w:val="0016554B"/>
    <w:rsid w:val="0016697B"/>
    <w:rsid w:val="00166B7D"/>
    <w:rsid w:val="00166B9A"/>
    <w:rsid w:val="00166D3A"/>
    <w:rsid w:val="00166F3D"/>
    <w:rsid w:val="0016785E"/>
    <w:rsid w:val="00167CF6"/>
    <w:rsid w:val="00167DBB"/>
    <w:rsid w:val="001702CD"/>
    <w:rsid w:val="00171E31"/>
    <w:rsid w:val="0017235F"/>
    <w:rsid w:val="00172897"/>
    <w:rsid w:val="00172963"/>
    <w:rsid w:val="00172F7E"/>
    <w:rsid w:val="001743D6"/>
    <w:rsid w:val="001757F9"/>
    <w:rsid w:val="00176A2D"/>
    <w:rsid w:val="0017731C"/>
    <w:rsid w:val="001775AD"/>
    <w:rsid w:val="001802BC"/>
    <w:rsid w:val="00180586"/>
    <w:rsid w:val="00181174"/>
    <w:rsid w:val="00181998"/>
    <w:rsid w:val="001819AF"/>
    <w:rsid w:val="00182A6D"/>
    <w:rsid w:val="00184415"/>
    <w:rsid w:val="00184996"/>
    <w:rsid w:val="00185666"/>
    <w:rsid w:val="001858B5"/>
    <w:rsid w:val="00185BB1"/>
    <w:rsid w:val="001868CE"/>
    <w:rsid w:val="001869DB"/>
    <w:rsid w:val="00186BBF"/>
    <w:rsid w:val="00186C50"/>
    <w:rsid w:val="00187860"/>
    <w:rsid w:val="0019024B"/>
    <w:rsid w:val="00190D26"/>
    <w:rsid w:val="0019213B"/>
    <w:rsid w:val="0019334E"/>
    <w:rsid w:val="00193A9F"/>
    <w:rsid w:val="0019496B"/>
    <w:rsid w:val="00196D93"/>
    <w:rsid w:val="001A0761"/>
    <w:rsid w:val="001A16F1"/>
    <w:rsid w:val="001A3203"/>
    <w:rsid w:val="001A4BA4"/>
    <w:rsid w:val="001A4DBE"/>
    <w:rsid w:val="001A70BE"/>
    <w:rsid w:val="001A7697"/>
    <w:rsid w:val="001B1538"/>
    <w:rsid w:val="001B2731"/>
    <w:rsid w:val="001B3385"/>
    <w:rsid w:val="001B387F"/>
    <w:rsid w:val="001B414B"/>
    <w:rsid w:val="001B506E"/>
    <w:rsid w:val="001B50A8"/>
    <w:rsid w:val="001B5EC2"/>
    <w:rsid w:val="001B6376"/>
    <w:rsid w:val="001B6613"/>
    <w:rsid w:val="001B78D4"/>
    <w:rsid w:val="001C01F6"/>
    <w:rsid w:val="001C3B4C"/>
    <w:rsid w:val="001C400E"/>
    <w:rsid w:val="001C4953"/>
    <w:rsid w:val="001C5B37"/>
    <w:rsid w:val="001C6AB2"/>
    <w:rsid w:val="001C7A23"/>
    <w:rsid w:val="001D0C5E"/>
    <w:rsid w:val="001D2967"/>
    <w:rsid w:val="001D29C1"/>
    <w:rsid w:val="001D3513"/>
    <w:rsid w:val="001D52AD"/>
    <w:rsid w:val="001D64FD"/>
    <w:rsid w:val="001E0462"/>
    <w:rsid w:val="001E0E02"/>
    <w:rsid w:val="001E32DC"/>
    <w:rsid w:val="001E49B5"/>
    <w:rsid w:val="001E4A8C"/>
    <w:rsid w:val="001E53CD"/>
    <w:rsid w:val="001E6E3C"/>
    <w:rsid w:val="001F03B0"/>
    <w:rsid w:val="001F1FCB"/>
    <w:rsid w:val="001F21CA"/>
    <w:rsid w:val="001F24E1"/>
    <w:rsid w:val="001F29E8"/>
    <w:rsid w:val="001F2F59"/>
    <w:rsid w:val="001F527E"/>
    <w:rsid w:val="001F69DE"/>
    <w:rsid w:val="001F74F5"/>
    <w:rsid w:val="002021C4"/>
    <w:rsid w:val="002029CA"/>
    <w:rsid w:val="0020420F"/>
    <w:rsid w:val="00205CCF"/>
    <w:rsid w:val="0020654F"/>
    <w:rsid w:val="0021026C"/>
    <w:rsid w:val="00210729"/>
    <w:rsid w:val="00212D01"/>
    <w:rsid w:val="00214146"/>
    <w:rsid w:val="0021603F"/>
    <w:rsid w:val="002162F8"/>
    <w:rsid w:val="00216ACF"/>
    <w:rsid w:val="00216C92"/>
    <w:rsid w:val="00216CA3"/>
    <w:rsid w:val="00217433"/>
    <w:rsid w:val="0021791D"/>
    <w:rsid w:val="00220A6E"/>
    <w:rsid w:val="002212CC"/>
    <w:rsid w:val="00221A16"/>
    <w:rsid w:val="0022219A"/>
    <w:rsid w:val="00223523"/>
    <w:rsid w:val="00224D04"/>
    <w:rsid w:val="00224EF2"/>
    <w:rsid w:val="00225205"/>
    <w:rsid w:val="0022609E"/>
    <w:rsid w:val="002305CC"/>
    <w:rsid w:val="00230A30"/>
    <w:rsid w:val="00230F01"/>
    <w:rsid w:val="00231FA7"/>
    <w:rsid w:val="00232F10"/>
    <w:rsid w:val="002332E8"/>
    <w:rsid w:val="00234806"/>
    <w:rsid w:val="00234A82"/>
    <w:rsid w:val="00235F72"/>
    <w:rsid w:val="00236073"/>
    <w:rsid w:val="0023621A"/>
    <w:rsid w:val="00236CBE"/>
    <w:rsid w:val="00236DEE"/>
    <w:rsid w:val="002416FB"/>
    <w:rsid w:val="002417F2"/>
    <w:rsid w:val="00241A76"/>
    <w:rsid w:val="00242100"/>
    <w:rsid w:val="00243A24"/>
    <w:rsid w:val="002440E0"/>
    <w:rsid w:val="002444E4"/>
    <w:rsid w:val="00246196"/>
    <w:rsid w:val="0025216A"/>
    <w:rsid w:val="00253187"/>
    <w:rsid w:val="00253784"/>
    <w:rsid w:val="00253DA5"/>
    <w:rsid w:val="00254035"/>
    <w:rsid w:val="002556C9"/>
    <w:rsid w:val="00255A71"/>
    <w:rsid w:val="00255B33"/>
    <w:rsid w:val="002567C2"/>
    <w:rsid w:val="00257093"/>
    <w:rsid w:val="00257E17"/>
    <w:rsid w:val="00257F61"/>
    <w:rsid w:val="00257FE7"/>
    <w:rsid w:val="00260079"/>
    <w:rsid w:val="00260B50"/>
    <w:rsid w:val="002616BA"/>
    <w:rsid w:val="00262CCF"/>
    <w:rsid w:val="00263FC7"/>
    <w:rsid w:val="00264A81"/>
    <w:rsid w:val="00264C0D"/>
    <w:rsid w:val="00264C66"/>
    <w:rsid w:val="00264E69"/>
    <w:rsid w:val="002668FC"/>
    <w:rsid w:val="00267FF0"/>
    <w:rsid w:val="00270A8E"/>
    <w:rsid w:val="00270FF7"/>
    <w:rsid w:val="002711EB"/>
    <w:rsid w:val="002714DA"/>
    <w:rsid w:val="00271E17"/>
    <w:rsid w:val="00272D03"/>
    <w:rsid w:val="00272ED1"/>
    <w:rsid w:val="0027334A"/>
    <w:rsid w:val="00277328"/>
    <w:rsid w:val="00277A03"/>
    <w:rsid w:val="00277C41"/>
    <w:rsid w:val="002807E1"/>
    <w:rsid w:val="00281683"/>
    <w:rsid w:val="00281AF0"/>
    <w:rsid w:val="0028472B"/>
    <w:rsid w:val="0028535C"/>
    <w:rsid w:val="00286FA4"/>
    <w:rsid w:val="002873F8"/>
    <w:rsid w:val="002878D0"/>
    <w:rsid w:val="00291042"/>
    <w:rsid w:val="0029140E"/>
    <w:rsid w:val="00291672"/>
    <w:rsid w:val="00292143"/>
    <w:rsid w:val="002923D5"/>
    <w:rsid w:val="002927B3"/>
    <w:rsid w:val="00292B30"/>
    <w:rsid w:val="0029310D"/>
    <w:rsid w:val="00293981"/>
    <w:rsid w:val="00294FFE"/>
    <w:rsid w:val="00295710"/>
    <w:rsid w:val="00295767"/>
    <w:rsid w:val="00295BD2"/>
    <w:rsid w:val="002A11EB"/>
    <w:rsid w:val="002A2727"/>
    <w:rsid w:val="002A37E9"/>
    <w:rsid w:val="002A4F13"/>
    <w:rsid w:val="002A52BE"/>
    <w:rsid w:val="002A56BF"/>
    <w:rsid w:val="002A596D"/>
    <w:rsid w:val="002A5FE2"/>
    <w:rsid w:val="002A6CAD"/>
    <w:rsid w:val="002B0FDD"/>
    <w:rsid w:val="002B124C"/>
    <w:rsid w:val="002B2417"/>
    <w:rsid w:val="002B309E"/>
    <w:rsid w:val="002B43A7"/>
    <w:rsid w:val="002B4AF1"/>
    <w:rsid w:val="002B7DBD"/>
    <w:rsid w:val="002C0EF2"/>
    <w:rsid w:val="002C1317"/>
    <w:rsid w:val="002C484B"/>
    <w:rsid w:val="002C4E12"/>
    <w:rsid w:val="002C57BC"/>
    <w:rsid w:val="002C5E72"/>
    <w:rsid w:val="002C625C"/>
    <w:rsid w:val="002C7A5A"/>
    <w:rsid w:val="002C7C5B"/>
    <w:rsid w:val="002C7D6E"/>
    <w:rsid w:val="002C7EAD"/>
    <w:rsid w:val="002D0416"/>
    <w:rsid w:val="002D1AAD"/>
    <w:rsid w:val="002D5554"/>
    <w:rsid w:val="002D6FEC"/>
    <w:rsid w:val="002E02CE"/>
    <w:rsid w:val="002E49C6"/>
    <w:rsid w:val="002E502A"/>
    <w:rsid w:val="002E5279"/>
    <w:rsid w:val="002E7D69"/>
    <w:rsid w:val="002F0C3C"/>
    <w:rsid w:val="002F0C7D"/>
    <w:rsid w:val="002F14F5"/>
    <w:rsid w:val="002F1CEB"/>
    <w:rsid w:val="002F38BD"/>
    <w:rsid w:val="002F3A9F"/>
    <w:rsid w:val="002F45AA"/>
    <w:rsid w:val="002F4865"/>
    <w:rsid w:val="002F546F"/>
    <w:rsid w:val="002F620B"/>
    <w:rsid w:val="00300167"/>
    <w:rsid w:val="003016F1"/>
    <w:rsid w:val="00301777"/>
    <w:rsid w:val="003019C4"/>
    <w:rsid w:val="00301FC3"/>
    <w:rsid w:val="00302208"/>
    <w:rsid w:val="00303468"/>
    <w:rsid w:val="00303C39"/>
    <w:rsid w:val="00306614"/>
    <w:rsid w:val="003068C4"/>
    <w:rsid w:val="00307007"/>
    <w:rsid w:val="00307096"/>
    <w:rsid w:val="003102E5"/>
    <w:rsid w:val="003112A0"/>
    <w:rsid w:val="00311533"/>
    <w:rsid w:val="00311A5F"/>
    <w:rsid w:val="003161EC"/>
    <w:rsid w:val="00316352"/>
    <w:rsid w:val="00316DB5"/>
    <w:rsid w:val="0031709D"/>
    <w:rsid w:val="003200BE"/>
    <w:rsid w:val="00320638"/>
    <w:rsid w:val="00322508"/>
    <w:rsid w:val="00323DF1"/>
    <w:rsid w:val="00324C1F"/>
    <w:rsid w:val="0032571C"/>
    <w:rsid w:val="0032696F"/>
    <w:rsid w:val="00326AC3"/>
    <w:rsid w:val="00327399"/>
    <w:rsid w:val="003304DB"/>
    <w:rsid w:val="0033203E"/>
    <w:rsid w:val="00333553"/>
    <w:rsid w:val="003337DC"/>
    <w:rsid w:val="00334B70"/>
    <w:rsid w:val="00335319"/>
    <w:rsid w:val="00335AA5"/>
    <w:rsid w:val="0033625F"/>
    <w:rsid w:val="00340144"/>
    <w:rsid w:val="003409EE"/>
    <w:rsid w:val="00340D69"/>
    <w:rsid w:val="00341DCA"/>
    <w:rsid w:val="00342DAF"/>
    <w:rsid w:val="003452CF"/>
    <w:rsid w:val="00345B27"/>
    <w:rsid w:val="00347B58"/>
    <w:rsid w:val="00350444"/>
    <w:rsid w:val="0035286D"/>
    <w:rsid w:val="0035341E"/>
    <w:rsid w:val="0035369E"/>
    <w:rsid w:val="00353E6A"/>
    <w:rsid w:val="0035542A"/>
    <w:rsid w:val="00355BAB"/>
    <w:rsid w:val="003563CC"/>
    <w:rsid w:val="00356F71"/>
    <w:rsid w:val="003570FE"/>
    <w:rsid w:val="00357532"/>
    <w:rsid w:val="00360A64"/>
    <w:rsid w:val="003611CA"/>
    <w:rsid w:val="00362849"/>
    <w:rsid w:val="00362D5A"/>
    <w:rsid w:val="00364111"/>
    <w:rsid w:val="00364D22"/>
    <w:rsid w:val="00365B9C"/>
    <w:rsid w:val="0037074A"/>
    <w:rsid w:val="00374577"/>
    <w:rsid w:val="00375574"/>
    <w:rsid w:val="003762E6"/>
    <w:rsid w:val="00377813"/>
    <w:rsid w:val="00382158"/>
    <w:rsid w:val="003839D8"/>
    <w:rsid w:val="00383B56"/>
    <w:rsid w:val="0038661E"/>
    <w:rsid w:val="00386D1A"/>
    <w:rsid w:val="003903A7"/>
    <w:rsid w:val="00390A4D"/>
    <w:rsid w:val="00390F2F"/>
    <w:rsid w:val="00390FA3"/>
    <w:rsid w:val="0039105E"/>
    <w:rsid w:val="00391786"/>
    <w:rsid w:val="00392A36"/>
    <w:rsid w:val="00392F52"/>
    <w:rsid w:val="00397409"/>
    <w:rsid w:val="0039765C"/>
    <w:rsid w:val="003A0E5C"/>
    <w:rsid w:val="003A15B7"/>
    <w:rsid w:val="003A234E"/>
    <w:rsid w:val="003A2362"/>
    <w:rsid w:val="003A35F8"/>
    <w:rsid w:val="003A3AF8"/>
    <w:rsid w:val="003A5071"/>
    <w:rsid w:val="003B0997"/>
    <w:rsid w:val="003B0C4C"/>
    <w:rsid w:val="003B12E9"/>
    <w:rsid w:val="003B207C"/>
    <w:rsid w:val="003B21C2"/>
    <w:rsid w:val="003B2F7A"/>
    <w:rsid w:val="003B3368"/>
    <w:rsid w:val="003B3CF5"/>
    <w:rsid w:val="003B4834"/>
    <w:rsid w:val="003B4EBC"/>
    <w:rsid w:val="003B5030"/>
    <w:rsid w:val="003B5883"/>
    <w:rsid w:val="003B63D3"/>
    <w:rsid w:val="003B77A3"/>
    <w:rsid w:val="003B7818"/>
    <w:rsid w:val="003B7A44"/>
    <w:rsid w:val="003B7DFB"/>
    <w:rsid w:val="003C111A"/>
    <w:rsid w:val="003C28D7"/>
    <w:rsid w:val="003C3CD7"/>
    <w:rsid w:val="003C4084"/>
    <w:rsid w:val="003C6777"/>
    <w:rsid w:val="003C783D"/>
    <w:rsid w:val="003D2259"/>
    <w:rsid w:val="003D22B4"/>
    <w:rsid w:val="003D2DE5"/>
    <w:rsid w:val="003D3331"/>
    <w:rsid w:val="003D3B9C"/>
    <w:rsid w:val="003D46C8"/>
    <w:rsid w:val="003D5D1A"/>
    <w:rsid w:val="003D6FAD"/>
    <w:rsid w:val="003D7C93"/>
    <w:rsid w:val="003E0319"/>
    <w:rsid w:val="003E0712"/>
    <w:rsid w:val="003E113F"/>
    <w:rsid w:val="003E1440"/>
    <w:rsid w:val="003E17FF"/>
    <w:rsid w:val="003E3271"/>
    <w:rsid w:val="003E35DD"/>
    <w:rsid w:val="003E3DF8"/>
    <w:rsid w:val="003E5E45"/>
    <w:rsid w:val="003E68E1"/>
    <w:rsid w:val="003E7DED"/>
    <w:rsid w:val="003F0C6E"/>
    <w:rsid w:val="003F166E"/>
    <w:rsid w:val="003F1990"/>
    <w:rsid w:val="003F4BE0"/>
    <w:rsid w:val="003F4C33"/>
    <w:rsid w:val="003F4F61"/>
    <w:rsid w:val="003F629A"/>
    <w:rsid w:val="003F7160"/>
    <w:rsid w:val="003F7605"/>
    <w:rsid w:val="003F7732"/>
    <w:rsid w:val="003F7AE2"/>
    <w:rsid w:val="004000C0"/>
    <w:rsid w:val="004008AB"/>
    <w:rsid w:val="004021E9"/>
    <w:rsid w:val="00402E0D"/>
    <w:rsid w:val="0040349F"/>
    <w:rsid w:val="004041F0"/>
    <w:rsid w:val="00404EA6"/>
    <w:rsid w:val="004053E4"/>
    <w:rsid w:val="00406F60"/>
    <w:rsid w:val="00410884"/>
    <w:rsid w:val="00410CC5"/>
    <w:rsid w:val="00410DDD"/>
    <w:rsid w:val="00411900"/>
    <w:rsid w:val="00412CA0"/>
    <w:rsid w:val="00414DAF"/>
    <w:rsid w:val="00415599"/>
    <w:rsid w:val="00415B51"/>
    <w:rsid w:val="00415BB1"/>
    <w:rsid w:val="004176AB"/>
    <w:rsid w:val="0042066C"/>
    <w:rsid w:val="00420930"/>
    <w:rsid w:val="004225D3"/>
    <w:rsid w:val="00423E3E"/>
    <w:rsid w:val="00424CED"/>
    <w:rsid w:val="00425F69"/>
    <w:rsid w:val="0042629F"/>
    <w:rsid w:val="0042697C"/>
    <w:rsid w:val="00430AA5"/>
    <w:rsid w:val="00432F38"/>
    <w:rsid w:val="00433232"/>
    <w:rsid w:val="00433593"/>
    <w:rsid w:val="00433EE8"/>
    <w:rsid w:val="004369A5"/>
    <w:rsid w:val="00437A87"/>
    <w:rsid w:val="00437B09"/>
    <w:rsid w:val="00437CB2"/>
    <w:rsid w:val="004402EE"/>
    <w:rsid w:val="004428B7"/>
    <w:rsid w:val="0044393A"/>
    <w:rsid w:val="00443968"/>
    <w:rsid w:val="00443AB6"/>
    <w:rsid w:val="0044662A"/>
    <w:rsid w:val="004467FE"/>
    <w:rsid w:val="00450173"/>
    <w:rsid w:val="0045227B"/>
    <w:rsid w:val="0045336E"/>
    <w:rsid w:val="0045364E"/>
    <w:rsid w:val="00453C2D"/>
    <w:rsid w:val="00453C7D"/>
    <w:rsid w:val="00454078"/>
    <w:rsid w:val="00456357"/>
    <w:rsid w:val="00456FA0"/>
    <w:rsid w:val="00457D45"/>
    <w:rsid w:val="004601B5"/>
    <w:rsid w:val="00460976"/>
    <w:rsid w:val="00461B80"/>
    <w:rsid w:val="00464C06"/>
    <w:rsid w:val="00464EF4"/>
    <w:rsid w:val="0046615A"/>
    <w:rsid w:val="004668AF"/>
    <w:rsid w:val="00466BB6"/>
    <w:rsid w:val="0046708E"/>
    <w:rsid w:val="004707C0"/>
    <w:rsid w:val="00470C1A"/>
    <w:rsid w:val="00471676"/>
    <w:rsid w:val="00472D27"/>
    <w:rsid w:val="00473380"/>
    <w:rsid w:val="004735A9"/>
    <w:rsid w:val="00477F75"/>
    <w:rsid w:val="00480438"/>
    <w:rsid w:val="00480B98"/>
    <w:rsid w:val="0048172D"/>
    <w:rsid w:val="00481D8B"/>
    <w:rsid w:val="0048344F"/>
    <w:rsid w:val="00483656"/>
    <w:rsid w:val="004848B6"/>
    <w:rsid w:val="00485581"/>
    <w:rsid w:val="004856DE"/>
    <w:rsid w:val="00486C6F"/>
    <w:rsid w:val="0048734B"/>
    <w:rsid w:val="004931AE"/>
    <w:rsid w:val="00493979"/>
    <w:rsid w:val="00494D6E"/>
    <w:rsid w:val="00495312"/>
    <w:rsid w:val="00496153"/>
    <w:rsid w:val="0049696C"/>
    <w:rsid w:val="00496BDC"/>
    <w:rsid w:val="004A0B47"/>
    <w:rsid w:val="004A2BF9"/>
    <w:rsid w:val="004A4479"/>
    <w:rsid w:val="004A4B90"/>
    <w:rsid w:val="004A54FF"/>
    <w:rsid w:val="004A698B"/>
    <w:rsid w:val="004A74A1"/>
    <w:rsid w:val="004B076E"/>
    <w:rsid w:val="004B0A7F"/>
    <w:rsid w:val="004B12BA"/>
    <w:rsid w:val="004B1614"/>
    <w:rsid w:val="004B1B20"/>
    <w:rsid w:val="004B2482"/>
    <w:rsid w:val="004B2BF6"/>
    <w:rsid w:val="004B3D6B"/>
    <w:rsid w:val="004B4381"/>
    <w:rsid w:val="004B5D1C"/>
    <w:rsid w:val="004B64C7"/>
    <w:rsid w:val="004C0E95"/>
    <w:rsid w:val="004C1FA9"/>
    <w:rsid w:val="004C216D"/>
    <w:rsid w:val="004C3C11"/>
    <w:rsid w:val="004C52FD"/>
    <w:rsid w:val="004C5587"/>
    <w:rsid w:val="004C57FD"/>
    <w:rsid w:val="004C7167"/>
    <w:rsid w:val="004C77D6"/>
    <w:rsid w:val="004D022D"/>
    <w:rsid w:val="004D0367"/>
    <w:rsid w:val="004D0CDA"/>
    <w:rsid w:val="004D1618"/>
    <w:rsid w:val="004D5520"/>
    <w:rsid w:val="004D574D"/>
    <w:rsid w:val="004D6DB3"/>
    <w:rsid w:val="004D7DC4"/>
    <w:rsid w:val="004D7EB5"/>
    <w:rsid w:val="004E09AC"/>
    <w:rsid w:val="004E1889"/>
    <w:rsid w:val="004E3BB6"/>
    <w:rsid w:val="004E3C8C"/>
    <w:rsid w:val="004E4E93"/>
    <w:rsid w:val="004F0188"/>
    <w:rsid w:val="004F0395"/>
    <w:rsid w:val="004F0B93"/>
    <w:rsid w:val="004F24B4"/>
    <w:rsid w:val="004F384E"/>
    <w:rsid w:val="004F532A"/>
    <w:rsid w:val="004F5CF8"/>
    <w:rsid w:val="004F643E"/>
    <w:rsid w:val="004F68BE"/>
    <w:rsid w:val="00500183"/>
    <w:rsid w:val="00500816"/>
    <w:rsid w:val="00500D1F"/>
    <w:rsid w:val="0050186C"/>
    <w:rsid w:val="00502C3A"/>
    <w:rsid w:val="00502E23"/>
    <w:rsid w:val="00503212"/>
    <w:rsid w:val="00503D94"/>
    <w:rsid w:val="005101BC"/>
    <w:rsid w:val="005104D6"/>
    <w:rsid w:val="005121E1"/>
    <w:rsid w:val="00512649"/>
    <w:rsid w:val="0051310C"/>
    <w:rsid w:val="00513B20"/>
    <w:rsid w:val="005145F6"/>
    <w:rsid w:val="00515F77"/>
    <w:rsid w:val="00515F7F"/>
    <w:rsid w:val="00520073"/>
    <w:rsid w:val="00521FCD"/>
    <w:rsid w:val="005224A9"/>
    <w:rsid w:val="005229CB"/>
    <w:rsid w:val="00522B3D"/>
    <w:rsid w:val="00524CE6"/>
    <w:rsid w:val="0052527A"/>
    <w:rsid w:val="005255A9"/>
    <w:rsid w:val="005255D9"/>
    <w:rsid w:val="00527616"/>
    <w:rsid w:val="0053106C"/>
    <w:rsid w:val="005326B8"/>
    <w:rsid w:val="00533805"/>
    <w:rsid w:val="00533A52"/>
    <w:rsid w:val="00534775"/>
    <w:rsid w:val="00537031"/>
    <w:rsid w:val="00537262"/>
    <w:rsid w:val="005378E5"/>
    <w:rsid w:val="00537FF6"/>
    <w:rsid w:val="0054117E"/>
    <w:rsid w:val="0054210B"/>
    <w:rsid w:val="00544232"/>
    <w:rsid w:val="00545184"/>
    <w:rsid w:val="005528F4"/>
    <w:rsid w:val="00552D74"/>
    <w:rsid w:val="005531E2"/>
    <w:rsid w:val="00553A6A"/>
    <w:rsid w:val="00554061"/>
    <w:rsid w:val="00554691"/>
    <w:rsid w:val="0055540B"/>
    <w:rsid w:val="00555A5D"/>
    <w:rsid w:val="00556404"/>
    <w:rsid w:val="00556536"/>
    <w:rsid w:val="00557995"/>
    <w:rsid w:val="005609DE"/>
    <w:rsid w:val="00563EE3"/>
    <w:rsid w:val="00565B78"/>
    <w:rsid w:val="0056619B"/>
    <w:rsid w:val="005665C2"/>
    <w:rsid w:val="00566B1E"/>
    <w:rsid w:val="0056726F"/>
    <w:rsid w:val="005713B6"/>
    <w:rsid w:val="0057184E"/>
    <w:rsid w:val="00572C06"/>
    <w:rsid w:val="00573BA4"/>
    <w:rsid w:val="00576039"/>
    <w:rsid w:val="005764FF"/>
    <w:rsid w:val="00576E44"/>
    <w:rsid w:val="00577141"/>
    <w:rsid w:val="005800CD"/>
    <w:rsid w:val="005801E1"/>
    <w:rsid w:val="005832D2"/>
    <w:rsid w:val="00583FF5"/>
    <w:rsid w:val="005849F3"/>
    <w:rsid w:val="00584F33"/>
    <w:rsid w:val="005856D2"/>
    <w:rsid w:val="005861F7"/>
    <w:rsid w:val="0058702C"/>
    <w:rsid w:val="005872CE"/>
    <w:rsid w:val="00587F7A"/>
    <w:rsid w:val="00590297"/>
    <w:rsid w:val="00590315"/>
    <w:rsid w:val="005904BF"/>
    <w:rsid w:val="00590D91"/>
    <w:rsid w:val="00590DC4"/>
    <w:rsid w:val="00591059"/>
    <w:rsid w:val="005913C5"/>
    <w:rsid w:val="00592E1A"/>
    <w:rsid w:val="00595D38"/>
    <w:rsid w:val="00596465"/>
    <w:rsid w:val="005A0746"/>
    <w:rsid w:val="005A08B7"/>
    <w:rsid w:val="005A1C13"/>
    <w:rsid w:val="005A1E87"/>
    <w:rsid w:val="005A2604"/>
    <w:rsid w:val="005A56CC"/>
    <w:rsid w:val="005A5D3B"/>
    <w:rsid w:val="005A5E7F"/>
    <w:rsid w:val="005A74AE"/>
    <w:rsid w:val="005B05B1"/>
    <w:rsid w:val="005B06A4"/>
    <w:rsid w:val="005B06C2"/>
    <w:rsid w:val="005B0E7D"/>
    <w:rsid w:val="005B10F6"/>
    <w:rsid w:val="005B2E12"/>
    <w:rsid w:val="005B2EFC"/>
    <w:rsid w:val="005B4C0F"/>
    <w:rsid w:val="005B5130"/>
    <w:rsid w:val="005B5363"/>
    <w:rsid w:val="005B5943"/>
    <w:rsid w:val="005B60FD"/>
    <w:rsid w:val="005B6351"/>
    <w:rsid w:val="005B6AD1"/>
    <w:rsid w:val="005C0A34"/>
    <w:rsid w:val="005C1B82"/>
    <w:rsid w:val="005C3018"/>
    <w:rsid w:val="005C3139"/>
    <w:rsid w:val="005C4BC3"/>
    <w:rsid w:val="005C5674"/>
    <w:rsid w:val="005C6125"/>
    <w:rsid w:val="005C6786"/>
    <w:rsid w:val="005C7162"/>
    <w:rsid w:val="005C7A9B"/>
    <w:rsid w:val="005C7E5B"/>
    <w:rsid w:val="005C7EE6"/>
    <w:rsid w:val="005D1AD0"/>
    <w:rsid w:val="005D2C7B"/>
    <w:rsid w:val="005D392B"/>
    <w:rsid w:val="005D3FD8"/>
    <w:rsid w:val="005D46D5"/>
    <w:rsid w:val="005D5600"/>
    <w:rsid w:val="005D5735"/>
    <w:rsid w:val="005D6801"/>
    <w:rsid w:val="005D6D79"/>
    <w:rsid w:val="005D735B"/>
    <w:rsid w:val="005E0445"/>
    <w:rsid w:val="005E0A46"/>
    <w:rsid w:val="005E0E54"/>
    <w:rsid w:val="005E3DA7"/>
    <w:rsid w:val="005E48AB"/>
    <w:rsid w:val="005E49DB"/>
    <w:rsid w:val="005E58A4"/>
    <w:rsid w:val="005F0689"/>
    <w:rsid w:val="005F07A9"/>
    <w:rsid w:val="005F121F"/>
    <w:rsid w:val="005F28F6"/>
    <w:rsid w:val="005F2CB6"/>
    <w:rsid w:val="005F3305"/>
    <w:rsid w:val="005F343E"/>
    <w:rsid w:val="005F6B69"/>
    <w:rsid w:val="005F7A43"/>
    <w:rsid w:val="005F7B84"/>
    <w:rsid w:val="005F7C60"/>
    <w:rsid w:val="005F7C97"/>
    <w:rsid w:val="006009AA"/>
    <w:rsid w:val="00602388"/>
    <w:rsid w:val="006049BB"/>
    <w:rsid w:val="006057EA"/>
    <w:rsid w:val="006059AA"/>
    <w:rsid w:val="00605F3A"/>
    <w:rsid w:val="00606791"/>
    <w:rsid w:val="00606977"/>
    <w:rsid w:val="00607717"/>
    <w:rsid w:val="00607DA1"/>
    <w:rsid w:val="00607F64"/>
    <w:rsid w:val="006104A5"/>
    <w:rsid w:val="0061127B"/>
    <w:rsid w:val="006114DB"/>
    <w:rsid w:val="0061203C"/>
    <w:rsid w:val="00612BF5"/>
    <w:rsid w:val="0061307E"/>
    <w:rsid w:val="00613EB2"/>
    <w:rsid w:val="00615486"/>
    <w:rsid w:val="00615BCF"/>
    <w:rsid w:val="00615DBE"/>
    <w:rsid w:val="006170A1"/>
    <w:rsid w:val="006172D9"/>
    <w:rsid w:val="00617F8B"/>
    <w:rsid w:val="00620199"/>
    <w:rsid w:val="00620610"/>
    <w:rsid w:val="00620EE4"/>
    <w:rsid w:val="0062159B"/>
    <w:rsid w:val="006221BC"/>
    <w:rsid w:val="00624779"/>
    <w:rsid w:val="00625B6C"/>
    <w:rsid w:val="00626D85"/>
    <w:rsid w:val="00626E59"/>
    <w:rsid w:val="00627794"/>
    <w:rsid w:val="00627D00"/>
    <w:rsid w:val="006305F9"/>
    <w:rsid w:val="00631108"/>
    <w:rsid w:val="006311D0"/>
    <w:rsid w:val="006315CC"/>
    <w:rsid w:val="00632FAB"/>
    <w:rsid w:val="00633319"/>
    <w:rsid w:val="006336E3"/>
    <w:rsid w:val="00633F92"/>
    <w:rsid w:val="00634FB9"/>
    <w:rsid w:val="006366B9"/>
    <w:rsid w:val="00637938"/>
    <w:rsid w:val="00637EEF"/>
    <w:rsid w:val="00640F04"/>
    <w:rsid w:val="006434FB"/>
    <w:rsid w:val="00644284"/>
    <w:rsid w:val="00645F43"/>
    <w:rsid w:val="00646491"/>
    <w:rsid w:val="00646DCD"/>
    <w:rsid w:val="00646E01"/>
    <w:rsid w:val="006476D6"/>
    <w:rsid w:val="00647851"/>
    <w:rsid w:val="00647A26"/>
    <w:rsid w:val="0065038A"/>
    <w:rsid w:val="00650F50"/>
    <w:rsid w:val="006515FB"/>
    <w:rsid w:val="00651C4C"/>
    <w:rsid w:val="0065291B"/>
    <w:rsid w:val="006535CE"/>
    <w:rsid w:val="00653E08"/>
    <w:rsid w:val="006550D9"/>
    <w:rsid w:val="0065529B"/>
    <w:rsid w:val="00655A38"/>
    <w:rsid w:val="00655AE6"/>
    <w:rsid w:val="00656F10"/>
    <w:rsid w:val="006609D7"/>
    <w:rsid w:val="00661961"/>
    <w:rsid w:val="00662540"/>
    <w:rsid w:val="006627B2"/>
    <w:rsid w:val="00663FB8"/>
    <w:rsid w:val="006641BD"/>
    <w:rsid w:val="00664331"/>
    <w:rsid w:val="00664481"/>
    <w:rsid w:val="0066513D"/>
    <w:rsid w:val="006653AB"/>
    <w:rsid w:val="00666232"/>
    <w:rsid w:val="00666726"/>
    <w:rsid w:val="00667651"/>
    <w:rsid w:val="006701FB"/>
    <w:rsid w:val="00671161"/>
    <w:rsid w:val="00671DCA"/>
    <w:rsid w:val="00673A7E"/>
    <w:rsid w:val="0067498F"/>
    <w:rsid w:val="00676349"/>
    <w:rsid w:val="006763CB"/>
    <w:rsid w:val="00676929"/>
    <w:rsid w:val="00676A41"/>
    <w:rsid w:val="00677E1F"/>
    <w:rsid w:val="006805E2"/>
    <w:rsid w:val="006806FF"/>
    <w:rsid w:val="00680B21"/>
    <w:rsid w:val="00681182"/>
    <w:rsid w:val="00682B57"/>
    <w:rsid w:val="00683788"/>
    <w:rsid w:val="0068381D"/>
    <w:rsid w:val="006857C3"/>
    <w:rsid w:val="006864DF"/>
    <w:rsid w:val="00686C20"/>
    <w:rsid w:val="006872BC"/>
    <w:rsid w:val="00687915"/>
    <w:rsid w:val="00687C65"/>
    <w:rsid w:val="00690306"/>
    <w:rsid w:val="006908D8"/>
    <w:rsid w:val="006918DA"/>
    <w:rsid w:val="00692582"/>
    <w:rsid w:val="0069322E"/>
    <w:rsid w:val="00695402"/>
    <w:rsid w:val="0069597C"/>
    <w:rsid w:val="00695F2D"/>
    <w:rsid w:val="006967CF"/>
    <w:rsid w:val="006A048F"/>
    <w:rsid w:val="006A218C"/>
    <w:rsid w:val="006A36EB"/>
    <w:rsid w:val="006A4833"/>
    <w:rsid w:val="006A4A3D"/>
    <w:rsid w:val="006A5497"/>
    <w:rsid w:val="006A70FE"/>
    <w:rsid w:val="006B1B6F"/>
    <w:rsid w:val="006B1C2B"/>
    <w:rsid w:val="006B2613"/>
    <w:rsid w:val="006B4C80"/>
    <w:rsid w:val="006B5E9A"/>
    <w:rsid w:val="006B5EA2"/>
    <w:rsid w:val="006B6931"/>
    <w:rsid w:val="006C13E7"/>
    <w:rsid w:val="006C434B"/>
    <w:rsid w:val="006C46E4"/>
    <w:rsid w:val="006C5C46"/>
    <w:rsid w:val="006C6405"/>
    <w:rsid w:val="006D0C88"/>
    <w:rsid w:val="006D0E1D"/>
    <w:rsid w:val="006D2862"/>
    <w:rsid w:val="006D3C08"/>
    <w:rsid w:val="006D40B3"/>
    <w:rsid w:val="006D47C1"/>
    <w:rsid w:val="006D63C2"/>
    <w:rsid w:val="006D77E0"/>
    <w:rsid w:val="006E0716"/>
    <w:rsid w:val="006E1766"/>
    <w:rsid w:val="006E19FC"/>
    <w:rsid w:val="006E1B40"/>
    <w:rsid w:val="006E22C7"/>
    <w:rsid w:val="006E366F"/>
    <w:rsid w:val="006E3BAC"/>
    <w:rsid w:val="006E3C11"/>
    <w:rsid w:val="006E5B87"/>
    <w:rsid w:val="006E6A14"/>
    <w:rsid w:val="006E78D9"/>
    <w:rsid w:val="006F1108"/>
    <w:rsid w:val="006F2DD5"/>
    <w:rsid w:val="006F76A5"/>
    <w:rsid w:val="00700551"/>
    <w:rsid w:val="00702A68"/>
    <w:rsid w:val="00704447"/>
    <w:rsid w:val="00704477"/>
    <w:rsid w:val="007062C3"/>
    <w:rsid w:val="00707258"/>
    <w:rsid w:val="00707E6A"/>
    <w:rsid w:val="007106C5"/>
    <w:rsid w:val="007132B6"/>
    <w:rsid w:val="00714A64"/>
    <w:rsid w:val="007150AC"/>
    <w:rsid w:val="007156BE"/>
    <w:rsid w:val="0072023F"/>
    <w:rsid w:val="00720455"/>
    <w:rsid w:val="00720CCE"/>
    <w:rsid w:val="007213F9"/>
    <w:rsid w:val="00721A31"/>
    <w:rsid w:val="0072208A"/>
    <w:rsid w:val="00722328"/>
    <w:rsid w:val="007230E4"/>
    <w:rsid w:val="00723718"/>
    <w:rsid w:val="00723D0B"/>
    <w:rsid w:val="00723E85"/>
    <w:rsid w:val="007277B9"/>
    <w:rsid w:val="00731468"/>
    <w:rsid w:val="0073176D"/>
    <w:rsid w:val="00731897"/>
    <w:rsid w:val="00731E1E"/>
    <w:rsid w:val="00731E5B"/>
    <w:rsid w:val="00732299"/>
    <w:rsid w:val="007325BC"/>
    <w:rsid w:val="00733D40"/>
    <w:rsid w:val="00734664"/>
    <w:rsid w:val="0073568C"/>
    <w:rsid w:val="007356F6"/>
    <w:rsid w:val="0073584F"/>
    <w:rsid w:val="00736485"/>
    <w:rsid w:val="00736CED"/>
    <w:rsid w:val="00736F36"/>
    <w:rsid w:val="00737D3D"/>
    <w:rsid w:val="0074131A"/>
    <w:rsid w:val="00741592"/>
    <w:rsid w:val="00742C03"/>
    <w:rsid w:val="00742FD5"/>
    <w:rsid w:val="00746082"/>
    <w:rsid w:val="00746BF6"/>
    <w:rsid w:val="0075124C"/>
    <w:rsid w:val="007518AB"/>
    <w:rsid w:val="00752B75"/>
    <w:rsid w:val="00754298"/>
    <w:rsid w:val="00754619"/>
    <w:rsid w:val="00755852"/>
    <w:rsid w:val="0075669F"/>
    <w:rsid w:val="00756A62"/>
    <w:rsid w:val="00756AC9"/>
    <w:rsid w:val="0075741B"/>
    <w:rsid w:val="007601F0"/>
    <w:rsid w:val="007605A6"/>
    <w:rsid w:val="007617F4"/>
    <w:rsid w:val="007618D7"/>
    <w:rsid w:val="00761FB9"/>
    <w:rsid w:val="00762889"/>
    <w:rsid w:val="00764358"/>
    <w:rsid w:val="00765441"/>
    <w:rsid w:val="007669FA"/>
    <w:rsid w:val="00770040"/>
    <w:rsid w:val="007709C9"/>
    <w:rsid w:val="00770E77"/>
    <w:rsid w:val="00771669"/>
    <w:rsid w:val="007722FD"/>
    <w:rsid w:val="00774E77"/>
    <w:rsid w:val="00776880"/>
    <w:rsid w:val="00777DD1"/>
    <w:rsid w:val="00781181"/>
    <w:rsid w:val="0078404E"/>
    <w:rsid w:val="00784476"/>
    <w:rsid w:val="007845BA"/>
    <w:rsid w:val="007847D9"/>
    <w:rsid w:val="00784B39"/>
    <w:rsid w:val="00786572"/>
    <w:rsid w:val="00787AA0"/>
    <w:rsid w:val="00791418"/>
    <w:rsid w:val="007917F4"/>
    <w:rsid w:val="00792426"/>
    <w:rsid w:val="0079367E"/>
    <w:rsid w:val="00794369"/>
    <w:rsid w:val="00794754"/>
    <w:rsid w:val="00795335"/>
    <w:rsid w:val="00795B75"/>
    <w:rsid w:val="00795F59"/>
    <w:rsid w:val="00796AD7"/>
    <w:rsid w:val="0079728E"/>
    <w:rsid w:val="00797ACD"/>
    <w:rsid w:val="00797D55"/>
    <w:rsid w:val="007A01BC"/>
    <w:rsid w:val="007A0ACE"/>
    <w:rsid w:val="007A25F8"/>
    <w:rsid w:val="007A30F0"/>
    <w:rsid w:val="007A38BA"/>
    <w:rsid w:val="007A5B96"/>
    <w:rsid w:val="007A5FC6"/>
    <w:rsid w:val="007A6A17"/>
    <w:rsid w:val="007A716D"/>
    <w:rsid w:val="007A79FE"/>
    <w:rsid w:val="007B01BC"/>
    <w:rsid w:val="007B12AC"/>
    <w:rsid w:val="007B1952"/>
    <w:rsid w:val="007B298A"/>
    <w:rsid w:val="007B2F67"/>
    <w:rsid w:val="007B3136"/>
    <w:rsid w:val="007B3D2B"/>
    <w:rsid w:val="007B4D77"/>
    <w:rsid w:val="007B55AA"/>
    <w:rsid w:val="007B6CB6"/>
    <w:rsid w:val="007B7D96"/>
    <w:rsid w:val="007B7F81"/>
    <w:rsid w:val="007C2B4F"/>
    <w:rsid w:val="007C2BEB"/>
    <w:rsid w:val="007C3A86"/>
    <w:rsid w:val="007C3BBD"/>
    <w:rsid w:val="007C4C4E"/>
    <w:rsid w:val="007C5166"/>
    <w:rsid w:val="007C5488"/>
    <w:rsid w:val="007C59DC"/>
    <w:rsid w:val="007C7714"/>
    <w:rsid w:val="007C7C66"/>
    <w:rsid w:val="007D13B7"/>
    <w:rsid w:val="007D331A"/>
    <w:rsid w:val="007D4577"/>
    <w:rsid w:val="007D7D55"/>
    <w:rsid w:val="007E1585"/>
    <w:rsid w:val="007E183D"/>
    <w:rsid w:val="007E1EBD"/>
    <w:rsid w:val="007E2780"/>
    <w:rsid w:val="007E2F74"/>
    <w:rsid w:val="007E3530"/>
    <w:rsid w:val="007E4298"/>
    <w:rsid w:val="007E460E"/>
    <w:rsid w:val="007E5A3F"/>
    <w:rsid w:val="007E5EFF"/>
    <w:rsid w:val="007E600D"/>
    <w:rsid w:val="007F0C13"/>
    <w:rsid w:val="007F12FB"/>
    <w:rsid w:val="007F21E3"/>
    <w:rsid w:val="007F2482"/>
    <w:rsid w:val="007F3FE2"/>
    <w:rsid w:val="007F5A3D"/>
    <w:rsid w:val="007F5AB1"/>
    <w:rsid w:val="007F65CA"/>
    <w:rsid w:val="007F69F4"/>
    <w:rsid w:val="007F6EC7"/>
    <w:rsid w:val="007F74B6"/>
    <w:rsid w:val="007F7691"/>
    <w:rsid w:val="0080049E"/>
    <w:rsid w:val="0080154C"/>
    <w:rsid w:val="00801757"/>
    <w:rsid w:val="00801B94"/>
    <w:rsid w:val="00801D14"/>
    <w:rsid w:val="00803005"/>
    <w:rsid w:val="00803A8B"/>
    <w:rsid w:val="008107DC"/>
    <w:rsid w:val="00810F99"/>
    <w:rsid w:val="008127E1"/>
    <w:rsid w:val="008128AE"/>
    <w:rsid w:val="008146A5"/>
    <w:rsid w:val="008148DF"/>
    <w:rsid w:val="00814F0E"/>
    <w:rsid w:val="00816667"/>
    <w:rsid w:val="00816970"/>
    <w:rsid w:val="008170B5"/>
    <w:rsid w:val="008221C1"/>
    <w:rsid w:val="008226CE"/>
    <w:rsid w:val="00824033"/>
    <w:rsid w:val="00824B2C"/>
    <w:rsid w:val="00827309"/>
    <w:rsid w:val="00827FBC"/>
    <w:rsid w:val="0083014A"/>
    <w:rsid w:val="008324C3"/>
    <w:rsid w:val="00833249"/>
    <w:rsid w:val="00835044"/>
    <w:rsid w:val="00836F3B"/>
    <w:rsid w:val="00837D22"/>
    <w:rsid w:val="00840901"/>
    <w:rsid w:val="00841CE9"/>
    <w:rsid w:val="00841D67"/>
    <w:rsid w:val="0084315D"/>
    <w:rsid w:val="00843878"/>
    <w:rsid w:val="008452A1"/>
    <w:rsid w:val="00845374"/>
    <w:rsid w:val="008464BC"/>
    <w:rsid w:val="00846E7B"/>
    <w:rsid w:val="0084769B"/>
    <w:rsid w:val="008476A8"/>
    <w:rsid w:val="00847F67"/>
    <w:rsid w:val="008501A3"/>
    <w:rsid w:val="008514A3"/>
    <w:rsid w:val="008520D5"/>
    <w:rsid w:val="008529EA"/>
    <w:rsid w:val="008530E5"/>
    <w:rsid w:val="008534E7"/>
    <w:rsid w:val="0085368F"/>
    <w:rsid w:val="00854278"/>
    <w:rsid w:val="008550A2"/>
    <w:rsid w:val="00855869"/>
    <w:rsid w:val="0085617E"/>
    <w:rsid w:val="00857DAC"/>
    <w:rsid w:val="0086337F"/>
    <w:rsid w:val="00865669"/>
    <w:rsid w:val="00865821"/>
    <w:rsid w:val="008658BE"/>
    <w:rsid w:val="00870C96"/>
    <w:rsid w:val="008711F9"/>
    <w:rsid w:val="0087127C"/>
    <w:rsid w:val="00871CC0"/>
    <w:rsid w:val="008720E3"/>
    <w:rsid w:val="008729EE"/>
    <w:rsid w:val="00875525"/>
    <w:rsid w:val="008765CA"/>
    <w:rsid w:val="00876E35"/>
    <w:rsid w:val="00880206"/>
    <w:rsid w:val="0088070B"/>
    <w:rsid w:val="008814DD"/>
    <w:rsid w:val="00882811"/>
    <w:rsid w:val="00884100"/>
    <w:rsid w:val="0088414F"/>
    <w:rsid w:val="00884402"/>
    <w:rsid w:val="00884752"/>
    <w:rsid w:val="00885006"/>
    <w:rsid w:val="008850B9"/>
    <w:rsid w:val="008874CF"/>
    <w:rsid w:val="008903A0"/>
    <w:rsid w:val="008907DE"/>
    <w:rsid w:val="00890855"/>
    <w:rsid w:val="0089126C"/>
    <w:rsid w:val="008912D5"/>
    <w:rsid w:val="0089296A"/>
    <w:rsid w:val="00894FF6"/>
    <w:rsid w:val="00897601"/>
    <w:rsid w:val="00897A0F"/>
    <w:rsid w:val="00897D5D"/>
    <w:rsid w:val="008A13FC"/>
    <w:rsid w:val="008A1744"/>
    <w:rsid w:val="008A226C"/>
    <w:rsid w:val="008A22A3"/>
    <w:rsid w:val="008A2896"/>
    <w:rsid w:val="008A3D9D"/>
    <w:rsid w:val="008A5EBE"/>
    <w:rsid w:val="008B19B2"/>
    <w:rsid w:val="008B2356"/>
    <w:rsid w:val="008B5DBF"/>
    <w:rsid w:val="008B5F03"/>
    <w:rsid w:val="008B7F86"/>
    <w:rsid w:val="008C0C3E"/>
    <w:rsid w:val="008C232D"/>
    <w:rsid w:val="008C3352"/>
    <w:rsid w:val="008C3DBF"/>
    <w:rsid w:val="008C48DF"/>
    <w:rsid w:val="008C49F2"/>
    <w:rsid w:val="008C4D87"/>
    <w:rsid w:val="008C60DD"/>
    <w:rsid w:val="008C6129"/>
    <w:rsid w:val="008C6A67"/>
    <w:rsid w:val="008C740B"/>
    <w:rsid w:val="008C7560"/>
    <w:rsid w:val="008D0AC1"/>
    <w:rsid w:val="008D0D3A"/>
    <w:rsid w:val="008D1167"/>
    <w:rsid w:val="008D28A8"/>
    <w:rsid w:val="008D3741"/>
    <w:rsid w:val="008D5B11"/>
    <w:rsid w:val="008D6EB4"/>
    <w:rsid w:val="008D7C4A"/>
    <w:rsid w:val="008D7D36"/>
    <w:rsid w:val="008D7EDC"/>
    <w:rsid w:val="008E0F6E"/>
    <w:rsid w:val="008E158B"/>
    <w:rsid w:val="008E17F0"/>
    <w:rsid w:val="008E1EBA"/>
    <w:rsid w:val="008E20C5"/>
    <w:rsid w:val="008E2D8D"/>
    <w:rsid w:val="008E3028"/>
    <w:rsid w:val="008E3C85"/>
    <w:rsid w:val="008E3F08"/>
    <w:rsid w:val="008E457E"/>
    <w:rsid w:val="008E459E"/>
    <w:rsid w:val="008E64A7"/>
    <w:rsid w:val="008E6FE5"/>
    <w:rsid w:val="008E72EE"/>
    <w:rsid w:val="008F0014"/>
    <w:rsid w:val="008F0645"/>
    <w:rsid w:val="008F2E8D"/>
    <w:rsid w:val="008F5E6E"/>
    <w:rsid w:val="008F5F2E"/>
    <w:rsid w:val="0090038C"/>
    <w:rsid w:val="00900B1F"/>
    <w:rsid w:val="00901C39"/>
    <w:rsid w:val="00902198"/>
    <w:rsid w:val="0090324C"/>
    <w:rsid w:val="00904DA3"/>
    <w:rsid w:val="0090608A"/>
    <w:rsid w:val="00906BF0"/>
    <w:rsid w:val="00907186"/>
    <w:rsid w:val="00907CF3"/>
    <w:rsid w:val="00911266"/>
    <w:rsid w:val="00911A6A"/>
    <w:rsid w:val="00911C8B"/>
    <w:rsid w:val="0091200B"/>
    <w:rsid w:val="00912AAA"/>
    <w:rsid w:val="0091497E"/>
    <w:rsid w:val="00915139"/>
    <w:rsid w:val="0091548A"/>
    <w:rsid w:val="00917698"/>
    <w:rsid w:val="009177B4"/>
    <w:rsid w:val="00917AA9"/>
    <w:rsid w:val="00917F11"/>
    <w:rsid w:val="00920BA7"/>
    <w:rsid w:val="00920C61"/>
    <w:rsid w:val="009216E6"/>
    <w:rsid w:val="00921D12"/>
    <w:rsid w:val="00924221"/>
    <w:rsid w:val="00926718"/>
    <w:rsid w:val="00927BFC"/>
    <w:rsid w:val="00930EBA"/>
    <w:rsid w:val="0093163C"/>
    <w:rsid w:val="009325B9"/>
    <w:rsid w:val="00934A9C"/>
    <w:rsid w:val="0093661E"/>
    <w:rsid w:val="00936EF0"/>
    <w:rsid w:val="00936FD3"/>
    <w:rsid w:val="009378DE"/>
    <w:rsid w:val="00937EF5"/>
    <w:rsid w:val="00937F13"/>
    <w:rsid w:val="00940BEB"/>
    <w:rsid w:val="009417AB"/>
    <w:rsid w:val="00942203"/>
    <w:rsid w:val="00942583"/>
    <w:rsid w:val="00944F88"/>
    <w:rsid w:val="0094516D"/>
    <w:rsid w:val="0094566A"/>
    <w:rsid w:val="00947281"/>
    <w:rsid w:val="0095083A"/>
    <w:rsid w:val="00950E17"/>
    <w:rsid w:val="009513FF"/>
    <w:rsid w:val="00953BEC"/>
    <w:rsid w:val="00960054"/>
    <w:rsid w:val="00961075"/>
    <w:rsid w:val="0096161C"/>
    <w:rsid w:val="00962503"/>
    <w:rsid w:val="00962BE3"/>
    <w:rsid w:val="00963417"/>
    <w:rsid w:val="00964BD5"/>
    <w:rsid w:val="00966E53"/>
    <w:rsid w:val="009674DA"/>
    <w:rsid w:val="00967877"/>
    <w:rsid w:val="009715E8"/>
    <w:rsid w:val="009724B0"/>
    <w:rsid w:val="00972932"/>
    <w:rsid w:val="00975D2C"/>
    <w:rsid w:val="00975D9B"/>
    <w:rsid w:val="00976349"/>
    <w:rsid w:val="009772B0"/>
    <w:rsid w:val="009776B3"/>
    <w:rsid w:val="00977757"/>
    <w:rsid w:val="00977CE9"/>
    <w:rsid w:val="00977DC4"/>
    <w:rsid w:val="00980605"/>
    <w:rsid w:val="0098073E"/>
    <w:rsid w:val="0098099D"/>
    <w:rsid w:val="00980CF1"/>
    <w:rsid w:val="00981494"/>
    <w:rsid w:val="00981C20"/>
    <w:rsid w:val="0098216B"/>
    <w:rsid w:val="009824BE"/>
    <w:rsid w:val="00983A7C"/>
    <w:rsid w:val="00985442"/>
    <w:rsid w:val="00987734"/>
    <w:rsid w:val="00987F88"/>
    <w:rsid w:val="00990F59"/>
    <w:rsid w:val="0099115C"/>
    <w:rsid w:val="00991F42"/>
    <w:rsid w:val="00991FBB"/>
    <w:rsid w:val="00992244"/>
    <w:rsid w:val="0099263E"/>
    <w:rsid w:val="00993B2D"/>
    <w:rsid w:val="00993CF1"/>
    <w:rsid w:val="00994F54"/>
    <w:rsid w:val="009952BE"/>
    <w:rsid w:val="0099726D"/>
    <w:rsid w:val="009A06D1"/>
    <w:rsid w:val="009A13BA"/>
    <w:rsid w:val="009A274C"/>
    <w:rsid w:val="009A2C14"/>
    <w:rsid w:val="009A3D72"/>
    <w:rsid w:val="009A3D92"/>
    <w:rsid w:val="009A47AE"/>
    <w:rsid w:val="009A55F6"/>
    <w:rsid w:val="009A6445"/>
    <w:rsid w:val="009A6460"/>
    <w:rsid w:val="009A69BB"/>
    <w:rsid w:val="009A737E"/>
    <w:rsid w:val="009B0AF2"/>
    <w:rsid w:val="009B12C6"/>
    <w:rsid w:val="009B133C"/>
    <w:rsid w:val="009B2516"/>
    <w:rsid w:val="009B3EC5"/>
    <w:rsid w:val="009B436C"/>
    <w:rsid w:val="009B4729"/>
    <w:rsid w:val="009B4DD6"/>
    <w:rsid w:val="009B676B"/>
    <w:rsid w:val="009C069C"/>
    <w:rsid w:val="009C0AEC"/>
    <w:rsid w:val="009C262F"/>
    <w:rsid w:val="009C30F6"/>
    <w:rsid w:val="009C3AEA"/>
    <w:rsid w:val="009C47D4"/>
    <w:rsid w:val="009C4D1A"/>
    <w:rsid w:val="009C58F7"/>
    <w:rsid w:val="009D02CC"/>
    <w:rsid w:val="009D1317"/>
    <w:rsid w:val="009D142E"/>
    <w:rsid w:val="009D1CBB"/>
    <w:rsid w:val="009D1CF8"/>
    <w:rsid w:val="009D2633"/>
    <w:rsid w:val="009D31E8"/>
    <w:rsid w:val="009D43C3"/>
    <w:rsid w:val="009D452D"/>
    <w:rsid w:val="009D5113"/>
    <w:rsid w:val="009D54F1"/>
    <w:rsid w:val="009D5F0B"/>
    <w:rsid w:val="009D68C2"/>
    <w:rsid w:val="009D7742"/>
    <w:rsid w:val="009E040A"/>
    <w:rsid w:val="009E0E62"/>
    <w:rsid w:val="009E2E20"/>
    <w:rsid w:val="009E3323"/>
    <w:rsid w:val="009E3ECC"/>
    <w:rsid w:val="009E4FFD"/>
    <w:rsid w:val="009E5653"/>
    <w:rsid w:val="009E6459"/>
    <w:rsid w:val="009E67C9"/>
    <w:rsid w:val="009E693C"/>
    <w:rsid w:val="009E696E"/>
    <w:rsid w:val="009E7AB9"/>
    <w:rsid w:val="009E7FB1"/>
    <w:rsid w:val="009F0112"/>
    <w:rsid w:val="009F0238"/>
    <w:rsid w:val="009F2289"/>
    <w:rsid w:val="009F246B"/>
    <w:rsid w:val="009F261A"/>
    <w:rsid w:val="009F296F"/>
    <w:rsid w:val="009F3F7B"/>
    <w:rsid w:val="009F5704"/>
    <w:rsid w:val="009F6156"/>
    <w:rsid w:val="009F675E"/>
    <w:rsid w:val="00A000EE"/>
    <w:rsid w:val="00A001C6"/>
    <w:rsid w:val="00A00460"/>
    <w:rsid w:val="00A01C01"/>
    <w:rsid w:val="00A01D6E"/>
    <w:rsid w:val="00A02644"/>
    <w:rsid w:val="00A0282D"/>
    <w:rsid w:val="00A042BB"/>
    <w:rsid w:val="00A047C4"/>
    <w:rsid w:val="00A048F0"/>
    <w:rsid w:val="00A060CF"/>
    <w:rsid w:val="00A060E1"/>
    <w:rsid w:val="00A06225"/>
    <w:rsid w:val="00A074E1"/>
    <w:rsid w:val="00A1473A"/>
    <w:rsid w:val="00A2021A"/>
    <w:rsid w:val="00A20F90"/>
    <w:rsid w:val="00A22054"/>
    <w:rsid w:val="00A23667"/>
    <w:rsid w:val="00A262D6"/>
    <w:rsid w:val="00A26C68"/>
    <w:rsid w:val="00A26D5E"/>
    <w:rsid w:val="00A27268"/>
    <w:rsid w:val="00A27333"/>
    <w:rsid w:val="00A279E8"/>
    <w:rsid w:val="00A30698"/>
    <w:rsid w:val="00A3217B"/>
    <w:rsid w:val="00A32186"/>
    <w:rsid w:val="00A3362D"/>
    <w:rsid w:val="00A3397F"/>
    <w:rsid w:val="00A339D7"/>
    <w:rsid w:val="00A3681B"/>
    <w:rsid w:val="00A4001E"/>
    <w:rsid w:val="00A41785"/>
    <w:rsid w:val="00A419C9"/>
    <w:rsid w:val="00A41D38"/>
    <w:rsid w:val="00A434CC"/>
    <w:rsid w:val="00A445ED"/>
    <w:rsid w:val="00A45423"/>
    <w:rsid w:val="00A45A16"/>
    <w:rsid w:val="00A47A79"/>
    <w:rsid w:val="00A47B7F"/>
    <w:rsid w:val="00A47C1E"/>
    <w:rsid w:val="00A50E20"/>
    <w:rsid w:val="00A51462"/>
    <w:rsid w:val="00A52202"/>
    <w:rsid w:val="00A5235B"/>
    <w:rsid w:val="00A52746"/>
    <w:rsid w:val="00A55611"/>
    <w:rsid w:val="00A565C5"/>
    <w:rsid w:val="00A57790"/>
    <w:rsid w:val="00A60ACF"/>
    <w:rsid w:val="00A6162A"/>
    <w:rsid w:val="00A61665"/>
    <w:rsid w:val="00A618A4"/>
    <w:rsid w:val="00A6203B"/>
    <w:rsid w:val="00A623FC"/>
    <w:rsid w:val="00A64088"/>
    <w:rsid w:val="00A64EA5"/>
    <w:rsid w:val="00A66E4C"/>
    <w:rsid w:val="00A70C09"/>
    <w:rsid w:val="00A70D0A"/>
    <w:rsid w:val="00A71E83"/>
    <w:rsid w:val="00A73070"/>
    <w:rsid w:val="00A738A5"/>
    <w:rsid w:val="00A73C52"/>
    <w:rsid w:val="00A758FA"/>
    <w:rsid w:val="00A8030F"/>
    <w:rsid w:val="00A80F3F"/>
    <w:rsid w:val="00A8160D"/>
    <w:rsid w:val="00A822C9"/>
    <w:rsid w:val="00A82AF7"/>
    <w:rsid w:val="00A82C80"/>
    <w:rsid w:val="00A8525B"/>
    <w:rsid w:val="00A861DE"/>
    <w:rsid w:val="00A8673C"/>
    <w:rsid w:val="00A86B29"/>
    <w:rsid w:val="00A86C32"/>
    <w:rsid w:val="00A872A6"/>
    <w:rsid w:val="00A912CA"/>
    <w:rsid w:val="00A920E4"/>
    <w:rsid w:val="00A93707"/>
    <w:rsid w:val="00A9378E"/>
    <w:rsid w:val="00A93BF5"/>
    <w:rsid w:val="00A94107"/>
    <w:rsid w:val="00A948E2"/>
    <w:rsid w:val="00A95191"/>
    <w:rsid w:val="00A95422"/>
    <w:rsid w:val="00A95C1A"/>
    <w:rsid w:val="00A96501"/>
    <w:rsid w:val="00A96F00"/>
    <w:rsid w:val="00A97435"/>
    <w:rsid w:val="00AA0E89"/>
    <w:rsid w:val="00AA3D43"/>
    <w:rsid w:val="00AA3EE4"/>
    <w:rsid w:val="00AA4B62"/>
    <w:rsid w:val="00AA5132"/>
    <w:rsid w:val="00AA6FCF"/>
    <w:rsid w:val="00AB00DB"/>
    <w:rsid w:val="00AB0A72"/>
    <w:rsid w:val="00AB0F54"/>
    <w:rsid w:val="00AB18DC"/>
    <w:rsid w:val="00AB3444"/>
    <w:rsid w:val="00AB4CE3"/>
    <w:rsid w:val="00AB5F74"/>
    <w:rsid w:val="00AB61FD"/>
    <w:rsid w:val="00AB62D1"/>
    <w:rsid w:val="00AB7A82"/>
    <w:rsid w:val="00AC03A8"/>
    <w:rsid w:val="00AC1686"/>
    <w:rsid w:val="00AC19D0"/>
    <w:rsid w:val="00AC3414"/>
    <w:rsid w:val="00AC4BB7"/>
    <w:rsid w:val="00AC5F7E"/>
    <w:rsid w:val="00AC745D"/>
    <w:rsid w:val="00AD184C"/>
    <w:rsid w:val="00AD2ACC"/>
    <w:rsid w:val="00AD37F3"/>
    <w:rsid w:val="00AD7B54"/>
    <w:rsid w:val="00AE00E8"/>
    <w:rsid w:val="00AE01B5"/>
    <w:rsid w:val="00AE0264"/>
    <w:rsid w:val="00AE0611"/>
    <w:rsid w:val="00AE2644"/>
    <w:rsid w:val="00AE3809"/>
    <w:rsid w:val="00AE3B13"/>
    <w:rsid w:val="00AE3D7B"/>
    <w:rsid w:val="00AE3F17"/>
    <w:rsid w:val="00AE57BD"/>
    <w:rsid w:val="00AE5B13"/>
    <w:rsid w:val="00AE5FCB"/>
    <w:rsid w:val="00AE7BAE"/>
    <w:rsid w:val="00AF0ADB"/>
    <w:rsid w:val="00AF14A2"/>
    <w:rsid w:val="00AF1AED"/>
    <w:rsid w:val="00AF208E"/>
    <w:rsid w:val="00AF2318"/>
    <w:rsid w:val="00AF293A"/>
    <w:rsid w:val="00AF2F41"/>
    <w:rsid w:val="00AF3F25"/>
    <w:rsid w:val="00AF6090"/>
    <w:rsid w:val="00AF707B"/>
    <w:rsid w:val="00B0021A"/>
    <w:rsid w:val="00B00D50"/>
    <w:rsid w:val="00B01E4A"/>
    <w:rsid w:val="00B02CF7"/>
    <w:rsid w:val="00B03B25"/>
    <w:rsid w:val="00B043CB"/>
    <w:rsid w:val="00B04B06"/>
    <w:rsid w:val="00B06909"/>
    <w:rsid w:val="00B075D8"/>
    <w:rsid w:val="00B11125"/>
    <w:rsid w:val="00B11C81"/>
    <w:rsid w:val="00B11D1A"/>
    <w:rsid w:val="00B12D3A"/>
    <w:rsid w:val="00B12E44"/>
    <w:rsid w:val="00B13300"/>
    <w:rsid w:val="00B135FB"/>
    <w:rsid w:val="00B13733"/>
    <w:rsid w:val="00B1494D"/>
    <w:rsid w:val="00B14957"/>
    <w:rsid w:val="00B15030"/>
    <w:rsid w:val="00B15F06"/>
    <w:rsid w:val="00B17A87"/>
    <w:rsid w:val="00B21FE9"/>
    <w:rsid w:val="00B2242B"/>
    <w:rsid w:val="00B2263B"/>
    <w:rsid w:val="00B24C27"/>
    <w:rsid w:val="00B2606E"/>
    <w:rsid w:val="00B26375"/>
    <w:rsid w:val="00B32130"/>
    <w:rsid w:val="00B32D31"/>
    <w:rsid w:val="00B32DE2"/>
    <w:rsid w:val="00B339B2"/>
    <w:rsid w:val="00B33F64"/>
    <w:rsid w:val="00B3402C"/>
    <w:rsid w:val="00B34520"/>
    <w:rsid w:val="00B359FA"/>
    <w:rsid w:val="00B36F89"/>
    <w:rsid w:val="00B42F68"/>
    <w:rsid w:val="00B430BD"/>
    <w:rsid w:val="00B443D4"/>
    <w:rsid w:val="00B4446F"/>
    <w:rsid w:val="00B45E0D"/>
    <w:rsid w:val="00B4798B"/>
    <w:rsid w:val="00B47B61"/>
    <w:rsid w:val="00B47BFD"/>
    <w:rsid w:val="00B5060A"/>
    <w:rsid w:val="00B510AF"/>
    <w:rsid w:val="00B524A6"/>
    <w:rsid w:val="00B5254A"/>
    <w:rsid w:val="00B52BF6"/>
    <w:rsid w:val="00B52D5B"/>
    <w:rsid w:val="00B56903"/>
    <w:rsid w:val="00B57A96"/>
    <w:rsid w:val="00B61C40"/>
    <w:rsid w:val="00B6338B"/>
    <w:rsid w:val="00B63963"/>
    <w:rsid w:val="00B63B50"/>
    <w:rsid w:val="00B64DD3"/>
    <w:rsid w:val="00B65DE6"/>
    <w:rsid w:val="00B65F4C"/>
    <w:rsid w:val="00B66BE8"/>
    <w:rsid w:val="00B70025"/>
    <w:rsid w:val="00B702D5"/>
    <w:rsid w:val="00B70A61"/>
    <w:rsid w:val="00B7270A"/>
    <w:rsid w:val="00B7276D"/>
    <w:rsid w:val="00B72F33"/>
    <w:rsid w:val="00B744D4"/>
    <w:rsid w:val="00B748D3"/>
    <w:rsid w:val="00B74A22"/>
    <w:rsid w:val="00B75279"/>
    <w:rsid w:val="00B76496"/>
    <w:rsid w:val="00B81E98"/>
    <w:rsid w:val="00B8604A"/>
    <w:rsid w:val="00B86192"/>
    <w:rsid w:val="00B86E5A"/>
    <w:rsid w:val="00B87479"/>
    <w:rsid w:val="00B90E7F"/>
    <w:rsid w:val="00B91CCA"/>
    <w:rsid w:val="00B91F30"/>
    <w:rsid w:val="00B9205E"/>
    <w:rsid w:val="00B926B2"/>
    <w:rsid w:val="00B926D0"/>
    <w:rsid w:val="00B93434"/>
    <w:rsid w:val="00B946CC"/>
    <w:rsid w:val="00B95675"/>
    <w:rsid w:val="00B9588E"/>
    <w:rsid w:val="00B95A4E"/>
    <w:rsid w:val="00B95E5C"/>
    <w:rsid w:val="00B973FF"/>
    <w:rsid w:val="00B97554"/>
    <w:rsid w:val="00B975C0"/>
    <w:rsid w:val="00BA1B0F"/>
    <w:rsid w:val="00BA419E"/>
    <w:rsid w:val="00BA6196"/>
    <w:rsid w:val="00BA774B"/>
    <w:rsid w:val="00BB4004"/>
    <w:rsid w:val="00BB4589"/>
    <w:rsid w:val="00BB4C04"/>
    <w:rsid w:val="00BB629F"/>
    <w:rsid w:val="00BB6E38"/>
    <w:rsid w:val="00BC066A"/>
    <w:rsid w:val="00BC0D87"/>
    <w:rsid w:val="00BC27A7"/>
    <w:rsid w:val="00BC2FC3"/>
    <w:rsid w:val="00BC3AE9"/>
    <w:rsid w:val="00BC4841"/>
    <w:rsid w:val="00BC531A"/>
    <w:rsid w:val="00BC5AF9"/>
    <w:rsid w:val="00BC623F"/>
    <w:rsid w:val="00BC628F"/>
    <w:rsid w:val="00BC7A54"/>
    <w:rsid w:val="00BC7A94"/>
    <w:rsid w:val="00BD002C"/>
    <w:rsid w:val="00BD23C3"/>
    <w:rsid w:val="00BD32F7"/>
    <w:rsid w:val="00BD33B3"/>
    <w:rsid w:val="00BD3DF9"/>
    <w:rsid w:val="00BD5F8B"/>
    <w:rsid w:val="00BD6A9D"/>
    <w:rsid w:val="00BE02EB"/>
    <w:rsid w:val="00BE232B"/>
    <w:rsid w:val="00BE3550"/>
    <w:rsid w:val="00BE45BE"/>
    <w:rsid w:val="00BE4E27"/>
    <w:rsid w:val="00BE53B1"/>
    <w:rsid w:val="00BE62E1"/>
    <w:rsid w:val="00BF277F"/>
    <w:rsid w:val="00BF3208"/>
    <w:rsid w:val="00BF32F7"/>
    <w:rsid w:val="00BF3713"/>
    <w:rsid w:val="00BF3BDD"/>
    <w:rsid w:val="00BF45A6"/>
    <w:rsid w:val="00BF4C8C"/>
    <w:rsid w:val="00BF50A9"/>
    <w:rsid w:val="00BF7249"/>
    <w:rsid w:val="00BF762B"/>
    <w:rsid w:val="00C02DDF"/>
    <w:rsid w:val="00C04F5F"/>
    <w:rsid w:val="00C05659"/>
    <w:rsid w:val="00C06EFC"/>
    <w:rsid w:val="00C10468"/>
    <w:rsid w:val="00C104CD"/>
    <w:rsid w:val="00C12C95"/>
    <w:rsid w:val="00C12E61"/>
    <w:rsid w:val="00C13AA5"/>
    <w:rsid w:val="00C14223"/>
    <w:rsid w:val="00C154DD"/>
    <w:rsid w:val="00C1555E"/>
    <w:rsid w:val="00C17B50"/>
    <w:rsid w:val="00C17D41"/>
    <w:rsid w:val="00C20E81"/>
    <w:rsid w:val="00C21AC9"/>
    <w:rsid w:val="00C22C7A"/>
    <w:rsid w:val="00C2383F"/>
    <w:rsid w:val="00C250DD"/>
    <w:rsid w:val="00C25E6D"/>
    <w:rsid w:val="00C26B9B"/>
    <w:rsid w:val="00C30370"/>
    <w:rsid w:val="00C30679"/>
    <w:rsid w:val="00C310DE"/>
    <w:rsid w:val="00C31C0B"/>
    <w:rsid w:val="00C321B3"/>
    <w:rsid w:val="00C340B8"/>
    <w:rsid w:val="00C342DE"/>
    <w:rsid w:val="00C34533"/>
    <w:rsid w:val="00C348F1"/>
    <w:rsid w:val="00C3599F"/>
    <w:rsid w:val="00C36171"/>
    <w:rsid w:val="00C4005D"/>
    <w:rsid w:val="00C40760"/>
    <w:rsid w:val="00C41E7C"/>
    <w:rsid w:val="00C42288"/>
    <w:rsid w:val="00C426E4"/>
    <w:rsid w:val="00C4273E"/>
    <w:rsid w:val="00C42872"/>
    <w:rsid w:val="00C42BCF"/>
    <w:rsid w:val="00C451B3"/>
    <w:rsid w:val="00C463C4"/>
    <w:rsid w:val="00C4792D"/>
    <w:rsid w:val="00C47AA5"/>
    <w:rsid w:val="00C47CBC"/>
    <w:rsid w:val="00C50491"/>
    <w:rsid w:val="00C50C52"/>
    <w:rsid w:val="00C51270"/>
    <w:rsid w:val="00C517B0"/>
    <w:rsid w:val="00C52A96"/>
    <w:rsid w:val="00C52C8C"/>
    <w:rsid w:val="00C52E38"/>
    <w:rsid w:val="00C53861"/>
    <w:rsid w:val="00C547F3"/>
    <w:rsid w:val="00C549A4"/>
    <w:rsid w:val="00C55D4C"/>
    <w:rsid w:val="00C56293"/>
    <w:rsid w:val="00C60050"/>
    <w:rsid w:val="00C60EBF"/>
    <w:rsid w:val="00C61E89"/>
    <w:rsid w:val="00C626BC"/>
    <w:rsid w:val="00C647BF"/>
    <w:rsid w:val="00C6552D"/>
    <w:rsid w:val="00C6638C"/>
    <w:rsid w:val="00C6671E"/>
    <w:rsid w:val="00C67A77"/>
    <w:rsid w:val="00C70E21"/>
    <w:rsid w:val="00C71BF9"/>
    <w:rsid w:val="00C74184"/>
    <w:rsid w:val="00C74E12"/>
    <w:rsid w:val="00C763A1"/>
    <w:rsid w:val="00C769B1"/>
    <w:rsid w:val="00C778AA"/>
    <w:rsid w:val="00C80C31"/>
    <w:rsid w:val="00C81E19"/>
    <w:rsid w:val="00C8237E"/>
    <w:rsid w:val="00C83237"/>
    <w:rsid w:val="00C86739"/>
    <w:rsid w:val="00C87A9D"/>
    <w:rsid w:val="00C91046"/>
    <w:rsid w:val="00C92A7F"/>
    <w:rsid w:val="00C92AFE"/>
    <w:rsid w:val="00C93A7E"/>
    <w:rsid w:val="00C94A10"/>
    <w:rsid w:val="00C94C2B"/>
    <w:rsid w:val="00C95F01"/>
    <w:rsid w:val="00C968BF"/>
    <w:rsid w:val="00C96C0F"/>
    <w:rsid w:val="00C97A9A"/>
    <w:rsid w:val="00CA0144"/>
    <w:rsid w:val="00CA05E4"/>
    <w:rsid w:val="00CA3949"/>
    <w:rsid w:val="00CA42C6"/>
    <w:rsid w:val="00CA4843"/>
    <w:rsid w:val="00CA6654"/>
    <w:rsid w:val="00CA6884"/>
    <w:rsid w:val="00CA71E6"/>
    <w:rsid w:val="00CA7348"/>
    <w:rsid w:val="00CA78D7"/>
    <w:rsid w:val="00CB0276"/>
    <w:rsid w:val="00CB088A"/>
    <w:rsid w:val="00CB0937"/>
    <w:rsid w:val="00CB17E1"/>
    <w:rsid w:val="00CB19E3"/>
    <w:rsid w:val="00CB23B9"/>
    <w:rsid w:val="00CB323B"/>
    <w:rsid w:val="00CB3607"/>
    <w:rsid w:val="00CB4D9A"/>
    <w:rsid w:val="00CB6B86"/>
    <w:rsid w:val="00CB78B7"/>
    <w:rsid w:val="00CC0AC9"/>
    <w:rsid w:val="00CC1CA0"/>
    <w:rsid w:val="00CC1F51"/>
    <w:rsid w:val="00CC22A1"/>
    <w:rsid w:val="00CC23CC"/>
    <w:rsid w:val="00CC2B9B"/>
    <w:rsid w:val="00CC43AB"/>
    <w:rsid w:val="00CC4FF0"/>
    <w:rsid w:val="00CC66BF"/>
    <w:rsid w:val="00CD11E7"/>
    <w:rsid w:val="00CD13D2"/>
    <w:rsid w:val="00CD2A64"/>
    <w:rsid w:val="00CD327C"/>
    <w:rsid w:val="00CD390B"/>
    <w:rsid w:val="00CD7A95"/>
    <w:rsid w:val="00CD7EB1"/>
    <w:rsid w:val="00CE195F"/>
    <w:rsid w:val="00CE1C62"/>
    <w:rsid w:val="00CE25AC"/>
    <w:rsid w:val="00CE35C6"/>
    <w:rsid w:val="00CE56BD"/>
    <w:rsid w:val="00CE5B29"/>
    <w:rsid w:val="00CE6823"/>
    <w:rsid w:val="00CE769C"/>
    <w:rsid w:val="00CF1208"/>
    <w:rsid w:val="00CF1E92"/>
    <w:rsid w:val="00CF380F"/>
    <w:rsid w:val="00CF403E"/>
    <w:rsid w:val="00CF6BF0"/>
    <w:rsid w:val="00CF6C5C"/>
    <w:rsid w:val="00CF7081"/>
    <w:rsid w:val="00D01BB5"/>
    <w:rsid w:val="00D02CB6"/>
    <w:rsid w:val="00D02DBC"/>
    <w:rsid w:val="00D05964"/>
    <w:rsid w:val="00D06DD5"/>
    <w:rsid w:val="00D07259"/>
    <w:rsid w:val="00D073A1"/>
    <w:rsid w:val="00D07664"/>
    <w:rsid w:val="00D109DC"/>
    <w:rsid w:val="00D1151F"/>
    <w:rsid w:val="00D12FD7"/>
    <w:rsid w:val="00D144D1"/>
    <w:rsid w:val="00D14544"/>
    <w:rsid w:val="00D14F8D"/>
    <w:rsid w:val="00D151D5"/>
    <w:rsid w:val="00D160DB"/>
    <w:rsid w:val="00D16178"/>
    <w:rsid w:val="00D1679D"/>
    <w:rsid w:val="00D16AE9"/>
    <w:rsid w:val="00D202FC"/>
    <w:rsid w:val="00D209BB"/>
    <w:rsid w:val="00D20E93"/>
    <w:rsid w:val="00D21575"/>
    <w:rsid w:val="00D21A20"/>
    <w:rsid w:val="00D24113"/>
    <w:rsid w:val="00D25BC5"/>
    <w:rsid w:val="00D27267"/>
    <w:rsid w:val="00D27848"/>
    <w:rsid w:val="00D27F76"/>
    <w:rsid w:val="00D31F09"/>
    <w:rsid w:val="00D32F4B"/>
    <w:rsid w:val="00D3313C"/>
    <w:rsid w:val="00D34899"/>
    <w:rsid w:val="00D34BFF"/>
    <w:rsid w:val="00D34FFB"/>
    <w:rsid w:val="00D35A4E"/>
    <w:rsid w:val="00D3632B"/>
    <w:rsid w:val="00D37462"/>
    <w:rsid w:val="00D40D5C"/>
    <w:rsid w:val="00D41EFB"/>
    <w:rsid w:val="00D424A2"/>
    <w:rsid w:val="00D43353"/>
    <w:rsid w:val="00D43C0B"/>
    <w:rsid w:val="00D4528D"/>
    <w:rsid w:val="00D45839"/>
    <w:rsid w:val="00D46F3D"/>
    <w:rsid w:val="00D51A37"/>
    <w:rsid w:val="00D535AA"/>
    <w:rsid w:val="00D53901"/>
    <w:rsid w:val="00D54E76"/>
    <w:rsid w:val="00D554C5"/>
    <w:rsid w:val="00D56565"/>
    <w:rsid w:val="00D57338"/>
    <w:rsid w:val="00D61923"/>
    <w:rsid w:val="00D62116"/>
    <w:rsid w:val="00D62C83"/>
    <w:rsid w:val="00D63240"/>
    <w:rsid w:val="00D64038"/>
    <w:rsid w:val="00D64E7F"/>
    <w:rsid w:val="00D70B4C"/>
    <w:rsid w:val="00D720E7"/>
    <w:rsid w:val="00D743D0"/>
    <w:rsid w:val="00D74C8F"/>
    <w:rsid w:val="00D74D3B"/>
    <w:rsid w:val="00D75DED"/>
    <w:rsid w:val="00D77703"/>
    <w:rsid w:val="00D778D9"/>
    <w:rsid w:val="00D81530"/>
    <w:rsid w:val="00D81975"/>
    <w:rsid w:val="00D82DDA"/>
    <w:rsid w:val="00D82E0D"/>
    <w:rsid w:val="00D8324A"/>
    <w:rsid w:val="00D84B09"/>
    <w:rsid w:val="00D8658A"/>
    <w:rsid w:val="00D8675B"/>
    <w:rsid w:val="00D875C8"/>
    <w:rsid w:val="00D87A66"/>
    <w:rsid w:val="00D87B2E"/>
    <w:rsid w:val="00D92953"/>
    <w:rsid w:val="00D93D9E"/>
    <w:rsid w:val="00D950B1"/>
    <w:rsid w:val="00D9752C"/>
    <w:rsid w:val="00D97F50"/>
    <w:rsid w:val="00DA0EC6"/>
    <w:rsid w:val="00DA170A"/>
    <w:rsid w:val="00DA1A7B"/>
    <w:rsid w:val="00DA26B3"/>
    <w:rsid w:val="00DA2B1E"/>
    <w:rsid w:val="00DA37B0"/>
    <w:rsid w:val="00DA437D"/>
    <w:rsid w:val="00DA4B24"/>
    <w:rsid w:val="00DA5488"/>
    <w:rsid w:val="00DA55A8"/>
    <w:rsid w:val="00DA59BB"/>
    <w:rsid w:val="00DA5A0E"/>
    <w:rsid w:val="00DA5B86"/>
    <w:rsid w:val="00DA6024"/>
    <w:rsid w:val="00DA76F8"/>
    <w:rsid w:val="00DB1FAE"/>
    <w:rsid w:val="00DB23B9"/>
    <w:rsid w:val="00DB2CED"/>
    <w:rsid w:val="00DB3728"/>
    <w:rsid w:val="00DB4286"/>
    <w:rsid w:val="00DB604A"/>
    <w:rsid w:val="00DB7406"/>
    <w:rsid w:val="00DC1669"/>
    <w:rsid w:val="00DC1CBC"/>
    <w:rsid w:val="00DC2A04"/>
    <w:rsid w:val="00DC2EA2"/>
    <w:rsid w:val="00DC32A4"/>
    <w:rsid w:val="00DC4979"/>
    <w:rsid w:val="00DC72CB"/>
    <w:rsid w:val="00DC73A9"/>
    <w:rsid w:val="00DC78BB"/>
    <w:rsid w:val="00DD020B"/>
    <w:rsid w:val="00DD043D"/>
    <w:rsid w:val="00DD2AE4"/>
    <w:rsid w:val="00DD3663"/>
    <w:rsid w:val="00DD702B"/>
    <w:rsid w:val="00DD73CF"/>
    <w:rsid w:val="00DD7B57"/>
    <w:rsid w:val="00DE0DEB"/>
    <w:rsid w:val="00DE1C81"/>
    <w:rsid w:val="00DE32D9"/>
    <w:rsid w:val="00DE42BC"/>
    <w:rsid w:val="00DE4747"/>
    <w:rsid w:val="00DE496C"/>
    <w:rsid w:val="00DE50B2"/>
    <w:rsid w:val="00DE54F4"/>
    <w:rsid w:val="00DE5792"/>
    <w:rsid w:val="00DE69F2"/>
    <w:rsid w:val="00DE6FED"/>
    <w:rsid w:val="00DE7AE3"/>
    <w:rsid w:val="00DF1830"/>
    <w:rsid w:val="00DF21CB"/>
    <w:rsid w:val="00DF2E3B"/>
    <w:rsid w:val="00DF6900"/>
    <w:rsid w:val="00DF79EE"/>
    <w:rsid w:val="00E01D7E"/>
    <w:rsid w:val="00E024ED"/>
    <w:rsid w:val="00E02ED3"/>
    <w:rsid w:val="00E031B8"/>
    <w:rsid w:val="00E0346F"/>
    <w:rsid w:val="00E03EA6"/>
    <w:rsid w:val="00E078A1"/>
    <w:rsid w:val="00E07A62"/>
    <w:rsid w:val="00E11224"/>
    <w:rsid w:val="00E11C7D"/>
    <w:rsid w:val="00E1203B"/>
    <w:rsid w:val="00E127B4"/>
    <w:rsid w:val="00E14301"/>
    <w:rsid w:val="00E1498F"/>
    <w:rsid w:val="00E15A82"/>
    <w:rsid w:val="00E170A7"/>
    <w:rsid w:val="00E20C39"/>
    <w:rsid w:val="00E214AC"/>
    <w:rsid w:val="00E21BB9"/>
    <w:rsid w:val="00E21FA6"/>
    <w:rsid w:val="00E22907"/>
    <w:rsid w:val="00E2398E"/>
    <w:rsid w:val="00E247FE"/>
    <w:rsid w:val="00E24982"/>
    <w:rsid w:val="00E25BAF"/>
    <w:rsid w:val="00E260F3"/>
    <w:rsid w:val="00E270A2"/>
    <w:rsid w:val="00E275AF"/>
    <w:rsid w:val="00E31489"/>
    <w:rsid w:val="00E31E88"/>
    <w:rsid w:val="00E31FB6"/>
    <w:rsid w:val="00E325A6"/>
    <w:rsid w:val="00E33700"/>
    <w:rsid w:val="00E3378B"/>
    <w:rsid w:val="00E346A2"/>
    <w:rsid w:val="00E36006"/>
    <w:rsid w:val="00E363E8"/>
    <w:rsid w:val="00E3671D"/>
    <w:rsid w:val="00E36B7D"/>
    <w:rsid w:val="00E37B35"/>
    <w:rsid w:val="00E40279"/>
    <w:rsid w:val="00E40C60"/>
    <w:rsid w:val="00E41EF5"/>
    <w:rsid w:val="00E42596"/>
    <w:rsid w:val="00E42ACE"/>
    <w:rsid w:val="00E42CF7"/>
    <w:rsid w:val="00E43131"/>
    <w:rsid w:val="00E44082"/>
    <w:rsid w:val="00E45036"/>
    <w:rsid w:val="00E45CB8"/>
    <w:rsid w:val="00E52A5C"/>
    <w:rsid w:val="00E52F44"/>
    <w:rsid w:val="00E53A37"/>
    <w:rsid w:val="00E53E45"/>
    <w:rsid w:val="00E5469A"/>
    <w:rsid w:val="00E54E0F"/>
    <w:rsid w:val="00E56BB7"/>
    <w:rsid w:val="00E573D9"/>
    <w:rsid w:val="00E57863"/>
    <w:rsid w:val="00E63531"/>
    <w:rsid w:val="00E6430F"/>
    <w:rsid w:val="00E649EC"/>
    <w:rsid w:val="00E659DA"/>
    <w:rsid w:val="00E66B41"/>
    <w:rsid w:val="00E66D9D"/>
    <w:rsid w:val="00E675D8"/>
    <w:rsid w:val="00E67EAA"/>
    <w:rsid w:val="00E67F4D"/>
    <w:rsid w:val="00E711C3"/>
    <w:rsid w:val="00E7237E"/>
    <w:rsid w:val="00E7388D"/>
    <w:rsid w:val="00E76089"/>
    <w:rsid w:val="00E761AD"/>
    <w:rsid w:val="00E76FEC"/>
    <w:rsid w:val="00E77667"/>
    <w:rsid w:val="00E861BB"/>
    <w:rsid w:val="00E906C4"/>
    <w:rsid w:val="00E90E73"/>
    <w:rsid w:val="00E91745"/>
    <w:rsid w:val="00E919CC"/>
    <w:rsid w:val="00E92847"/>
    <w:rsid w:val="00E92F63"/>
    <w:rsid w:val="00E93847"/>
    <w:rsid w:val="00E93FCD"/>
    <w:rsid w:val="00E946E8"/>
    <w:rsid w:val="00E94724"/>
    <w:rsid w:val="00E9679E"/>
    <w:rsid w:val="00EA04D0"/>
    <w:rsid w:val="00EA20C9"/>
    <w:rsid w:val="00EA2BC3"/>
    <w:rsid w:val="00EA3494"/>
    <w:rsid w:val="00EA4B43"/>
    <w:rsid w:val="00EA5785"/>
    <w:rsid w:val="00EA72AA"/>
    <w:rsid w:val="00EA7BC0"/>
    <w:rsid w:val="00EA7FD3"/>
    <w:rsid w:val="00EB28CC"/>
    <w:rsid w:val="00EB2CF5"/>
    <w:rsid w:val="00EB4E25"/>
    <w:rsid w:val="00EB5278"/>
    <w:rsid w:val="00EB60C2"/>
    <w:rsid w:val="00EB6C94"/>
    <w:rsid w:val="00EB6F15"/>
    <w:rsid w:val="00EC0423"/>
    <w:rsid w:val="00EC0A27"/>
    <w:rsid w:val="00EC1229"/>
    <w:rsid w:val="00EC1951"/>
    <w:rsid w:val="00EC2A91"/>
    <w:rsid w:val="00EC3C2B"/>
    <w:rsid w:val="00EC3F8F"/>
    <w:rsid w:val="00EC4D5E"/>
    <w:rsid w:val="00EC5098"/>
    <w:rsid w:val="00EC73A5"/>
    <w:rsid w:val="00EC7D88"/>
    <w:rsid w:val="00ED01C1"/>
    <w:rsid w:val="00ED05B7"/>
    <w:rsid w:val="00ED0D08"/>
    <w:rsid w:val="00ED110F"/>
    <w:rsid w:val="00ED22BB"/>
    <w:rsid w:val="00ED2CE5"/>
    <w:rsid w:val="00ED304E"/>
    <w:rsid w:val="00ED3D36"/>
    <w:rsid w:val="00ED4740"/>
    <w:rsid w:val="00ED793B"/>
    <w:rsid w:val="00EE0BA9"/>
    <w:rsid w:val="00EE32FE"/>
    <w:rsid w:val="00EE5C81"/>
    <w:rsid w:val="00EE6968"/>
    <w:rsid w:val="00EE6AA0"/>
    <w:rsid w:val="00EE7842"/>
    <w:rsid w:val="00EE7857"/>
    <w:rsid w:val="00EF0BF3"/>
    <w:rsid w:val="00EF0CB3"/>
    <w:rsid w:val="00EF2805"/>
    <w:rsid w:val="00EF3780"/>
    <w:rsid w:val="00EF4C8F"/>
    <w:rsid w:val="00EF64F7"/>
    <w:rsid w:val="00F01883"/>
    <w:rsid w:val="00F02105"/>
    <w:rsid w:val="00F03723"/>
    <w:rsid w:val="00F03B74"/>
    <w:rsid w:val="00F03B91"/>
    <w:rsid w:val="00F048ED"/>
    <w:rsid w:val="00F0715D"/>
    <w:rsid w:val="00F10331"/>
    <w:rsid w:val="00F10A56"/>
    <w:rsid w:val="00F119EF"/>
    <w:rsid w:val="00F11C40"/>
    <w:rsid w:val="00F12456"/>
    <w:rsid w:val="00F15F2F"/>
    <w:rsid w:val="00F1637E"/>
    <w:rsid w:val="00F17767"/>
    <w:rsid w:val="00F17900"/>
    <w:rsid w:val="00F212AE"/>
    <w:rsid w:val="00F22FEB"/>
    <w:rsid w:val="00F23693"/>
    <w:rsid w:val="00F23B2A"/>
    <w:rsid w:val="00F253C0"/>
    <w:rsid w:val="00F25478"/>
    <w:rsid w:val="00F25642"/>
    <w:rsid w:val="00F256F4"/>
    <w:rsid w:val="00F268EC"/>
    <w:rsid w:val="00F2693B"/>
    <w:rsid w:val="00F26CA3"/>
    <w:rsid w:val="00F26D67"/>
    <w:rsid w:val="00F27B7C"/>
    <w:rsid w:val="00F3034D"/>
    <w:rsid w:val="00F32A77"/>
    <w:rsid w:val="00F32A8D"/>
    <w:rsid w:val="00F333E2"/>
    <w:rsid w:val="00F3374B"/>
    <w:rsid w:val="00F34982"/>
    <w:rsid w:val="00F34A8D"/>
    <w:rsid w:val="00F35B05"/>
    <w:rsid w:val="00F35FEE"/>
    <w:rsid w:val="00F3663C"/>
    <w:rsid w:val="00F367A0"/>
    <w:rsid w:val="00F369A6"/>
    <w:rsid w:val="00F44044"/>
    <w:rsid w:val="00F45596"/>
    <w:rsid w:val="00F46E19"/>
    <w:rsid w:val="00F52FE5"/>
    <w:rsid w:val="00F544B4"/>
    <w:rsid w:val="00F54C45"/>
    <w:rsid w:val="00F56459"/>
    <w:rsid w:val="00F56D48"/>
    <w:rsid w:val="00F575BF"/>
    <w:rsid w:val="00F61D9B"/>
    <w:rsid w:val="00F6259F"/>
    <w:rsid w:val="00F6297B"/>
    <w:rsid w:val="00F63247"/>
    <w:rsid w:val="00F639EE"/>
    <w:rsid w:val="00F63B8C"/>
    <w:rsid w:val="00F6546F"/>
    <w:rsid w:val="00F659BE"/>
    <w:rsid w:val="00F65BD4"/>
    <w:rsid w:val="00F660FD"/>
    <w:rsid w:val="00F6644E"/>
    <w:rsid w:val="00F6701C"/>
    <w:rsid w:val="00F67C2E"/>
    <w:rsid w:val="00F72B8C"/>
    <w:rsid w:val="00F732B2"/>
    <w:rsid w:val="00F73B4B"/>
    <w:rsid w:val="00F73DFD"/>
    <w:rsid w:val="00F75CD8"/>
    <w:rsid w:val="00F762CE"/>
    <w:rsid w:val="00F7676A"/>
    <w:rsid w:val="00F76E01"/>
    <w:rsid w:val="00F773C9"/>
    <w:rsid w:val="00F77572"/>
    <w:rsid w:val="00F7790E"/>
    <w:rsid w:val="00F80101"/>
    <w:rsid w:val="00F811DF"/>
    <w:rsid w:val="00F81693"/>
    <w:rsid w:val="00F818CD"/>
    <w:rsid w:val="00F82C1A"/>
    <w:rsid w:val="00F82EB2"/>
    <w:rsid w:val="00F82EBB"/>
    <w:rsid w:val="00F83738"/>
    <w:rsid w:val="00F8469B"/>
    <w:rsid w:val="00F84712"/>
    <w:rsid w:val="00F84877"/>
    <w:rsid w:val="00F84CC6"/>
    <w:rsid w:val="00F8539F"/>
    <w:rsid w:val="00F85543"/>
    <w:rsid w:val="00F87977"/>
    <w:rsid w:val="00F90460"/>
    <w:rsid w:val="00F91482"/>
    <w:rsid w:val="00F938AF"/>
    <w:rsid w:val="00F945DC"/>
    <w:rsid w:val="00F94826"/>
    <w:rsid w:val="00F94EDC"/>
    <w:rsid w:val="00F94F65"/>
    <w:rsid w:val="00F950E7"/>
    <w:rsid w:val="00F95AE3"/>
    <w:rsid w:val="00F97340"/>
    <w:rsid w:val="00FA1CA0"/>
    <w:rsid w:val="00FA1CF6"/>
    <w:rsid w:val="00FA281C"/>
    <w:rsid w:val="00FA31E3"/>
    <w:rsid w:val="00FA395E"/>
    <w:rsid w:val="00FA3CC1"/>
    <w:rsid w:val="00FA52D0"/>
    <w:rsid w:val="00FA5D68"/>
    <w:rsid w:val="00FB0855"/>
    <w:rsid w:val="00FB0BC0"/>
    <w:rsid w:val="00FB235C"/>
    <w:rsid w:val="00FC0039"/>
    <w:rsid w:val="00FC0453"/>
    <w:rsid w:val="00FC2E26"/>
    <w:rsid w:val="00FC328C"/>
    <w:rsid w:val="00FC447B"/>
    <w:rsid w:val="00FC4588"/>
    <w:rsid w:val="00FC489F"/>
    <w:rsid w:val="00FC591A"/>
    <w:rsid w:val="00FC6A61"/>
    <w:rsid w:val="00FC7BBB"/>
    <w:rsid w:val="00FD0B7E"/>
    <w:rsid w:val="00FD1FDB"/>
    <w:rsid w:val="00FD369B"/>
    <w:rsid w:val="00FD4E53"/>
    <w:rsid w:val="00FD553D"/>
    <w:rsid w:val="00FD55E5"/>
    <w:rsid w:val="00FD55EA"/>
    <w:rsid w:val="00FD66DB"/>
    <w:rsid w:val="00FE0D91"/>
    <w:rsid w:val="00FE25C0"/>
    <w:rsid w:val="00FE3308"/>
    <w:rsid w:val="00FE4ABA"/>
    <w:rsid w:val="00FE5834"/>
    <w:rsid w:val="00FE6A14"/>
    <w:rsid w:val="00FE7C7D"/>
    <w:rsid w:val="00FF04F1"/>
    <w:rsid w:val="00FF1113"/>
    <w:rsid w:val="00FF32AC"/>
    <w:rsid w:val="00FF41AD"/>
    <w:rsid w:val="00FF4863"/>
    <w:rsid w:val="00FF4C6C"/>
    <w:rsid w:val="00FF5B19"/>
    <w:rsid w:val="00FF6703"/>
    <w:rsid w:val="00FF6A87"/>
    <w:rsid w:val="00FF7503"/>
    <w:rsid w:val="040BCFD4"/>
    <w:rsid w:val="06810D42"/>
    <w:rsid w:val="0860B893"/>
    <w:rsid w:val="1AEAFC01"/>
    <w:rsid w:val="1C844B0E"/>
    <w:rsid w:val="1CA71455"/>
    <w:rsid w:val="2237AABD"/>
    <w:rsid w:val="28828775"/>
    <w:rsid w:val="2ADB1535"/>
    <w:rsid w:val="303492A7"/>
    <w:rsid w:val="308C0161"/>
    <w:rsid w:val="365D8206"/>
    <w:rsid w:val="38F83FD7"/>
    <w:rsid w:val="41473EB7"/>
    <w:rsid w:val="453C9993"/>
    <w:rsid w:val="4BEEDAB6"/>
    <w:rsid w:val="4DC6B377"/>
    <w:rsid w:val="4E6339BB"/>
    <w:rsid w:val="4FBC3E23"/>
    <w:rsid w:val="5277C91A"/>
    <w:rsid w:val="52C3D0A7"/>
    <w:rsid w:val="5766DDDF"/>
    <w:rsid w:val="624EC6B1"/>
    <w:rsid w:val="68F9E6F8"/>
    <w:rsid w:val="6E53C1C0"/>
    <w:rsid w:val="6EFF6A0D"/>
    <w:rsid w:val="76F88020"/>
    <w:rsid w:val="773B37EA"/>
    <w:rsid w:val="7FEC9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1CAE7A"/>
  <w14:defaultImageDpi w14:val="32767"/>
  <w15:chartTrackingRefBased/>
  <w15:docId w15:val="{1FE24815-EEF5-478D-868B-1EAABB05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73"/>
    <w:pPr>
      <w:spacing w:before="160" w:after="160" w:line="259" w:lineRule="auto"/>
    </w:pPr>
    <w:rPr>
      <w:rFonts w:ascii="Calibri Light" w:hAnsi="Calibri Light"/>
      <w:sz w:val="22"/>
      <w:szCs w:val="22"/>
      <w:lang w:eastAsia="en-US"/>
    </w:rPr>
  </w:style>
  <w:style w:type="paragraph" w:styleId="Heading1">
    <w:name w:val="heading 1"/>
    <w:basedOn w:val="Normal"/>
    <w:next w:val="Normal"/>
    <w:link w:val="Heading1Char"/>
    <w:uiPriority w:val="9"/>
    <w:qFormat/>
    <w:rsid w:val="00236073"/>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6073"/>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607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6073"/>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236073"/>
    <w:pPr>
      <w:spacing w:before="0"/>
      <w:ind w:left="1560"/>
    </w:pPr>
    <w:rPr>
      <w:b/>
      <w:bCs/>
      <w:caps/>
      <w:color w:val="313E48"/>
      <w:sz w:val="56"/>
      <w:szCs w:val="56"/>
    </w:rPr>
  </w:style>
  <w:style w:type="paragraph" w:customStyle="1" w:styleId="BodyCopy">
    <w:name w:val="Body Copy"/>
    <w:qFormat/>
    <w:rsid w:val="00236073"/>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236073"/>
    <w:pPr>
      <w:pageBreakBefore/>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236073"/>
    <w:pPr>
      <w:spacing w:before="240" w:after="120"/>
    </w:pPr>
    <w:rPr>
      <w:rFonts w:cstheme="minorHAnsi"/>
      <w:b/>
      <w:bCs/>
      <w:i w:val="0"/>
      <w:color w:val="auto"/>
      <w:sz w:val="24"/>
      <w:szCs w:val="24"/>
    </w:rPr>
  </w:style>
  <w:style w:type="paragraph" w:customStyle="1" w:styleId="H3-Heading3">
    <w:name w:val="H3 - Heading 3"/>
    <w:basedOn w:val="Heading3"/>
    <w:qFormat/>
    <w:rsid w:val="00236073"/>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236073"/>
    <w:pPr>
      <w:numPr>
        <w:numId w:val="1"/>
      </w:numPr>
    </w:pPr>
  </w:style>
  <w:style w:type="paragraph" w:customStyle="1" w:styleId="BodyCopyPrebulletsandnumberedbullets">
    <w:name w:val="Body Copy Pre bullets and numbered bullets"/>
    <w:basedOn w:val="BodyCopy"/>
    <w:qFormat/>
    <w:rsid w:val="00236073"/>
    <w:pPr>
      <w:spacing w:before="240"/>
    </w:pPr>
  </w:style>
  <w:style w:type="paragraph" w:customStyle="1" w:styleId="BodyCopyBullets">
    <w:name w:val="Body Copy Bullets"/>
    <w:basedOn w:val="BodyCopy"/>
    <w:qFormat/>
    <w:rsid w:val="00E031B8"/>
    <w:pPr>
      <w:numPr>
        <w:numId w:val="2"/>
      </w:numPr>
      <w:spacing w:before="80"/>
      <w:ind w:left="697" w:hanging="340"/>
    </w:pPr>
  </w:style>
  <w:style w:type="table" w:styleId="TableGrid">
    <w:name w:val="Table Grid"/>
    <w:basedOn w:val="TableNormal"/>
    <w:uiPriority w:val="39"/>
    <w:rsid w:val="0023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236073"/>
    <w:pPr>
      <w:spacing w:before="240" w:after="240"/>
    </w:pPr>
    <w:rPr>
      <w:rFonts w:asciiTheme="majorHAnsi" w:hAnsiTheme="majorHAnsi" w:cstheme="minorHAnsi"/>
      <w:b/>
      <w:bCs/>
      <w:color w:val="FFFFFF" w:themeColor="background1"/>
      <w:szCs w:val="21"/>
      <w:lang w:eastAsia="en-US"/>
    </w:rPr>
  </w:style>
  <w:style w:type="paragraph" w:customStyle="1" w:styleId="TableBodyCopy">
    <w:name w:val="Table Body Copy"/>
    <w:basedOn w:val="BodyCopy"/>
    <w:qFormat/>
    <w:rsid w:val="00236073"/>
    <w:pPr>
      <w:spacing w:before="120" w:after="40"/>
    </w:pPr>
    <w:rPr>
      <w:color w:val="auto"/>
      <w:sz w:val="20"/>
    </w:rPr>
  </w:style>
  <w:style w:type="paragraph" w:customStyle="1" w:styleId="PostBulletsBodyCopy">
    <w:name w:val="Post Bullets Body Copy"/>
    <w:basedOn w:val="BodyCopy"/>
    <w:qFormat/>
    <w:rsid w:val="00236073"/>
    <w:pPr>
      <w:spacing w:before="240" w:after="160"/>
    </w:pPr>
  </w:style>
  <w:style w:type="paragraph" w:styleId="Header">
    <w:name w:val="header"/>
    <w:basedOn w:val="Normal"/>
    <w:link w:val="HeaderChar"/>
    <w:uiPriority w:val="99"/>
    <w:unhideWhenUsed/>
    <w:rsid w:val="00236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073"/>
    <w:rPr>
      <w:rFonts w:ascii="Calibri Light" w:hAnsi="Calibri Light"/>
      <w:sz w:val="22"/>
      <w:szCs w:val="22"/>
      <w:lang w:eastAsia="en-US"/>
    </w:rPr>
  </w:style>
  <w:style w:type="paragraph" w:styleId="Footer">
    <w:name w:val="footer"/>
    <w:basedOn w:val="Normal"/>
    <w:link w:val="FooterChar"/>
    <w:uiPriority w:val="99"/>
    <w:unhideWhenUsed/>
    <w:rsid w:val="00236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073"/>
    <w:rPr>
      <w:rFonts w:ascii="Calibri Light" w:hAnsi="Calibri Light"/>
      <w:sz w:val="22"/>
      <w:szCs w:val="22"/>
      <w:lang w:eastAsia="en-US"/>
    </w:rPr>
  </w:style>
  <w:style w:type="character" w:customStyle="1" w:styleId="Green">
    <w:name w:val="Green"/>
    <w:basedOn w:val="DefaultParagraphFont"/>
    <w:uiPriority w:val="1"/>
    <w:qFormat/>
    <w:rsid w:val="00236073"/>
    <w:rPr>
      <w:color w:val="ED7D31" w:themeColor="accent2"/>
    </w:rPr>
  </w:style>
  <w:style w:type="paragraph" w:customStyle="1" w:styleId="TitleCover">
    <w:name w:val="Title Cover"/>
    <w:basedOn w:val="H1-Heading1"/>
    <w:link w:val="TitleCoverChar"/>
    <w:qFormat/>
    <w:rsid w:val="00236073"/>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6073"/>
    <w:pPr>
      <w:jc w:val="center"/>
    </w:pPr>
    <w:rPr>
      <w:b/>
      <w:caps/>
      <w:noProof/>
      <w:color w:val="FF0000"/>
    </w:rPr>
  </w:style>
  <w:style w:type="character" w:customStyle="1" w:styleId="H1-Heading1Char">
    <w:name w:val="H1 - Heading 1 Char"/>
    <w:basedOn w:val="DefaultParagraphFont"/>
    <w:link w:val="H1-Heading1"/>
    <w:rsid w:val="00236073"/>
    <w:rPr>
      <w:rFonts w:ascii="Calibri Light" w:eastAsiaTheme="majorEastAsia" w:hAnsi="Calibri Light" w:cstheme="majorBidi"/>
      <w:b/>
      <w:bCs/>
      <w:caps/>
      <w:color w:val="313E48"/>
      <w:sz w:val="56"/>
      <w:szCs w:val="56"/>
      <w:lang w:eastAsia="en-US"/>
    </w:rPr>
  </w:style>
  <w:style w:type="character" w:customStyle="1" w:styleId="TitleCoverChar">
    <w:name w:val="Title Cover Char"/>
    <w:basedOn w:val="H1-Heading1Char"/>
    <w:link w:val="TitleCover"/>
    <w:rsid w:val="00236073"/>
    <w:rPr>
      <w:rFonts w:asciiTheme="minorHAnsi" w:eastAsiaTheme="majorEastAsia" w:hAnsiTheme="minorHAnsi" w:cstheme="minorHAnsi"/>
      <w:b/>
      <w:bCs/>
      <w:caps/>
      <w:color w:val="FFFFFF" w:themeColor="background1"/>
      <w:sz w:val="48"/>
      <w:szCs w:val="56"/>
      <w:lang w:eastAsia="en-US"/>
    </w:rPr>
  </w:style>
  <w:style w:type="paragraph" w:customStyle="1" w:styleId="Subtitlecover">
    <w:name w:val="Subtitle cover"/>
    <w:basedOn w:val="TitleCover"/>
    <w:link w:val="SubtitlecoverChar"/>
    <w:qFormat/>
    <w:rsid w:val="00236073"/>
    <w:pPr>
      <w:spacing w:before="360"/>
    </w:pPr>
    <w:rPr>
      <w:sz w:val="36"/>
    </w:rPr>
  </w:style>
  <w:style w:type="character" w:customStyle="1" w:styleId="SubtitlecoverChar">
    <w:name w:val="Subtitle cover Char"/>
    <w:basedOn w:val="TitleCoverChar"/>
    <w:link w:val="Subtitlecover"/>
    <w:rsid w:val="00236073"/>
    <w:rPr>
      <w:rFonts w:asciiTheme="minorHAnsi" w:eastAsiaTheme="majorEastAsia" w:hAnsiTheme="minorHAnsi" w:cstheme="minorHAnsi"/>
      <w:b/>
      <w:bCs/>
      <w:caps/>
      <w:color w:val="FFFFFF" w:themeColor="background1"/>
      <w:sz w:val="36"/>
      <w:szCs w:val="56"/>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236073"/>
    <w:pPr>
      <w:spacing w:after="100"/>
      <w:ind w:left="220"/>
    </w:pPr>
  </w:style>
  <w:style w:type="character" w:customStyle="1" w:styleId="Heading2Char">
    <w:name w:val="Heading 2 Char"/>
    <w:basedOn w:val="DefaultParagraphFont"/>
    <w:link w:val="Heading2"/>
    <w:uiPriority w:val="9"/>
    <w:rsid w:val="00236073"/>
    <w:rPr>
      <w:rFonts w:ascii="Calibri Light" w:eastAsiaTheme="majorEastAsia" w:hAnsi="Calibri Light" w:cstheme="majorBidi"/>
      <w:color w:val="2F5496" w:themeColor="accent1" w:themeShade="BF"/>
      <w:sz w:val="26"/>
      <w:szCs w:val="26"/>
      <w:lang w:eastAsia="en-US"/>
    </w:rPr>
  </w:style>
  <w:style w:type="character" w:customStyle="1" w:styleId="Heading1Char">
    <w:name w:val="Heading 1 Char"/>
    <w:basedOn w:val="DefaultParagraphFont"/>
    <w:link w:val="Heading1"/>
    <w:uiPriority w:val="9"/>
    <w:rsid w:val="00236073"/>
    <w:rPr>
      <w:rFonts w:ascii="Calibri Light" w:eastAsiaTheme="majorEastAsia" w:hAnsi="Calibri Light" w:cstheme="majorBidi"/>
      <w:color w:val="2F5496" w:themeColor="accent1" w:themeShade="BF"/>
      <w:sz w:val="32"/>
      <w:szCs w:val="32"/>
      <w:lang w:eastAsia="en-US"/>
    </w:rPr>
  </w:style>
  <w:style w:type="character" w:customStyle="1" w:styleId="Heading3Char">
    <w:name w:val="Heading 3 Char"/>
    <w:basedOn w:val="DefaultParagraphFont"/>
    <w:link w:val="Heading3"/>
    <w:uiPriority w:val="9"/>
    <w:rsid w:val="00236073"/>
    <w:rPr>
      <w:rFonts w:ascii="Calibri Light" w:eastAsiaTheme="majorEastAsia" w:hAnsi="Calibri Light"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236073"/>
    <w:rPr>
      <w:rFonts w:ascii="Calibri Light" w:eastAsiaTheme="majorEastAsia" w:hAnsi="Calibri Light" w:cstheme="majorBidi"/>
      <w:i/>
      <w:iCs/>
      <w:color w:val="2F5496" w:themeColor="accent1" w:themeShade="BF"/>
      <w:sz w:val="22"/>
      <w:szCs w:val="22"/>
      <w:lang w:eastAsia="en-US"/>
    </w:rPr>
  </w:style>
  <w:style w:type="paragraph" w:styleId="TOC1">
    <w:name w:val="toc 1"/>
    <w:basedOn w:val="Normal"/>
    <w:next w:val="Normal"/>
    <w:autoRedefine/>
    <w:uiPriority w:val="39"/>
    <w:unhideWhenUsed/>
    <w:rsid w:val="00236073"/>
    <w:pPr>
      <w:spacing w:after="100"/>
    </w:pPr>
  </w:style>
  <w:style w:type="paragraph" w:styleId="TOC3">
    <w:name w:val="toc 3"/>
    <w:basedOn w:val="Normal"/>
    <w:next w:val="Normal"/>
    <w:autoRedefine/>
    <w:uiPriority w:val="39"/>
    <w:unhideWhenUsed/>
    <w:rsid w:val="00236073"/>
    <w:pPr>
      <w:spacing w:after="100"/>
      <w:ind w:left="440"/>
    </w:pPr>
  </w:style>
  <w:style w:type="character" w:styleId="Hyperlink">
    <w:name w:val="Hyperlink"/>
    <w:basedOn w:val="DefaultParagraphFont"/>
    <w:uiPriority w:val="99"/>
    <w:unhideWhenUsed/>
    <w:rsid w:val="00236073"/>
    <w:rPr>
      <w:color w:val="0563C1" w:themeColor="hyperlink"/>
      <w:u w:val="single"/>
    </w:rPr>
  </w:style>
  <w:style w:type="paragraph" w:styleId="TOCHeading">
    <w:name w:val="TOC Heading"/>
    <w:basedOn w:val="H2-Heading2"/>
    <w:next w:val="Normal"/>
    <w:uiPriority w:val="39"/>
    <w:unhideWhenUsed/>
    <w:qFormat/>
    <w:rsid w:val="00236073"/>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L,CV text,DH1"/>
    <w:basedOn w:val="Normal"/>
    <w:link w:val="ListParagraphChar"/>
    <w:uiPriority w:val="34"/>
    <w:qFormat/>
    <w:rsid w:val="00236073"/>
    <w:pPr>
      <w:numPr>
        <w:numId w:val="8"/>
      </w:numPr>
      <w:ind w:left="357" w:hanging="357"/>
      <w:contextualSpacing/>
    </w:p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L Char"/>
    <w:basedOn w:val="DefaultParagraphFont"/>
    <w:link w:val="ListParagraph"/>
    <w:uiPriority w:val="34"/>
    <w:locked/>
    <w:rsid w:val="00F81693"/>
    <w:rPr>
      <w:rFonts w:ascii="Calibri Light" w:hAnsi="Calibri Light"/>
      <w:sz w:val="22"/>
      <w:szCs w:val="22"/>
      <w:lang w:eastAsia="en-US"/>
    </w:rPr>
  </w:style>
  <w:style w:type="paragraph" w:customStyle="1" w:styleId="Highlight">
    <w:name w:val="Highlight"/>
    <w:basedOn w:val="BodyCopyBullets"/>
    <w:qFormat/>
    <w:rsid w:val="00147676"/>
    <w:pPr>
      <w:pBdr>
        <w:top w:val="single" w:sz="4" w:space="1" w:color="CFD5C6"/>
        <w:left w:val="single" w:sz="4" w:space="4" w:color="CFD5C6"/>
        <w:bottom w:val="single" w:sz="4" w:space="1" w:color="CFD5C6"/>
        <w:right w:val="single" w:sz="4" w:space="4" w:color="CFD5C6"/>
      </w:pBdr>
      <w:shd w:val="clear" w:color="auto" w:fill="E5E7DF"/>
      <w:spacing w:before="0"/>
      <w:ind w:left="720" w:hanging="360"/>
    </w:pPr>
    <w:rPr>
      <w:lang w:eastAsia="en-AU"/>
    </w:rPr>
  </w:style>
  <w:style w:type="table" w:styleId="ListTable3-Accent1">
    <w:name w:val="List Table 3 Accent 1"/>
    <w:basedOn w:val="TableNormal"/>
    <w:uiPriority w:val="48"/>
    <w:rsid w:val="0023607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val="0"/>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2-Accent1">
    <w:name w:val="Grid Table 2 Accent 1"/>
    <w:basedOn w:val="TableNormal"/>
    <w:uiPriority w:val="47"/>
    <w:rsid w:val="0023607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val="0"/>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2360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23607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36073"/>
    <w:rPr>
      <w:rFonts w:ascii="Calibri Light" w:hAnsi="Calibri Light"/>
      <w:lang w:eastAsia="en-US"/>
    </w:rPr>
  </w:style>
  <w:style w:type="character" w:styleId="FootnoteReference">
    <w:name w:val="footnote reference"/>
    <w:basedOn w:val="DefaultParagraphFont"/>
    <w:uiPriority w:val="99"/>
    <w:semiHidden/>
    <w:unhideWhenUsed/>
    <w:rsid w:val="00236073"/>
    <w:rPr>
      <w:vertAlign w:val="superscript"/>
    </w:rPr>
  </w:style>
  <w:style w:type="character" w:customStyle="1" w:styleId="ui-provider">
    <w:name w:val="ui-provider"/>
    <w:basedOn w:val="DefaultParagraphFont"/>
    <w:rsid w:val="00633F92"/>
  </w:style>
  <w:style w:type="paragraph" w:customStyle="1" w:styleId="Box1Bullet">
    <w:name w:val="Box 1 Bullet"/>
    <w:basedOn w:val="Normal"/>
    <w:qFormat/>
    <w:rsid w:val="00236073"/>
    <w:pPr>
      <w:numPr>
        <w:numId w:val="5"/>
      </w:num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44546A" w:themeColor="text2"/>
      <w:sz w:val="20"/>
    </w:rPr>
  </w:style>
  <w:style w:type="table" w:styleId="TableGridLight">
    <w:name w:val="Grid Table Light"/>
    <w:basedOn w:val="TableNormal"/>
    <w:uiPriority w:val="40"/>
    <w:rsid w:val="002360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36073"/>
    <w:rPr>
      <w:sz w:val="22"/>
      <w:szCs w:val="22"/>
      <w:lang w:eastAsia="en-US"/>
    </w:rPr>
  </w:style>
  <w:style w:type="character" w:styleId="CommentReference">
    <w:name w:val="annotation reference"/>
    <w:basedOn w:val="DefaultParagraphFont"/>
    <w:uiPriority w:val="99"/>
    <w:semiHidden/>
    <w:unhideWhenUsed/>
    <w:rsid w:val="00236073"/>
    <w:rPr>
      <w:sz w:val="16"/>
      <w:szCs w:val="16"/>
    </w:rPr>
  </w:style>
  <w:style w:type="paragraph" w:styleId="CommentText">
    <w:name w:val="annotation text"/>
    <w:basedOn w:val="Normal"/>
    <w:link w:val="CommentTextChar"/>
    <w:uiPriority w:val="99"/>
    <w:unhideWhenUsed/>
    <w:rsid w:val="00236073"/>
    <w:pPr>
      <w:spacing w:line="240" w:lineRule="auto"/>
    </w:pPr>
    <w:rPr>
      <w:sz w:val="20"/>
      <w:szCs w:val="20"/>
    </w:rPr>
  </w:style>
  <w:style w:type="character" w:customStyle="1" w:styleId="CommentTextChar">
    <w:name w:val="Comment Text Char"/>
    <w:basedOn w:val="DefaultParagraphFont"/>
    <w:link w:val="CommentText"/>
    <w:uiPriority w:val="99"/>
    <w:rsid w:val="00236073"/>
    <w:rPr>
      <w:rFonts w:ascii="Calibri Light" w:hAnsi="Calibri Light"/>
      <w:lang w:eastAsia="en-US"/>
    </w:rPr>
  </w:style>
  <w:style w:type="paragraph" w:styleId="CommentSubject">
    <w:name w:val="annotation subject"/>
    <w:basedOn w:val="CommentText"/>
    <w:next w:val="CommentText"/>
    <w:link w:val="CommentSubjectChar"/>
    <w:uiPriority w:val="99"/>
    <w:semiHidden/>
    <w:unhideWhenUsed/>
    <w:rsid w:val="00236073"/>
    <w:rPr>
      <w:b/>
      <w:bCs/>
    </w:rPr>
  </w:style>
  <w:style w:type="character" w:customStyle="1" w:styleId="CommentSubjectChar">
    <w:name w:val="Comment Subject Char"/>
    <w:basedOn w:val="CommentTextChar"/>
    <w:link w:val="CommentSubject"/>
    <w:uiPriority w:val="99"/>
    <w:semiHidden/>
    <w:rsid w:val="00236073"/>
    <w:rPr>
      <w:rFonts w:ascii="Calibri Light" w:hAnsi="Calibri Light"/>
      <w:b/>
      <w:bCs/>
      <w:lang w:eastAsia="en-US"/>
    </w:rPr>
  </w:style>
  <w:style w:type="paragraph" w:styleId="NormalWeb">
    <w:name w:val="Normal (Web)"/>
    <w:basedOn w:val="Normal"/>
    <w:uiPriority w:val="99"/>
    <w:semiHidden/>
    <w:unhideWhenUsed/>
    <w:rsid w:val="0023607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236073"/>
  </w:style>
  <w:style w:type="character" w:styleId="FollowedHyperlink">
    <w:name w:val="FollowedHyperlink"/>
    <w:basedOn w:val="DefaultParagraphFont"/>
    <w:uiPriority w:val="99"/>
    <w:semiHidden/>
    <w:unhideWhenUsed/>
    <w:rsid w:val="00236073"/>
    <w:rPr>
      <w:color w:val="954F72" w:themeColor="followedHyperlink"/>
      <w:u w:val="single"/>
    </w:rPr>
  </w:style>
  <w:style w:type="character" w:styleId="UnresolvedMention">
    <w:name w:val="Unresolved Mention"/>
    <w:basedOn w:val="DefaultParagraphFont"/>
    <w:uiPriority w:val="99"/>
    <w:semiHidden/>
    <w:unhideWhenUsed/>
    <w:rsid w:val="00236073"/>
    <w:rPr>
      <w:color w:val="605E5C"/>
      <w:shd w:val="clear" w:color="auto" w:fill="E1DFDD"/>
    </w:rPr>
  </w:style>
  <w:style w:type="paragraph" w:customStyle="1" w:styleId="BoxQuickFacts">
    <w:name w:val="Box: Quick Facts"/>
    <w:basedOn w:val="Normal"/>
    <w:qFormat/>
    <w:rsid w:val="00C92A7F"/>
    <w:pPr>
      <w:pBdr>
        <w:top w:val="single" w:sz="4" w:space="4" w:color="auto"/>
        <w:bottom w:val="single" w:sz="4" w:space="4" w:color="auto"/>
      </w:pBdr>
      <w:shd w:val="clear" w:color="FFC000" w:themeColor="accent4" w:fill="D9E2F3" w:themeFill="accent1" w:themeFillTint="33"/>
      <w:spacing w:before="40" w:after="120" w:line="240" w:lineRule="auto"/>
    </w:pPr>
    <w:rPr>
      <w:rFonts w:cs="Calibri Light"/>
      <w:bCs/>
      <w:szCs w:val="21"/>
      <w:lang w:val="en-US"/>
    </w:rPr>
  </w:style>
  <w:style w:type="paragraph" w:styleId="EndnoteText">
    <w:name w:val="endnote text"/>
    <w:basedOn w:val="Normal"/>
    <w:link w:val="EndnoteTextChar"/>
    <w:uiPriority w:val="99"/>
    <w:unhideWhenUsed/>
    <w:rsid w:val="00236073"/>
    <w:pPr>
      <w:spacing w:before="0" w:after="0" w:line="240" w:lineRule="auto"/>
    </w:pPr>
    <w:rPr>
      <w:sz w:val="20"/>
      <w:szCs w:val="20"/>
    </w:rPr>
  </w:style>
  <w:style w:type="character" w:customStyle="1" w:styleId="EndnoteTextChar">
    <w:name w:val="Endnote Text Char"/>
    <w:basedOn w:val="DefaultParagraphFont"/>
    <w:link w:val="EndnoteText"/>
    <w:uiPriority w:val="99"/>
    <w:rsid w:val="00236073"/>
    <w:rPr>
      <w:rFonts w:ascii="Calibri Light" w:hAnsi="Calibri Light"/>
      <w:lang w:eastAsia="en-US"/>
    </w:rPr>
  </w:style>
  <w:style w:type="character" w:styleId="EndnoteReference">
    <w:name w:val="endnote reference"/>
    <w:basedOn w:val="DefaultParagraphFont"/>
    <w:uiPriority w:val="99"/>
    <w:semiHidden/>
    <w:unhideWhenUsed/>
    <w:rsid w:val="00236073"/>
    <w:rPr>
      <w:vertAlign w:val="superscript"/>
    </w:rPr>
  </w:style>
  <w:style w:type="character" w:customStyle="1" w:styleId="cf01">
    <w:name w:val="cf01"/>
    <w:basedOn w:val="DefaultParagraphFont"/>
    <w:rsid w:val="00C92A7F"/>
    <w:rPr>
      <w:rFonts w:ascii="Segoe UI" w:hAnsi="Segoe UI" w:cs="Segoe UI" w:hint="default"/>
      <w:sz w:val="18"/>
      <w:szCs w:val="18"/>
    </w:rPr>
  </w:style>
  <w:style w:type="table" w:customStyle="1" w:styleId="PlainTable12">
    <w:name w:val="Plain Table 12"/>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C92A7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efault">
    <w:name w:val="Default"/>
    <w:rsid w:val="00C92A7F"/>
    <w:pPr>
      <w:autoSpaceDE w:val="0"/>
      <w:autoSpaceDN w:val="0"/>
      <w:adjustRightInd w:val="0"/>
    </w:pPr>
    <w:rPr>
      <w:rFonts w:cs="Calibri"/>
      <w:color w:val="000000"/>
      <w:sz w:val="24"/>
      <w:szCs w:val="24"/>
    </w:rPr>
  </w:style>
  <w:style w:type="character" w:styleId="Mention">
    <w:name w:val="Mention"/>
    <w:basedOn w:val="DefaultParagraphFont"/>
    <w:uiPriority w:val="99"/>
    <w:unhideWhenUsed/>
    <w:rsid w:val="00C92A7F"/>
    <w:rPr>
      <w:color w:val="2B579A"/>
      <w:shd w:val="clear" w:color="auto" w:fill="E6E6E6"/>
    </w:rPr>
  </w:style>
  <w:style w:type="paragraph" w:customStyle="1" w:styleId="H3NumberedList">
    <w:name w:val="H3 Numbered List"/>
    <w:basedOn w:val="H3-Heading3"/>
    <w:qFormat/>
    <w:rsid w:val="000F42C5"/>
    <w:pPr>
      <w:numPr>
        <w:numId w:val="4"/>
      </w:numPr>
      <w:ind w:left="357" w:hanging="357"/>
    </w:pPr>
    <w:rPr>
      <w:rFonts w:eastAsia="Times New Roman"/>
      <w:lang w:eastAsia="en-AU"/>
    </w:rPr>
  </w:style>
  <w:style w:type="paragraph" w:customStyle="1" w:styleId="Tablebullets">
    <w:name w:val="Table bullets"/>
    <w:basedOn w:val="BodyCopyBullets"/>
    <w:qFormat/>
    <w:rsid w:val="00002583"/>
    <w:pPr>
      <w:spacing w:before="40" w:after="40"/>
      <w:ind w:left="510"/>
    </w:pPr>
  </w:style>
  <w:style w:type="paragraph" w:customStyle="1" w:styleId="H4nocaps">
    <w:name w:val="H4 no caps"/>
    <w:basedOn w:val="H4-Heading4"/>
    <w:qFormat/>
    <w:rsid w:val="00DC73A9"/>
  </w:style>
  <w:style w:type="paragraph" w:customStyle="1" w:styleId="NormalBullets-L3">
    <w:name w:val="Normal Bullets - L3"/>
    <w:basedOn w:val="NormalBullets-L2"/>
    <w:qFormat/>
    <w:rsid w:val="00236073"/>
    <w:pPr>
      <w:numPr>
        <w:numId w:val="6"/>
      </w:numPr>
      <w:ind w:left="1134" w:hanging="357"/>
    </w:pPr>
  </w:style>
  <w:style w:type="table" w:customStyle="1" w:styleId="DFATPaddock">
    <w:name w:val="DFAT Paddock"/>
    <w:basedOn w:val="TableNormal"/>
    <w:uiPriority w:val="99"/>
    <w:rsid w:val="002360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EDEDED" w:themeFill="accent3"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table" w:customStyle="1" w:styleId="DFATWattle">
    <w:name w:val="DFAT Wattle"/>
    <w:basedOn w:val="DFATPaddock"/>
    <w:uiPriority w:val="99"/>
    <w:rsid w:val="00236073"/>
    <w:tblPr/>
    <w:tcPr>
      <w:shd w:val="clear" w:color="auto" w:fill="FFF2CC" w:themeFill="accent4"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table" w:customStyle="1" w:styleId="DFATOchre">
    <w:name w:val="DFAT Ochre"/>
    <w:basedOn w:val="DFATWattle"/>
    <w:uiPriority w:val="99"/>
    <w:rsid w:val="00236073"/>
    <w:tblPr/>
    <w:tcPr>
      <w:shd w:val="clear" w:color="auto" w:fill="DEEAF6" w:themeFill="accent5" w:themeFillTint="33"/>
    </w:tcPr>
    <w:tblStylePr w:type="firstRow">
      <w:pPr>
        <w:jc w:val="left"/>
      </w:pPr>
      <w:rPr>
        <w:rFonts w:ascii="Calibri" w:hAnsi="Calibri"/>
        <w:b w:val="0"/>
        <w:color w:val="FFFFFF" w:themeColor="background1"/>
        <w:sz w:val="20"/>
      </w:rPr>
      <w:tblPr/>
      <w:trPr>
        <w:tblHeader/>
      </w:trPr>
      <w:tcPr>
        <w:shd w:val="clear" w:color="auto" w:fill="4472C4" w:themeFill="accent1"/>
      </w:tcPr>
    </w:tblStylePr>
  </w:style>
  <w:style w:type="table" w:customStyle="1" w:styleId="DFATBluegum">
    <w:name w:val="DFAT Bluegum"/>
    <w:basedOn w:val="DFATWattle"/>
    <w:uiPriority w:val="99"/>
    <w:rsid w:val="00236073"/>
    <w:tblPr/>
    <w:tcPr>
      <w:shd w:val="clear" w:color="auto" w:fill="D9E2F3" w:themeFill="accent1" w:themeFillTint="33"/>
    </w:tcPr>
    <w:tblStylePr w:type="firstRow">
      <w:pPr>
        <w:jc w:val="left"/>
      </w:pPr>
      <w:rPr>
        <w:rFonts w:asciiTheme="minorHAnsi" w:hAnsiTheme="minorHAnsi"/>
        <w:color w:val="FFFFFF" w:themeColor="background1"/>
        <w:sz w:val="20"/>
      </w:rPr>
      <w:tblPr/>
      <w:trPr>
        <w:tblHeader/>
      </w:trPr>
      <w:tcPr>
        <w:shd w:val="clear" w:color="auto" w:fill="4472C4" w:themeFill="accent1"/>
      </w:tcPr>
    </w:tblStylePr>
  </w:style>
  <w:style w:type="paragraph" w:styleId="NoSpacing">
    <w:name w:val="No Spacing"/>
    <w:link w:val="NoSpacingChar"/>
    <w:uiPriority w:val="1"/>
    <w:qFormat/>
    <w:rsid w:val="00113C6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13C66"/>
    <w:rPr>
      <w:rFonts w:asciiTheme="minorHAnsi" w:eastAsiaTheme="minorEastAsia" w:hAnsiTheme="minorHAnsi" w:cstheme="minorBidi"/>
      <w:sz w:val="22"/>
      <w:szCs w:val="22"/>
      <w:lang w:val="en-US" w:eastAsia="en-US"/>
    </w:rPr>
  </w:style>
  <w:style w:type="paragraph" w:customStyle="1" w:styleId="paragraph">
    <w:name w:val="paragraph"/>
    <w:basedOn w:val="Normal"/>
    <w:rsid w:val="00CA394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CA3949"/>
  </w:style>
  <w:style w:type="character" w:customStyle="1" w:styleId="y2iqfc">
    <w:name w:val="y2iqfc"/>
    <w:basedOn w:val="DefaultParagraphFont"/>
    <w:rsid w:val="00917AA9"/>
  </w:style>
  <w:style w:type="paragraph" w:customStyle="1" w:styleId="NormalBullets-L1">
    <w:name w:val="Normal Bullets - L1"/>
    <w:basedOn w:val="Normal"/>
    <w:qFormat/>
    <w:rsid w:val="00236073"/>
    <w:pPr>
      <w:numPr>
        <w:numId w:val="3"/>
      </w:numPr>
      <w:spacing w:before="120" w:after="120" w:line="240" w:lineRule="auto"/>
      <w:textAlignment w:val="baseline"/>
    </w:pPr>
    <w:rPr>
      <w:rFonts w:cs="Calibri Light"/>
      <w:lang w:eastAsia="en-AU"/>
    </w:rPr>
  </w:style>
  <w:style w:type="paragraph" w:customStyle="1" w:styleId="Tablebullet">
    <w:name w:val="Table bullet"/>
    <w:basedOn w:val="NormalBullets-L1"/>
    <w:qFormat/>
    <w:rsid w:val="00236073"/>
    <w:pPr>
      <w:spacing w:after="0"/>
      <w:ind w:left="360"/>
    </w:pPr>
    <w:rPr>
      <w:sz w:val="20"/>
    </w:rPr>
  </w:style>
  <w:style w:type="paragraph" w:customStyle="1" w:styleId="NormalBullets-L2">
    <w:name w:val="Normal Bullets - L2"/>
    <w:basedOn w:val="BodyCopy"/>
    <w:qFormat/>
    <w:rsid w:val="00236073"/>
    <w:pPr>
      <w:numPr>
        <w:numId w:val="7"/>
      </w:numPr>
      <w:spacing w:before="0" w:after="0"/>
      <w:ind w:left="993" w:hanging="284"/>
    </w:pPr>
    <w:rPr>
      <w:color w:val="auto"/>
      <w:lang w:eastAsia="en-AU"/>
    </w:rPr>
  </w:style>
  <w:style w:type="table" w:styleId="PlainTable4">
    <w:name w:val="Plain Table 4"/>
    <w:basedOn w:val="TableNormal"/>
    <w:uiPriority w:val="44"/>
    <w:rsid w:val="002360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0">
    <w:name w:val="Table Bullets"/>
    <w:basedOn w:val="NormalBullets-L1"/>
    <w:qFormat/>
    <w:rsid w:val="00236073"/>
    <w:pPr>
      <w:spacing w:before="0" w:after="0"/>
    </w:pPr>
  </w:style>
  <w:style w:type="paragraph" w:customStyle="1" w:styleId="Endnotes">
    <w:name w:val="Endnotes"/>
    <w:basedOn w:val="EndnoteText"/>
    <w:qFormat/>
    <w:rsid w:val="00236073"/>
  </w:style>
  <w:style w:type="paragraph" w:customStyle="1" w:styleId="Tabletitle">
    <w:name w:val="Table title"/>
    <w:basedOn w:val="H4-Heading4"/>
    <w:qFormat/>
    <w:rsid w:val="00236073"/>
    <w:pPr>
      <w:spacing w:line="240" w:lineRule="auto"/>
      <w:outlineLvl w:val="9"/>
    </w:pPr>
    <w:rPr>
      <w:rFonts w:eastAsia="Times New Roman"/>
      <w:lang w:eastAsia="en-AU"/>
    </w:rPr>
  </w:style>
  <w:style w:type="paragraph" w:customStyle="1" w:styleId="Tablenote">
    <w:name w:val="Table note"/>
    <w:basedOn w:val="Normal"/>
    <w:qFormat/>
    <w:rsid w:val="00236073"/>
    <w:pPr>
      <w:tabs>
        <w:tab w:val="left" w:pos="284"/>
      </w:tabs>
      <w:ind w:left="284" w:hanging="284"/>
    </w:pPr>
    <w:rPr>
      <w:sz w:val="18"/>
      <w:szCs w:val="18"/>
    </w:rPr>
  </w:style>
  <w:style w:type="paragraph" w:customStyle="1" w:styleId="Waysofworkinghead">
    <w:name w:val="Ways of working head"/>
    <w:basedOn w:val="Normal"/>
    <w:qFormat/>
    <w:rsid w:val="00236073"/>
    <w:rPr>
      <w:b/>
      <w:bCs/>
      <w:lang w:eastAsia="en-AU"/>
    </w:rPr>
  </w:style>
  <w:style w:type="paragraph" w:customStyle="1" w:styleId="Table1goalhead">
    <w:name w:val="Table 1 goal head"/>
    <w:basedOn w:val="Normal"/>
    <w:qFormat/>
    <w:rsid w:val="00236073"/>
    <w:rPr>
      <w:b/>
      <w:bCs/>
      <w:lang w:eastAsia="en-AU"/>
    </w:rPr>
  </w:style>
  <w:style w:type="paragraph" w:customStyle="1" w:styleId="Table1col1head">
    <w:name w:val="Table 1 col 1 head"/>
    <w:basedOn w:val="TableBodyCopy"/>
    <w:qFormat/>
    <w:rsid w:val="00236073"/>
    <w:rPr>
      <w:rFonts w:eastAsia="Times New Roman" w:cs="Calibri"/>
      <w:b/>
      <w:bCs/>
      <w:color w:val="FFFFFF" w:themeColor="background1"/>
      <w:lang w:eastAsia="en-AU"/>
    </w:rPr>
  </w:style>
  <w:style w:type="paragraph" w:customStyle="1" w:styleId="TableBodyCopybold">
    <w:name w:val="Table Body Copy bold"/>
    <w:basedOn w:val="TableBodyCopy"/>
    <w:qFormat/>
    <w:rsid w:val="00236073"/>
    <w:rPr>
      <w:b/>
      <w:bCs/>
    </w:rPr>
  </w:style>
  <w:style w:type="paragraph" w:customStyle="1" w:styleId="PAFobjectivehead">
    <w:name w:val="PAF objective head"/>
    <w:basedOn w:val="Normal"/>
    <w:qFormat/>
    <w:rsid w:val="00236073"/>
    <w:pPr>
      <w:keepNext/>
    </w:pPr>
    <w:rPr>
      <w:b/>
      <w:bCs/>
      <w:lang w:eastAsia="en-AU"/>
    </w:rPr>
  </w:style>
  <w:style w:type="paragraph" w:customStyle="1" w:styleId="cover-countries">
    <w:name w:val="cover - countries"/>
    <w:basedOn w:val="H1-Heading1"/>
    <w:qFormat/>
    <w:rsid w:val="00236073"/>
    <w:pPr>
      <w:spacing w:before="10400"/>
      <w:ind w:left="1701"/>
    </w:pPr>
  </w:style>
  <w:style w:type="paragraph" w:customStyle="1" w:styleId="cover-DPPandyears">
    <w:name w:val="cover - DPP and years"/>
    <w:basedOn w:val="H1-Heading1"/>
    <w:qFormat/>
    <w:rsid w:val="00236073"/>
    <w:pPr>
      <w:keepNext w:val="0"/>
      <w:keepLines w:val="0"/>
      <w:ind w:left="1701"/>
    </w:pPr>
    <w:rPr>
      <w:b w:val="0"/>
      <w:bCs w:val="0"/>
    </w:rPr>
  </w:style>
  <w:style w:type="paragraph" w:customStyle="1" w:styleId="endnotespacer">
    <w:name w:val="endnote spacer"/>
    <w:basedOn w:val="Normal"/>
    <w:qFormat/>
    <w:rsid w:val="00236073"/>
    <w:pPr>
      <w:spacing w:after="0" w:line="240" w:lineRule="auto"/>
    </w:pPr>
    <w:rPr>
      <w:sz w:val="2"/>
      <w:szCs w:val="2"/>
    </w:rPr>
  </w:style>
  <w:style w:type="paragraph" w:customStyle="1" w:styleId="H3-Heading3inbox">
    <w:name w:val="H3 - Heading 3 in box"/>
    <w:basedOn w:val="H3-Heading3"/>
    <w:qFormat/>
    <w:rsid w:val="00236073"/>
    <w:pPr>
      <w:pBdr>
        <w:top w:val="single" w:sz="4" w:space="1" w:color="auto"/>
        <w:left w:val="single" w:sz="4" w:space="1" w:color="auto"/>
        <w:bottom w:val="single" w:sz="4" w:space="1" w:color="auto"/>
        <w:right w:val="single" w:sz="4" w:space="1" w:color="auto"/>
      </w:pBdr>
    </w:pPr>
  </w:style>
  <w:style w:type="paragraph" w:customStyle="1" w:styleId="Normalinbox">
    <w:name w:val="Normal in box"/>
    <w:basedOn w:val="Normal"/>
    <w:qFormat/>
    <w:rsid w:val="00236073"/>
    <w:pPr>
      <w:pBdr>
        <w:top w:val="single" w:sz="4" w:space="1" w:color="auto"/>
        <w:left w:val="single" w:sz="4" w:space="1" w:color="auto"/>
        <w:bottom w:val="single" w:sz="4" w:space="1" w:color="auto"/>
        <w:right w:val="single" w:sz="4" w:space="1" w:color="auto"/>
      </w:pBdr>
    </w:pPr>
  </w:style>
  <w:style w:type="paragraph" w:customStyle="1" w:styleId="Coverphotocreditshead">
    <w:name w:val="Cover photo credits head"/>
    <w:basedOn w:val="H2-Heading2"/>
    <w:qFormat/>
    <w:rsid w:val="00236073"/>
    <w:pPr>
      <w:pageBreakBefore w:val="0"/>
    </w:pPr>
    <w:rPr>
      <w:lang w:eastAsia="en-AU"/>
    </w:rPr>
  </w:style>
  <w:style w:type="paragraph" w:customStyle="1" w:styleId="blockquote">
    <w:name w:val="block quote"/>
    <w:basedOn w:val="Normal"/>
    <w:qFormat/>
    <w:rsid w:val="00236073"/>
    <w:pPr>
      <w:ind w:left="720" w:right="720"/>
    </w:pPr>
    <w:rPr>
      <w:lang w:eastAsia="en-AU"/>
    </w:rPr>
  </w:style>
  <w:style w:type="character" w:customStyle="1" w:styleId="tablehyperlink">
    <w:name w:val="table hyperlink"/>
    <w:basedOn w:val="DefaultParagraphFont"/>
    <w:uiPriority w:val="1"/>
    <w:qFormat/>
    <w:rsid w:val="00236073"/>
    <w:rPr>
      <w:color w:val="auto"/>
      <w:u w:val="single"/>
      <w:vertAlign w:val="superscript"/>
    </w:rPr>
  </w:style>
  <w:style w:type="paragraph" w:customStyle="1" w:styleId="Table1colheads">
    <w:name w:val="Table 1 col heads"/>
    <w:qFormat/>
    <w:rsid w:val="00236073"/>
    <w:pPr>
      <w:spacing w:before="120" w:after="40"/>
    </w:pPr>
    <w:rPr>
      <w:rFonts w:ascii="Calibri Light" w:hAnsi="Calibri Light" w:cs="Calibri Light"/>
      <w:bCs/>
      <w:color w:val="000000" w:themeColor="text1"/>
      <w:szCs w:val="21"/>
      <w:lang w:eastAsia="en-US"/>
    </w:rPr>
  </w:style>
  <w:style w:type="table" w:customStyle="1" w:styleId="DPPtable1">
    <w:name w:val="DPP table 1"/>
    <w:basedOn w:val="TableNormal"/>
    <w:uiPriority w:val="99"/>
    <w:rsid w:val="0023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FFFFFF" w:themeColor="background1"/>
      </w:rPr>
      <w:tblPr/>
      <w:tcPr>
        <w:shd w:val="clear" w:color="auto" w:fill="3A586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73652">
      <w:bodyDiv w:val="1"/>
      <w:marLeft w:val="0"/>
      <w:marRight w:val="0"/>
      <w:marTop w:val="0"/>
      <w:marBottom w:val="0"/>
      <w:divBdr>
        <w:top w:val="none" w:sz="0" w:space="0" w:color="auto"/>
        <w:left w:val="none" w:sz="0" w:space="0" w:color="auto"/>
        <w:bottom w:val="none" w:sz="0" w:space="0" w:color="auto"/>
        <w:right w:val="none" w:sz="0" w:space="0" w:color="auto"/>
      </w:divBdr>
      <w:divsChild>
        <w:div w:id="37896078">
          <w:marLeft w:val="0"/>
          <w:marRight w:val="0"/>
          <w:marTop w:val="0"/>
          <w:marBottom w:val="0"/>
          <w:divBdr>
            <w:top w:val="none" w:sz="0" w:space="0" w:color="auto"/>
            <w:left w:val="none" w:sz="0" w:space="0" w:color="auto"/>
            <w:bottom w:val="none" w:sz="0" w:space="0" w:color="auto"/>
            <w:right w:val="none" w:sz="0" w:space="0" w:color="auto"/>
          </w:divBdr>
          <w:divsChild>
            <w:div w:id="541407726">
              <w:marLeft w:val="0"/>
              <w:marRight w:val="0"/>
              <w:marTop w:val="0"/>
              <w:marBottom w:val="0"/>
              <w:divBdr>
                <w:top w:val="none" w:sz="0" w:space="0" w:color="auto"/>
                <w:left w:val="none" w:sz="0" w:space="0" w:color="auto"/>
                <w:bottom w:val="none" w:sz="0" w:space="0" w:color="auto"/>
                <w:right w:val="none" w:sz="0" w:space="0" w:color="auto"/>
              </w:divBdr>
            </w:div>
            <w:div w:id="1645115978">
              <w:marLeft w:val="0"/>
              <w:marRight w:val="0"/>
              <w:marTop w:val="0"/>
              <w:marBottom w:val="0"/>
              <w:divBdr>
                <w:top w:val="none" w:sz="0" w:space="0" w:color="auto"/>
                <w:left w:val="none" w:sz="0" w:space="0" w:color="auto"/>
                <w:bottom w:val="none" w:sz="0" w:space="0" w:color="auto"/>
                <w:right w:val="none" w:sz="0" w:space="0" w:color="auto"/>
              </w:divBdr>
            </w:div>
          </w:divsChild>
        </w:div>
        <w:div w:id="287704658">
          <w:marLeft w:val="0"/>
          <w:marRight w:val="0"/>
          <w:marTop w:val="0"/>
          <w:marBottom w:val="0"/>
          <w:divBdr>
            <w:top w:val="none" w:sz="0" w:space="0" w:color="auto"/>
            <w:left w:val="none" w:sz="0" w:space="0" w:color="auto"/>
            <w:bottom w:val="none" w:sz="0" w:space="0" w:color="auto"/>
            <w:right w:val="none" w:sz="0" w:space="0" w:color="auto"/>
          </w:divBdr>
          <w:divsChild>
            <w:div w:id="1117021912">
              <w:marLeft w:val="0"/>
              <w:marRight w:val="0"/>
              <w:marTop w:val="0"/>
              <w:marBottom w:val="0"/>
              <w:divBdr>
                <w:top w:val="none" w:sz="0" w:space="0" w:color="auto"/>
                <w:left w:val="none" w:sz="0" w:space="0" w:color="auto"/>
                <w:bottom w:val="none" w:sz="0" w:space="0" w:color="auto"/>
                <w:right w:val="none" w:sz="0" w:space="0" w:color="auto"/>
              </w:divBdr>
            </w:div>
          </w:divsChild>
        </w:div>
        <w:div w:id="309678027">
          <w:marLeft w:val="0"/>
          <w:marRight w:val="0"/>
          <w:marTop w:val="0"/>
          <w:marBottom w:val="0"/>
          <w:divBdr>
            <w:top w:val="none" w:sz="0" w:space="0" w:color="auto"/>
            <w:left w:val="none" w:sz="0" w:space="0" w:color="auto"/>
            <w:bottom w:val="none" w:sz="0" w:space="0" w:color="auto"/>
            <w:right w:val="none" w:sz="0" w:space="0" w:color="auto"/>
          </w:divBdr>
          <w:divsChild>
            <w:div w:id="219757486">
              <w:marLeft w:val="0"/>
              <w:marRight w:val="0"/>
              <w:marTop w:val="0"/>
              <w:marBottom w:val="0"/>
              <w:divBdr>
                <w:top w:val="none" w:sz="0" w:space="0" w:color="auto"/>
                <w:left w:val="none" w:sz="0" w:space="0" w:color="auto"/>
                <w:bottom w:val="none" w:sz="0" w:space="0" w:color="auto"/>
                <w:right w:val="none" w:sz="0" w:space="0" w:color="auto"/>
              </w:divBdr>
            </w:div>
          </w:divsChild>
        </w:div>
        <w:div w:id="478617927">
          <w:marLeft w:val="0"/>
          <w:marRight w:val="0"/>
          <w:marTop w:val="0"/>
          <w:marBottom w:val="0"/>
          <w:divBdr>
            <w:top w:val="none" w:sz="0" w:space="0" w:color="auto"/>
            <w:left w:val="none" w:sz="0" w:space="0" w:color="auto"/>
            <w:bottom w:val="none" w:sz="0" w:space="0" w:color="auto"/>
            <w:right w:val="none" w:sz="0" w:space="0" w:color="auto"/>
          </w:divBdr>
          <w:divsChild>
            <w:div w:id="952322811">
              <w:marLeft w:val="0"/>
              <w:marRight w:val="0"/>
              <w:marTop w:val="0"/>
              <w:marBottom w:val="0"/>
              <w:divBdr>
                <w:top w:val="none" w:sz="0" w:space="0" w:color="auto"/>
                <w:left w:val="none" w:sz="0" w:space="0" w:color="auto"/>
                <w:bottom w:val="none" w:sz="0" w:space="0" w:color="auto"/>
                <w:right w:val="none" w:sz="0" w:space="0" w:color="auto"/>
              </w:divBdr>
            </w:div>
          </w:divsChild>
        </w:div>
        <w:div w:id="565532666">
          <w:marLeft w:val="0"/>
          <w:marRight w:val="0"/>
          <w:marTop w:val="0"/>
          <w:marBottom w:val="0"/>
          <w:divBdr>
            <w:top w:val="none" w:sz="0" w:space="0" w:color="auto"/>
            <w:left w:val="none" w:sz="0" w:space="0" w:color="auto"/>
            <w:bottom w:val="none" w:sz="0" w:space="0" w:color="auto"/>
            <w:right w:val="none" w:sz="0" w:space="0" w:color="auto"/>
          </w:divBdr>
          <w:divsChild>
            <w:div w:id="1883440643">
              <w:marLeft w:val="0"/>
              <w:marRight w:val="0"/>
              <w:marTop w:val="0"/>
              <w:marBottom w:val="0"/>
              <w:divBdr>
                <w:top w:val="none" w:sz="0" w:space="0" w:color="auto"/>
                <w:left w:val="none" w:sz="0" w:space="0" w:color="auto"/>
                <w:bottom w:val="none" w:sz="0" w:space="0" w:color="auto"/>
                <w:right w:val="none" w:sz="0" w:space="0" w:color="auto"/>
              </w:divBdr>
            </w:div>
          </w:divsChild>
        </w:div>
        <w:div w:id="607584903">
          <w:marLeft w:val="0"/>
          <w:marRight w:val="0"/>
          <w:marTop w:val="0"/>
          <w:marBottom w:val="0"/>
          <w:divBdr>
            <w:top w:val="none" w:sz="0" w:space="0" w:color="auto"/>
            <w:left w:val="none" w:sz="0" w:space="0" w:color="auto"/>
            <w:bottom w:val="none" w:sz="0" w:space="0" w:color="auto"/>
            <w:right w:val="none" w:sz="0" w:space="0" w:color="auto"/>
          </w:divBdr>
          <w:divsChild>
            <w:div w:id="210504150">
              <w:marLeft w:val="0"/>
              <w:marRight w:val="0"/>
              <w:marTop w:val="0"/>
              <w:marBottom w:val="0"/>
              <w:divBdr>
                <w:top w:val="none" w:sz="0" w:space="0" w:color="auto"/>
                <w:left w:val="none" w:sz="0" w:space="0" w:color="auto"/>
                <w:bottom w:val="none" w:sz="0" w:space="0" w:color="auto"/>
                <w:right w:val="none" w:sz="0" w:space="0" w:color="auto"/>
              </w:divBdr>
            </w:div>
            <w:div w:id="803153890">
              <w:marLeft w:val="0"/>
              <w:marRight w:val="0"/>
              <w:marTop w:val="0"/>
              <w:marBottom w:val="0"/>
              <w:divBdr>
                <w:top w:val="none" w:sz="0" w:space="0" w:color="auto"/>
                <w:left w:val="none" w:sz="0" w:space="0" w:color="auto"/>
                <w:bottom w:val="none" w:sz="0" w:space="0" w:color="auto"/>
                <w:right w:val="none" w:sz="0" w:space="0" w:color="auto"/>
              </w:divBdr>
            </w:div>
            <w:div w:id="1411079866">
              <w:marLeft w:val="0"/>
              <w:marRight w:val="0"/>
              <w:marTop w:val="0"/>
              <w:marBottom w:val="0"/>
              <w:divBdr>
                <w:top w:val="none" w:sz="0" w:space="0" w:color="auto"/>
                <w:left w:val="none" w:sz="0" w:space="0" w:color="auto"/>
                <w:bottom w:val="none" w:sz="0" w:space="0" w:color="auto"/>
                <w:right w:val="none" w:sz="0" w:space="0" w:color="auto"/>
              </w:divBdr>
            </w:div>
          </w:divsChild>
        </w:div>
        <w:div w:id="676349816">
          <w:marLeft w:val="0"/>
          <w:marRight w:val="0"/>
          <w:marTop w:val="0"/>
          <w:marBottom w:val="0"/>
          <w:divBdr>
            <w:top w:val="none" w:sz="0" w:space="0" w:color="auto"/>
            <w:left w:val="none" w:sz="0" w:space="0" w:color="auto"/>
            <w:bottom w:val="none" w:sz="0" w:space="0" w:color="auto"/>
            <w:right w:val="none" w:sz="0" w:space="0" w:color="auto"/>
          </w:divBdr>
          <w:divsChild>
            <w:div w:id="1108695496">
              <w:marLeft w:val="0"/>
              <w:marRight w:val="0"/>
              <w:marTop w:val="0"/>
              <w:marBottom w:val="0"/>
              <w:divBdr>
                <w:top w:val="none" w:sz="0" w:space="0" w:color="auto"/>
                <w:left w:val="none" w:sz="0" w:space="0" w:color="auto"/>
                <w:bottom w:val="none" w:sz="0" w:space="0" w:color="auto"/>
                <w:right w:val="none" w:sz="0" w:space="0" w:color="auto"/>
              </w:divBdr>
            </w:div>
            <w:div w:id="2025395019">
              <w:marLeft w:val="0"/>
              <w:marRight w:val="0"/>
              <w:marTop w:val="0"/>
              <w:marBottom w:val="0"/>
              <w:divBdr>
                <w:top w:val="none" w:sz="0" w:space="0" w:color="auto"/>
                <w:left w:val="none" w:sz="0" w:space="0" w:color="auto"/>
                <w:bottom w:val="none" w:sz="0" w:space="0" w:color="auto"/>
                <w:right w:val="none" w:sz="0" w:space="0" w:color="auto"/>
              </w:divBdr>
            </w:div>
          </w:divsChild>
        </w:div>
        <w:div w:id="684983688">
          <w:marLeft w:val="0"/>
          <w:marRight w:val="0"/>
          <w:marTop w:val="0"/>
          <w:marBottom w:val="0"/>
          <w:divBdr>
            <w:top w:val="none" w:sz="0" w:space="0" w:color="auto"/>
            <w:left w:val="none" w:sz="0" w:space="0" w:color="auto"/>
            <w:bottom w:val="none" w:sz="0" w:space="0" w:color="auto"/>
            <w:right w:val="none" w:sz="0" w:space="0" w:color="auto"/>
          </w:divBdr>
          <w:divsChild>
            <w:div w:id="1100876754">
              <w:marLeft w:val="0"/>
              <w:marRight w:val="0"/>
              <w:marTop w:val="0"/>
              <w:marBottom w:val="0"/>
              <w:divBdr>
                <w:top w:val="none" w:sz="0" w:space="0" w:color="auto"/>
                <w:left w:val="none" w:sz="0" w:space="0" w:color="auto"/>
                <w:bottom w:val="none" w:sz="0" w:space="0" w:color="auto"/>
                <w:right w:val="none" w:sz="0" w:space="0" w:color="auto"/>
              </w:divBdr>
            </w:div>
            <w:div w:id="2052801655">
              <w:marLeft w:val="0"/>
              <w:marRight w:val="0"/>
              <w:marTop w:val="0"/>
              <w:marBottom w:val="0"/>
              <w:divBdr>
                <w:top w:val="none" w:sz="0" w:space="0" w:color="auto"/>
                <w:left w:val="none" w:sz="0" w:space="0" w:color="auto"/>
                <w:bottom w:val="none" w:sz="0" w:space="0" w:color="auto"/>
                <w:right w:val="none" w:sz="0" w:space="0" w:color="auto"/>
              </w:divBdr>
            </w:div>
            <w:div w:id="2067340488">
              <w:marLeft w:val="0"/>
              <w:marRight w:val="0"/>
              <w:marTop w:val="0"/>
              <w:marBottom w:val="0"/>
              <w:divBdr>
                <w:top w:val="none" w:sz="0" w:space="0" w:color="auto"/>
                <w:left w:val="none" w:sz="0" w:space="0" w:color="auto"/>
                <w:bottom w:val="none" w:sz="0" w:space="0" w:color="auto"/>
                <w:right w:val="none" w:sz="0" w:space="0" w:color="auto"/>
              </w:divBdr>
            </w:div>
          </w:divsChild>
        </w:div>
        <w:div w:id="685332566">
          <w:marLeft w:val="0"/>
          <w:marRight w:val="0"/>
          <w:marTop w:val="0"/>
          <w:marBottom w:val="0"/>
          <w:divBdr>
            <w:top w:val="none" w:sz="0" w:space="0" w:color="auto"/>
            <w:left w:val="none" w:sz="0" w:space="0" w:color="auto"/>
            <w:bottom w:val="none" w:sz="0" w:space="0" w:color="auto"/>
            <w:right w:val="none" w:sz="0" w:space="0" w:color="auto"/>
          </w:divBdr>
          <w:divsChild>
            <w:div w:id="1351178040">
              <w:marLeft w:val="0"/>
              <w:marRight w:val="0"/>
              <w:marTop w:val="0"/>
              <w:marBottom w:val="0"/>
              <w:divBdr>
                <w:top w:val="none" w:sz="0" w:space="0" w:color="auto"/>
                <w:left w:val="none" w:sz="0" w:space="0" w:color="auto"/>
                <w:bottom w:val="none" w:sz="0" w:space="0" w:color="auto"/>
                <w:right w:val="none" w:sz="0" w:space="0" w:color="auto"/>
              </w:divBdr>
            </w:div>
          </w:divsChild>
        </w:div>
        <w:div w:id="757795199">
          <w:marLeft w:val="0"/>
          <w:marRight w:val="0"/>
          <w:marTop w:val="0"/>
          <w:marBottom w:val="0"/>
          <w:divBdr>
            <w:top w:val="none" w:sz="0" w:space="0" w:color="auto"/>
            <w:left w:val="none" w:sz="0" w:space="0" w:color="auto"/>
            <w:bottom w:val="none" w:sz="0" w:space="0" w:color="auto"/>
            <w:right w:val="none" w:sz="0" w:space="0" w:color="auto"/>
          </w:divBdr>
          <w:divsChild>
            <w:div w:id="136924467">
              <w:marLeft w:val="0"/>
              <w:marRight w:val="0"/>
              <w:marTop w:val="0"/>
              <w:marBottom w:val="0"/>
              <w:divBdr>
                <w:top w:val="none" w:sz="0" w:space="0" w:color="auto"/>
                <w:left w:val="none" w:sz="0" w:space="0" w:color="auto"/>
                <w:bottom w:val="none" w:sz="0" w:space="0" w:color="auto"/>
                <w:right w:val="none" w:sz="0" w:space="0" w:color="auto"/>
              </w:divBdr>
            </w:div>
            <w:div w:id="196355454">
              <w:marLeft w:val="0"/>
              <w:marRight w:val="0"/>
              <w:marTop w:val="0"/>
              <w:marBottom w:val="0"/>
              <w:divBdr>
                <w:top w:val="none" w:sz="0" w:space="0" w:color="auto"/>
                <w:left w:val="none" w:sz="0" w:space="0" w:color="auto"/>
                <w:bottom w:val="none" w:sz="0" w:space="0" w:color="auto"/>
                <w:right w:val="none" w:sz="0" w:space="0" w:color="auto"/>
              </w:divBdr>
            </w:div>
            <w:div w:id="1836722586">
              <w:marLeft w:val="0"/>
              <w:marRight w:val="0"/>
              <w:marTop w:val="0"/>
              <w:marBottom w:val="0"/>
              <w:divBdr>
                <w:top w:val="none" w:sz="0" w:space="0" w:color="auto"/>
                <w:left w:val="none" w:sz="0" w:space="0" w:color="auto"/>
                <w:bottom w:val="none" w:sz="0" w:space="0" w:color="auto"/>
                <w:right w:val="none" w:sz="0" w:space="0" w:color="auto"/>
              </w:divBdr>
            </w:div>
          </w:divsChild>
        </w:div>
        <w:div w:id="798257258">
          <w:marLeft w:val="0"/>
          <w:marRight w:val="0"/>
          <w:marTop w:val="0"/>
          <w:marBottom w:val="0"/>
          <w:divBdr>
            <w:top w:val="none" w:sz="0" w:space="0" w:color="auto"/>
            <w:left w:val="none" w:sz="0" w:space="0" w:color="auto"/>
            <w:bottom w:val="none" w:sz="0" w:space="0" w:color="auto"/>
            <w:right w:val="none" w:sz="0" w:space="0" w:color="auto"/>
          </w:divBdr>
          <w:divsChild>
            <w:div w:id="921718190">
              <w:marLeft w:val="0"/>
              <w:marRight w:val="0"/>
              <w:marTop w:val="0"/>
              <w:marBottom w:val="0"/>
              <w:divBdr>
                <w:top w:val="none" w:sz="0" w:space="0" w:color="auto"/>
                <w:left w:val="none" w:sz="0" w:space="0" w:color="auto"/>
                <w:bottom w:val="none" w:sz="0" w:space="0" w:color="auto"/>
                <w:right w:val="none" w:sz="0" w:space="0" w:color="auto"/>
              </w:divBdr>
            </w:div>
          </w:divsChild>
        </w:div>
        <w:div w:id="815800870">
          <w:marLeft w:val="0"/>
          <w:marRight w:val="0"/>
          <w:marTop w:val="0"/>
          <w:marBottom w:val="0"/>
          <w:divBdr>
            <w:top w:val="none" w:sz="0" w:space="0" w:color="auto"/>
            <w:left w:val="none" w:sz="0" w:space="0" w:color="auto"/>
            <w:bottom w:val="none" w:sz="0" w:space="0" w:color="auto"/>
            <w:right w:val="none" w:sz="0" w:space="0" w:color="auto"/>
          </w:divBdr>
          <w:divsChild>
            <w:div w:id="524901244">
              <w:marLeft w:val="0"/>
              <w:marRight w:val="0"/>
              <w:marTop w:val="0"/>
              <w:marBottom w:val="0"/>
              <w:divBdr>
                <w:top w:val="none" w:sz="0" w:space="0" w:color="auto"/>
                <w:left w:val="none" w:sz="0" w:space="0" w:color="auto"/>
                <w:bottom w:val="none" w:sz="0" w:space="0" w:color="auto"/>
                <w:right w:val="none" w:sz="0" w:space="0" w:color="auto"/>
              </w:divBdr>
            </w:div>
            <w:div w:id="1048918645">
              <w:marLeft w:val="0"/>
              <w:marRight w:val="0"/>
              <w:marTop w:val="0"/>
              <w:marBottom w:val="0"/>
              <w:divBdr>
                <w:top w:val="none" w:sz="0" w:space="0" w:color="auto"/>
                <w:left w:val="none" w:sz="0" w:space="0" w:color="auto"/>
                <w:bottom w:val="none" w:sz="0" w:space="0" w:color="auto"/>
                <w:right w:val="none" w:sz="0" w:space="0" w:color="auto"/>
              </w:divBdr>
            </w:div>
          </w:divsChild>
        </w:div>
        <w:div w:id="837504626">
          <w:marLeft w:val="0"/>
          <w:marRight w:val="0"/>
          <w:marTop w:val="0"/>
          <w:marBottom w:val="0"/>
          <w:divBdr>
            <w:top w:val="none" w:sz="0" w:space="0" w:color="auto"/>
            <w:left w:val="none" w:sz="0" w:space="0" w:color="auto"/>
            <w:bottom w:val="none" w:sz="0" w:space="0" w:color="auto"/>
            <w:right w:val="none" w:sz="0" w:space="0" w:color="auto"/>
          </w:divBdr>
          <w:divsChild>
            <w:div w:id="1862544698">
              <w:marLeft w:val="0"/>
              <w:marRight w:val="0"/>
              <w:marTop w:val="0"/>
              <w:marBottom w:val="0"/>
              <w:divBdr>
                <w:top w:val="none" w:sz="0" w:space="0" w:color="auto"/>
                <w:left w:val="none" w:sz="0" w:space="0" w:color="auto"/>
                <w:bottom w:val="none" w:sz="0" w:space="0" w:color="auto"/>
                <w:right w:val="none" w:sz="0" w:space="0" w:color="auto"/>
              </w:divBdr>
            </w:div>
          </w:divsChild>
        </w:div>
        <w:div w:id="887885963">
          <w:marLeft w:val="0"/>
          <w:marRight w:val="0"/>
          <w:marTop w:val="0"/>
          <w:marBottom w:val="0"/>
          <w:divBdr>
            <w:top w:val="none" w:sz="0" w:space="0" w:color="auto"/>
            <w:left w:val="none" w:sz="0" w:space="0" w:color="auto"/>
            <w:bottom w:val="none" w:sz="0" w:space="0" w:color="auto"/>
            <w:right w:val="none" w:sz="0" w:space="0" w:color="auto"/>
          </w:divBdr>
          <w:divsChild>
            <w:div w:id="483740008">
              <w:marLeft w:val="0"/>
              <w:marRight w:val="0"/>
              <w:marTop w:val="0"/>
              <w:marBottom w:val="0"/>
              <w:divBdr>
                <w:top w:val="none" w:sz="0" w:space="0" w:color="auto"/>
                <w:left w:val="none" w:sz="0" w:space="0" w:color="auto"/>
                <w:bottom w:val="none" w:sz="0" w:space="0" w:color="auto"/>
                <w:right w:val="none" w:sz="0" w:space="0" w:color="auto"/>
              </w:divBdr>
            </w:div>
          </w:divsChild>
        </w:div>
        <w:div w:id="888540094">
          <w:marLeft w:val="0"/>
          <w:marRight w:val="0"/>
          <w:marTop w:val="0"/>
          <w:marBottom w:val="0"/>
          <w:divBdr>
            <w:top w:val="none" w:sz="0" w:space="0" w:color="auto"/>
            <w:left w:val="none" w:sz="0" w:space="0" w:color="auto"/>
            <w:bottom w:val="none" w:sz="0" w:space="0" w:color="auto"/>
            <w:right w:val="none" w:sz="0" w:space="0" w:color="auto"/>
          </w:divBdr>
          <w:divsChild>
            <w:div w:id="996762158">
              <w:marLeft w:val="0"/>
              <w:marRight w:val="0"/>
              <w:marTop w:val="0"/>
              <w:marBottom w:val="0"/>
              <w:divBdr>
                <w:top w:val="none" w:sz="0" w:space="0" w:color="auto"/>
                <w:left w:val="none" w:sz="0" w:space="0" w:color="auto"/>
                <w:bottom w:val="none" w:sz="0" w:space="0" w:color="auto"/>
                <w:right w:val="none" w:sz="0" w:space="0" w:color="auto"/>
              </w:divBdr>
            </w:div>
            <w:div w:id="1537424179">
              <w:marLeft w:val="0"/>
              <w:marRight w:val="0"/>
              <w:marTop w:val="0"/>
              <w:marBottom w:val="0"/>
              <w:divBdr>
                <w:top w:val="none" w:sz="0" w:space="0" w:color="auto"/>
                <w:left w:val="none" w:sz="0" w:space="0" w:color="auto"/>
                <w:bottom w:val="none" w:sz="0" w:space="0" w:color="auto"/>
                <w:right w:val="none" w:sz="0" w:space="0" w:color="auto"/>
              </w:divBdr>
            </w:div>
          </w:divsChild>
        </w:div>
        <w:div w:id="1067340369">
          <w:marLeft w:val="0"/>
          <w:marRight w:val="0"/>
          <w:marTop w:val="0"/>
          <w:marBottom w:val="0"/>
          <w:divBdr>
            <w:top w:val="none" w:sz="0" w:space="0" w:color="auto"/>
            <w:left w:val="none" w:sz="0" w:space="0" w:color="auto"/>
            <w:bottom w:val="none" w:sz="0" w:space="0" w:color="auto"/>
            <w:right w:val="none" w:sz="0" w:space="0" w:color="auto"/>
          </w:divBdr>
          <w:divsChild>
            <w:div w:id="221912264">
              <w:marLeft w:val="0"/>
              <w:marRight w:val="0"/>
              <w:marTop w:val="0"/>
              <w:marBottom w:val="0"/>
              <w:divBdr>
                <w:top w:val="none" w:sz="0" w:space="0" w:color="auto"/>
                <w:left w:val="none" w:sz="0" w:space="0" w:color="auto"/>
                <w:bottom w:val="none" w:sz="0" w:space="0" w:color="auto"/>
                <w:right w:val="none" w:sz="0" w:space="0" w:color="auto"/>
              </w:divBdr>
            </w:div>
          </w:divsChild>
        </w:div>
        <w:div w:id="1072393791">
          <w:marLeft w:val="0"/>
          <w:marRight w:val="0"/>
          <w:marTop w:val="0"/>
          <w:marBottom w:val="0"/>
          <w:divBdr>
            <w:top w:val="none" w:sz="0" w:space="0" w:color="auto"/>
            <w:left w:val="none" w:sz="0" w:space="0" w:color="auto"/>
            <w:bottom w:val="none" w:sz="0" w:space="0" w:color="auto"/>
            <w:right w:val="none" w:sz="0" w:space="0" w:color="auto"/>
          </w:divBdr>
          <w:divsChild>
            <w:div w:id="441874502">
              <w:marLeft w:val="0"/>
              <w:marRight w:val="0"/>
              <w:marTop w:val="0"/>
              <w:marBottom w:val="0"/>
              <w:divBdr>
                <w:top w:val="none" w:sz="0" w:space="0" w:color="auto"/>
                <w:left w:val="none" w:sz="0" w:space="0" w:color="auto"/>
                <w:bottom w:val="none" w:sz="0" w:space="0" w:color="auto"/>
                <w:right w:val="none" w:sz="0" w:space="0" w:color="auto"/>
              </w:divBdr>
            </w:div>
            <w:div w:id="549075295">
              <w:marLeft w:val="0"/>
              <w:marRight w:val="0"/>
              <w:marTop w:val="0"/>
              <w:marBottom w:val="0"/>
              <w:divBdr>
                <w:top w:val="none" w:sz="0" w:space="0" w:color="auto"/>
                <w:left w:val="none" w:sz="0" w:space="0" w:color="auto"/>
                <w:bottom w:val="none" w:sz="0" w:space="0" w:color="auto"/>
                <w:right w:val="none" w:sz="0" w:space="0" w:color="auto"/>
              </w:divBdr>
            </w:div>
            <w:div w:id="986666572">
              <w:marLeft w:val="0"/>
              <w:marRight w:val="0"/>
              <w:marTop w:val="0"/>
              <w:marBottom w:val="0"/>
              <w:divBdr>
                <w:top w:val="none" w:sz="0" w:space="0" w:color="auto"/>
                <w:left w:val="none" w:sz="0" w:space="0" w:color="auto"/>
                <w:bottom w:val="none" w:sz="0" w:space="0" w:color="auto"/>
                <w:right w:val="none" w:sz="0" w:space="0" w:color="auto"/>
              </w:divBdr>
            </w:div>
          </w:divsChild>
        </w:div>
        <w:div w:id="1203252788">
          <w:marLeft w:val="0"/>
          <w:marRight w:val="0"/>
          <w:marTop w:val="0"/>
          <w:marBottom w:val="0"/>
          <w:divBdr>
            <w:top w:val="none" w:sz="0" w:space="0" w:color="auto"/>
            <w:left w:val="none" w:sz="0" w:space="0" w:color="auto"/>
            <w:bottom w:val="none" w:sz="0" w:space="0" w:color="auto"/>
            <w:right w:val="none" w:sz="0" w:space="0" w:color="auto"/>
          </w:divBdr>
          <w:divsChild>
            <w:div w:id="926115302">
              <w:marLeft w:val="0"/>
              <w:marRight w:val="0"/>
              <w:marTop w:val="0"/>
              <w:marBottom w:val="0"/>
              <w:divBdr>
                <w:top w:val="none" w:sz="0" w:space="0" w:color="auto"/>
                <w:left w:val="none" w:sz="0" w:space="0" w:color="auto"/>
                <w:bottom w:val="none" w:sz="0" w:space="0" w:color="auto"/>
                <w:right w:val="none" w:sz="0" w:space="0" w:color="auto"/>
              </w:divBdr>
            </w:div>
          </w:divsChild>
        </w:div>
        <w:div w:id="1212498385">
          <w:marLeft w:val="0"/>
          <w:marRight w:val="0"/>
          <w:marTop w:val="0"/>
          <w:marBottom w:val="0"/>
          <w:divBdr>
            <w:top w:val="none" w:sz="0" w:space="0" w:color="auto"/>
            <w:left w:val="none" w:sz="0" w:space="0" w:color="auto"/>
            <w:bottom w:val="none" w:sz="0" w:space="0" w:color="auto"/>
            <w:right w:val="none" w:sz="0" w:space="0" w:color="auto"/>
          </w:divBdr>
          <w:divsChild>
            <w:div w:id="1205873218">
              <w:marLeft w:val="0"/>
              <w:marRight w:val="0"/>
              <w:marTop w:val="0"/>
              <w:marBottom w:val="0"/>
              <w:divBdr>
                <w:top w:val="none" w:sz="0" w:space="0" w:color="auto"/>
                <w:left w:val="none" w:sz="0" w:space="0" w:color="auto"/>
                <w:bottom w:val="none" w:sz="0" w:space="0" w:color="auto"/>
                <w:right w:val="none" w:sz="0" w:space="0" w:color="auto"/>
              </w:divBdr>
            </w:div>
            <w:div w:id="1441798077">
              <w:marLeft w:val="0"/>
              <w:marRight w:val="0"/>
              <w:marTop w:val="0"/>
              <w:marBottom w:val="0"/>
              <w:divBdr>
                <w:top w:val="none" w:sz="0" w:space="0" w:color="auto"/>
                <w:left w:val="none" w:sz="0" w:space="0" w:color="auto"/>
                <w:bottom w:val="none" w:sz="0" w:space="0" w:color="auto"/>
                <w:right w:val="none" w:sz="0" w:space="0" w:color="auto"/>
              </w:divBdr>
            </w:div>
          </w:divsChild>
        </w:div>
        <w:div w:id="1348555289">
          <w:marLeft w:val="0"/>
          <w:marRight w:val="0"/>
          <w:marTop w:val="0"/>
          <w:marBottom w:val="0"/>
          <w:divBdr>
            <w:top w:val="none" w:sz="0" w:space="0" w:color="auto"/>
            <w:left w:val="none" w:sz="0" w:space="0" w:color="auto"/>
            <w:bottom w:val="none" w:sz="0" w:space="0" w:color="auto"/>
            <w:right w:val="none" w:sz="0" w:space="0" w:color="auto"/>
          </w:divBdr>
          <w:divsChild>
            <w:div w:id="1970090980">
              <w:marLeft w:val="0"/>
              <w:marRight w:val="0"/>
              <w:marTop w:val="0"/>
              <w:marBottom w:val="0"/>
              <w:divBdr>
                <w:top w:val="none" w:sz="0" w:space="0" w:color="auto"/>
                <w:left w:val="none" w:sz="0" w:space="0" w:color="auto"/>
                <w:bottom w:val="none" w:sz="0" w:space="0" w:color="auto"/>
                <w:right w:val="none" w:sz="0" w:space="0" w:color="auto"/>
              </w:divBdr>
            </w:div>
          </w:divsChild>
        </w:div>
        <w:div w:id="1437868325">
          <w:marLeft w:val="0"/>
          <w:marRight w:val="0"/>
          <w:marTop w:val="0"/>
          <w:marBottom w:val="0"/>
          <w:divBdr>
            <w:top w:val="none" w:sz="0" w:space="0" w:color="auto"/>
            <w:left w:val="none" w:sz="0" w:space="0" w:color="auto"/>
            <w:bottom w:val="none" w:sz="0" w:space="0" w:color="auto"/>
            <w:right w:val="none" w:sz="0" w:space="0" w:color="auto"/>
          </w:divBdr>
          <w:divsChild>
            <w:div w:id="799615968">
              <w:marLeft w:val="0"/>
              <w:marRight w:val="0"/>
              <w:marTop w:val="0"/>
              <w:marBottom w:val="0"/>
              <w:divBdr>
                <w:top w:val="none" w:sz="0" w:space="0" w:color="auto"/>
                <w:left w:val="none" w:sz="0" w:space="0" w:color="auto"/>
                <w:bottom w:val="none" w:sz="0" w:space="0" w:color="auto"/>
                <w:right w:val="none" w:sz="0" w:space="0" w:color="auto"/>
              </w:divBdr>
            </w:div>
          </w:divsChild>
        </w:div>
        <w:div w:id="1539470038">
          <w:marLeft w:val="0"/>
          <w:marRight w:val="0"/>
          <w:marTop w:val="0"/>
          <w:marBottom w:val="0"/>
          <w:divBdr>
            <w:top w:val="none" w:sz="0" w:space="0" w:color="auto"/>
            <w:left w:val="none" w:sz="0" w:space="0" w:color="auto"/>
            <w:bottom w:val="none" w:sz="0" w:space="0" w:color="auto"/>
            <w:right w:val="none" w:sz="0" w:space="0" w:color="auto"/>
          </w:divBdr>
          <w:divsChild>
            <w:div w:id="625501246">
              <w:marLeft w:val="0"/>
              <w:marRight w:val="0"/>
              <w:marTop w:val="0"/>
              <w:marBottom w:val="0"/>
              <w:divBdr>
                <w:top w:val="none" w:sz="0" w:space="0" w:color="auto"/>
                <w:left w:val="none" w:sz="0" w:space="0" w:color="auto"/>
                <w:bottom w:val="none" w:sz="0" w:space="0" w:color="auto"/>
                <w:right w:val="none" w:sz="0" w:space="0" w:color="auto"/>
              </w:divBdr>
            </w:div>
            <w:div w:id="1312633899">
              <w:marLeft w:val="0"/>
              <w:marRight w:val="0"/>
              <w:marTop w:val="0"/>
              <w:marBottom w:val="0"/>
              <w:divBdr>
                <w:top w:val="none" w:sz="0" w:space="0" w:color="auto"/>
                <w:left w:val="none" w:sz="0" w:space="0" w:color="auto"/>
                <w:bottom w:val="none" w:sz="0" w:space="0" w:color="auto"/>
                <w:right w:val="none" w:sz="0" w:space="0" w:color="auto"/>
              </w:divBdr>
            </w:div>
          </w:divsChild>
        </w:div>
        <w:div w:id="1576166529">
          <w:marLeft w:val="0"/>
          <w:marRight w:val="0"/>
          <w:marTop w:val="0"/>
          <w:marBottom w:val="0"/>
          <w:divBdr>
            <w:top w:val="none" w:sz="0" w:space="0" w:color="auto"/>
            <w:left w:val="none" w:sz="0" w:space="0" w:color="auto"/>
            <w:bottom w:val="none" w:sz="0" w:space="0" w:color="auto"/>
            <w:right w:val="none" w:sz="0" w:space="0" w:color="auto"/>
          </w:divBdr>
          <w:divsChild>
            <w:div w:id="334382678">
              <w:marLeft w:val="0"/>
              <w:marRight w:val="0"/>
              <w:marTop w:val="0"/>
              <w:marBottom w:val="0"/>
              <w:divBdr>
                <w:top w:val="none" w:sz="0" w:space="0" w:color="auto"/>
                <w:left w:val="none" w:sz="0" w:space="0" w:color="auto"/>
                <w:bottom w:val="none" w:sz="0" w:space="0" w:color="auto"/>
                <w:right w:val="none" w:sz="0" w:space="0" w:color="auto"/>
              </w:divBdr>
            </w:div>
          </w:divsChild>
        </w:div>
        <w:div w:id="1588541251">
          <w:marLeft w:val="0"/>
          <w:marRight w:val="0"/>
          <w:marTop w:val="0"/>
          <w:marBottom w:val="0"/>
          <w:divBdr>
            <w:top w:val="none" w:sz="0" w:space="0" w:color="auto"/>
            <w:left w:val="none" w:sz="0" w:space="0" w:color="auto"/>
            <w:bottom w:val="none" w:sz="0" w:space="0" w:color="auto"/>
            <w:right w:val="none" w:sz="0" w:space="0" w:color="auto"/>
          </w:divBdr>
          <w:divsChild>
            <w:div w:id="159079747">
              <w:marLeft w:val="0"/>
              <w:marRight w:val="0"/>
              <w:marTop w:val="0"/>
              <w:marBottom w:val="0"/>
              <w:divBdr>
                <w:top w:val="none" w:sz="0" w:space="0" w:color="auto"/>
                <w:left w:val="none" w:sz="0" w:space="0" w:color="auto"/>
                <w:bottom w:val="none" w:sz="0" w:space="0" w:color="auto"/>
                <w:right w:val="none" w:sz="0" w:space="0" w:color="auto"/>
              </w:divBdr>
            </w:div>
            <w:div w:id="1768502572">
              <w:marLeft w:val="0"/>
              <w:marRight w:val="0"/>
              <w:marTop w:val="0"/>
              <w:marBottom w:val="0"/>
              <w:divBdr>
                <w:top w:val="none" w:sz="0" w:space="0" w:color="auto"/>
                <w:left w:val="none" w:sz="0" w:space="0" w:color="auto"/>
                <w:bottom w:val="none" w:sz="0" w:space="0" w:color="auto"/>
                <w:right w:val="none" w:sz="0" w:space="0" w:color="auto"/>
              </w:divBdr>
            </w:div>
          </w:divsChild>
        </w:div>
        <w:div w:id="1710033640">
          <w:marLeft w:val="0"/>
          <w:marRight w:val="0"/>
          <w:marTop w:val="0"/>
          <w:marBottom w:val="0"/>
          <w:divBdr>
            <w:top w:val="none" w:sz="0" w:space="0" w:color="auto"/>
            <w:left w:val="none" w:sz="0" w:space="0" w:color="auto"/>
            <w:bottom w:val="none" w:sz="0" w:space="0" w:color="auto"/>
            <w:right w:val="none" w:sz="0" w:space="0" w:color="auto"/>
          </w:divBdr>
          <w:divsChild>
            <w:div w:id="101729447">
              <w:marLeft w:val="0"/>
              <w:marRight w:val="0"/>
              <w:marTop w:val="0"/>
              <w:marBottom w:val="0"/>
              <w:divBdr>
                <w:top w:val="none" w:sz="0" w:space="0" w:color="auto"/>
                <w:left w:val="none" w:sz="0" w:space="0" w:color="auto"/>
                <w:bottom w:val="none" w:sz="0" w:space="0" w:color="auto"/>
                <w:right w:val="none" w:sz="0" w:space="0" w:color="auto"/>
              </w:divBdr>
            </w:div>
          </w:divsChild>
        </w:div>
        <w:div w:id="1830752610">
          <w:marLeft w:val="0"/>
          <w:marRight w:val="0"/>
          <w:marTop w:val="0"/>
          <w:marBottom w:val="0"/>
          <w:divBdr>
            <w:top w:val="none" w:sz="0" w:space="0" w:color="auto"/>
            <w:left w:val="none" w:sz="0" w:space="0" w:color="auto"/>
            <w:bottom w:val="none" w:sz="0" w:space="0" w:color="auto"/>
            <w:right w:val="none" w:sz="0" w:space="0" w:color="auto"/>
          </w:divBdr>
          <w:divsChild>
            <w:div w:id="37583440">
              <w:marLeft w:val="0"/>
              <w:marRight w:val="0"/>
              <w:marTop w:val="0"/>
              <w:marBottom w:val="0"/>
              <w:divBdr>
                <w:top w:val="none" w:sz="0" w:space="0" w:color="auto"/>
                <w:left w:val="none" w:sz="0" w:space="0" w:color="auto"/>
                <w:bottom w:val="none" w:sz="0" w:space="0" w:color="auto"/>
                <w:right w:val="none" w:sz="0" w:space="0" w:color="auto"/>
              </w:divBdr>
            </w:div>
            <w:div w:id="661783035">
              <w:marLeft w:val="0"/>
              <w:marRight w:val="0"/>
              <w:marTop w:val="0"/>
              <w:marBottom w:val="0"/>
              <w:divBdr>
                <w:top w:val="none" w:sz="0" w:space="0" w:color="auto"/>
                <w:left w:val="none" w:sz="0" w:space="0" w:color="auto"/>
                <w:bottom w:val="none" w:sz="0" w:space="0" w:color="auto"/>
                <w:right w:val="none" w:sz="0" w:space="0" w:color="auto"/>
              </w:divBdr>
            </w:div>
          </w:divsChild>
        </w:div>
        <w:div w:id="1959142945">
          <w:marLeft w:val="0"/>
          <w:marRight w:val="0"/>
          <w:marTop w:val="0"/>
          <w:marBottom w:val="0"/>
          <w:divBdr>
            <w:top w:val="none" w:sz="0" w:space="0" w:color="auto"/>
            <w:left w:val="none" w:sz="0" w:space="0" w:color="auto"/>
            <w:bottom w:val="none" w:sz="0" w:space="0" w:color="auto"/>
            <w:right w:val="none" w:sz="0" w:space="0" w:color="auto"/>
          </w:divBdr>
          <w:divsChild>
            <w:div w:id="737171180">
              <w:marLeft w:val="0"/>
              <w:marRight w:val="0"/>
              <w:marTop w:val="0"/>
              <w:marBottom w:val="0"/>
              <w:divBdr>
                <w:top w:val="none" w:sz="0" w:space="0" w:color="auto"/>
                <w:left w:val="none" w:sz="0" w:space="0" w:color="auto"/>
                <w:bottom w:val="none" w:sz="0" w:space="0" w:color="auto"/>
                <w:right w:val="none" w:sz="0" w:space="0" w:color="auto"/>
              </w:divBdr>
            </w:div>
            <w:div w:id="1035156847">
              <w:marLeft w:val="0"/>
              <w:marRight w:val="0"/>
              <w:marTop w:val="0"/>
              <w:marBottom w:val="0"/>
              <w:divBdr>
                <w:top w:val="none" w:sz="0" w:space="0" w:color="auto"/>
                <w:left w:val="none" w:sz="0" w:space="0" w:color="auto"/>
                <w:bottom w:val="none" w:sz="0" w:space="0" w:color="auto"/>
                <w:right w:val="none" w:sz="0" w:space="0" w:color="auto"/>
              </w:divBdr>
            </w:div>
          </w:divsChild>
        </w:div>
        <w:div w:id="2041777083">
          <w:marLeft w:val="0"/>
          <w:marRight w:val="0"/>
          <w:marTop w:val="0"/>
          <w:marBottom w:val="0"/>
          <w:divBdr>
            <w:top w:val="none" w:sz="0" w:space="0" w:color="auto"/>
            <w:left w:val="none" w:sz="0" w:space="0" w:color="auto"/>
            <w:bottom w:val="none" w:sz="0" w:space="0" w:color="auto"/>
            <w:right w:val="none" w:sz="0" w:space="0" w:color="auto"/>
          </w:divBdr>
          <w:divsChild>
            <w:div w:id="8757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6374">
      <w:bodyDiv w:val="1"/>
      <w:marLeft w:val="0"/>
      <w:marRight w:val="0"/>
      <w:marTop w:val="0"/>
      <w:marBottom w:val="0"/>
      <w:divBdr>
        <w:top w:val="none" w:sz="0" w:space="0" w:color="auto"/>
        <w:left w:val="none" w:sz="0" w:space="0" w:color="auto"/>
        <w:bottom w:val="none" w:sz="0" w:space="0" w:color="auto"/>
        <w:right w:val="none" w:sz="0" w:space="0" w:color="auto"/>
      </w:divBdr>
    </w:div>
    <w:div w:id="1104957544">
      <w:bodyDiv w:val="1"/>
      <w:marLeft w:val="0"/>
      <w:marRight w:val="0"/>
      <w:marTop w:val="0"/>
      <w:marBottom w:val="0"/>
      <w:divBdr>
        <w:top w:val="none" w:sz="0" w:space="0" w:color="auto"/>
        <w:left w:val="none" w:sz="0" w:space="0" w:color="auto"/>
        <w:bottom w:val="none" w:sz="0" w:space="0" w:color="auto"/>
        <w:right w:val="none" w:sz="0" w:space="0" w:color="auto"/>
      </w:divBdr>
    </w:div>
    <w:div w:id="1264802132">
      <w:bodyDiv w:val="1"/>
      <w:marLeft w:val="0"/>
      <w:marRight w:val="0"/>
      <w:marTop w:val="0"/>
      <w:marBottom w:val="0"/>
      <w:divBdr>
        <w:top w:val="none" w:sz="0" w:space="0" w:color="auto"/>
        <w:left w:val="none" w:sz="0" w:space="0" w:color="auto"/>
        <w:bottom w:val="none" w:sz="0" w:space="0" w:color="auto"/>
        <w:right w:val="none" w:sz="0" w:space="0" w:color="auto"/>
      </w:divBdr>
    </w:div>
    <w:div w:id="1663777938">
      <w:bodyDiv w:val="1"/>
      <w:marLeft w:val="0"/>
      <w:marRight w:val="0"/>
      <w:marTop w:val="0"/>
      <w:marBottom w:val="0"/>
      <w:divBdr>
        <w:top w:val="none" w:sz="0" w:space="0" w:color="auto"/>
        <w:left w:val="none" w:sz="0" w:space="0" w:color="auto"/>
        <w:bottom w:val="none" w:sz="0" w:space="0" w:color="auto"/>
        <w:right w:val="none" w:sz="0" w:space="0" w:color="auto"/>
      </w:divBdr>
    </w:div>
    <w:div w:id="1707681908">
      <w:bodyDiv w:val="1"/>
      <w:marLeft w:val="0"/>
      <w:marRight w:val="0"/>
      <w:marTop w:val="0"/>
      <w:marBottom w:val="0"/>
      <w:divBdr>
        <w:top w:val="none" w:sz="0" w:space="0" w:color="auto"/>
        <w:left w:val="none" w:sz="0" w:space="0" w:color="auto"/>
        <w:bottom w:val="none" w:sz="0" w:space="0" w:color="auto"/>
        <w:right w:val="none" w:sz="0" w:space="0" w:color="auto"/>
      </w:divBdr>
    </w:div>
    <w:div w:id="1859461168">
      <w:bodyDiv w:val="1"/>
      <w:marLeft w:val="0"/>
      <w:marRight w:val="0"/>
      <w:marTop w:val="0"/>
      <w:marBottom w:val="0"/>
      <w:divBdr>
        <w:top w:val="none" w:sz="0" w:space="0" w:color="auto"/>
        <w:left w:val="none" w:sz="0" w:space="0" w:color="auto"/>
        <w:bottom w:val="none" w:sz="0" w:space="0" w:color="auto"/>
        <w:right w:val="none" w:sz="0" w:space="0" w:color="auto"/>
      </w:divBdr>
    </w:div>
    <w:div w:id="1862887721">
      <w:bodyDiv w:val="1"/>
      <w:marLeft w:val="0"/>
      <w:marRight w:val="0"/>
      <w:marTop w:val="0"/>
      <w:marBottom w:val="0"/>
      <w:divBdr>
        <w:top w:val="none" w:sz="0" w:space="0" w:color="auto"/>
        <w:left w:val="none" w:sz="0" w:space="0" w:color="auto"/>
        <w:bottom w:val="none" w:sz="0" w:space="0" w:color="auto"/>
        <w:right w:val="none" w:sz="0" w:space="0" w:color="auto"/>
      </w:divBdr>
    </w:div>
    <w:div w:id="21180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development/australias-international-development-poli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hdr.undp.org/content/human-development-report-2023-24" TargetMode="External"/><Relationship Id="rId13" Type="http://schemas.openxmlformats.org/officeDocument/2006/relationships/hyperlink" Target="https://asiapacific.unfpa.org/en/publications/national-study-violence-against-women-viet-nam-2019-0" TargetMode="External"/><Relationship Id="rId3" Type="http://schemas.openxmlformats.org/officeDocument/2006/relationships/hyperlink" Target="https://www.adb.org/publications/asian-development-outlook-april-2024" TargetMode="External"/><Relationship Id="rId7" Type="http://schemas.openxmlformats.org/officeDocument/2006/relationships/hyperlink" Target="https://hdr.undp.org/content/2023-global-multidimensional-poverty-index-mpi" TargetMode="External"/><Relationship Id="rId12" Type="http://schemas.openxmlformats.org/officeDocument/2006/relationships/hyperlink" Target="https://vietnam.unfpa.org/en/publications/factsheet-sex-imbalances-birth-viet-nam-trends-and-variations" TargetMode="External"/><Relationship Id="rId2" Type="http://schemas.openxmlformats.org/officeDocument/2006/relationships/hyperlink" Target="https://tulieuvankien.dangcongsan.vn/ban-chap-hanh-trung-uong-dang/dai-hoi-dang/lan-thu-xiii/chien-luoc-phat-trien-kinh-te-xa-hoi-10-nam-2021-2030-3735" TargetMode="External"/><Relationship Id="rId1" Type="http://schemas.openxmlformats.org/officeDocument/2006/relationships/hyperlink" Target="https://www.pm.gov.au/media/joint-statement-elevation-comprehensive-strategic-partnership-between-vietnam-and-australia" TargetMode="External"/><Relationship Id="rId6" Type="http://schemas.openxmlformats.org/officeDocument/2006/relationships/hyperlink" Target="https://hdr.undp.org/content/2021-global-multidimensional-poverty-index-mpi" TargetMode="External"/><Relationship Id="rId11" Type="http://schemas.openxmlformats.org/officeDocument/2006/relationships/hyperlink" Target="https://tuoitrenews.vn/news/society/20240514/vietnam-likely-to-lose-up-to-145-of-gdp-annually-to-climate-change-official/79858.html" TargetMode="External"/><Relationship Id="rId5" Type="http://schemas.openxmlformats.org/officeDocument/2006/relationships/hyperlink" Target="https://www.worldbank.org/en/country/vietnam/publication/2022-vietnam-poverty-and-equity-assessment-report" TargetMode="External"/><Relationship Id="rId10" Type="http://schemas.openxmlformats.org/officeDocument/2006/relationships/hyperlink" Target="https://openknowledge.worldbank.org/entities/publication/29e72556-d255-5c50-a086-245c1ccc4704" TargetMode="External"/><Relationship Id="rId4" Type="http://schemas.openxmlformats.org/officeDocument/2006/relationships/hyperlink" Target="https://vietnam.un.org/en/237083-2022-un-country-annual-results-report-viet-nam" TargetMode="External"/><Relationship Id="rId9" Type="http://schemas.openxmlformats.org/officeDocument/2006/relationships/hyperlink" Target="https://databank.worldban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Gray\OneDrive%20-%20Biotext\Working\DFAT\DPP%20Template%20(25Nov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imarycategory xmlns="75dce9f9-6715-4647-8556-fcd081c642c6" xsi:nil="true"/>
    <Notes xmlns="75dce9f9-6715-4647-8556-fcd081c642c6" xsi:nil="true"/>
    <test xmlns="75dce9f9-6715-4647-8556-fcd081c642c6" xsi:nil="true"/>
    <TaxCatchAll xmlns="88cb967e-e368-459f-bd3b-2622d980acd3" xsi:nil="true"/>
    <Status xmlns="75dce9f9-6715-4647-8556-fcd081c642c6" xsi:nil="true"/>
    <preview xmlns="75dce9f9-6715-4647-8556-fcd081c642c6" xsi:nil="true"/>
    <lcf76f155ced4ddcb4097134ff3c332f xmlns="75dce9f9-6715-4647-8556-fcd081c642c6">
      <Terms xmlns="http://schemas.microsoft.com/office/infopath/2007/PartnerControls"/>
    </lcf76f155ced4ddcb4097134ff3c332f>
    <Position xmlns="75dce9f9-6715-4647-8556-fcd081c642c6" xsi:nil="true"/>
    <Thumbnail xmlns="75dce9f9-6715-4647-8556-fcd081c642c6">
      <Url xsi:nil="true"/>
      <Description xsi:nil="true"/>
    </Thumbnail>
    <Secondarycategories xmlns="75dce9f9-6715-4647-8556-fcd081c642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6" ma:contentTypeDescription="Create a new document." ma:contentTypeScope="" ma:versionID="95578961abe003ac14e83df829e80adb">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c59cf04d1b07c8047f852a94dc6aa353"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7E84A-05D8-45CC-9B5D-572762A72B73}">
  <ds:schemaRefs>
    <ds:schemaRef ds:uri="http://schemas.microsoft.com/sharepoint/v3/contenttype/forms"/>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F3664CF6-A76D-4709-A1D3-E1F0BD3CE153}">
  <ds:schemaRefs>
    <ds:schemaRef ds:uri="http://schemas.microsoft.com/office/2006/metadata/properties"/>
    <ds:schemaRef ds:uri="http://schemas.microsoft.com/office/infopath/2007/PartnerControls"/>
    <ds:schemaRef ds:uri="75dce9f9-6715-4647-8556-fcd081c642c6"/>
    <ds:schemaRef ds:uri="88cb967e-e368-459f-bd3b-2622d980acd3"/>
  </ds:schemaRefs>
</ds:datastoreItem>
</file>

<file path=customXml/itemProps4.xml><?xml version="1.0" encoding="utf-8"?>
<ds:datastoreItem xmlns:ds="http://schemas.openxmlformats.org/officeDocument/2006/customXml" ds:itemID="{2465480C-33E7-4FE3-B68F-94196F42F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DPP Template (25Nov24).dotx</Template>
  <TotalTime>7</TotalTime>
  <Pages>30</Pages>
  <Words>8666</Words>
  <Characters>54686</Characters>
  <Application>Microsoft Office Word</Application>
  <DocSecurity>0</DocSecurity>
  <Lines>1657</Lines>
  <Paragraphs>754</Paragraphs>
  <ScaleCrop>false</ScaleCrop>
  <HeadingPairs>
    <vt:vector size="2" baseType="variant">
      <vt:variant>
        <vt:lpstr>Title</vt:lpstr>
      </vt:variant>
      <vt:variant>
        <vt:i4>1</vt:i4>
      </vt:variant>
    </vt:vector>
  </HeadingPairs>
  <TitlesOfParts>
    <vt:vector size="1" baseType="lpstr">
      <vt:lpstr>Australia – Vietnam Development Partnership Plan 2025–2030</vt:lpstr>
    </vt:vector>
  </TitlesOfParts>
  <Company/>
  <LinksUpToDate>false</LinksUpToDate>
  <CharactersWithSpaces>62598</CharactersWithSpaces>
  <SharedDoc>false</SharedDoc>
  <HLinks>
    <vt:vector size="114" baseType="variant">
      <vt:variant>
        <vt:i4>5636122</vt:i4>
      </vt:variant>
      <vt:variant>
        <vt:i4>18</vt:i4>
      </vt:variant>
      <vt:variant>
        <vt:i4>0</vt:i4>
      </vt:variant>
      <vt:variant>
        <vt:i4>5</vt:i4>
      </vt:variant>
      <vt:variant>
        <vt:lpwstr/>
      </vt:variant>
      <vt:variant>
        <vt:lpwstr>T3ne</vt:lpwstr>
      </vt:variant>
      <vt:variant>
        <vt:i4>5636122</vt:i4>
      </vt:variant>
      <vt:variant>
        <vt:i4>15</vt:i4>
      </vt:variant>
      <vt:variant>
        <vt:i4>0</vt:i4>
      </vt:variant>
      <vt:variant>
        <vt:i4>5</vt:i4>
      </vt:variant>
      <vt:variant>
        <vt:lpwstr/>
      </vt:variant>
      <vt:variant>
        <vt:lpwstr>T3ne</vt:lpwstr>
      </vt:variant>
      <vt:variant>
        <vt:i4>5701658</vt:i4>
      </vt:variant>
      <vt:variant>
        <vt:i4>12</vt:i4>
      </vt:variant>
      <vt:variant>
        <vt:i4>0</vt:i4>
      </vt:variant>
      <vt:variant>
        <vt:i4>5</vt:i4>
      </vt:variant>
      <vt:variant>
        <vt:lpwstr/>
      </vt:variant>
      <vt:variant>
        <vt:lpwstr>T3nd</vt:lpwstr>
      </vt:variant>
      <vt:variant>
        <vt:i4>5242906</vt:i4>
      </vt:variant>
      <vt:variant>
        <vt:i4>9</vt:i4>
      </vt:variant>
      <vt:variant>
        <vt:i4>0</vt:i4>
      </vt:variant>
      <vt:variant>
        <vt:i4>5</vt:i4>
      </vt:variant>
      <vt:variant>
        <vt:lpwstr/>
      </vt:variant>
      <vt:variant>
        <vt:lpwstr>T3nc</vt:lpwstr>
      </vt:variant>
      <vt:variant>
        <vt:i4>5308442</vt:i4>
      </vt:variant>
      <vt:variant>
        <vt:i4>6</vt:i4>
      </vt:variant>
      <vt:variant>
        <vt:i4>0</vt:i4>
      </vt:variant>
      <vt:variant>
        <vt:i4>5</vt:i4>
      </vt:variant>
      <vt:variant>
        <vt:lpwstr/>
      </vt:variant>
      <vt:variant>
        <vt:lpwstr>T3nb</vt:lpwstr>
      </vt:variant>
      <vt:variant>
        <vt:i4>5373978</vt:i4>
      </vt:variant>
      <vt:variant>
        <vt:i4>3</vt:i4>
      </vt:variant>
      <vt:variant>
        <vt:i4>0</vt:i4>
      </vt:variant>
      <vt:variant>
        <vt:i4>5</vt:i4>
      </vt:variant>
      <vt:variant>
        <vt:lpwstr/>
      </vt:variant>
      <vt:variant>
        <vt:lpwstr>T3na</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ariant>
        <vt:i4>8192099</vt:i4>
      </vt:variant>
      <vt:variant>
        <vt:i4>33</vt:i4>
      </vt:variant>
      <vt:variant>
        <vt:i4>0</vt:i4>
      </vt:variant>
      <vt:variant>
        <vt:i4>5</vt:i4>
      </vt:variant>
      <vt:variant>
        <vt:lpwstr>https://asiapacific.unfpa.org/en/publications/national-study-violence-against-women-viet-nam-2019-0</vt:lpwstr>
      </vt:variant>
      <vt:variant>
        <vt:lpwstr/>
      </vt:variant>
      <vt:variant>
        <vt:i4>7340153</vt:i4>
      </vt:variant>
      <vt:variant>
        <vt:i4>30</vt:i4>
      </vt:variant>
      <vt:variant>
        <vt:i4>0</vt:i4>
      </vt:variant>
      <vt:variant>
        <vt:i4>5</vt:i4>
      </vt:variant>
      <vt:variant>
        <vt:lpwstr>https://vietnam.unfpa.org/en/publications/factsheet-sex-imbalances-birth-viet-nam-trends-and-variations</vt:lpwstr>
      </vt:variant>
      <vt:variant>
        <vt:lpwstr/>
      </vt:variant>
      <vt:variant>
        <vt:i4>3932256</vt:i4>
      </vt:variant>
      <vt:variant>
        <vt:i4>27</vt:i4>
      </vt:variant>
      <vt:variant>
        <vt:i4>0</vt:i4>
      </vt:variant>
      <vt:variant>
        <vt:i4>5</vt:i4>
      </vt:variant>
      <vt:variant>
        <vt:lpwstr>https://tuoitrenews.vn/news/society/20240514/vietnam-likely-to-lose-up-to-145-of-gdp-annually-to-climate-change-official/79858.html</vt:lpwstr>
      </vt:variant>
      <vt:variant>
        <vt:lpwstr/>
      </vt:variant>
      <vt:variant>
        <vt:i4>4587543</vt:i4>
      </vt:variant>
      <vt:variant>
        <vt:i4>24</vt:i4>
      </vt:variant>
      <vt:variant>
        <vt:i4>0</vt:i4>
      </vt:variant>
      <vt:variant>
        <vt:i4>5</vt:i4>
      </vt:variant>
      <vt:variant>
        <vt:lpwstr>https://openknowledge.worldbank.org/entities/publication/29e72556-d255-5c50-a086-245c1ccc4704</vt:lpwstr>
      </vt:variant>
      <vt:variant>
        <vt:lpwstr/>
      </vt:variant>
      <vt:variant>
        <vt:i4>7864353</vt:i4>
      </vt:variant>
      <vt:variant>
        <vt:i4>21</vt:i4>
      </vt:variant>
      <vt:variant>
        <vt:i4>0</vt:i4>
      </vt:variant>
      <vt:variant>
        <vt:i4>5</vt:i4>
      </vt:variant>
      <vt:variant>
        <vt:lpwstr>https://databank.worldbank.org/</vt:lpwstr>
      </vt:variant>
      <vt:variant>
        <vt:lpwstr/>
      </vt:variant>
      <vt:variant>
        <vt:i4>4784201</vt:i4>
      </vt:variant>
      <vt:variant>
        <vt:i4>18</vt:i4>
      </vt:variant>
      <vt:variant>
        <vt:i4>0</vt:i4>
      </vt:variant>
      <vt:variant>
        <vt:i4>5</vt:i4>
      </vt:variant>
      <vt:variant>
        <vt:lpwstr>https://hdr.undp.org/content/human-development-report-2023-24</vt:lpwstr>
      </vt:variant>
      <vt:variant>
        <vt:lpwstr/>
      </vt:variant>
      <vt:variant>
        <vt:i4>8061026</vt:i4>
      </vt:variant>
      <vt:variant>
        <vt:i4>15</vt:i4>
      </vt:variant>
      <vt:variant>
        <vt:i4>0</vt:i4>
      </vt:variant>
      <vt:variant>
        <vt:i4>5</vt:i4>
      </vt:variant>
      <vt:variant>
        <vt:lpwstr>https://hdr.undp.org/content/2023-global-multidimensional-poverty-index-mpi</vt:lpwstr>
      </vt:variant>
      <vt:variant>
        <vt:lpwstr>/indicies/MPI</vt:lpwstr>
      </vt:variant>
      <vt:variant>
        <vt:i4>3080255</vt:i4>
      </vt:variant>
      <vt:variant>
        <vt:i4>12</vt:i4>
      </vt:variant>
      <vt:variant>
        <vt:i4>0</vt:i4>
      </vt:variant>
      <vt:variant>
        <vt:i4>5</vt:i4>
      </vt:variant>
      <vt:variant>
        <vt:lpwstr>https://hdr.undp.org/content/2021-global-multidimensional-poverty-index-mpi</vt:lpwstr>
      </vt:variant>
      <vt:variant>
        <vt:lpwstr/>
      </vt:variant>
      <vt:variant>
        <vt:i4>7340159</vt:i4>
      </vt:variant>
      <vt:variant>
        <vt:i4>9</vt:i4>
      </vt:variant>
      <vt:variant>
        <vt:i4>0</vt:i4>
      </vt:variant>
      <vt:variant>
        <vt:i4>5</vt:i4>
      </vt:variant>
      <vt:variant>
        <vt:lpwstr>https://www.worldbank.org/en/country/vietnam/publication/2022-vietnam-poverty-and-equity-assessment-report</vt:lpwstr>
      </vt:variant>
      <vt:variant>
        <vt:lpwstr/>
      </vt:variant>
      <vt:variant>
        <vt:i4>2883691</vt:i4>
      </vt:variant>
      <vt:variant>
        <vt:i4>6</vt:i4>
      </vt:variant>
      <vt:variant>
        <vt:i4>0</vt:i4>
      </vt:variant>
      <vt:variant>
        <vt:i4>5</vt:i4>
      </vt:variant>
      <vt:variant>
        <vt:lpwstr>https://vietnam.un.org/en/237083-2022-un-country-annual-results-report-viet-nam</vt:lpwstr>
      </vt:variant>
      <vt:variant>
        <vt:lpwstr/>
      </vt:variant>
      <vt:variant>
        <vt:i4>5505112</vt:i4>
      </vt:variant>
      <vt:variant>
        <vt:i4>3</vt:i4>
      </vt:variant>
      <vt:variant>
        <vt:i4>0</vt:i4>
      </vt:variant>
      <vt:variant>
        <vt:i4>5</vt:i4>
      </vt:variant>
      <vt:variant>
        <vt:lpwstr>https://www.adb.org/publications/asian-development-outlook-april-2024</vt:lpwstr>
      </vt:variant>
      <vt:variant>
        <vt:lpwstr/>
      </vt:variant>
      <vt:variant>
        <vt:i4>7471152</vt:i4>
      </vt:variant>
      <vt:variant>
        <vt:i4>0</vt:i4>
      </vt:variant>
      <vt:variant>
        <vt:i4>0</vt:i4>
      </vt:variant>
      <vt:variant>
        <vt:i4>5</vt:i4>
      </vt:variant>
      <vt:variant>
        <vt:lpwstr>https://www.pm.gov.au/media/joint-statement-elevation-comprehensive-strategic-partnership-between-vietnam-and-australia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Vietnam Development Partnership Plan 2025–2030</dc:title>
  <dc:subject/>
  <dc:creator>Australian Government Department of Foreign Affairs and Trade</dc:creator>
  <cp:keywords>[SEC=OFFICIAL]</cp:keywords>
  <dc:description/>
  <cp:lastModifiedBy>Patrick Baggoley</cp:lastModifiedBy>
  <cp:revision>3</cp:revision>
  <cp:lastPrinted>2024-11-25T04:06:00Z</cp:lastPrinted>
  <dcterms:created xsi:type="dcterms:W3CDTF">2024-12-05T03:47:00Z</dcterms:created>
  <dcterms:modified xsi:type="dcterms:W3CDTF">2024-12-05T03:55:00Z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E5329D78ADFF18985C404F3A4015F7B7C209C4C5</vt:lpwstr>
  </property>
  <property fmtid="{D5CDD505-2E9C-101B-9397-08002B2CF9AE}" pid="11" name="PM_OriginationTimeStamp">
    <vt:lpwstr>2023-02-15T22:33:04Z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vt:lpwstr>
  </property>
  <property fmtid="{D5CDD505-2E9C-101B-9397-08002B2CF9AE}" pid="20" name="PM_Qualifier_Prev">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ContentTypeId">
    <vt:lpwstr>0x010100EB95374828D36A48A96E45ACD382C0A1</vt:lpwstr>
  </property>
  <property fmtid="{D5CDD505-2E9C-101B-9397-08002B2CF9AE}" pid="26" name="MediaServiceImageTags">
    <vt:lpwstr/>
  </property>
  <property fmtid="{D5CDD505-2E9C-101B-9397-08002B2CF9AE}" pid="27" name="PM_Hash_Salt_Prev">
    <vt:lpwstr>E689FC88799689CECC8D23FC8B3546D5</vt:lpwstr>
  </property>
  <property fmtid="{D5CDD505-2E9C-101B-9397-08002B2CF9AE}" pid="28" name="PM_Hash_Salt">
    <vt:lpwstr>6AB310DEDEDA8606DE500F967316D32A</vt:lpwstr>
  </property>
  <property fmtid="{D5CDD505-2E9C-101B-9397-08002B2CF9AE}" pid="29" name="PM_Hash_SHA1">
    <vt:lpwstr>1A2C837DCACE88E5AF42038B8EBCC77C9B45136A</vt:lpwstr>
  </property>
  <property fmtid="{D5CDD505-2E9C-101B-9397-08002B2CF9AE}" pid="30" name="PMHMAC">
    <vt:lpwstr>v=2022.1;a=SHA256;h=DD8DA98ACC2C0B22121AB937B8B9E291865006EA7EE95C897F1173146E4FC79A</vt:lpwstr>
  </property>
</Properties>
</file>