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2741" w14:textId="4752BC28" w:rsidR="00DD1E33" w:rsidRDefault="00DD1E33" w:rsidP="0062655D">
      <w:pPr>
        <w:pStyle w:val="NormalWeb"/>
      </w:pPr>
    </w:p>
    <w:p w14:paraId="3C0F3466" w14:textId="49EB88AD" w:rsidR="005D20CF" w:rsidRPr="005D20CF" w:rsidRDefault="005D20CF" w:rsidP="00DC5504">
      <w:pPr>
        <w:pStyle w:val="H1-Heading1"/>
        <w:spacing w:before="10400"/>
        <w:ind w:left="1701"/>
      </w:pPr>
      <w:r w:rsidRPr="005D20CF">
        <w:t xml:space="preserve">Australia – </w:t>
      </w:r>
      <w:r w:rsidR="00FF54A3">
        <w:t>South</w:t>
      </w:r>
      <w:r w:rsidR="00E82B58">
        <w:t xml:space="preserve"> A</w:t>
      </w:r>
      <w:r w:rsidR="00FF54A3">
        <w:t>sia</w:t>
      </w:r>
      <w:r w:rsidR="00E82B58">
        <w:t xml:space="preserve"> </w:t>
      </w:r>
      <w:r w:rsidR="002C13DE">
        <w:t>(</w:t>
      </w:r>
      <w:r w:rsidR="00E82B58">
        <w:t>R</w:t>
      </w:r>
      <w:r w:rsidR="00FF54A3">
        <w:t>egional</w:t>
      </w:r>
      <w:r w:rsidR="00BD390C">
        <w:t>)</w:t>
      </w:r>
    </w:p>
    <w:p w14:paraId="50C7083B" w14:textId="329039D9" w:rsidR="005D20CF" w:rsidRPr="00DC5504" w:rsidRDefault="005D20CF" w:rsidP="00DC5504">
      <w:pPr>
        <w:pStyle w:val="H1-Heading1"/>
        <w:ind w:left="1701"/>
        <w:rPr>
          <w:caps w:val="0"/>
        </w:rPr>
      </w:pPr>
      <w:r w:rsidRPr="00DC5504">
        <w:rPr>
          <w:b w:val="0"/>
          <w:bCs w:val="0"/>
        </w:rPr>
        <w:t>Development Partnership Plan</w:t>
      </w:r>
      <w:r w:rsidR="004959FF">
        <w:rPr>
          <w:b w:val="0"/>
          <w:bCs w:val="0"/>
        </w:rPr>
        <w:t> </w:t>
      </w:r>
      <w:r w:rsidRPr="00DC5504">
        <w:rPr>
          <w:b w:val="0"/>
          <w:bCs w:val="0"/>
        </w:rPr>
        <w:t>2024–20</w:t>
      </w:r>
      <w:r w:rsidR="00E82B58" w:rsidRPr="00896981">
        <w:rPr>
          <w:b w:val="0"/>
        </w:rPr>
        <w:t>2</w:t>
      </w:r>
      <w:r w:rsidR="00B813BD">
        <w:rPr>
          <w:b w:val="0"/>
          <w:bCs w:val="0"/>
        </w:rPr>
        <w:t>9</w:t>
      </w:r>
    </w:p>
    <w:p w14:paraId="67D07C20" w14:textId="77777777" w:rsidR="006F0592" w:rsidRDefault="006F0592" w:rsidP="004D2A3C">
      <w:pPr>
        <w:pStyle w:val="NormalWeb"/>
      </w:pPr>
    </w:p>
    <w:p w14:paraId="1F6AD7EF" w14:textId="77777777" w:rsidR="006F0592" w:rsidRDefault="006F0592" w:rsidP="004D2A3C">
      <w:pPr>
        <w:pStyle w:val="NormalWeb"/>
        <w:sectPr w:rsidR="006F0592" w:rsidSect="004D4D50">
          <w:headerReference w:type="default" r:id="rId11"/>
          <w:footerReference w:type="default" r:id="rId12"/>
          <w:headerReference w:type="first" r:id="rId13"/>
          <w:endnotePr>
            <w:numFmt w:val="decimal"/>
          </w:endnotePr>
          <w:type w:val="continuous"/>
          <w:pgSz w:w="11906" w:h="16838" w:code="9"/>
          <w:pgMar w:top="1411" w:right="850" w:bottom="432" w:left="850" w:header="346" w:footer="533" w:gutter="0"/>
          <w:pgNumType w:start="1"/>
          <w:cols w:space="708"/>
          <w:titlePg/>
          <w:docGrid w:linePitch="360"/>
        </w:sectPr>
      </w:pPr>
    </w:p>
    <w:p w14:paraId="60E2786B" w14:textId="3CD1A0B6" w:rsidR="002F5C5E" w:rsidRDefault="002F5C5E" w:rsidP="002F5C5E">
      <w:pPr>
        <w:pStyle w:val="H2-Heading2"/>
      </w:pPr>
      <w:r>
        <w:lastRenderedPageBreak/>
        <w:t>Section 1: Introduction</w:t>
      </w:r>
    </w:p>
    <w:p w14:paraId="20274DDA" w14:textId="4666E34B" w:rsidR="002F4955" w:rsidRDefault="002F4955" w:rsidP="003466F5">
      <w:pPr>
        <w:pStyle w:val="H3-Heading3"/>
        <w:rPr>
          <w:rFonts w:eastAsia="Times New Roman"/>
          <w:lang w:eastAsia="en-AU"/>
        </w:rPr>
      </w:pPr>
      <w:r w:rsidRPr="001B6539">
        <w:rPr>
          <w:lang w:eastAsia="en-AU"/>
        </w:rPr>
        <w:t xml:space="preserve">Australia’s partnership with </w:t>
      </w:r>
      <w:r w:rsidR="006E01DA" w:rsidRPr="008A38C1">
        <w:rPr>
          <w:rFonts w:eastAsia="Times New Roman"/>
          <w:lang w:eastAsia="en-AU"/>
        </w:rPr>
        <w:t>South Asia (Regional)</w:t>
      </w:r>
    </w:p>
    <w:p w14:paraId="69EC3EA7" w14:textId="4D652763" w:rsidR="00B224B4" w:rsidRPr="00303CFA" w:rsidRDefault="00B224B4" w:rsidP="00B224B4">
      <w:r w:rsidRPr="004D7D67">
        <w:t xml:space="preserve">Australia’s </w:t>
      </w:r>
      <w:r w:rsidRPr="00887B28">
        <w:t>engagement in South Asia</w:t>
      </w:r>
      <w:r>
        <w:t xml:space="preserve"> </w:t>
      </w:r>
      <w:r w:rsidRPr="00887B28">
        <w:t>is characterised by strong people</w:t>
      </w:r>
      <w:r>
        <w:t>-</w:t>
      </w:r>
      <w:r w:rsidRPr="00887B28">
        <w:t>to</w:t>
      </w:r>
      <w:r>
        <w:t>-</w:t>
      </w:r>
      <w:r w:rsidRPr="00887B28">
        <w:t>people links</w:t>
      </w:r>
      <w:r>
        <w:t>,</w:t>
      </w:r>
      <w:r w:rsidRPr="00887B28">
        <w:t xml:space="preserve"> cultural ties</w:t>
      </w:r>
      <w:r>
        <w:t xml:space="preserve"> and increasing trade and investment</w:t>
      </w:r>
      <w:r w:rsidRPr="00887B28">
        <w:t xml:space="preserve">. </w:t>
      </w:r>
      <w:r w:rsidRPr="00BD7F8F">
        <w:rPr>
          <w:rFonts w:eastAsiaTheme="minorHAnsi" w:cstheme="majorHAnsi"/>
        </w:rPr>
        <w:t xml:space="preserve">South Asia is the </w:t>
      </w:r>
      <w:r>
        <w:rPr>
          <w:rFonts w:eastAsiaTheme="minorHAnsi" w:cstheme="majorHAnsi"/>
        </w:rPr>
        <w:t>southern</w:t>
      </w:r>
      <w:r w:rsidRPr="00BD7F8F">
        <w:rPr>
          <w:rFonts w:eastAsiaTheme="minorHAnsi" w:cstheme="majorHAnsi"/>
        </w:rPr>
        <w:t xml:space="preserve"> sub</w:t>
      </w:r>
      <w:r>
        <w:rPr>
          <w:rFonts w:eastAsiaTheme="minorHAnsi" w:cstheme="majorHAnsi"/>
        </w:rPr>
        <w:t>region</w:t>
      </w:r>
      <w:r w:rsidRPr="00BD7F8F">
        <w:rPr>
          <w:rFonts w:eastAsiaTheme="minorHAnsi" w:cstheme="majorHAnsi"/>
        </w:rPr>
        <w:t xml:space="preserve"> of Asia</w:t>
      </w:r>
      <w:r>
        <w:rPr>
          <w:rFonts w:eastAsiaTheme="minorHAnsi" w:cstheme="majorHAnsi"/>
        </w:rPr>
        <w:t>, comprising</w:t>
      </w:r>
      <w:r w:rsidRPr="00BD7F8F">
        <w:rPr>
          <w:rFonts w:eastAsiaTheme="minorHAnsi" w:cstheme="majorHAnsi"/>
        </w:rPr>
        <w:t xml:space="preserve"> Afghanistan, Bangladesh, Bhutan, India, Maldives</w:t>
      </w:r>
      <w:r>
        <w:rPr>
          <w:rFonts w:eastAsiaTheme="minorHAnsi" w:cstheme="majorHAnsi"/>
        </w:rPr>
        <w:t>,</w:t>
      </w:r>
      <w:r w:rsidRPr="00BD7F8F">
        <w:rPr>
          <w:rFonts w:eastAsiaTheme="minorHAnsi" w:cstheme="majorHAnsi"/>
        </w:rPr>
        <w:t xml:space="preserve"> Nepal, Pakistan</w:t>
      </w:r>
      <w:r>
        <w:rPr>
          <w:rFonts w:eastAsiaTheme="minorHAnsi" w:cstheme="majorHAnsi"/>
        </w:rPr>
        <w:t xml:space="preserve"> and</w:t>
      </w:r>
      <w:r w:rsidRPr="00BD7F8F">
        <w:rPr>
          <w:rFonts w:eastAsiaTheme="minorHAnsi" w:cstheme="majorHAnsi"/>
        </w:rPr>
        <w:t xml:space="preserve"> Sri Lanka. </w:t>
      </w:r>
      <w:r w:rsidRPr="00887B28">
        <w:t xml:space="preserve">Australia </w:t>
      </w:r>
      <w:r w:rsidRPr="00CF36AC">
        <w:t xml:space="preserve">is </w:t>
      </w:r>
      <w:r>
        <w:t>an engaged</w:t>
      </w:r>
      <w:r w:rsidRPr="00887B28">
        <w:t xml:space="preserve"> Indian Ocean </w:t>
      </w:r>
      <w:r>
        <w:t xml:space="preserve">partner, with strong </w:t>
      </w:r>
      <w:r w:rsidRPr="00887B28">
        <w:t xml:space="preserve">relationships </w:t>
      </w:r>
      <w:r>
        <w:t xml:space="preserve">across the region, including with our closest partners: India, Bangladesh, Sri Lanka and Maldives. </w:t>
      </w:r>
      <w:r w:rsidRPr="00D271CC">
        <w:rPr>
          <w:color w:val="000000"/>
        </w:rPr>
        <w:t>Our partnership with India is deeper and more consequential than ever</w:t>
      </w:r>
      <w:r>
        <w:rPr>
          <w:color w:val="000000"/>
        </w:rPr>
        <w:t>, and w</w:t>
      </w:r>
      <w:r w:rsidRPr="00D271CC">
        <w:rPr>
          <w:color w:val="000000"/>
        </w:rPr>
        <w:t xml:space="preserve">e are working </w:t>
      </w:r>
      <w:r>
        <w:rPr>
          <w:color w:val="000000"/>
        </w:rPr>
        <w:t xml:space="preserve">to deliver on </w:t>
      </w:r>
      <w:r w:rsidRPr="00D271CC">
        <w:rPr>
          <w:color w:val="000000"/>
        </w:rPr>
        <w:t xml:space="preserve">our Comprehensive Strategic Partnership. Strong relationships are important </w:t>
      </w:r>
      <w:r>
        <w:rPr>
          <w:color w:val="000000"/>
        </w:rPr>
        <w:t>for</w:t>
      </w:r>
      <w:r w:rsidRPr="00D271CC">
        <w:rPr>
          <w:color w:val="000000"/>
        </w:rPr>
        <w:t xml:space="preserve"> navigat</w:t>
      </w:r>
      <w:r>
        <w:rPr>
          <w:color w:val="000000"/>
        </w:rPr>
        <w:t>ing</w:t>
      </w:r>
      <w:r w:rsidRPr="00D271CC">
        <w:rPr>
          <w:color w:val="000000"/>
        </w:rPr>
        <w:t xml:space="preserve"> the shared challenges and opportunities our region faces.</w:t>
      </w:r>
    </w:p>
    <w:p w14:paraId="101F86B8" w14:textId="45D59D38" w:rsidR="00BE6BE5" w:rsidRPr="00303CFA" w:rsidRDefault="00BE6BE5" w:rsidP="00ED08AB">
      <w:r>
        <w:t xml:space="preserve">Australia’s objective is that the nations of our shared Indian Ocean region </w:t>
      </w:r>
      <w:proofErr w:type="gramStart"/>
      <w:r>
        <w:t>are able to</w:t>
      </w:r>
      <w:proofErr w:type="gramEnd"/>
      <w:r>
        <w:t xml:space="preserve"> exercise sovereignty and have options and agency in the areas that count. This covers responses to climate change, connectivity, infrastructure and inclusion. To position ourselves to offer meaningful choices, we </w:t>
      </w:r>
      <w:r w:rsidR="00B7626B">
        <w:t>have taken</w:t>
      </w:r>
      <w:r>
        <w:t xml:space="preserve"> stock of Australia’s place in the South Asia region and our shared priorities</w:t>
      </w:r>
      <w:r w:rsidDel="00D41513">
        <w:t>.</w:t>
      </w:r>
      <w:bookmarkStart w:id="0" w:name="_Hlk156814088"/>
      <w:bookmarkStart w:id="1" w:name="_Hlk156813857"/>
    </w:p>
    <w:bookmarkEnd w:id="0"/>
    <w:bookmarkEnd w:id="1"/>
    <w:p w14:paraId="247FF658" w14:textId="5D3B9FEB" w:rsidR="00BE6BE5" w:rsidRDefault="00BE6BE5" w:rsidP="00ED08AB">
      <w:r w:rsidRPr="00191F5D">
        <w:t xml:space="preserve">Australia is working </w:t>
      </w:r>
      <w:r>
        <w:t>through</w:t>
      </w:r>
      <w:r w:rsidRPr="00191F5D">
        <w:t xml:space="preserve"> partners in South Asia to create a </w:t>
      </w:r>
      <w:r>
        <w:t xml:space="preserve">peaceful, </w:t>
      </w:r>
      <w:r w:rsidRPr="00191F5D">
        <w:t xml:space="preserve">stable </w:t>
      </w:r>
      <w:r w:rsidR="00B224B4">
        <w:t xml:space="preserve">and </w:t>
      </w:r>
      <w:r w:rsidRPr="00191F5D">
        <w:t>prosperous region. </w:t>
      </w:r>
      <w:r>
        <w:t xml:space="preserve">Our </w:t>
      </w:r>
      <w:r w:rsidRPr="00191F5D">
        <w:t xml:space="preserve">regional development contributions focus on </w:t>
      </w:r>
      <w:r>
        <w:t>supporting</w:t>
      </w:r>
      <w:r w:rsidRPr="00191F5D">
        <w:t xml:space="preserve"> long-term stability and economic </w:t>
      </w:r>
      <w:r>
        <w:t>growth</w:t>
      </w:r>
      <w:r w:rsidRPr="00191F5D">
        <w:t xml:space="preserve"> </w:t>
      </w:r>
      <w:r>
        <w:t xml:space="preserve">by </w:t>
      </w:r>
      <w:r w:rsidRPr="00191F5D">
        <w:t xml:space="preserve">addressing transboundary challenges </w:t>
      </w:r>
      <w:r>
        <w:t xml:space="preserve">affecting infrastructure, </w:t>
      </w:r>
      <w:r w:rsidRPr="00191F5D">
        <w:t xml:space="preserve">energy transition, </w:t>
      </w:r>
      <w:r>
        <w:t xml:space="preserve">environment, ocean management, </w:t>
      </w:r>
      <w:r w:rsidRPr="00191F5D">
        <w:t>water resource</w:t>
      </w:r>
      <w:r>
        <w:t xml:space="preserve"> management</w:t>
      </w:r>
      <w:r w:rsidRPr="00191F5D">
        <w:t>, agriculture</w:t>
      </w:r>
      <w:r>
        <w:t xml:space="preserve"> and</w:t>
      </w:r>
      <w:r w:rsidRPr="00191F5D">
        <w:t xml:space="preserve"> trade</w:t>
      </w:r>
      <w:r>
        <w:t>.</w:t>
      </w:r>
      <w:r w:rsidRPr="00191F5D">
        <w:t xml:space="preserve"> Australia is also </w:t>
      </w:r>
      <w:r>
        <w:t>committed to working through</w:t>
      </w:r>
      <w:r w:rsidRPr="00191F5D">
        <w:t xml:space="preserve"> regional institutions,</w:t>
      </w:r>
      <w:r>
        <w:t xml:space="preserve"> chiefly</w:t>
      </w:r>
      <w:r w:rsidRPr="00191F5D">
        <w:t xml:space="preserve"> the Indian Ocean Rim Association</w:t>
      </w:r>
      <w:r>
        <w:t xml:space="preserve"> (IORA)</w:t>
      </w:r>
      <w:r w:rsidRPr="00191F5D">
        <w:t xml:space="preserve">, </w:t>
      </w:r>
      <w:r>
        <w:t>to promote</w:t>
      </w:r>
      <w:r w:rsidRPr="00191F5D">
        <w:t xml:space="preserve"> greater cooperation on</w:t>
      </w:r>
      <w:r>
        <w:t xml:space="preserve"> </w:t>
      </w:r>
      <w:r w:rsidRPr="00191F5D">
        <w:t>maritime safety and security</w:t>
      </w:r>
      <w:r>
        <w:t xml:space="preserve">, climate change, fisheries management, gender </w:t>
      </w:r>
      <w:r w:rsidR="00AE29EF">
        <w:t>equality</w:t>
      </w:r>
      <w:r w:rsidR="00B7759D">
        <w:t>,</w:t>
      </w:r>
      <w:r w:rsidR="00AE29EF">
        <w:t xml:space="preserve"> </w:t>
      </w:r>
      <w:r>
        <w:t xml:space="preserve">disability </w:t>
      </w:r>
      <w:r w:rsidR="00B7759D">
        <w:t xml:space="preserve">and social </w:t>
      </w:r>
      <w:r>
        <w:t xml:space="preserve">inclusion, </w:t>
      </w:r>
      <w:r w:rsidRPr="00191F5D">
        <w:t>women</w:t>
      </w:r>
      <w:r>
        <w:t>’</w:t>
      </w:r>
      <w:r w:rsidRPr="00191F5D">
        <w:t>s economic empowerment and the blue economy.</w:t>
      </w:r>
    </w:p>
    <w:p w14:paraId="5C1A5BF8" w14:textId="7BAD9A76" w:rsidR="00BE6BE5" w:rsidRPr="007C13D8" w:rsidRDefault="00BE6BE5" w:rsidP="00ED08AB">
      <w:r w:rsidRPr="007C13D8">
        <w:t xml:space="preserve">The Indian Ocean connects our communities to the world. It is vital for our </w:t>
      </w:r>
      <w:proofErr w:type="gramStart"/>
      <w:r w:rsidRPr="007C13D8">
        <w:t>trade, and</w:t>
      </w:r>
      <w:proofErr w:type="gramEnd"/>
      <w:r w:rsidRPr="007C13D8">
        <w:t xml:space="preserve"> is central to the sustainability of our environment. Our engagement in the region, working with partners bilaterally and through IORA, shows the importance we attach to maintaining a </w:t>
      </w:r>
      <w:r w:rsidR="008E39B7">
        <w:t xml:space="preserve">peaceful, </w:t>
      </w:r>
      <w:r w:rsidRPr="007C13D8">
        <w:t>stable</w:t>
      </w:r>
      <w:r w:rsidR="008E39B7">
        <w:t xml:space="preserve"> and</w:t>
      </w:r>
      <w:r w:rsidR="008E39B7" w:rsidRPr="007C13D8">
        <w:t xml:space="preserve"> </w:t>
      </w:r>
      <w:r w:rsidRPr="007C13D8">
        <w:t>prosperous region.</w:t>
      </w:r>
    </w:p>
    <w:p w14:paraId="200CAE7E" w14:textId="3BC50F05" w:rsidR="006E01DA" w:rsidRPr="001B6539" w:rsidRDefault="00BE6BE5" w:rsidP="00ED08AB">
      <w:r>
        <w:t xml:space="preserve">More than 1.5 million Australians claim South Asian heritage, and South Asian </w:t>
      </w:r>
      <w:r w:rsidRPr="00E87E27">
        <w:t>migrant communities are among our fastest growing</w:t>
      </w:r>
      <w:r>
        <w:t xml:space="preserve">. We share and foster close people-to-people ties through Australia Awards, the New Colombo Plan and the Australian Volunteers Program. </w:t>
      </w:r>
      <w:r w:rsidR="00ED77D1">
        <w:t xml:space="preserve">Expertise through </w:t>
      </w:r>
      <w:r w:rsidR="00312C7A">
        <w:t>Australian Government</w:t>
      </w:r>
      <w:r>
        <w:t xml:space="preserve"> agencies is highly valued and sought after, particularly in agriculture, infrastructure, </w:t>
      </w:r>
      <w:r w:rsidRPr="00191F5D">
        <w:t xml:space="preserve">energy transition, </w:t>
      </w:r>
      <w:r>
        <w:t xml:space="preserve">environment, ocean and </w:t>
      </w:r>
      <w:r w:rsidRPr="00191F5D">
        <w:t>water resource</w:t>
      </w:r>
      <w:r>
        <w:t xml:space="preserve"> management, and</w:t>
      </w:r>
      <w:r w:rsidRPr="00191F5D">
        <w:t xml:space="preserve"> trade</w:t>
      </w:r>
      <w:r>
        <w:t>. Australian-supported technical assistance and training are</w:t>
      </w:r>
      <w:r w:rsidRPr="00887B28">
        <w:t xml:space="preserve"> expanding trade</w:t>
      </w:r>
      <w:r>
        <w:t xml:space="preserve">, </w:t>
      </w:r>
      <w:r w:rsidRPr="00887B28">
        <w:t>investment</w:t>
      </w:r>
      <w:r>
        <w:t xml:space="preserve"> and connectivity in South Asia.</w:t>
      </w:r>
    </w:p>
    <w:p w14:paraId="04EEBE1E" w14:textId="63505056" w:rsidR="002F4955" w:rsidRPr="00DC48C8" w:rsidRDefault="002F4955" w:rsidP="00741BDE">
      <w:pPr>
        <w:pStyle w:val="H3-Heading3"/>
        <w:rPr>
          <w:lang w:eastAsia="en-AU"/>
        </w:rPr>
      </w:pPr>
      <w:r w:rsidRPr="00DC48C8">
        <w:rPr>
          <w:lang w:eastAsia="en-AU"/>
        </w:rPr>
        <w:t>Purpose of the Development Partnership Plan</w:t>
      </w:r>
    </w:p>
    <w:p w14:paraId="6BFBB1D3" w14:textId="2DDEB07E" w:rsidR="002F4955" w:rsidRDefault="002F4955" w:rsidP="00E54E4C">
      <w:pPr>
        <w:rPr>
          <w:color w:val="313E48"/>
          <w:lang w:eastAsia="en-AU"/>
        </w:rPr>
      </w:pPr>
      <w:r w:rsidRPr="6DEF3CB4">
        <w:rPr>
          <w:lang w:eastAsia="en-AU"/>
        </w:rPr>
        <w:t xml:space="preserve">Australia’s </w:t>
      </w:r>
      <w:hyperlink r:id="rId14">
        <w:r w:rsidR="00BF391F">
          <w:rPr>
            <w:rStyle w:val="Hyperlink"/>
            <w:rFonts w:ascii="Calibri Light" w:hAnsi="Calibri Light" w:cs="Calibri Light"/>
            <w:lang w:eastAsia="en-AU"/>
          </w:rPr>
          <w:t>International Development Policy</w:t>
        </w:r>
      </w:hyperlink>
      <w:r w:rsidRPr="6DEF3CB4">
        <w:rPr>
          <w:lang w:eastAsia="en-AU"/>
        </w:rPr>
        <w:t xml:space="preserve"> presents a long-term vision for how the development program will meet the critical needs of our partners</w:t>
      </w:r>
      <w:r w:rsidRPr="6DEF3CB4">
        <w:rPr>
          <w:rFonts w:eastAsia="Calibri Light"/>
        </w:rPr>
        <w:t>, support sustainable development and help lift people out of poverty</w:t>
      </w:r>
      <w:r w:rsidRPr="6DEF3CB4">
        <w:rPr>
          <w:lang w:eastAsia="en-AU"/>
        </w:rPr>
        <w:t>. Australia seeks relationships based on respect and partnerships that create economic and social value for us all. To achieve this, Australia supports our partners to:</w:t>
      </w:r>
    </w:p>
    <w:p w14:paraId="31E1D06F" w14:textId="27E9E84C" w:rsidR="002F4955" w:rsidRPr="004E2B0A" w:rsidRDefault="00303F4B" w:rsidP="004E2B0A">
      <w:pPr>
        <w:pStyle w:val="NormalBullets-L1"/>
      </w:pPr>
      <w:r w:rsidRPr="004E2B0A">
        <w:t>b</w:t>
      </w:r>
      <w:r w:rsidR="002F4955" w:rsidRPr="004E2B0A">
        <w:t>uild effective, accountable states that drive their own development</w:t>
      </w:r>
    </w:p>
    <w:p w14:paraId="3F05F1A4" w14:textId="69F629C4" w:rsidR="002F4955" w:rsidRPr="004E2B0A" w:rsidRDefault="00303F4B" w:rsidP="004E2B0A">
      <w:pPr>
        <w:pStyle w:val="NormalBullets-L1"/>
      </w:pPr>
      <w:r w:rsidRPr="004E2B0A">
        <w:t>e</w:t>
      </w:r>
      <w:r w:rsidR="002F4955" w:rsidRPr="004E2B0A">
        <w:t>nhance state and community resilience to external pressures and shocks</w:t>
      </w:r>
    </w:p>
    <w:p w14:paraId="6213E6B6" w14:textId="23AD313A" w:rsidR="002F4955" w:rsidRPr="004E2B0A" w:rsidRDefault="00303F4B" w:rsidP="004E2B0A">
      <w:pPr>
        <w:pStyle w:val="NormalBullets-L1"/>
      </w:pPr>
      <w:r w:rsidRPr="004E2B0A">
        <w:t>c</w:t>
      </w:r>
      <w:r w:rsidR="002F4955" w:rsidRPr="004E2B0A">
        <w:t>onnect with Australia and regional architecture</w:t>
      </w:r>
    </w:p>
    <w:p w14:paraId="3086AE8F" w14:textId="46463C8F" w:rsidR="002F4955" w:rsidRPr="004E2B0A" w:rsidRDefault="00303F4B" w:rsidP="004E2B0A">
      <w:pPr>
        <w:pStyle w:val="NormalBullets-L1"/>
      </w:pPr>
      <w:r w:rsidRPr="004E2B0A">
        <w:t>g</w:t>
      </w:r>
      <w:r w:rsidR="002F4955" w:rsidRPr="004E2B0A">
        <w:t>enerate collective action on global challenges that impact us and our region.</w:t>
      </w:r>
    </w:p>
    <w:p w14:paraId="46F5CC63" w14:textId="1B26F16D" w:rsidR="00252182" w:rsidRDefault="00831849" w:rsidP="00252182">
      <w:pPr>
        <w:rPr>
          <w:lang w:eastAsia="en-AU"/>
        </w:rPr>
      </w:pPr>
      <w:r w:rsidRPr="008C2046">
        <w:rPr>
          <w:lang w:eastAsia="en-AU"/>
        </w:rPr>
        <w:t xml:space="preserve">The </w:t>
      </w:r>
      <w:r w:rsidRPr="00B224B4">
        <w:rPr>
          <w:lang w:eastAsia="en-AU"/>
        </w:rPr>
        <w:t xml:space="preserve">Australia – South Asia </w:t>
      </w:r>
      <w:r w:rsidRPr="00F87D85">
        <w:rPr>
          <w:lang w:eastAsia="en-AU"/>
        </w:rPr>
        <w:t>(</w:t>
      </w:r>
      <w:r w:rsidRPr="00B224B4">
        <w:rPr>
          <w:lang w:eastAsia="en-AU"/>
        </w:rPr>
        <w:t>Regional</w:t>
      </w:r>
      <w:r w:rsidRPr="00F87D85">
        <w:rPr>
          <w:lang w:eastAsia="en-AU"/>
        </w:rPr>
        <w:t>)</w:t>
      </w:r>
      <w:r w:rsidRPr="00B224B4">
        <w:rPr>
          <w:lang w:eastAsia="en-AU"/>
        </w:rPr>
        <w:t xml:space="preserve"> Development Partnership Plan 2024–2029 (DPP)</w:t>
      </w:r>
      <w:r w:rsidRPr="008C2046">
        <w:rPr>
          <w:lang w:eastAsia="en-AU"/>
        </w:rPr>
        <w:t xml:space="preserve"> </w:t>
      </w:r>
      <w:r w:rsidR="00B224B4" w:rsidRPr="00191F5D">
        <w:rPr>
          <w:lang w:eastAsia="en-AU"/>
        </w:rPr>
        <w:t xml:space="preserve">translates into action the </w:t>
      </w:r>
      <w:r w:rsidR="00B224B4">
        <w:rPr>
          <w:lang w:eastAsia="en-AU"/>
        </w:rPr>
        <w:t xml:space="preserve">regional </w:t>
      </w:r>
      <w:r w:rsidR="00B224B4" w:rsidRPr="00191F5D">
        <w:rPr>
          <w:lang w:eastAsia="en-AU"/>
        </w:rPr>
        <w:t>development priorities Australia shares with South Asia.</w:t>
      </w:r>
      <w:r w:rsidR="00252182">
        <w:rPr>
          <w:lang w:eastAsia="en-AU"/>
        </w:rPr>
        <w:t xml:space="preserve"> </w:t>
      </w:r>
      <w:r w:rsidR="00252182" w:rsidRPr="00191F5D">
        <w:rPr>
          <w:lang w:eastAsia="en-AU"/>
        </w:rPr>
        <w:t>The DPP sets out agreed objectives, how we will work</w:t>
      </w:r>
      <w:r w:rsidR="002765A5">
        <w:rPr>
          <w:lang w:eastAsia="en-AU"/>
        </w:rPr>
        <w:t xml:space="preserve"> with</w:t>
      </w:r>
      <w:r w:rsidR="009879C4">
        <w:rPr>
          <w:lang w:eastAsia="en-AU"/>
        </w:rPr>
        <w:t xml:space="preserve"> partners</w:t>
      </w:r>
      <w:r w:rsidR="00252182" w:rsidRPr="00191F5D">
        <w:rPr>
          <w:lang w:eastAsia="en-AU"/>
        </w:rPr>
        <w:t xml:space="preserve"> to deliver shared outcomes, and how progress will be monitored. It also identifies where </w:t>
      </w:r>
      <w:r w:rsidR="00252182" w:rsidRPr="00191F5D">
        <w:rPr>
          <w:lang w:eastAsia="en-AU"/>
        </w:rPr>
        <w:lastRenderedPageBreak/>
        <w:t>Australia can add value</w:t>
      </w:r>
      <w:r w:rsidR="00270908">
        <w:rPr>
          <w:lang w:eastAsia="en-AU"/>
        </w:rPr>
        <w:t xml:space="preserve"> to </w:t>
      </w:r>
      <w:r w:rsidR="00252182">
        <w:rPr>
          <w:lang w:eastAsia="en-AU"/>
        </w:rPr>
        <w:t xml:space="preserve">regional </w:t>
      </w:r>
      <w:r w:rsidR="00252182" w:rsidRPr="00191F5D">
        <w:rPr>
          <w:lang w:eastAsia="en-AU"/>
        </w:rPr>
        <w:t>development priorities</w:t>
      </w:r>
      <w:r w:rsidR="002765A5">
        <w:rPr>
          <w:lang w:eastAsia="en-AU"/>
        </w:rPr>
        <w:t xml:space="preserve"> in South Asia</w:t>
      </w:r>
      <w:r w:rsidR="00252182" w:rsidRPr="00191F5D">
        <w:rPr>
          <w:lang w:eastAsia="en-AU"/>
        </w:rPr>
        <w:t xml:space="preserve"> and how </w:t>
      </w:r>
      <w:r w:rsidR="00252182">
        <w:rPr>
          <w:lang w:eastAsia="en-AU"/>
        </w:rPr>
        <w:t xml:space="preserve">Australia </w:t>
      </w:r>
      <w:r w:rsidR="00252182" w:rsidRPr="00191F5D">
        <w:rPr>
          <w:lang w:eastAsia="en-AU"/>
        </w:rPr>
        <w:t>will work with other development actors</w:t>
      </w:r>
      <w:r w:rsidR="00252182">
        <w:rPr>
          <w:lang w:eastAsia="en-AU"/>
        </w:rPr>
        <w:t xml:space="preserve">, ensuring </w:t>
      </w:r>
      <w:r w:rsidR="00C13353">
        <w:rPr>
          <w:lang w:eastAsia="en-AU"/>
        </w:rPr>
        <w:t xml:space="preserve">the </w:t>
      </w:r>
      <w:r w:rsidR="00252182">
        <w:rPr>
          <w:lang w:eastAsia="en-AU"/>
        </w:rPr>
        <w:t>Australia</w:t>
      </w:r>
      <w:r w:rsidR="00C13353">
        <w:rPr>
          <w:lang w:eastAsia="en-AU"/>
        </w:rPr>
        <w:t>n Government</w:t>
      </w:r>
      <w:r w:rsidR="00252182">
        <w:rPr>
          <w:lang w:eastAsia="en-AU"/>
        </w:rPr>
        <w:t xml:space="preserve"> contribution to development ambitions </w:t>
      </w:r>
      <w:r w:rsidR="00270908">
        <w:rPr>
          <w:lang w:eastAsia="en-AU"/>
        </w:rPr>
        <w:t xml:space="preserve">in the region </w:t>
      </w:r>
      <w:r w:rsidR="002E3DCF">
        <w:rPr>
          <w:lang w:eastAsia="en-AU"/>
        </w:rPr>
        <w:t>is</w:t>
      </w:r>
      <w:r w:rsidR="00252182">
        <w:rPr>
          <w:lang w:eastAsia="en-AU"/>
        </w:rPr>
        <w:t xml:space="preserve"> well coordinated.</w:t>
      </w:r>
    </w:p>
    <w:p w14:paraId="5BAAF630" w14:textId="0041DDE0" w:rsidR="00F862E6" w:rsidRPr="001558D0" w:rsidRDefault="00252182" w:rsidP="00F862E6">
      <w:pPr>
        <w:rPr>
          <w:lang w:eastAsia="en-AU"/>
        </w:rPr>
      </w:pPr>
      <w:r w:rsidRPr="00BE6C84">
        <w:rPr>
          <w:lang w:eastAsia="en-AU"/>
        </w:rPr>
        <w:t xml:space="preserve">The DPP reflects the full spectrum of Australia’s development support – </w:t>
      </w:r>
      <w:r>
        <w:rPr>
          <w:lang w:eastAsia="en-AU"/>
        </w:rPr>
        <w:t xml:space="preserve">Australian Government regional </w:t>
      </w:r>
      <w:r w:rsidR="004A111D">
        <w:rPr>
          <w:lang w:eastAsia="en-AU"/>
        </w:rPr>
        <w:t>Official Development Assistance (</w:t>
      </w:r>
      <w:r w:rsidRPr="00BE6C84">
        <w:rPr>
          <w:lang w:eastAsia="en-AU"/>
        </w:rPr>
        <w:t>ODA</w:t>
      </w:r>
      <w:r w:rsidR="004A111D">
        <w:rPr>
          <w:lang w:eastAsia="en-AU"/>
        </w:rPr>
        <w:t>)</w:t>
      </w:r>
      <w:r w:rsidRPr="00BE6C84">
        <w:rPr>
          <w:lang w:eastAsia="en-AU"/>
        </w:rPr>
        <w:t xml:space="preserve"> as well as </w:t>
      </w:r>
      <w:r w:rsidRPr="0074102F">
        <w:rPr>
          <w:lang w:eastAsia="en-AU"/>
        </w:rPr>
        <w:t>significant bilateral and global ODA and</w:t>
      </w:r>
      <w:r w:rsidRPr="00BE6C84">
        <w:rPr>
          <w:lang w:eastAsia="en-AU"/>
        </w:rPr>
        <w:t xml:space="preserve"> non-ODA development activities. </w:t>
      </w:r>
      <w:r w:rsidR="00F862E6" w:rsidRPr="00BE6C84">
        <w:rPr>
          <w:lang w:eastAsia="en-AU"/>
        </w:rPr>
        <w:t>A commitment to ongoing dialogue and engagement with government and non-</w:t>
      </w:r>
      <w:r w:rsidR="00F862E6" w:rsidRPr="67540A86">
        <w:rPr>
          <w:lang w:eastAsia="en-AU"/>
        </w:rPr>
        <w:t>government</w:t>
      </w:r>
      <w:r w:rsidR="00F862E6" w:rsidRPr="00BE6C84">
        <w:rPr>
          <w:lang w:eastAsia="en-AU"/>
        </w:rPr>
        <w:t xml:space="preserve"> actors in support of a genuine and respectful partnership underpins this DPP. A mid</w:t>
      </w:r>
      <w:r w:rsidR="00F862E6">
        <w:rPr>
          <w:lang w:eastAsia="en-AU"/>
        </w:rPr>
        <w:t>-</w:t>
      </w:r>
      <w:r w:rsidR="00F862E6" w:rsidRPr="00BE6C84">
        <w:rPr>
          <w:lang w:eastAsia="en-AU"/>
        </w:rPr>
        <w:t>cycle review of the DPP will be undertaken.</w:t>
      </w:r>
    </w:p>
    <w:p w14:paraId="05F372A4" w14:textId="40089194" w:rsidR="00252182" w:rsidRDefault="00252182" w:rsidP="00252182">
      <w:pPr>
        <w:spacing w:before="240" w:after="240" w:line="240" w:lineRule="auto"/>
        <w:rPr>
          <w:rFonts w:cs="Calibri Light"/>
          <w:lang w:eastAsia="en-AU"/>
        </w:rPr>
      </w:pPr>
      <w:r w:rsidRPr="39646263">
        <w:rPr>
          <w:rFonts w:cs="Calibri Light"/>
          <w:lang w:eastAsia="en-AU"/>
        </w:rPr>
        <w:t>The DPP sets a high level of ambition for our cooperation in expanding Australia’s efforts and emphasis in several areas</w:t>
      </w:r>
      <w:r w:rsidR="00E071AB">
        <w:rPr>
          <w:rFonts w:cs="Calibri Light"/>
          <w:lang w:eastAsia="en-AU"/>
        </w:rPr>
        <w:t>. Key changes to Australia’s approach include</w:t>
      </w:r>
      <w:r w:rsidR="00B81F20">
        <w:rPr>
          <w:rFonts w:cs="Calibri Light"/>
          <w:lang w:eastAsia="en-AU"/>
        </w:rPr>
        <w:t>:</w:t>
      </w:r>
    </w:p>
    <w:p w14:paraId="04D8CC2C" w14:textId="3FBC362E" w:rsidR="006D5B40" w:rsidRDefault="00E071AB" w:rsidP="00B63C47">
      <w:pPr>
        <w:pStyle w:val="NormalBullets-L1"/>
        <w:numPr>
          <w:ilvl w:val="0"/>
          <w:numId w:val="7"/>
        </w:numPr>
      </w:pPr>
      <w:r>
        <w:t>i</w:t>
      </w:r>
      <w:r w:rsidR="006D5B40" w:rsidRPr="006D5B40">
        <w:t xml:space="preserve">ncreasing support for </w:t>
      </w:r>
      <w:r w:rsidR="006D5B40">
        <w:t>economic growth through skills development and connectivity infrastructure</w:t>
      </w:r>
    </w:p>
    <w:p w14:paraId="7F1EB838" w14:textId="23C5B056" w:rsidR="006E0B1A" w:rsidRPr="00802862" w:rsidRDefault="00622F44" w:rsidP="00B63C47">
      <w:pPr>
        <w:pStyle w:val="NormalBullets-L1"/>
        <w:numPr>
          <w:ilvl w:val="0"/>
          <w:numId w:val="7"/>
        </w:numPr>
      </w:pPr>
      <w:r>
        <w:t xml:space="preserve">elevating </w:t>
      </w:r>
      <w:r w:rsidR="006D5B40">
        <w:t>our commitment to stronger regional</w:t>
      </w:r>
      <w:r w:rsidR="006D5B40" w:rsidRPr="001A77D5">
        <w:t xml:space="preserve"> cooperation </w:t>
      </w:r>
      <w:r w:rsidR="006D5B40">
        <w:t>that builds on our shared Indian Ocean region and historical people</w:t>
      </w:r>
      <w:r w:rsidR="005D29F0">
        <w:t>-</w:t>
      </w:r>
      <w:r w:rsidR="006D5B40" w:rsidRPr="004B4916">
        <w:t>to</w:t>
      </w:r>
      <w:r w:rsidR="005D29F0">
        <w:t>-</w:t>
      </w:r>
      <w:r w:rsidR="006D5B40">
        <w:t>people links with South Asia</w:t>
      </w:r>
      <w:r w:rsidR="00592D52">
        <w:t>n</w:t>
      </w:r>
      <w:r w:rsidR="006D5B40">
        <w:t xml:space="preserve"> countries</w:t>
      </w:r>
    </w:p>
    <w:p w14:paraId="3B1AE703" w14:textId="55BA76CE" w:rsidR="009A5093" w:rsidRDefault="00622F44" w:rsidP="00B63C47">
      <w:pPr>
        <w:pStyle w:val="NormalBullets-L1"/>
        <w:numPr>
          <w:ilvl w:val="0"/>
          <w:numId w:val="7"/>
        </w:numPr>
      </w:pPr>
      <w:r>
        <w:t>strengthening</w:t>
      </w:r>
      <w:r w:rsidRPr="006D5B40">
        <w:t xml:space="preserve"> </w:t>
      </w:r>
      <w:r w:rsidR="006D5B40" w:rsidRPr="006D5B40">
        <w:t xml:space="preserve">our development activities on </w:t>
      </w:r>
      <w:r w:rsidR="00C5539B">
        <w:t>responding</w:t>
      </w:r>
      <w:r w:rsidR="006D5B40" w:rsidRPr="006D5B40">
        <w:t xml:space="preserve"> to the impacts of climate change </w:t>
      </w:r>
      <w:r w:rsidR="00E071AB">
        <w:t xml:space="preserve">and advancing </w:t>
      </w:r>
      <w:r w:rsidR="00D1500A">
        <w:t>gender equality</w:t>
      </w:r>
      <w:r w:rsidR="00452064">
        <w:t xml:space="preserve">, </w:t>
      </w:r>
      <w:r w:rsidR="00D1500A">
        <w:t xml:space="preserve">disability </w:t>
      </w:r>
      <w:r w:rsidR="00452064">
        <w:t>and social inclusion</w:t>
      </w:r>
      <w:r w:rsidR="00400888">
        <w:t xml:space="preserve"> (GEDSI)</w:t>
      </w:r>
      <w:r w:rsidR="00CE7EEB">
        <w:t>.</w:t>
      </w:r>
    </w:p>
    <w:p w14:paraId="78078B01" w14:textId="77777777" w:rsidR="002F4955" w:rsidRPr="00DC48C8" w:rsidRDefault="002F4955" w:rsidP="008667F0">
      <w:pPr>
        <w:pStyle w:val="H3-Heading3"/>
        <w:rPr>
          <w:lang w:eastAsia="en-AU"/>
        </w:rPr>
      </w:pPr>
      <w:r w:rsidRPr="1807533D">
        <w:rPr>
          <w:lang w:eastAsia="en-AU"/>
        </w:rPr>
        <w:t xml:space="preserve">Preparing the </w:t>
      </w:r>
      <w:r w:rsidRPr="008667F0">
        <w:t>Development</w:t>
      </w:r>
      <w:r w:rsidRPr="1807533D">
        <w:rPr>
          <w:lang w:eastAsia="en-AU"/>
        </w:rPr>
        <w:t xml:space="preserve"> Partnership Plan</w:t>
      </w:r>
    </w:p>
    <w:p w14:paraId="37ED5791" w14:textId="720A9759" w:rsidR="00F21A3F" w:rsidRDefault="00F21A3F" w:rsidP="00F21A3F">
      <w:pPr>
        <w:rPr>
          <w:lang w:eastAsia="en-AU"/>
        </w:rPr>
      </w:pPr>
      <w:r>
        <w:rPr>
          <w:lang w:eastAsia="en-AU"/>
        </w:rPr>
        <w:t xml:space="preserve">The DPP complements Australia’s bilateral partnerships in the region. It draws on experience from longstanding investments to focus on where Australia can best add value through regional </w:t>
      </w:r>
      <w:r w:rsidR="00A42C7B">
        <w:rPr>
          <w:lang w:eastAsia="en-AU"/>
        </w:rPr>
        <w:t xml:space="preserve">and </w:t>
      </w:r>
      <w:proofErr w:type="spellStart"/>
      <w:r w:rsidR="00A42C7B">
        <w:rPr>
          <w:lang w:eastAsia="en-AU"/>
        </w:rPr>
        <w:t>multicountry</w:t>
      </w:r>
      <w:proofErr w:type="spellEnd"/>
      <w:r w:rsidR="00A42C7B">
        <w:rPr>
          <w:lang w:eastAsia="en-AU"/>
        </w:rPr>
        <w:t xml:space="preserve"> </w:t>
      </w:r>
      <w:r>
        <w:rPr>
          <w:lang w:eastAsia="en-AU"/>
        </w:rPr>
        <w:t xml:space="preserve">collaboration, </w:t>
      </w:r>
      <w:r w:rsidR="00A42C7B">
        <w:rPr>
          <w:lang w:eastAsia="en-AU"/>
        </w:rPr>
        <w:t>including</w:t>
      </w:r>
      <w:r>
        <w:rPr>
          <w:lang w:eastAsia="en-AU"/>
        </w:rPr>
        <w:t xml:space="preserve"> on transboundary challenges.</w:t>
      </w:r>
    </w:p>
    <w:p w14:paraId="4102949D" w14:textId="4F772A35" w:rsidR="00AE3891" w:rsidRDefault="0088203F" w:rsidP="000070A5">
      <w:pPr>
        <w:rPr>
          <w:lang w:eastAsia="en-AU"/>
        </w:rPr>
      </w:pPr>
      <w:r w:rsidRPr="00191F5D">
        <w:rPr>
          <w:lang w:eastAsia="en-AU"/>
        </w:rPr>
        <w:t xml:space="preserve">Preparation </w:t>
      </w:r>
      <w:r w:rsidR="0048158D">
        <w:rPr>
          <w:lang w:eastAsia="en-AU"/>
        </w:rPr>
        <w:t>of</w:t>
      </w:r>
      <w:r w:rsidR="0048158D" w:rsidRPr="00191F5D">
        <w:rPr>
          <w:lang w:eastAsia="en-AU"/>
        </w:rPr>
        <w:t xml:space="preserve"> </w:t>
      </w:r>
      <w:r w:rsidRPr="00191F5D">
        <w:rPr>
          <w:lang w:eastAsia="en-AU"/>
        </w:rPr>
        <w:t xml:space="preserve">the DPP was underpinned by principles of consultation, accountability and </w:t>
      </w:r>
      <w:r w:rsidR="00DE6705" w:rsidRPr="00191F5D">
        <w:rPr>
          <w:lang w:eastAsia="en-AU"/>
        </w:rPr>
        <w:t>respon</w:t>
      </w:r>
      <w:r w:rsidR="00DE6705">
        <w:rPr>
          <w:lang w:eastAsia="en-AU"/>
        </w:rPr>
        <w:t>s</w:t>
      </w:r>
      <w:r w:rsidR="00DE6705" w:rsidRPr="00191F5D">
        <w:rPr>
          <w:lang w:eastAsia="en-AU"/>
        </w:rPr>
        <w:t>i</w:t>
      </w:r>
      <w:r w:rsidR="00DE6705">
        <w:rPr>
          <w:lang w:eastAsia="en-AU"/>
        </w:rPr>
        <w:t>veness</w:t>
      </w:r>
      <w:r w:rsidR="00DE6705" w:rsidRPr="00191F5D">
        <w:rPr>
          <w:lang w:eastAsia="en-AU"/>
        </w:rPr>
        <w:t xml:space="preserve"> </w:t>
      </w:r>
      <w:r w:rsidRPr="00191F5D">
        <w:rPr>
          <w:lang w:eastAsia="en-AU"/>
        </w:rPr>
        <w:t xml:space="preserve">to regional priorities. </w:t>
      </w:r>
      <w:r w:rsidR="00745A0D" w:rsidRPr="00191F5D">
        <w:rPr>
          <w:lang w:eastAsia="en-AU"/>
        </w:rPr>
        <w:t>Between December</w:t>
      </w:r>
      <w:r w:rsidR="00386681">
        <w:rPr>
          <w:lang w:eastAsia="en-AU"/>
        </w:rPr>
        <w:t> </w:t>
      </w:r>
      <w:r w:rsidR="00745A0D" w:rsidRPr="00191F5D">
        <w:rPr>
          <w:lang w:eastAsia="en-AU"/>
        </w:rPr>
        <w:t xml:space="preserve">2023 </w:t>
      </w:r>
      <w:r w:rsidR="00745A0D">
        <w:rPr>
          <w:lang w:eastAsia="en-AU"/>
        </w:rPr>
        <w:t>and</w:t>
      </w:r>
      <w:r w:rsidR="00745A0D" w:rsidRPr="00191F5D">
        <w:rPr>
          <w:lang w:eastAsia="en-AU"/>
        </w:rPr>
        <w:t xml:space="preserve"> February</w:t>
      </w:r>
      <w:r w:rsidR="00386681">
        <w:rPr>
          <w:lang w:eastAsia="en-AU"/>
        </w:rPr>
        <w:t> </w:t>
      </w:r>
      <w:r w:rsidR="00745A0D" w:rsidRPr="00191F5D">
        <w:rPr>
          <w:lang w:eastAsia="en-AU"/>
        </w:rPr>
        <w:t>2024, consultation</w:t>
      </w:r>
      <w:r w:rsidR="00745A0D">
        <w:rPr>
          <w:lang w:eastAsia="en-AU"/>
        </w:rPr>
        <w:t xml:space="preserve"> was undertaken </w:t>
      </w:r>
      <w:r w:rsidR="00745A0D" w:rsidRPr="00191F5D">
        <w:rPr>
          <w:lang w:eastAsia="en-AU"/>
        </w:rPr>
        <w:t xml:space="preserve">with </w:t>
      </w:r>
      <w:r w:rsidR="00745A0D">
        <w:rPr>
          <w:lang w:eastAsia="en-AU"/>
        </w:rPr>
        <w:t>Australian G</w:t>
      </w:r>
      <w:r w:rsidR="00745A0D" w:rsidRPr="00191F5D">
        <w:rPr>
          <w:lang w:eastAsia="en-AU"/>
        </w:rPr>
        <w:t xml:space="preserve">overnment </w:t>
      </w:r>
      <w:r w:rsidR="00745A0D">
        <w:rPr>
          <w:lang w:eastAsia="en-AU"/>
        </w:rPr>
        <w:t>agencies</w:t>
      </w:r>
      <w:r w:rsidR="00745A0D" w:rsidRPr="00191F5D">
        <w:rPr>
          <w:lang w:eastAsia="en-AU"/>
        </w:rPr>
        <w:t xml:space="preserve">, multilateral partners, </w:t>
      </w:r>
      <w:r w:rsidR="00745A0D" w:rsidRPr="00AC04A3">
        <w:rPr>
          <w:lang w:eastAsia="en-AU"/>
        </w:rPr>
        <w:t>civil society and development contractors</w:t>
      </w:r>
      <w:r w:rsidR="00745A0D" w:rsidRPr="00191F5D">
        <w:rPr>
          <w:lang w:eastAsia="en-AU"/>
        </w:rPr>
        <w:t xml:space="preserve">. </w:t>
      </w:r>
      <w:r w:rsidR="004D4562">
        <w:rPr>
          <w:lang w:eastAsia="en-AU"/>
        </w:rPr>
        <w:t xml:space="preserve">This complemented regular, ongoing discussions with government officials through existing programs and forums. </w:t>
      </w:r>
      <w:r w:rsidR="00745A0D" w:rsidRPr="00191F5D">
        <w:rPr>
          <w:lang w:eastAsia="en-AU"/>
        </w:rPr>
        <w:t>Diverse perspectives were considered to ensure Australia is focusing on where we can achieve most impact.</w:t>
      </w:r>
    </w:p>
    <w:p w14:paraId="5E118582" w14:textId="3DC7D294" w:rsidR="00AE3891" w:rsidRDefault="00191049" w:rsidP="000070A5">
      <w:pPr>
        <w:rPr>
          <w:lang w:eastAsia="en-AU"/>
        </w:rPr>
      </w:pPr>
      <w:r>
        <w:rPr>
          <w:lang w:eastAsia="en-AU"/>
        </w:rPr>
        <w:t>These consultations and ongoing engagement will underpin</w:t>
      </w:r>
      <w:r w:rsidRPr="00D62059">
        <w:rPr>
          <w:lang w:eastAsia="en-AU"/>
        </w:rPr>
        <w:t xml:space="preserve"> </w:t>
      </w:r>
      <w:r>
        <w:rPr>
          <w:lang w:eastAsia="en-AU"/>
        </w:rPr>
        <w:t xml:space="preserve">the DPP’s vision for </w:t>
      </w:r>
      <w:r w:rsidRPr="00D62059">
        <w:rPr>
          <w:lang w:eastAsia="en-AU"/>
        </w:rPr>
        <w:t>increas</w:t>
      </w:r>
      <w:r>
        <w:rPr>
          <w:lang w:eastAsia="en-AU"/>
        </w:rPr>
        <w:t>ed</w:t>
      </w:r>
      <w:r w:rsidRPr="00D62059">
        <w:rPr>
          <w:lang w:eastAsia="en-AU"/>
        </w:rPr>
        <w:t xml:space="preserve"> cohesion </w:t>
      </w:r>
      <w:r>
        <w:rPr>
          <w:lang w:eastAsia="en-AU"/>
        </w:rPr>
        <w:t>across</w:t>
      </w:r>
      <w:r w:rsidRPr="00D62059">
        <w:rPr>
          <w:lang w:eastAsia="en-AU"/>
        </w:rPr>
        <w:t xml:space="preserve"> </w:t>
      </w:r>
      <w:r>
        <w:rPr>
          <w:lang w:eastAsia="en-AU"/>
        </w:rPr>
        <w:t xml:space="preserve">bilateral, regional </w:t>
      </w:r>
      <w:r w:rsidR="009E1636">
        <w:rPr>
          <w:lang w:eastAsia="en-AU"/>
        </w:rPr>
        <w:t xml:space="preserve">and </w:t>
      </w:r>
      <w:r>
        <w:rPr>
          <w:lang w:eastAsia="en-AU"/>
        </w:rPr>
        <w:t>global ODA and non-ODA development activities,</w:t>
      </w:r>
      <w:r w:rsidRPr="00D62059">
        <w:rPr>
          <w:lang w:eastAsia="en-AU"/>
        </w:rPr>
        <w:t xml:space="preserve"> as agreed in the strategic objectives.</w:t>
      </w:r>
      <w:r>
        <w:rPr>
          <w:lang w:eastAsia="en-AU"/>
        </w:rPr>
        <w:t xml:space="preserve"> This will occur through improved reporting and more regular communication between Australian Government Department of Foreign Affairs and Trade (DFAT) geographical areas and across government.</w:t>
      </w:r>
      <w:r w:rsidR="00AE3891">
        <w:rPr>
          <w:lang w:eastAsia="en-AU"/>
        </w:rPr>
        <w:br w:type="page"/>
      </w:r>
    </w:p>
    <w:p w14:paraId="09793E49" w14:textId="06889FB4" w:rsidR="002F4955" w:rsidRDefault="005F7323" w:rsidP="001B6539">
      <w:pPr>
        <w:pStyle w:val="H2-Heading2"/>
      </w:pPr>
      <w:r w:rsidRPr="001B6539">
        <w:lastRenderedPageBreak/>
        <w:t xml:space="preserve">Section 2: </w:t>
      </w:r>
      <w:r w:rsidR="00515796">
        <w:rPr>
          <w:rFonts w:eastAsia="Times New Roman"/>
          <w:lang w:eastAsia="en-AU"/>
        </w:rPr>
        <w:t>South Asia</w:t>
      </w:r>
      <w:r w:rsidR="00515796" w:rsidRPr="000E77A9">
        <w:rPr>
          <w:rFonts w:eastAsia="Times New Roman"/>
          <w:lang w:eastAsia="en-AU"/>
        </w:rPr>
        <w:t xml:space="preserve"> </w:t>
      </w:r>
      <w:r w:rsidR="00415388">
        <w:t>d</w:t>
      </w:r>
      <w:r w:rsidRPr="001B6539">
        <w:t xml:space="preserve">evelopment </w:t>
      </w:r>
      <w:r w:rsidR="00415388">
        <w:t>c</w:t>
      </w:r>
      <w:r w:rsidRPr="001B6539">
        <w:t xml:space="preserve">ontext and Australian </w:t>
      </w:r>
      <w:r w:rsidR="00375EE3">
        <w:t>p</w:t>
      </w:r>
      <w:r w:rsidRPr="001B6539">
        <w:t>artnership</w:t>
      </w:r>
    </w:p>
    <w:p w14:paraId="7BA6422A" w14:textId="35E65281" w:rsidR="0015202F" w:rsidRDefault="00F95B6C" w:rsidP="00F95B6C">
      <w:pPr>
        <w:rPr>
          <w:lang w:eastAsia="en-AU"/>
        </w:rPr>
      </w:pPr>
      <w:r>
        <w:rPr>
          <w:lang w:eastAsia="en-AU"/>
        </w:rPr>
        <w:t>Asia</w:t>
      </w:r>
      <w:r w:rsidRPr="00D271CC">
        <w:rPr>
          <w:lang w:eastAsia="en-AU"/>
        </w:rPr>
        <w:t xml:space="preserve">, including South Asia, has been at the forefront of </w:t>
      </w:r>
      <w:r>
        <w:rPr>
          <w:lang w:eastAsia="en-AU"/>
        </w:rPr>
        <w:t xml:space="preserve">global </w:t>
      </w:r>
      <w:r w:rsidRPr="00D271CC">
        <w:rPr>
          <w:lang w:eastAsia="en-AU"/>
        </w:rPr>
        <w:t xml:space="preserve">economic transformation in recent decades. </w:t>
      </w:r>
      <w:r>
        <w:rPr>
          <w:lang w:eastAsia="en-AU"/>
        </w:rPr>
        <w:t xml:space="preserve">South Asia’s population is projected to grow by 5.6 per cent in 2024 and 2025, </w:t>
      </w:r>
      <w:r w:rsidR="007E1275">
        <w:rPr>
          <w:lang w:eastAsia="en-AU"/>
        </w:rPr>
        <w:t xml:space="preserve">a </w:t>
      </w:r>
      <w:r>
        <w:rPr>
          <w:lang w:eastAsia="en-AU"/>
        </w:rPr>
        <w:t xml:space="preserve">higher </w:t>
      </w:r>
      <w:r w:rsidR="007E1275">
        <w:rPr>
          <w:lang w:eastAsia="en-AU"/>
        </w:rPr>
        <w:t xml:space="preserve">rate </w:t>
      </w:r>
      <w:r>
        <w:rPr>
          <w:lang w:eastAsia="en-AU"/>
        </w:rPr>
        <w:t>than any other developing country region.</w:t>
      </w:r>
      <w:r>
        <w:rPr>
          <w:rStyle w:val="EndnoteReference"/>
          <w:rFonts w:ascii="Calibri Light" w:hAnsi="Calibri Light" w:cs="Calibri Light"/>
          <w:color w:val="000000" w:themeColor="text1"/>
          <w:lang w:eastAsia="en-AU"/>
        </w:rPr>
        <w:endnoteReference w:id="2"/>
      </w:r>
    </w:p>
    <w:p w14:paraId="110923DC" w14:textId="249C63AC" w:rsidR="00F95B6C" w:rsidRPr="0074102F" w:rsidRDefault="00F95B6C" w:rsidP="00F95B6C">
      <w:pPr>
        <w:rPr>
          <w:lang w:eastAsia="en-AU"/>
        </w:rPr>
      </w:pPr>
      <w:r>
        <w:rPr>
          <w:lang w:eastAsia="en-AU"/>
        </w:rPr>
        <w:t xml:space="preserve">Economic progress, driven by the </w:t>
      </w:r>
      <w:r w:rsidR="00DC30A8">
        <w:rPr>
          <w:lang w:eastAsia="en-AU"/>
        </w:rPr>
        <w:t xml:space="preserve">world’s </w:t>
      </w:r>
      <w:r w:rsidRPr="00B20940">
        <w:rPr>
          <w:lang w:eastAsia="en-AU"/>
        </w:rPr>
        <w:t>largest populated region,</w:t>
      </w:r>
      <w:r>
        <w:rPr>
          <w:lang w:eastAsia="en-AU"/>
        </w:rPr>
        <w:t xml:space="preserve"> has resulted in most South Asian economies becoming lower middle-income countries. Between 1981 and 2019, the extreme income poverty rate in South Asia reduced from 58 per cent to 9 per cent, representing considerable progress in poverty reduction.</w:t>
      </w:r>
      <w:r>
        <w:rPr>
          <w:rStyle w:val="EndnoteReference"/>
          <w:rFonts w:ascii="Calibri Light" w:hAnsi="Calibri Light" w:cs="Calibri Light"/>
          <w:color w:val="000000" w:themeColor="text1"/>
          <w:lang w:eastAsia="en-AU"/>
        </w:rPr>
        <w:endnoteReference w:id="3"/>
      </w:r>
      <w:r>
        <w:rPr>
          <w:lang w:eastAsia="en-AU"/>
        </w:rPr>
        <w:t xml:space="preserve"> Gains have been achieved across the </w:t>
      </w:r>
      <w:r w:rsidRPr="00365CF9">
        <w:rPr>
          <w:lang w:eastAsia="en-AU"/>
        </w:rPr>
        <w:t>development spectrum</w:t>
      </w:r>
      <w:r>
        <w:rPr>
          <w:lang w:eastAsia="en-AU"/>
        </w:rPr>
        <w:t>: the</w:t>
      </w:r>
      <w:r w:rsidRPr="00993DA5">
        <w:rPr>
          <w:lang w:eastAsia="en-AU"/>
        </w:rPr>
        <w:t xml:space="preserve"> </w:t>
      </w:r>
      <w:r>
        <w:rPr>
          <w:lang w:eastAsia="en-AU"/>
        </w:rPr>
        <w:t xml:space="preserve">adult literacy rate increased from 47 per cent in 1990 to 74 per cent in 2021 and </w:t>
      </w:r>
      <w:r w:rsidRPr="0074102F">
        <w:rPr>
          <w:lang w:eastAsia="en-AU"/>
        </w:rPr>
        <w:t xml:space="preserve">infant mortality reduced from 169 deaths per </w:t>
      </w:r>
      <w:r w:rsidR="001D5DAC">
        <w:rPr>
          <w:lang w:eastAsia="en-AU"/>
        </w:rPr>
        <w:t>1,000 </w:t>
      </w:r>
      <w:r w:rsidRPr="0074102F">
        <w:rPr>
          <w:lang w:eastAsia="en-AU"/>
        </w:rPr>
        <w:t xml:space="preserve">live births in 1980 to 33 deaths per </w:t>
      </w:r>
      <w:r w:rsidR="001D5DAC">
        <w:rPr>
          <w:lang w:eastAsia="en-AU"/>
        </w:rPr>
        <w:t>1,000 </w:t>
      </w:r>
      <w:r w:rsidRPr="0074102F">
        <w:rPr>
          <w:lang w:eastAsia="en-AU"/>
        </w:rPr>
        <w:t>live births in 2021.</w:t>
      </w:r>
      <w:r w:rsidRPr="0074102F">
        <w:rPr>
          <w:rStyle w:val="EndnoteReference"/>
          <w:rFonts w:ascii="Calibri Light" w:hAnsi="Calibri Light" w:cs="Calibri Light"/>
          <w:color w:val="000000" w:themeColor="text1"/>
          <w:lang w:eastAsia="en-AU"/>
        </w:rPr>
        <w:endnoteReference w:id="4"/>
      </w:r>
      <w:r w:rsidR="001514A4" w:rsidRPr="0074102F">
        <w:rPr>
          <w:lang w:eastAsia="en-AU"/>
        </w:rPr>
        <w:t xml:space="preserve"> </w:t>
      </w:r>
      <w:r w:rsidR="00A14A15">
        <w:rPr>
          <w:lang w:eastAsia="en-AU"/>
        </w:rPr>
        <w:t xml:space="preserve">Economic progress has also </w:t>
      </w:r>
      <w:r w:rsidR="001514A4" w:rsidRPr="0074102F">
        <w:rPr>
          <w:lang w:eastAsia="en-AU"/>
        </w:rPr>
        <w:t>increas</w:t>
      </w:r>
      <w:r w:rsidR="00A14A15">
        <w:rPr>
          <w:lang w:eastAsia="en-AU"/>
        </w:rPr>
        <w:t>ed</w:t>
      </w:r>
      <w:r w:rsidR="001514A4" w:rsidRPr="0074102F">
        <w:rPr>
          <w:lang w:eastAsia="en-AU"/>
        </w:rPr>
        <w:t xml:space="preserve"> demand for </w:t>
      </w:r>
      <w:r w:rsidR="0015523C" w:rsidRPr="0074102F">
        <w:rPr>
          <w:lang w:eastAsia="en-AU"/>
        </w:rPr>
        <w:t>s</w:t>
      </w:r>
      <w:r w:rsidR="001514A4" w:rsidRPr="0074102F">
        <w:rPr>
          <w:lang w:eastAsia="en-AU"/>
        </w:rPr>
        <w:t>kills development particularly in vocational, professional and tertiary education.</w:t>
      </w:r>
    </w:p>
    <w:p w14:paraId="60972733" w14:textId="2F6DA0EA" w:rsidR="0015202F" w:rsidRPr="0074102F" w:rsidRDefault="00F95B6C" w:rsidP="00F95B6C">
      <w:pPr>
        <w:rPr>
          <w:lang w:eastAsia="en-AU"/>
        </w:rPr>
      </w:pPr>
      <w:r w:rsidRPr="0074102F">
        <w:rPr>
          <w:lang w:eastAsia="en-AU"/>
        </w:rPr>
        <w:t>Despite substantial development gains, growth in South Asia has been neither inclusive nor equal, and considerable challenges remain. According to the Global Multidimensional Poverty Index, 389 million people in South Asia live in poverty</w:t>
      </w:r>
      <w:r w:rsidR="00D52D74" w:rsidRPr="0074102F">
        <w:rPr>
          <w:lang w:eastAsia="en-AU"/>
        </w:rPr>
        <w:t xml:space="preserve"> </w:t>
      </w:r>
      <w:r w:rsidR="00BC2457">
        <w:rPr>
          <w:lang w:eastAsia="en-AU"/>
        </w:rPr>
        <w:t xml:space="preserve">and </w:t>
      </w:r>
      <w:r w:rsidR="00D52D74" w:rsidRPr="0074102F">
        <w:rPr>
          <w:lang w:eastAsia="en-AU"/>
        </w:rPr>
        <w:t>p</w:t>
      </w:r>
      <w:r w:rsidR="00853FF6" w:rsidRPr="0074102F">
        <w:rPr>
          <w:lang w:eastAsia="en-AU"/>
        </w:rPr>
        <w:t xml:space="preserve">oor outcomes in education and health persistently hamper efforts to </w:t>
      </w:r>
      <w:r w:rsidR="00D631E3" w:rsidRPr="0074102F">
        <w:rPr>
          <w:lang w:eastAsia="en-AU"/>
        </w:rPr>
        <w:t>reduce poverty</w:t>
      </w:r>
      <w:r w:rsidRPr="0074102F">
        <w:rPr>
          <w:lang w:eastAsia="en-AU"/>
        </w:rPr>
        <w:t>.</w:t>
      </w:r>
      <w:r w:rsidRPr="0074102F">
        <w:rPr>
          <w:rStyle w:val="EndnoteReference"/>
          <w:rFonts w:ascii="Calibri Light" w:hAnsi="Calibri Light" w:cs="Calibri Light"/>
          <w:color w:val="000000" w:themeColor="text1"/>
          <w:lang w:eastAsia="en-AU"/>
        </w:rPr>
        <w:endnoteReference w:id="5"/>
      </w:r>
      <w:r w:rsidRPr="0074102F">
        <w:rPr>
          <w:lang w:eastAsia="en-AU"/>
        </w:rPr>
        <w:t xml:space="preserve"> Inequalities, especially in relation to income, have been worsening consistently in the region. Women have been worst affected, and South Asia </w:t>
      </w:r>
      <w:r w:rsidR="006E1B7B">
        <w:rPr>
          <w:lang w:eastAsia="en-AU"/>
        </w:rPr>
        <w:t xml:space="preserve">recently </w:t>
      </w:r>
      <w:r w:rsidRPr="0074102F">
        <w:rPr>
          <w:lang w:eastAsia="en-AU"/>
        </w:rPr>
        <w:t xml:space="preserve">recorded its worst decline in gender equality in </w:t>
      </w:r>
      <w:r w:rsidR="007F08A2">
        <w:rPr>
          <w:lang w:eastAsia="en-AU"/>
        </w:rPr>
        <w:t>two</w:t>
      </w:r>
      <w:r w:rsidR="00983BA9">
        <w:rPr>
          <w:lang w:eastAsia="en-AU"/>
        </w:rPr>
        <w:t> </w:t>
      </w:r>
      <w:r w:rsidRPr="0074102F">
        <w:rPr>
          <w:lang w:eastAsia="en-AU"/>
        </w:rPr>
        <w:t>decades.</w:t>
      </w:r>
      <w:r w:rsidRPr="0074102F">
        <w:rPr>
          <w:rStyle w:val="EndnoteReference"/>
          <w:rFonts w:ascii="Calibri Light" w:hAnsi="Calibri Light" w:cs="Calibri Light"/>
          <w:color w:val="000000" w:themeColor="text1"/>
          <w:lang w:eastAsia="en-AU"/>
        </w:rPr>
        <w:endnoteReference w:id="6"/>
      </w:r>
    </w:p>
    <w:p w14:paraId="26B1774E" w14:textId="1BC2F952" w:rsidR="00F95B6C" w:rsidRPr="0074102F" w:rsidRDefault="004C2993" w:rsidP="00F95B6C">
      <w:pPr>
        <w:rPr>
          <w:lang w:eastAsia="en-AU"/>
        </w:rPr>
      </w:pPr>
      <w:r w:rsidRPr="0074102F">
        <w:rPr>
          <w:lang w:eastAsia="en-AU"/>
        </w:rPr>
        <w:t xml:space="preserve">Development challenges in the region have been exacerbated by a spate of damaging disruptions, most notably the COVID-19 pandemic, economic shocks, growing indebtedness, and the </w:t>
      </w:r>
      <w:r w:rsidR="007B533A" w:rsidRPr="0074102F">
        <w:rPr>
          <w:lang w:eastAsia="en-AU"/>
        </w:rPr>
        <w:t xml:space="preserve">fuel and food shortages caused by </w:t>
      </w:r>
      <w:r w:rsidRPr="0074102F">
        <w:rPr>
          <w:lang w:eastAsia="en-AU"/>
        </w:rPr>
        <w:t>the war in Ukraine</w:t>
      </w:r>
      <w:r w:rsidR="00D27D83" w:rsidRPr="0074102F">
        <w:rPr>
          <w:lang w:eastAsia="en-AU"/>
        </w:rPr>
        <w:t>. T</w:t>
      </w:r>
      <w:r w:rsidRPr="0074102F">
        <w:rPr>
          <w:lang w:eastAsia="en-AU"/>
        </w:rPr>
        <w:t>he protracted humanitarian crises in Afghanistan and Myanmar</w:t>
      </w:r>
      <w:r w:rsidR="002540F3" w:rsidRPr="0074102F">
        <w:rPr>
          <w:lang w:eastAsia="en-AU"/>
        </w:rPr>
        <w:t xml:space="preserve">, and </w:t>
      </w:r>
      <w:r w:rsidR="00B348E5" w:rsidRPr="0074102F">
        <w:rPr>
          <w:lang w:eastAsia="en-AU"/>
        </w:rPr>
        <w:t xml:space="preserve">political </w:t>
      </w:r>
      <w:r w:rsidR="002540F3" w:rsidRPr="0074102F">
        <w:rPr>
          <w:lang w:eastAsia="en-AU"/>
        </w:rPr>
        <w:t xml:space="preserve">instability </w:t>
      </w:r>
      <w:r w:rsidR="00B348E5" w:rsidRPr="0074102F">
        <w:rPr>
          <w:lang w:eastAsia="en-AU"/>
        </w:rPr>
        <w:t>in neighbouring countries</w:t>
      </w:r>
      <w:r w:rsidR="00983BA9">
        <w:rPr>
          <w:lang w:eastAsia="en-AU"/>
        </w:rPr>
        <w:t>,</w:t>
      </w:r>
      <w:r w:rsidR="00B348E5" w:rsidRPr="0074102F">
        <w:rPr>
          <w:lang w:eastAsia="en-AU"/>
        </w:rPr>
        <w:t xml:space="preserve"> </w:t>
      </w:r>
      <w:r w:rsidR="00750626" w:rsidRPr="0074102F">
        <w:rPr>
          <w:lang w:eastAsia="en-AU"/>
        </w:rPr>
        <w:t>risk destabilising</w:t>
      </w:r>
      <w:r w:rsidR="00715264" w:rsidRPr="0074102F">
        <w:rPr>
          <w:lang w:eastAsia="en-AU"/>
        </w:rPr>
        <w:t xml:space="preserve"> the entire region</w:t>
      </w:r>
      <w:r w:rsidRPr="0074102F">
        <w:rPr>
          <w:lang w:eastAsia="en-AU"/>
        </w:rPr>
        <w:t xml:space="preserve">. South Asia also faces increased internal displacement risk due to urbanisation and </w:t>
      </w:r>
      <w:r w:rsidR="002359FE">
        <w:rPr>
          <w:lang w:eastAsia="en-AU"/>
        </w:rPr>
        <w:t xml:space="preserve">the </w:t>
      </w:r>
      <w:r w:rsidRPr="0074102F">
        <w:rPr>
          <w:lang w:eastAsia="en-AU"/>
        </w:rPr>
        <w:t>high numbers of vulnerable people exposed to multiple natural disaster hazards.</w:t>
      </w:r>
      <w:r w:rsidR="00375DCC" w:rsidRPr="0074102F">
        <w:rPr>
          <w:lang w:eastAsia="en-AU"/>
        </w:rPr>
        <w:t xml:space="preserve"> </w:t>
      </w:r>
      <w:r w:rsidR="00F95B6C" w:rsidRPr="0074102F">
        <w:rPr>
          <w:lang w:eastAsia="en-AU"/>
        </w:rPr>
        <w:t>Climate change is compounding many of these challenges, as governments grapple with the complexities of the global energy transition and communities face increasingly frequent extreme weather and climate-related events.</w:t>
      </w:r>
    </w:p>
    <w:p w14:paraId="013AB0A6" w14:textId="1A891FDE" w:rsidR="00F95B6C" w:rsidRDefault="00F95B6C" w:rsidP="00F95B6C">
      <w:pPr>
        <w:rPr>
          <w:szCs w:val="21"/>
          <w:lang w:eastAsia="en-AU"/>
        </w:rPr>
      </w:pPr>
      <w:r w:rsidRPr="0074102F">
        <w:rPr>
          <w:szCs w:val="21"/>
          <w:lang w:eastAsia="en-AU"/>
        </w:rPr>
        <w:t>The COVID-19 pandemic and its economic impact have exacerbated people’s vulnerability to poverty and regressed hard-earned development gains. In South Asia, as in many parts of the world, development program implementation slowed</w:t>
      </w:r>
      <w:r w:rsidRPr="008A41FE">
        <w:rPr>
          <w:szCs w:val="21"/>
          <w:lang w:eastAsia="en-AU"/>
        </w:rPr>
        <w:t xml:space="preserve"> during </w:t>
      </w:r>
      <w:r w:rsidR="002F2ABD">
        <w:rPr>
          <w:szCs w:val="21"/>
          <w:lang w:eastAsia="en-AU"/>
        </w:rPr>
        <w:t xml:space="preserve">the </w:t>
      </w:r>
      <w:r w:rsidRPr="008A41FE">
        <w:rPr>
          <w:szCs w:val="21"/>
          <w:lang w:eastAsia="en-AU"/>
        </w:rPr>
        <w:t>COVID</w:t>
      </w:r>
      <w:r>
        <w:rPr>
          <w:szCs w:val="21"/>
          <w:lang w:eastAsia="en-AU"/>
        </w:rPr>
        <w:t>-19</w:t>
      </w:r>
      <w:r w:rsidR="002F2ABD">
        <w:rPr>
          <w:szCs w:val="21"/>
          <w:lang w:eastAsia="en-AU"/>
        </w:rPr>
        <w:t xml:space="preserve"> pandemic</w:t>
      </w:r>
      <w:r w:rsidRPr="008A41FE">
        <w:rPr>
          <w:szCs w:val="21"/>
          <w:lang w:eastAsia="en-AU"/>
        </w:rPr>
        <w:t xml:space="preserve">. </w:t>
      </w:r>
      <w:r>
        <w:rPr>
          <w:szCs w:val="21"/>
          <w:lang w:eastAsia="en-AU"/>
        </w:rPr>
        <w:t xml:space="preserve">Progress of the region against the Sustainable Development Goals (SDGs) has stagnated in the wake of the pandemic, with only 7 of </w:t>
      </w:r>
      <w:r w:rsidR="0042548D">
        <w:rPr>
          <w:szCs w:val="21"/>
          <w:lang w:eastAsia="en-AU"/>
        </w:rPr>
        <w:t>169</w:t>
      </w:r>
      <w:r>
        <w:rPr>
          <w:szCs w:val="21"/>
          <w:lang w:eastAsia="en-AU"/>
        </w:rPr>
        <w:t xml:space="preserve"> targets on track to be</w:t>
      </w:r>
      <w:r w:rsidR="002F2ABD">
        <w:rPr>
          <w:szCs w:val="21"/>
          <w:lang w:eastAsia="en-AU"/>
        </w:rPr>
        <w:t> </w:t>
      </w:r>
      <w:r>
        <w:rPr>
          <w:szCs w:val="21"/>
          <w:lang w:eastAsia="en-AU"/>
        </w:rPr>
        <w:t>achieved.</w:t>
      </w:r>
      <w:r>
        <w:rPr>
          <w:rStyle w:val="EndnoteReference"/>
          <w:rFonts w:ascii="Calibri Light" w:hAnsi="Calibri Light" w:cs="Calibri Light"/>
          <w:color w:val="000000" w:themeColor="text1"/>
          <w:szCs w:val="21"/>
          <w:lang w:eastAsia="en-AU"/>
        </w:rPr>
        <w:endnoteReference w:id="7"/>
      </w:r>
    </w:p>
    <w:p w14:paraId="334FF9A8" w14:textId="199858A6" w:rsidR="00CA71FC" w:rsidRDefault="00F95B6C" w:rsidP="00F95B6C">
      <w:pPr>
        <w:rPr>
          <w:lang w:eastAsia="en-AU"/>
        </w:rPr>
      </w:pPr>
      <w:r w:rsidRPr="00191F5D">
        <w:rPr>
          <w:lang w:eastAsia="en-AU"/>
        </w:rPr>
        <w:t>South Asia is the least integrated region in the world in terms of trade and connectivity</w:t>
      </w:r>
      <w:r>
        <w:rPr>
          <w:lang w:eastAsia="en-AU"/>
        </w:rPr>
        <w:t xml:space="preserve"> (for example, transport, infrastructure and digital payments)</w:t>
      </w:r>
      <w:r w:rsidRPr="00191F5D">
        <w:rPr>
          <w:lang w:eastAsia="en-AU"/>
        </w:rPr>
        <w:t>.</w:t>
      </w:r>
      <w:r>
        <w:rPr>
          <w:lang w:eastAsia="en-AU"/>
        </w:rPr>
        <w:t xml:space="preserve"> Despite the existence of trade agreements between South Asian countries, they are yet to yield gains: t</w:t>
      </w:r>
      <w:r w:rsidRPr="00191F5D">
        <w:rPr>
          <w:lang w:eastAsia="en-AU"/>
        </w:rPr>
        <w:t>rade between South Asian countries mak</w:t>
      </w:r>
      <w:r>
        <w:rPr>
          <w:lang w:eastAsia="en-AU"/>
        </w:rPr>
        <w:t>es</w:t>
      </w:r>
      <w:r w:rsidRPr="00191F5D">
        <w:rPr>
          <w:lang w:eastAsia="en-AU"/>
        </w:rPr>
        <w:t xml:space="preserve"> up only 5</w:t>
      </w:r>
      <w:r>
        <w:rPr>
          <w:lang w:eastAsia="en-AU"/>
        </w:rPr>
        <w:t> per cent</w:t>
      </w:r>
      <w:r w:rsidRPr="00191F5D">
        <w:rPr>
          <w:lang w:eastAsia="en-AU"/>
        </w:rPr>
        <w:t xml:space="preserve"> of the region’s total </w:t>
      </w:r>
      <w:r w:rsidR="008C2C83">
        <w:rPr>
          <w:lang w:eastAsia="en-AU"/>
        </w:rPr>
        <w:t xml:space="preserve">trade </w:t>
      </w:r>
      <w:r w:rsidRPr="00191F5D">
        <w:rPr>
          <w:lang w:eastAsia="en-AU"/>
        </w:rPr>
        <w:t xml:space="preserve">compared </w:t>
      </w:r>
      <w:r>
        <w:rPr>
          <w:lang w:eastAsia="en-AU"/>
        </w:rPr>
        <w:t xml:space="preserve">with </w:t>
      </w:r>
      <w:r w:rsidRPr="00191F5D">
        <w:rPr>
          <w:lang w:eastAsia="en-AU"/>
        </w:rPr>
        <w:t>60</w:t>
      </w:r>
      <w:r>
        <w:rPr>
          <w:lang w:eastAsia="en-AU"/>
        </w:rPr>
        <w:t> per cent</w:t>
      </w:r>
      <w:r w:rsidRPr="00191F5D">
        <w:rPr>
          <w:lang w:eastAsia="en-AU"/>
        </w:rPr>
        <w:t xml:space="preserve"> within Europe and 50</w:t>
      </w:r>
      <w:r>
        <w:rPr>
          <w:lang w:eastAsia="en-AU"/>
        </w:rPr>
        <w:t> per cent</w:t>
      </w:r>
      <w:r w:rsidRPr="00191F5D">
        <w:rPr>
          <w:lang w:eastAsia="en-AU"/>
        </w:rPr>
        <w:t xml:space="preserve"> within East Asia and the Pacific</w:t>
      </w:r>
      <w:r>
        <w:rPr>
          <w:lang w:eastAsia="en-AU"/>
        </w:rPr>
        <w:t>.</w:t>
      </w:r>
      <w:r w:rsidRPr="004D7D67">
        <w:rPr>
          <w:vertAlign w:val="superscript"/>
          <w:lang w:eastAsia="en-AU"/>
        </w:rPr>
        <w:endnoteReference w:id="8"/>
      </w:r>
    </w:p>
    <w:p w14:paraId="26C1402B" w14:textId="223A5808" w:rsidR="00F95B6C" w:rsidRDefault="00F95B6C" w:rsidP="00F95B6C">
      <w:pPr>
        <w:rPr>
          <w:lang w:eastAsia="en-AU"/>
        </w:rPr>
      </w:pPr>
      <w:r>
        <w:rPr>
          <w:lang w:eastAsia="en-AU"/>
        </w:rPr>
        <w:t>Australia has increasing links with South Asia, accelerated by a growing diaspora and the imperative for economic diversification. Greater r</w:t>
      </w:r>
      <w:r w:rsidRPr="00191F5D">
        <w:rPr>
          <w:lang w:eastAsia="en-AU"/>
        </w:rPr>
        <w:t>egional cooperation has the potential to boost intra</w:t>
      </w:r>
      <w:r>
        <w:rPr>
          <w:lang w:eastAsia="en-AU"/>
        </w:rPr>
        <w:t>regional</w:t>
      </w:r>
      <w:r w:rsidRPr="00191F5D">
        <w:rPr>
          <w:lang w:eastAsia="en-AU"/>
        </w:rPr>
        <w:t xml:space="preserve"> trade by </w:t>
      </w:r>
      <w:r>
        <w:rPr>
          <w:lang w:eastAsia="en-AU"/>
        </w:rPr>
        <w:t>USD</w:t>
      </w:r>
      <w:r w:rsidRPr="00191F5D">
        <w:rPr>
          <w:lang w:eastAsia="en-AU"/>
        </w:rPr>
        <w:t>44</w:t>
      </w:r>
      <w:r>
        <w:rPr>
          <w:lang w:eastAsia="en-AU"/>
        </w:rPr>
        <w:t> </w:t>
      </w:r>
      <w:r w:rsidRPr="00191F5D">
        <w:rPr>
          <w:lang w:eastAsia="en-AU"/>
        </w:rPr>
        <w:t>billion annually, help expand hydropower and clean energy capacity three</w:t>
      </w:r>
      <w:r>
        <w:rPr>
          <w:lang w:eastAsia="en-AU"/>
        </w:rPr>
        <w:t>fold</w:t>
      </w:r>
      <w:r w:rsidRPr="00191F5D">
        <w:rPr>
          <w:lang w:eastAsia="en-AU"/>
        </w:rPr>
        <w:t xml:space="preserve"> by 2040, and result in electricity supply savings of </w:t>
      </w:r>
      <w:r>
        <w:rPr>
          <w:lang w:eastAsia="en-AU"/>
        </w:rPr>
        <w:t>approximately USD</w:t>
      </w:r>
      <w:r w:rsidRPr="00191F5D">
        <w:rPr>
          <w:lang w:eastAsia="en-AU"/>
        </w:rPr>
        <w:t>9</w:t>
      </w:r>
      <w:r>
        <w:rPr>
          <w:lang w:eastAsia="en-AU"/>
        </w:rPr>
        <w:t> </w:t>
      </w:r>
      <w:r w:rsidRPr="00191F5D">
        <w:rPr>
          <w:lang w:eastAsia="en-AU"/>
        </w:rPr>
        <w:t>billion per year.</w:t>
      </w:r>
    </w:p>
    <w:p w14:paraId="4AE3BB3E" w14:textId="7B3090C3" w:rsidR="00F14680" w:rsidRDefault="00F95B6C" w:rsidP="00F14680">
      <w:pPr>
        <w:rPr>
          <w:rFonts w:ascii="Calibri Light" w:hAnsi="Calibri Light" w:cs="Calibri Light"/>
          <w:color w:val="000000" w:themeColor="text1"/>
          <w:lang w:eastAsia="en-AU"/>
        </w:rPr>
      </w:pPr>
      <w:r w:rsidRPr="00191F5D">
        <w:rPr>
          <w:rFonts w:ascii="Calibri Light" w:hAnsi="Calibri Light" w:cs="Calibri Light"/>
          <w:color w:val="000000" w:themeColor="text1"/>
          <w:lang w:eastAsia="en-AU"/>
        </w:rPr>
        <w:t>With some countries in South Asia working through debt stress, regional trading and connectivity ambitions may be longer</w:t>
      </w:r>
      <w:r>
        <w:rPr>
          <w:rFonts w:ascii="Calibri Light" w:hAnsi="Calibri Light" w:cs="Calibri Light"/>
          <w:color w:val="000000" w:themeColor="text1"/>
          <w:lang w:eastAsia="en-AU"/>
        </w:rPr>
        <w:t>-</w:t>
      </w:r>
      <w:r w:rsidRPr="00191F5D">
        <w:rPr>
          <w:rFonts w:ascii="Calibri Light" w:hAnsi="Calibri Light" w:cs="Calibri Light"/>
          <w:color w:val="000000" w:themeColor="text1"/>
          <w:lang w:eastAsia="en-AU"/>
        </w:rPr>
        <w:t xml:space="preserve">term goals. </w:t>
      </w:r>
      <w:r>
        <w:rPr>
          <w:rFonts w:ascii="Calibri Light" w:hAnsi="Calibri Light" w:cs="Calibri Light"/>
          <w:color w:val="000000" w:themeColor="text1"/>
          <w:lang w:eastAsia="en-AU"/>
        </w:rPr>
        <w:t>With ongoing r</w:t>
      </w:r>
      <w:r w:rsidRPr="00191F5D">
        <w:rPr>
          <w:rFonts w:ascii="Calibri Light" w:hAnsi="Calibri Light" w:cs="Calibri Light"/>
          <w:color w:val="000000" w:themeColor="text1"/>
          <w:szCs w:val="21"/>
          <w:lang w:eastAsia="en-AU"/>
        </w:rPr>
        <w:t xml:space="preserve">ecovery </w:t>
      </w:r>
      <w:r>
        <w:rPr>
          <w:rFonts w:ascii="Calibri Light" w:hAnsi="Calibri Light" w:cs="Calibri Light"/>
          <w:color w:val="000000" w:themeColor="text1"/>
          <w:szCs w:val="21"/>
          <w:lang w:eastAsia="en-AU"/>
        </w:rPr>
        <w:t xml:space="preserve">from </w:t>
      </w:r>
      <w:r w:rsidR="003F00FE">
        <w:rPr>
          <w:rFonts w:ascii="Calibri Light" w:hAnsi="Calibri Light" w:cs="Calibri Light"/>
          <w:color w:val="000000" w:themeColor="text1"/>
          <w:szCs w:val="21"/>
          <w:lang w:eastAsia="en-AU"/>
        </w:rPr>
        <w:t xml:space="preserve">the </w:t>
      </w:r>
      <w:r>
        <w:rPr>
          <w:rFonts w:ascii="Calibri Light" w:hAnsi="Calibri Light" w:cs="Calibri Light"/>
          <w:color w:val="000000" w:themeColor="text1"/>
          <w:szCs w:val="21"/>
          <w:lang w:eastAsia="en-AU"/>
        </w:rPr>
        <w:t>COVID-19</w:t>
      </w:r>
      <w:r w:rsidR="003F00FE">
        <w:rPr>
          <w:rFonts w:ascii="Calibri Light" w:hAnsi="Calibri Light" w:cs="Calibri Light"/>
          <w:color w:val="000000" w:themeColor="text1"/>
          <w:szCs w:val="21"/>
          <w:lang w:eastAsia="en-AU"/>
        </w:rPr>
        <w:t xml:space="preserve"> pandemic</w:t>
      </w:r>
      <w:r>
        <w:rPr>
          <w:rFonts w:ascii="Calibri Light" w:hAnsi="Calibri Light" w:cs="Calibri Light"/>
          <w:color w:val="000000" w:themeColor="text1"/>
          <w:szCs w:val="21"/>
          <w:lang w:eastAsia="en-AU"/>
        </w:rPr>
        <w:t xml:space="preserve">, </w:t>
      </w:r>
      <w:r w:rsidRPr="00191F5D">
        <w:rPr>
          <w:rFonts w:ascii="Calibri Light" w:hAnsi="Calibri Light" w:cs="Calibri Light"/>
          <w:color w:val="000000" w:themeColor="text1"/>
          <w:szCs w:val="21"/>
          <w:lang w:eastAsia="en-AU"/>
        </w:rPr>
        <w:t>Australia is providing essential advice and assistance on social protection to countries in our region, to support a return to prosperity</w:t>
      </w:r>
      <w:r w:rsidR="001514A4">
        <w:rPr>
          <w:rFonts w:ascii="Calibri Light" w:hAnsi="Calibri Light" w:cs="Calibri Light"/>
          <w:color w:val="000000" w:themeColor="text1"/>
          <w:szCs w:val="21"/>
          <w:lang w:eastAsia="en-AU"/>
        </w:rPr>
        <w:t xml:space="preserve">, support leadership in regional institutions, promote </w:t>
      </w:r>
      <w:r w:rsidRPr="00191F5D">
        <w:rPr>
          <w:rFonts w:ascii="Calibri Light" w:hAnsi="Calibri Light" w:cs="Calibri Light"/>
          <w:color w:val="000000" w:themeColor="text1"/>
          <w:szCs w:val="21"/>
          <w:lang w:eastAsia="en-AU"/>
        </w:rPr>
        <w:t>stability and enhance resilience over the long term.</w:t>
      </w:r>
    </w:p>
    <w:p w14:paraId="2455AC8C" w14:textId="7FFCF2C6" w:rsidR="00F95B6C" w:rsidRPr="00F14680" w:rsidRDefault="00F95B6C" w:rsidP="00F14680">
      <w:pPr>
        <w:rPr>
          <w:rFonts w:ascii="Calibri Light" w:hAnsi="Calibri Light" w:cs="Calibri Light"/>
          <w:color w:val="000000" w:themeColor="text1"/>
          <w:lang w:eastAsia="en-AU"/>
        </w:rPr>
      </w:pPr>
      <w:r w:rsidRPr="00F14680">
        <w:rPr>
          <w:rFonts w:ascii="Calibri Light" w:hAnsi="Calibri Light" w:cs="Calibri Light"/>
          <w:color w:val="000000" w:themeColor="text1"/>
          <w:lang w:eastAsia="en-AU"/>
        </w:rPr>
        <w:lastRenderedPageBreak/>
        <w:t xml:space="preserve">The Indian Ocean and South Asia are important for global trade, but at times the region’s countries experience political instability, reinforcing the importance of Australia’s </w:t>
      </w:r>
      <w:r w:rsidR="004C72F7">
        <w:rPr>
          <w:rFonts w:ascii="Calibri Light" w:hAnsi="Calibri Light" w:cs="Calibri Light"/>
          <w:color w:val="000000" w:themeColor="text1"/>
          <w:lang w:eastAsia="en-AU"/>
        </w:rPr>
        <w:t xml:space="preserve">bilateral and regional development </w:t>
      </w:r>
      <w:r w:rsidRPr="00F14680">
        <w:rPr>
          <w:rFonts w:ascii="Calibri Light" w:hAnsi="Calibri Light" w:cs="Calibri Light"/>
          <w:color w:val="000000" w:themeColor="text1"/>
          <w:lang w:eastAsia="en-AU"/>
        </w:rPr>
        <w:t>efforts to bolster regional stability and support resilience.</w:t>
      </w:r>
    </w:p>
    <w:p w14:paraId="73D60303" w14:textId="77777777" w:rsidR="002F4955" w:rsidRPr="003632CD" w:rsidRDefault="002F4955" w:rsidP="008C4BCF">
      <w:pPr>
        <w:pStyle w:val="H3-Heading3"/>
        <w:rPr>
          <w:lang w:eastAsia="en-AU"/>
        </w:rPr>
      </w:pPr>
      <w:r w:rsidRPr="003632CD">
        <w:rPr>
          <w:lang w:eastAsia="en-AU"/>
        </w:rPr>
        <w:t>Climate change</w:t>
      </w:r>
    </w:p>
    <w:p w14:paraId="225981D9" w14:textId="132AD31E" w:rsidR="00766B24" w:rsidRDefault="00766B24" w:rsidP="00766B24">
      <w:pPr>
        <w:rPr>
          <w:lang w:eastAsia="en-AU"/>
        </w:rPr>
      </w:pPr>
      <w:r w:rsidRPr="0030549F">
        <w:rPr>
          <w:lang w:eastAsia="en-AU"/>
        </w:rPr>
        <w:t>South Asian countries (especially Afghanistan</w:t>
      </w:r>
      <w:r>
        <w:rPr>
          <w:lang w:eastAsia="en-AU"/>
        </w:rPr>
        <w:t>,</w:t>
      </w:r>
      <w:r w:rsidRPr="0030549F">
        <w:rPr>
          <w:lang w:eastAsia="en-AU"/>
        </w:rPr>
        <w:t xml:space="preserve"> Bangladesh, India</w:t>
      </w:r>
      <w:r>
        <w:rPr>
          <w:lang w:eastAsia="en-AU"/>
        </w:rPr>
        <w:t>,</w:t>
      </w:r>
      <w:r w:rsidRPr="0030549F">
        <w:rPr>
          <w:lang w:eastAsia="en-AU"/>
        </w:rPr>
        <w:t xml:space="preserve"> </w:t>
      </w:r>
      <w:r>
        <w:rPr>
          <w:lang w:eastAsia="en-AU"/>
        </w:rPr>
        <w:t>Maldives</w:t>
      </w:r>
      <w:r w:rsidRPr="0030549F">
        <w:rPr>
          <w:lang w:eastAsia="en-AU"/>
        </w:rPr>
        <w:t xml:space="preserve"> and</w:t>
      </w:r>
      <w:r>
        <w:rPr>
          <w:lang w:eastAsia="en-AU"/>
        </w:rPr>
        <w:t xml:space="preserve"> </w:t>
      </w:r>
      <w:r w:rsidRPr="0030549F">
        <w:rPr>
          <w:lang w:eastAsia="en-AU"/>
        </w:rPr>
        <w:t xml:space="preserve">Pakistan) are </w:t>
      </w:r>
      <w:r>
        <w:rPr>
          <w:lang w:eastAsia="en-AU"/>
        </w:rPr>
        <w:t>among</w:t>
      </w:r>
      <w:r w:rsidRPr="0030549F">
        <w:rPr>
          <w:lang w:eastAsia="en-AU"/>
        </w:rPr>
        <w:t xml:space="preserve"> the most vulnerable to climate change impacts, facing rising sea levels, flooding, drought and extreme temperatures. </w:t>
      </w:r>
      <w:hyperlink r:id="rId15" w:history="1">
        <w:r>
          <w:rPr>
            <w:lang w:eastAsia="en-AU"/>
          </w:rPr>
          <w:t>More than</w:t>
        </w:r>
        <w:r w:rsidRPr="0030549F">
          <w:rPr>
            <w:lang w:eastAsia="en-AU"/>
          </w:rPr>
          <w:t xml:space="preserve"> 750</w:t>
        </w:r>
        <w:r>
          <w:rPr>
            <w:lang w:eastAsia="en-AU"/>
          </w:rPr>
          <w:t> </w:t>
        </w:r>
        <w:r w:rsidRPr="0030549F">
          <w:rPr>
            <w:lang w:eastAsia="en-AU"/>
          </w:rPr>
          <w:t>million people in South Asia have been impacted by one or more climate-related disaster</w:t>
        </w:r>
      </w:hyperlink>
      <w:r w:rsidRPr="0030549F">
        <w:rPr>
          <w:lang w:eastAsia="en-AU"/>
        </w:rPr>
        <w:t xml:space="preserve">s in the </w:t>
      </w:r>
      <w:r>
        <w:rPr>
          <w:lang w:eastAsia="en-AU"/>
        </w:rPr>
        <w:t>p</w:t>
      </w:r>
      <w:r w:rsidRPr="0030549F">
        <w:rPr>
          <w:lang w:eastAsia="en-AU"/>
        </w:rPr>
        <w:t xml:space="preserve">ast </w:t>
      </w:r>
      <w:r w:rsidR="007F08A2">
        <w:rPr>
          <w:lang w:eastAsia="en-AU"/>
        </w:rPr>
        <w:t>two</w:t>
      </w:r>
      <w:r w:rsidR="00082F4B">
        <w:rPr>
          <w:lang w:eastAsia="en-AU"/>
        </w:rPr>
        <w:t> </w:t>
      </w:r>
      <w:r w:rsidRPr="0030549F">
        <w:rPr>
          <w:lang w:eastAsia="en-AU"/>
        </w:rPr>
        <w:t>decades.</w:t>
      </w:r>
      <w:r w:rsidRPr="0030549F">
        <w:rPr>
          <w:rStyle w:val="EndnoteReference"/>
          <w:rFonts w:cstheme="majorHAnsi"/>
        </w:rPr>
        <w:endnoteReference w:id="9"/>
      </w:r>
    </w:p>
    <w:p w14:paraId="6D9D72A0" w14:textId="17D92AC5" w:rsidR="00590A6A" w:rsidRDefault="00766B24" w:rsidP="00DE587A">
      <w:r w:rsidRPr="0030549F">
        <w:t>Changes in rainfall patterns</w:t>
      </w:r>
      <w:r w:rsidR="002F02BC">
        <w:t xml:space="preserve">, </w:t>
      </w:r>
      <w:r w:rsidRPr="0030549F">
        <w:t>increased extreme weather events</w:t>
      </w:r>
      <w:r w:rsidR="002F02BC">
        <w:t xml:space="preserve">, </w:t>
      </w:r>
      <w:r w:rsidR="00C544F6">
        <w:t xml:space="preserve">rapid </w:t>
      </w:r>
      <w:r w:rsidR="002F02BC">
        <w:t xml:space="preserve">urbanisation and </w:t>
      </w:r>
      <w:r w:rsidR="00DC6F22">
        <w:t xml:space="preserve">growing industrial </w:t>
      </w:r>
      <w:r w:rsidR="00C544F6">
        <w:t>demands</w:t>
      </w:r>
      <w:r w:rsidRPr="0030549F">
        <w:t xml:space="preserve"> are leading to</w:t>
      </w:r>
      <w:r w:rsidR="0098771B">
        <w:t xml:space="preserve"> extreme water vulnerability </w:t>
      </w:r>
      <w:r w:rsidR="00C0543A">
        <w:t>across</w:t>
      </w:r>
      <w:r w:rsidR="0098771B">
        <w:t xml:space="preserve"> South Asia. </w:t>
      </w:r>
      <w:r w:rsidR="00F05E8A">
        <w:t>H</w:t>
      </w:r>
      <w:r w:rsidR="00F94FD1">
        <w:t xml:space="preserve">igh levels of water scarcity </w:t>
      </w:r>
      <w:r w:rsidR="001D57D2">
        <w:t>in agricultural areas</w:t>
      </w:r>
      <w:r w:rsidR="0072418C">
        <w:t xml:space="preserve"> and </w:t>
      </w:r>
      <w:r w:rsidR="001E746D">
        <w:t>over-extraction of groundwater</w:t>
      </w:r>
      <w:r w:rsidR="001D57D2">
        <w:t xml:space="preserve"> </w:t>
      </w:r>
      <w:r w:rsidR="0054513A">
        <w:t>are</w:t>
      </w:r>
      <w:r w:rsidR="001D57D2">
        <w:t xml:space="preserve"> leading to </w:t>
      </w:r>
      <w:r w:rsidRPr="0030549F">
        <w:t>reduced crop yields, affecting</w:t>
      </w:r>
      <w:r w:rsidR="0054513A">
        <w:t xml:space="preserve"> farmer</w:t>
      </w:r>
      <w:r w:rsidRPr="0030549F">
        <w:t xml:space="preserve"> livelihoods and exacerbating poverty. </w:t>
      </w:r>
      <w:r w:rsidR="00597193">
        <w:t xml:space="preserve">Poor quality water </w:t>
      </w:r>
      <w:r w:rsidR="00206894">
        <w:t xml:space="preserve">and mismanagement </w:t>
      </w:r>
      <w:r w:rsidR="00597193">
        <w:t xml:space="preserve">of water resources </w:t>
      </w:r>
      <w:r w:rsidR="0034582A">
        <w:t>are</w:t>
      </w:r>
      <w:r w:rsidR="00F37653">
        <w:t xml:space="preserve"> causing </w:t>
      </w:r>
      <w:r w:rsidR="00597193">
        <w:t>increase</w:t>
      </w:r>
      <w:r w:rsidR="00206894">
        <w:t>s</w:t>
      </w:r>
      <w:r w:rsidR="00597193">
        <w:t xml:space="preserve"> in waterborne diseases</w:t>
      </w:r>
      <w:r w:rsidR="00206894">
        <w:t>.</w:t>
      </w:r>
    </w:p>
    <w:p w14:paraId="2D64721F" w14:textId="014A8B3B" w:rsidR="00CE0F63" w:rsidRDefault="00E60C74" w:rsidP="00DE587A">
      <w:r>
        <w:t xml:space="preserve">As </w:t>
      </w:r>
      <w:r w:rsidR="00F37653">
        <w:t>the driest continent</w:t>
      </w:r>
      <w:r>
        <w:t xml:space="preserve">, Australia has </w:t>
      </w:r>
      <w:r w:rsidR="001B00C0">
        <w:t xml:space="preserve">significant </w:t>
      </w:r>
      <w:r>
        <w:t xml:space="preserve">experience in water resource management, circular economy approaches, </w:t>
      </w:r>
      <w:r w:rsidR="002A286E">
        <w:t xml:space="preserve">and </w:t>
      </w:r>
      <w:r w:rsidR="00F07203">
        <w:t xml:space="preserve">managing </w:t>
      </w:r>
      <w:r w:rsidR="002A286E">
        <w:t xml:space="preserve">transboundary water </w:t>
      </w:r>
      <w:r w:rsidR="00F07203">
        <w:t xml:space="preserve">allocations and markets. </w:t>
      </w:r>
      <w:r w:rsidR="00261C69">
        <w:t>We have a decades</w:t>
      </w:r>
      <w:r w:rsidR="001F0ED2">
        <w:t>-</w:t>
      </w:r>
      <w:r w:rsidR="00261C69">
        <w:t xml:space="preserve">long history of working with South Asian governments </w:t>
      </w:r>
      <w:r w:rsidR="001117F1">
        <w:t xml:space="preserve">as a region </w:t>
      </w:r>
      <w:r w:rsidR="0090254B">
        <w:t>to support improved water management in rural and urban settings</w:t>
      </w:r>
      <w:r w:rsidR="00907110">
        <w:t xml:space="preserve"> for more climate resilient communities and cities. </w:t>
      </w:r>
      <w:r w:rsidR="00590A6A">
        <w:t xml:space="preserve">Through various partners, </w:t>
      </w:r>
      <w:r w:rsidR="00953B1E">
        <w:t>Australia is helping mitigate the impact of floods and cyclones</w:t>
      </w:r>
      <w:r w:rsidR="001117F1">
        <w:t>,</w:t>
      </w:r>
      <w:r w:rsidR="00953B1E">
        <w:t xml:space="preserve"> and agencies such as</w:t>
      </w:r>
      <w:r w:rsidR="00E16E23">
        <w:t xml:space="preserve"> the </w:t>
      </w:r>
      <w:r w:rsidR="00E16E23" w:rsidRPr="00E16E23">
        <w:t>Australian Centre for International Agricultural Research</w:t>
      </w:r>
      <w:r w:rsidR="00E16E23">
        <w:t xml:space="preserve"> (</w:t>
      </w:r>
      <w:r w:rsidR="00953B1E">
        <w:t>ACIAR</w:t>
      </w:r>
      <w:r w:rsidR="00E16E23">
        <w:t>)</w:t>
      </w:r>
      <w:r w:rsidR="00953B1E">
        <w:t xml:space="preserve"> and </w:t>
      </w:r>
      <w:r w:rsidR="00571BF8">
        <w:t xml:space="preserve">the </w:t>
      </w:r>
      <w:r w:rsidR="00571BF8" w:rsidRPr="00571BF8">
        <w:t xml:space="preserve">Commonwealth Scientific and Industrial Research Organisation </w:t>
      </w:r>
      <w:r w:rsidR="00571BF8">
        <w:t>(</w:t>
      </w:r>
      <w:r w:rsidR="00953B1E">
        <w:t>CSIRO</w:t>
      </w:r>
      <w:r w:rsidR="00571BF8">
        <w:t>)</w:t>
      </w:r>
      <w:r w:rsidR="00953B1E">
        <w:t xml:space="preserve"> </w:t>
      </w:r>
      <w:r w:rsidR="001117F1">
        <w:t xml:space="preserve">are building on </w:t>
      </w:r>
      <w:r w:rsidR="00E36307">
        <w:t xml:space="preserve">longstanding </w:t>
      </w:r>
      <w:r w:rsidR="001117F1">
        <w:t xml:space="preserve">research </w:t>
      </w:r>
      <w:r w:rsidR="00953B1E">
        <w:t xml:space="preserve">in resilient farming systems, flood prevention, natural hazards mitigation and biodiversity loss reduction. </w:t>
      </w:r>
      <w:r w:rsidR="00590A6A">
        <w:t>The regional DPP will have a great</w:t>
      </w:r>
      <w:r w:rsidR="00E36307">
        <w:t>er</w:t>
      </w:r>
      <w:r w:rsidR="00590A6A">
        <w:t xml:space="preserve"> focus on climate change as a cross</w:t>
      </w:r>
      <w:r w:rsidR="00FC0455">
        <w:t>-</w:t>
      </w:r>
      <w:r w:rsidR="00590A6A">
        <w:t>cutting theme in all investments and on water security.</w:t>
      </w:r>
    </w:p>
    <w:p w14:paraId="00419C5F" w14:textId="63A57442" w:rsidR="00766B24" w:rsidRPr="0030549F" w:rsidRDefault="00766B24" w:rsidP="00DE587A">
      <w:r w:rsidRPr="0030549F">
        <w:t>The poorest and most vulnerable bear the brunt of climate change impacts</w:t>
      </w:r>
      <w:r w:rsidRPr="0030549F">
        <w:rPr>
          <w:color w:val="000000" w:themeColor="text1"/>
          <w:lang w:eastAsia="en-AU"/>
        </w:rPr>
        <w:t>.</w:t>
      </w:r>
      <w:r w:rsidRPr="0030549F">
        <w:t xml:space="preserve"> The region is projected to have the </w:t>
      </w:r>
      <w:r w:rsidR="00E36307">
        <w:t xml:space="preserve">world’s </w:t>
      </w:r>
      <w:r w:rsidRPr="0030549F">
        <w:t>largest food-insecure population by 2050.</w:t>
      </w:r>
      <w:r w:rsidR="002418F9">
        <w:rPr>
          <w:rStyle w:val="EndnoteReference"/>
        </w:rPr>
        <w:endnoteReference w:id="10"/>
      </w:r>
      <w:r w:rsidRPr="0030549F">
        <w:t xml:space="preserve"> Some 347</w:t>
      </w:r>
      <w:r>
        <w:t> </w:t>
      </w:r>
      <w:r w:rsidRPr="0030549F">
        <w:t>million children in South Asia face severe water shortages</w:t>
      </w:r>
      <w:r>
        <w:t>,</w:t>
      </w:r>
      <w:r w:rsidR="00243476">
        <w:t xml:space="preserve"> affecting their wellbeing and growth and exposing them to food insecurity, malnutrition </w:t>
      </w:r>
      <w:r w:rsidR="00CE0F63">
        <w:t>and waterborne</w:t>
      </w:r>
      <w:r w:rsidR="000C09B2">
        <w:t> </w:t>
      </w:r>
      <w:r w:rsidR="00CE0F63">
        <w:t>diseases</w:t>
      </w:r>
      <w:r w:rsidRPr="0030549F">
        <w:t>.</w:t>
      </w:r>
    </w:p>
    <w:p w14:paraId="5EE60243" w14:textId="46898CBD" w:rsidR="00A0470A" w:rsidRPr="00EE497B" w:rsidRDefault="00A0470A" w:rsidP="00A0470A">
      <w:r w:rsidRPr="00EE497B">
        <w:t>South Asian governments have ambitious responses to meet United Nations Framework Convention on Climate Change (UNFCCC) and Paris Agreement goals, although meeting their Nationally Determined Contributions targets will require an estimated USD2.7 trillion in climate investments.</w:t>
      </w:r>
      <w:r w:rsidR="00E627EB">
        <w:rPr>
          <w:rStyle w:val="EndnoteReference"/>
        </w:rPr>
        <w:endnoteReference w:id="11"/>
      </w:r>
      <w:r w:rsidRPr="00EE497B">
        <w:t xml:space="preserve"> Climate financing in South Asia must increase at least tenfold in the next decade to meet the required investment.</w:t>
      </w:r>
      <w:r w:rsidR="00E627EB">
        <w:rPr>
          <w:rStyle w:val="EndnoteReference"/>
        </w:rPr>
        <w:endnoteReference w:id="12"/>
      </w:r>
      <w:r>
        <w:rPr>
          <w:rFonts w:cstheme="majorHAnsi"/>
        </w:rPr>
        <w:t xml:space="preserve"> </w:t>
      </w:r>
      <w:r w:rsidR="002D7E61">
        <w:rPr>
          <w:rFonts w:cstheme="majorHAnsi"/>
        </w:rPr>
        <w:t xml:space="preserve">Australia will continue working with the World Bank and the International Finance Corporation </w:t>
      </w:r>
      <w:r w:rsidR="00EB5803">
        <w:rPr>
          <w:rFonts w:cstheme="majorHAnsi"/>
        </w:rPr>
        <w:t xml:space="preserve">(IFC) </w:t>
      </w:r>
      <w:r w:rsidR="002D7E61">
        <w:rPr>
          <w:rFonts w:cstheme="majorHAnsi"/>
        </w:rPr>
        <w:t xml:space="preserve">to </w:t>
      </w:r>
      <w:r w:rsidR="00DF4B2D">
        <w:rPr>
          <w:rFonts w:cstheme="majorHAnsi"/>
        </w:rPr>
        <w:t xml:space="preserve">leverage loans and private sector investment in transport and green energy infrastructure to help South Asian countries narrow their financing gaps and </w:t>
      </w:r>
      <w:r w:rsidR="00084B64">
        <w:rPr>
          <w:rFonts w:cstheme="majorHAnsi"/>
        </w:rPr>
        <w:t>work towards their energy transition goals.</w:t>
      </w:r>
    </w:p>
    <w:p w14:paraId="2D320CF4" w14:textId="6C9B69A3" w:rsidR="002F4955" w:rsidRPr="00DC48C8" w:rsidRDefault="002F4955" w:rsidP="001450D2">
      <w:pPr>
        <w:pStyle w:val="H3-Heading3"/>
        <w:rPr>
          <w:lang w:eastAsia="en-AU"/>
        </w:rPr>
      </w:pPr>
      <w:r w:rsidRPr="413282F0">
        <w:rPr>
          <w:lang w:eastAsia="en-AU"/>
        </w:rPr>
        <w:t xml:space="preserve">Gender </w:t>
      </w:r>
      <w:r w:rsidR="00DE587A">
        <w:rPr>
          <w:lang w:eastAsia="en-AU"/>
        </w:rPr>
        <w:t>e</w:t>
      </w:r>
      <w:r w:rsidRPr="413282F0">
        <w:rPr>
          <w:lang w:eastAsia="en-AU"/>
        </w:rPr>
        <w:t xml:space="preserve">quality, </w:t>
      </w:r>
      <w:r w:rsidR="00DE587A">
        <w:rPr>
          <w:lang w:eastAsia="en-AU"/>
        </w:rPr>
        <w:t>d</w:t>
      </w:r>
      <w:r w:rsidRPr="413282F0">
        <w:rPr>
          <w:lang w:eastAsia="en-AU"/>
        </w:rPr>
        <w:t xml:space="preserve">isability and </w:t>
      </w:r>
      <w:r w:rsidR="00DE587A">
        <w:rPr>
          <w:lang w:eastAsia="en-AU"/>
        </w:rPr>
        <w:t>s</w:t>
      </w:r>
      <w:r w:rsidRPr="413282F0">
        <w:rPr>
          <w:lang w:eastAsia="en-AU"/>
        </w:rPr>
        <w:t xml:space="preserve">ocial </w:t>
      </w:r>
      <w:r w:rsidR="00DE587A">
        <w:rPr>
          <w:lang w:eastAsia="en-AU"/>
        </w:rPr>
        <w:t>i</w:t>
      </w:r>
      <w:r w:rsidRPr="413282F0">
        <w:rPr>
          <w:lang w:eastAsia="en-AU"/>
        </w:rPr>
        <w:t>nclusion</w:t>
      </w:r>
      <w:r w:rsidR="001F625C">
        <w:rPr>
          <w:lang w:eastAsia="en-AU"/>
        </w:rPr>
        <w:t xml:space="preserve"> (GEDSI)</w:t>
      </w:r>
    </w:p>
    <w:p w14:paraId="375C1DE8" w14:textId="6DEEDA3C" w:rsidR="00CF066B" w:rsidRDefault="00D04B30" w:rsidP="00D95035">
      <w:r>
        <w:t xml:space="preserve">Although </w:t>
      </w:r>
      <w:r w:rsidR="003825BA">
        <w:t xml:space="preserve">there has been </w:t>
      </w:r>
      <w:r w:rsidR="00981332">
        <w:t xml:space="preserve">some </w:t>
      </w:r>
      <w:r w:rsidR="003825BA">
        <w:t xml:space="preserve">progress </w:t>
      </w:r>
      <w:r w:rsidR="00981332">
        <w:t xml:space="preserve">to increase </w:t>
      </w:r>
      <w:r w:rsidR="003825BA">
        <w:t xml:space="preserve">inclusion of </w:t>
      </w:r>
      <w:r w:rsidR="00981332">
        <w:t>marginalised and vulnerable groups in South Asia</w:t>
      </w:r>
      <w:r w:rsidR="00C04C63">
        <w:t xml:space="preserve"> –</w:t>
      </w:r>
      <w:r w:rsidR="00C04C63" w:rsidRPr="00C04C63">
        <w:t xml:space="preserve"> </w:t>
      </w:r>
      <w:r w:rsidR="00C04C63">
        <w:t>including women and girls, people with disability and people experiencing other forms of marginalisation and discrimination –</w:t>
      </w:r>
      <w:r w:rsidR="00981332">
        <w:t xml:space="preserve"> there are still myriad challenges </w:t>
      </w:r>
      <w:r w:rsidR="00267EFF">
        <w:t>facing these groups</w:t>
      </w:r>
      <w:r w:rsidR="00E42EFA">
        <w:t>.</w:t>
      </w:r>
    </w:p>
    <w:p w14:paraId="3EB4DE0F" w14:textId="01FF8F3F" w:rsidR="00E42EFA" w:rsidRDefault="00E42EFA" w:rsidP="00D95035">
      <w:r>
        <w:t xml:space="preserve">South Asia has one of the lowest rates of female labour force participation </w:t>
      </w:r>
      <w:r w:rsidR="007511F5">
        <w:t xml:space="preserve">globally, </w:t>
      </w:r>
      <w:r w:rsidR="00150D70">
        <w:t xml:space="preserve">exacerbating gender inequality and creating </w:t>
      </w:r>
      <w:r w:rsidR="009814F4">
        <w:t xml:space="preserve">opportunity losses in </w:t>
      </w:r>
      <w:r w:rsidR="005C07C1">
        <w:t xml:space="preserve">household incomes, and national </w:t>
      </w:r>
      <w:r w:rsidR="009814F4">
        <w:t xml:space="preserve">productivity and economic growth. </w:t>
      </w:r>
      <w:r w:rsidR="006421A5" w:rsidRPr="0030549F">
        <w:t>Whil</w:t>
      </w:r>
      <w:r w:rsidR="006421A5">
        <w:t>e</w:t>
      </w:r>
      <w:r w:rsidR="006421A5" w:rsidRPr="0030549F">
        <w:t xml:space="preserve"> women in South Asia </w:t>
      </w:r>
      <w:r w:rsidR="006421A5">
        <w:t xml:space="preserve">now </w:t>
      </w:r>
      <w:r w:rsidR="006421A5" w:rsidRPr="0030549F">
        <w:t xml:space="preserve">have </w:t>
      </w:r>
      <w:r w:rsidR="006421A5">
        <w:t xml:space="preserve">improved </w:t>
      </w:r>
      <w:r w:rsidR="006421A5" w:rsidRPr="0030549F">
        <w:t>access to financial services</w:t>
      </w:r>
      <w:r w:rsidR="006421A5">
        <w:t>,</w:t>
      </w:r>
      <w:r w:rsidR="006421A5" w:rsidRPr="0030549F">
        <w:t xml:space="preserve"> with ownership of financial accounts increasing from 24</w:t>
      </w:r>
      <w:r w:rsidR="006421A5">
        <w:t xml:space="preserve"> per cent </w:t>
      </w:r>
      <w:r w:rsidR="006421A5" w:rsidRPr="0030549F">
        <w:t>to 66</w:t>
      </w:r>
      <w:r w:rsidR="006421A5">
        <w:t> </w:t>
      </w:r>
      <w:r w:rsidR="006421A5" w:rsidRPr="0030549F">
        <w:t xml:space="preserve">per cent in </w:t>
      </w:r>
      <w:r w:rsidR="007F08A2">
        <w:t>one</w:t>
      </w:r>
      <w:r w:rsidR="00DF64A9">
        <w:t> </w:t>
      </w:r>
      <w:r w:rsidR="006421A5" w:rsidRPr="0030549F">
        <w:t>decade, structural barriers in the labour market remain.</w:t>
      </w:r>
      <w:r w:rsidR="006421A5" w:rsidRPr="0030549F">
        <w:rPr>
          <w:rStyle w:val="EndnoteReference"/>
          <w:rFonts w:cstheme="majorHAnsi"/>
        </w:rPr>
        <w:endnoteReference w:id="13"/>
      </w:r>
      <w:r w:rsidR="006421A5" w:rsidRPr="0030549F">
        <w:t xml:space="preserve"> The average </w:t>
      </w:r>
      <w:r w:rsidR="006421A5">
        <w:t xml:space="preserve">South Asia </w:t>
      </w:r>
      <w:r w:rsidR="006421A5" w:rsidRPr="0030549F">
        <w:t>labour force participation rate is 78.9</w:t>
      </w:r>
      <w:r w:rsidR="006421A5">
        <w:t> </w:t>
      </w:r>
      <w:r w:rsidR="006421A5" w:rsidRPr="0030549F">
        <w:t>per cent for men and only 39.9</w:t>
      </w:r>
      <w:r w:rsidR="006421A5">
        <w:t> </w:t>
      </w:r>
      <w:r w:rsidR="006421A5" w:rsidRPr="0030549F">
        <w:t>per cent for women.</w:t>
      </w:r>
      <w:r w:rsidR="006421A5" w:rsidRPr="0030549F">
        <w:rPr>
          <w:rStyle w:val="EndnoteReference"/>
          <w:rFonts w:cstheme="majorHAnsi"/>
        </w:rPr>
        <w:endnoteReference w:id="14"/>
      </w:r>
      <w:r w:rsidR="006421A5" w:rsidRPr="0030549F">
        <w:t xml:space="preserve"> The gender pay gap is particularly pervasive in South Asia</w:t>
      </w:r>
      <w:r w:rsidR="006606A7">
        <w:t>;</w:t>
      </w:r>
      <w:r w:rsidR="006421A5" w:rsidRPr="0030549F">
        <w:t xml:space="preserve"> some countries report disparities of more than 30</w:t>
      </w:r>
      <w:r w:rsidR="006421A5">
        <w:t> </w:t>
      </w:r>
      <w:r w:rsidR="006421A5" w:rsidRPr="0030549F">
        <w:t>per cent.</w:t>
      </w:r>
      <w:r w:rsidR="006421A5" w:rsidRPr="0030549F">
        <w:rPr>
          <w:rStyle w:val="EndnoteReference"/>
          <w:rFonts w:cstheme="majorHAnsi"/>
        </w:rPr>
        <w:endnoteReference w:id="15"/>
      </w:r>
    </w:p>
    <w:p w14:paraId="4166D704" w14:textId="74BB9944" w:rsidR="004568B9" w:rsidRDefault="004568B9" w:rsidP="00D95035">
      <w:r w:rsidRPr="0030549F">
        <w:lastRenderedPageBreak/>
        <w:t>Gender-based violence</w:t>
      </w:r>
      <w:r w:rsidR="004161FB">
        <w:t xml:space="preserve"> rates </w:t>
      </w:r>
      <w:r w:rsidR="000226CC">
        <w:t>are some of the highest in the world</w:t>
      </w:r>
      <w:r w:rsidR="002B4D02">
        <w:t>.</w:t>
      </w:r>
      <w:r w:rsidR="000226CC">
        <w:t xml:space="preserve"> </w:t>
      </w:r>
      <w:r w:rsidR="002B4D02">
        <w:t>T</w:t>
      </w:r>
      <w:r w:rsidR="000226CC">
        <w:t xml:space="preserve">he prevalence of lifetime intimate partner violence </w:t>
      </w:r>
      <w:r w:rsidR="004D27D9">
        <w:t xml:space="preserve">is </w:t>
      </w:r>
      <w:r w:rsidR="000226CC">
        <w:t>35</w:t>
      </w:r>
      <w:r w:rsidR="00C05F17">
        <w:t> </w:t>
      </w:r>
      <w:r w:rsidR="000226CC">
        <w:t>per cent higher than the global average</w:t>
      </w:r>
      <w:r w:rsidR="00CF6A5F">
        <w:t>.</w:t>
      </w:r>
      <w:r w:rsidR="00CF6A5F">
        <w:rPr>
          <w:rStyle w:val="EndnoteReference"/>
        </w:rPr>
        <w:endnoteReference w:id="16"/>
      </w:r>
      <w:r w:rsidR="009E1558">
        <w:t xml:space="preserve"> Rates of </w:t>
      </w:r>
      <w:r w:rsidRPr="0030549F">
        <w:t>early and forced marriage (44</w:t>
      </w:r>
      <w:r>
        <w:t> </w:t>
      </w:r>
      <w:r w:rsidRPr="0030549F">
        <w:t>per cent of all child brides come from South Asia)</w:t>
      </w:r>
      <w:r>
        <w:t>,</w:t>
      </w:r>
      <w:r w:rsidRPr="0030549F">
        <w:t xml:space="preserve"> teenage pregnancy, human trafficking, and sexual harassment and abuse in workplaces and schools</w:t>
      </w:r>
      <w:r w:rsidR="009E1558">
        <w:t xml:space="preserve"> are all high</w:t>
      </w:r>
      <w:r w:rsidRPr="0030549F">
        <w:t>.</w:t>
      </w:r>
    </w:p>
    <w:p w14:paraId="59B36936" w14:textId="41F5CAF7" w:rsidR="00372DD9" w:rsidRPr="0030549F" w:rsidRDefault="00372DD9" w:rsidP="00D95035">
      <w:r w:rsidRPr="0030549F">
        <w:t>Discriminatory laws and socio</w:t>
      </w:r>
      <w:r>
        <w:t>cultural</w:t>
      </w:r>
      <w:r w:rsidRPr="0030549F">
        <w:t xml:space="preserve"> norms continue to marginalise and exclude people of diverse sexual orientation and gender identities from education, health services, housing, employment opportunities and access to resources</w:t>
      </w:r>
      <w:r>
        <w:t>.</w:t>
      </w:r>
    </w:p>
    <w:p w14:paraId="215385E7" w14:textId="331615C2" w:rsidR="004568B9" w:rsidRPr="0074102F" w:rsidRDefault="002576DA" w:rsidP="0058558A">
      <w:r>
        <w:t>The prevalence of disabilities in South Asia is varied and under</w:t>
      </w:r>
      <w:r w:rsidR="005473C7">
        <w:t>-</w:t>
      </w:r>
      <w:r>
        <w:t xml:space="preserve">reported. </w:t>
      </w:r>
      <w:r w:rsidR="002F46EC" w:rsidRPr="000070A5">
        <w:t xml:space="preserve">There </w:t>
      </w:r>
      <w:r w:rsidR="005473C7">
        <w:t>are</w:t>
      </w:r>
      <w:r w:rsidR="002F46EC" w:rsidRPr="000070A5">
        <w:t xml:space="preserve"> limited accurate</w:t>
      </w:r>
      <w:r w:rsidR="0047189E">
        <w:t>,</w:t>
      </w:r>
      <w:r w:rsidR="002F46EC" w:rsidRPr="000070A5">
        <w:t xml:space="preserve"> disaggregated data available on disability prevalence in South Asia</w:t>
      </w:r>
      <w:r w:rsidR="00D1419C" w:rsidRPr="00B64FDA">
        <w:t xml:space="preserve">. </w:t>
      </w:r>
      <w:r w:rsidR="000A5463">
        <w:t>I</w:t>
      </w:r>
      <w:r w:rsidR="004568B9" w:rsidRPr="0030549F">
        <w:t xml:space="preserve">nformation on barriers to participation and access is difficult to find. Health </w:t>
      </w:r>
      <w:r w:rsidR="004568B9" w:rsidRPr="0074102F">
        <w:t>inequalities are usually more acute for people with disability.</w:t>
      </w:r>
    </w:p>
    <w:p w14:paraId="4FFAF290" w14:textId="68355907" w:rsidR="00AE3891" w:rsidRDefault="004568B9" w:rsidP="00FD396C">
      <w:r w:rsidRPr="0074102F">
        <w:t>Australia is well placed to help advance gender equality and inclusion in South Asia</w:t>
      </w:r>
      <w:r w:rsidR="00997EE7" w:rsidRPr="0074102F">
        <w:t xml:space="preserve">. DPP consultations </w:t>
      </w:r>
      <w:r w:rsidR="00E14B88" w:rsidRPr="0074102F">
        <w:t xml:space="preserve">confirmed that Australia is viewed as a leader in promoting </w:t>
      </w:r>
      <w:r w:rsidR="00F0172C">
        <w:t>GEDSI</w:t>
      </w:r>
      <w:r w:rsidR="00E14B88" w:rsidRPr="0074102F">
        <w:t xml:space="preserve">. </w:t>
      </w:r>
      <w:r w:rsidRPr="0074102F">
        <w:t xml:space="preserve">Through </w:t>
      </w:r>
      <w:r w:rsidR="00B85729" w:rsidRPr="0074102F">
        <w:t xml:space="preserve">our regional </w:t>
      </w:r>
      <w:r w:rsidR="00785315" w:rsidRPr="0074102F">
        <w:t xml:space="preserve">programs </w:t>
      </w:r>
      <w:r w:rsidR="00E35177" w:rsidRPr="0074102F">
        <w:t xml:space="preserve">we will </w:t>
      </w:r>
      <w:r w:rsidR="000E28F4" w:rsidRPr="0074102F">
        <w:t>provide platforms to share lessons across the region and support</w:t>
      </w:r>
      <w:r w:rsidR="00D158CA" w:rsidRPr="0074102F">
        <w:t xml:space="preserve"> </w:t>
      </w:r>
      <w:r w:rsidR="002565BE" w:rsidRPr="0074102F">
        <w:t xml:space="preserve">local leaders </w:t>
      </w:r>
      <w:r w:rsidR="00C644A4">
        <w:t xml:space="preserve">to </w:t>
      </w:r>
      <w:r w:rsidR="00B07731" w:rsidRPr="0074102F">
        <w:t>build network</w:t>
      </w:r>
      <w:r w:rsidR="00C644A4">
        <w:t>s</w:t>
      </w:r>
      <w:r w:rsidR="00B07731" w:rsidRPr="0074102F">
        <w:t xml:space="preserve"> to</w:t>
      </w:r>
      <w:r w:rsidR="002565BE" w:rsidRPr="0074102F">
        <w:t xml:space="preserve"> drive change</w:t>
      </w:r>
      <w:r w:rsidR="00D158CA" w:rsidRPr="0074102F">
        <w:t>.</w:t>
      </w:r>
      <w:r w:rsidRPr="0074102F">
        <w:t xml:space="preserve"> The </w:t>
      </w:r>
      <w:r w:rsidR="00D158CA" w:rsidRPr="0074102F">
        <w:t xml:space="preserve">South Asia DPP </w:t>
      </w:r>
      <w:r w:rsidRPr="0074102F">
        <w:t xml:space="preserve">will mainstream GEDSI considerations across current and new investments, including </w:t>
      </w:r>
      <w:r w:rsidR="00363FD5">
        <w:t xml:space="preserve">through </w:t>
      </w:r>
      <w:r w:rsidRPr="0074102F">
        <w:t>targeted GEDSI activities; monitoring, evaluation and learning; and ensuring training is inclusive. We will actively encourage</w:t>
      </w:r>
      <w:r w:rsidRPr="0030549F">
        <w:t xml:space="preserve"> our partners to increase their </w:t>
      </w:r>
      <w:r w:rsidR="008B4154">
        <w:t xml:space="preserve">focus on </w:t>
      </w:r>
      <w:r w:rsidRPr="0030549F">
        <w:t xml:space="preserve">GEDSI. </w:t>
      </w:r>
      <w:r w:rsidR="008B4154">
        <w:t xml:space="preserve">The DPP mid-cycle review will consider progress on </w:t>
      </w:r>
      <w:r w:rsidRPr="0030549F">
        <w:t>GEDSI</w:t>
      </w:r>
      <w:r w:rsidR="0030256E">
        <w:t>,</w:t>
      </w:r>
      <w:r w:rsidRPr="0030549F">
        <w:t xml:space="preserve"> </w:t>
      </w:r>
      <w:r w:rsidR="002B5AAC">
        <w:t>including lessons from</w:t>
      </w:r>
      <w:r w:rsidRPr="0030549F">
        <w:t xml:space="preserve"> complement</w:t>
      </w:r>
      <w:r w:rsidR="002B5AAC">
        <w:t>ary</w:t>
      </w:r>
      <w:r w:rsidRPr="0030549F">
        <w:t xml:space="preserve"> </w:t>
      </w:r>
      <w:r w:rsidR="002B5AAC">
        <w:t xml:space="preserve">efforts in </w:t>
      </w:r>
      <w:r w:rsidRPr="0030549F">
        <w:t>bilateral and global programs.</w:t>
      </w:r>
    </w:p>
    <w:p w14:paraId="311827DB" w14:textId="77777777" w:rsidR="00AE3891" w:rsidRDefault="00AE3891">
      <w:pPr>
        <w:spacing w:before="0" w:after="0" w:line="240" w:lineRule="auto"/>
      </w:pPr>
      <w:r>
        <w:br w:type="page"/>
      </w:r>
    </w:p>
    <w:p w14:paraId="6938626A" w14:textId="61A54DBD" w:rsidR="002F4955" w:rsidRPr="00DC7B09" w:rsidRDefault="002F4955" w:rsidP="00AE3891">
      <w:pPr>
        <w:pStyle w:val="H2-Heading2"/>
      </w:pPr>
      <w:r w:rsidRPr="00DC7B09">
        <w:lastRenderedPageBreak/>
        <w:t xml:space="preserve">Section 3: Joint objectives of the Australia – </w:t>
      </w:r>
      <w:r w:rsidR="00835283" w:rsidRPr="00AE3891">
        <w:t>South Asia (Regional)</w:t>
      </w:r>
      <w:r w:rsidRPr="00DC7B09">
        <w:t xml:space="preserve"> </w:t>
      </w:r>
      <w:r w:rsidR="00A66D84">
        <w:t>d</w:t>
      </w:r>
      <w:r w:rsidRPr="00DC7B09">
        <w:t xml:space="preserve">evelopment </w:t>
      </w:r>
      <w:r w:rsidR="00A66D84">
        <w:t>p</w:t>
      </w:r>
      <w:r w:rsidRPr="00DC7B09">
        <w:t>artnership</w:t>
      </w:r>
    </w:p>
    <w:p w14:paraId="2A2FD072" w14:textId="1DA43097" w:rsidR="00A435B2" w:rsidRPr="0030549F" w:rsidRDefault="00A435B2" w:rsidP="0058558A">
      <w:r w:rsidRPr="0030549F">
        <w:t xml:space="preserve">The overarching goal for the </w:t>
      </w:r>
      <w:r w:rsidR="00A66D84">
        <w:t xml:space="preserve">Australia – South Asia (Regional) development partnership </w:t>
      </w:r>
      <w:r w:rsidRPr="0030549F">
        <w:t>is a prosperous</w:t>
      </w:r>
      <w:r w:rsidR="00B85729">
        <w:t>,</w:t>
      </w:r>
      <w:r w:rsidR="00063EB7">
        <w:t xml:space="preserve"> </w:t>
      </w:r>
      <w:r w:rsidRPr="0030549F">
        <w:t>resilient</w:t>
      </w:r>
      <w:r w:rsidR="00063EB7">
        <w:t xml:space="preserve"> and stable</w:t>
      </w:r>
      <w:r w:rsidR="007B713B">
        <w:t xml:space="preserve"> </w:t>
      </w:r>
      <w:r w:rsidRPr="0030549F">
        <w:t>South Asia region. Through the consultation process, we reflected on the goals and strategic direction of our current and future programming, as well as how we can best shape the direction of our work in the region. This is shown in our two development partnership objectives and how we will work together to progress each objective, as summarised in Table</w:t>
      </w:r>
      <w:r w:rsidR="006727EC">
        <w:t> </w:t>
      </w:r>
      <w:r w:rsidRPr="0030549F">
        <w:t>1</w:t>
      </w:r>
      <w:r w:rsidR="0097539C">
        <w:t xml:space="preserve"> and set out in detail later in this section</w:t>
      </w:r>
      <w:r w:rsidRPr="0030549F">
        <w:t>.</w:t>
      </w:r>
    </w:p>
    <w:p w14:paraId="5CA9DBF1" w14:textId="784C551B" w:rsidR="002F4955" w:rsidRDefault="00A435B2" w:rsidP="00BD6DC0">
      <w:pPr>
        <w:rPr>
          <w:lang w:eastAsia="en-AU"/>
        </w:rPr>
      </w:pPr>
      <w:r w:rsidRPr="0030549F">
        <w:t>These objectives reflect our regional focus in South Asia and support the priorities presented in the International Development Policy. Current and future investments will contribute to the objectives</w:t>
      </w:r>
      <w:r w:rsidR="00EB3700">
        <w:t>. They will</w:t>
      </w:r>
      <w:r w:rsidR="006D3662">
        <w:t xml:space="preserve"> be coordinated with other development partners and </w:t>
      </w:r>
      <w:r w:rsidR="00EB3700">
        <w:t xml:space="preserve">the regional program will </w:t>
      </w:r>
      <w:r w:rsidR="006D3662">
        <w:t>remain consolidated</w:t>
      </w:r>
      <w:r w:rsidR="00566A1E">
        <w:rPr>
          <w:lang w:eastAsia="en-AU"/>
        </w:rPr>
        <w:t xml:space="preserve">. </w:t>
      </w:r>
      <w:r w:rsidRPr="0030549F">
        <w:t xml:space="preserve">A mid-cycle review of </w:t>
      </w:r>
      <w:r w:rsidRPr="004A182C">
        <w:t xml:space="preserve">this </w:t>
      </w:r>
      <w:r w:rsidR="007F08A2">
        <w:t>five</w:t>
      </w:r>
      <w:r w:rsidR="00073FB4">
        <w:noBreakHyphen/>
      </w:r>
      <w:r w:rsidRPr="004A182C">
        <w:t>year</w:t>
      </w:r>
      <w:r>
        <w:t xml:space="preserve"> </w:t>
      </w:r>
      <w:r w:rsidRPr="0030549F">
        <w:t xml:space="preserve">DPP will be undertaken to track progress and </w:t>
      </w:r>
      <w:proofErr w:type="gramStart"/>
      <w:r w:rsidR="00E75BFF">
        <w:t xml:space="preserve">make </w:t>
      </w:r>
      <w:r w:rsidRPr="0030549F">
        <w:t>adjust</w:t>
      </w:r>
      <w:r w:rsidR="00E75BFF">
        <w:t>ments</w:t>
      </w:r>
      <w:proofErr w:type="gramEnd"/>
      <w:r w:rsidRPr="0030549F">
        <w:t xml:space="preserve"> as required. The objectives also show an evolution in regional programs responding to the transboundary priorities of transport and trade, and water, energy and food security</w:t>
      </w:r>
      <w:r>
        <w:t>,</w:t>
      </w:r>
      <w:r w:rsidRPr="0030549F">
        <w:t xml:space="preserve"> from the previous investments.</w:t>
      </w:r>
    </w:p>
    <w:p w14:paraId="5EF3234A" w14:textId="2369EED0" w:rsidR="003E3B4D" w:rsidRDefault="0022262A" w:rsidP="00F862E6">
      <w:pPr>
        <w:rPr>
          <w:rFonts w:ascii="Calibri Light" w:hAnsi="Calibri Light" w:cs="Calibri Light"/>
          <w:color w:val="000000"/>
          <w:lang w:eastAsia="en-AU"/>
        </w:rPr>
      </w:pPr>
      <w:r>
        <w:rPr>
          <w:lang w:eastAsia="en-AU"/>
        </w:rPr>
        <w:t>This</w:t>
      </w:r>
      <w:r w:rsidR="00F862E6">
        <w:rPr>
          <w:lang w:eastAsia="en-AU"/>
        </w:rPr>
        <w:t xml:space="preserve"> DPP </w:t>
      </w:r>
      <w:r>
        <w:rPr>
          <w:lang w:eastAsia="en-AU"/>
        </w:rPr>
        <w:t>i</w:t>
      </w:r>
      <w:r w:rsidR="00F862E6">
        <w:rPr>
          <w:lang w:eastAsia="en-AU"/>
        </w:rPr>
        <w:t xml:space="preserve">s part of an integrated effort that complements </w:t>
      </w:r>
      <w:r w:rsidR="00CF0EB3">
        <w:rPr>
          <w:lang w:eastAsia="en-AU"/>
        </w:rPr>
        <w:t xml:space="preserve">DFAT’s </w:t>
      </w:r>
      <w:r w:rsidR="00F862E6">
        <w:rPr>
          <w:lang w:eastAsia="en-AU"/>
        </w:rPr>
        <w:t xml:space="preserve">bilateral programs in South Asia and global programs, </w:t>
      </w:r>
      <w:r w:rsidR="00F862E6" w:rsidRPr="00D62059">
        <w:rPr>
          <w:lang w:eastAsia="en-AU"/>
        </w:rPr>
        <w:t xml:space="preserve">as well as non-ODA activities. </w:t>
      </w:r>
      <w:r w:rsidR="00F862E6">
        <w:rPr>
          <w:rFonts w:ascii="Calibri Light" w:hAnsi="Calibri Light" w:cs="Calibri Light"/>
          <w:color w:val="000000" w:themeColor="text1"/>
          <w:lang w:eastAsia="en-AU"/>
        </w:rPr>
        <w:t xml:space="preserve">DFAT </w:t>
      </w:r>
      <w:r w:rsidR="00F862E6" w:rsidRPr="00887B28">
        <w:rPr>
          <w:rFonts w:ascii="Calibri Light" w:hAnsi="Calibri Light" w:cs="Calibri Light"/>
          <w:color w:val="000000" w:themeColor="text1"/>
          <w:lang w:eastAsia="en-AU"/>
        </w:rPr>
        <w:t xml:space="preserve">global programs delivering </w:t>
      </w:r>
      <w:r w:rsidR="00F862E6">
        <w:rPr>
          <w:rFonts w:ascii="Calibri Light" w:hAnsi="Calibri Light" w:cs="Calibri Light"/>
          <w:color w:val="000000" w:themeColor="text1"/>
          <w:lang w:eastAsia="en-AU"/>
        </w:rPr>
        <w:t>efforts around the world</w:t>
      </w:r>
      <w:r w:rsidR="00C41A74">
        <w:rPr>
          <w:rFonts w:ascii="Calibri Light" w:hAnsi="Calibri Light" w:cs="Calibri Light"/>
          <w:color w:val="000000" w:themeColor="text1"/>
          <w:lang w:eastAsia="en-AU"/>
        </w:rPr>
        <w:t xml:space="preserve">, </w:t>
      </w:r>
      <w:r w:rsidR="00F862E6">
        <w:rPr>
          <w:rFonts w:ascii="Calibri Light" w:hAnsi="Calibri Light" w:cs="Calibri Light"/>
          <w:color w:val="000000" w:themeColor="text1"/>
          <w:lang w:eastAsia="en-AU"/>
        </w:rPr>
        <w:t>including in South Asia</w:t>
      </w:r>
      <w:r w:rsidR="00C41A74">
        <w:rPr>
          <w:rFonts w:ascii="Calibri Light" w:hAnsi="Calibri Light" w:cs="Calibri Light"/>
          <w:color w:val="000000" w:themeColor="text1"/>
          <w:lang w:eastAsia="en-AU"/>
        </w:rPr>
        <w:t xml:space="preserve">, </w:t>
      </w:r>
      <w:r w:rsidR="00F862E6" w:rsidRPr="00887B28">
        <w:rPr>
          <w:rFonts w:ascii="Calibri Light" w:hAnsi="Calibri Light" w:cs="Calibri Light"/>
          <w:color w:val="000000" w:themeColor="text1"/>
          <w:lang w:eastAsia="en-AU"/>
        </w:rPr>
        <w:t>provide compl</w:t>
      </w:r>
      <w:r w:rsidR="00F862E6">
        <w:rPr>
          <w:rFonts w:ascii="Calibri Light" w:hAnsi="Calibri Light" w:cs="Calibri Light"/>
          <w:color w:val="000000" w:themeColor="text1"/>
          <w:lang w:eastAsia="en-AU"/>
        </w:rPr>
        <w:t>e</w:t>
      </w:r>
      <w:r w:rsidR="00F862E6" w:rsidRPr="00887B28">
        <w:rPr>
          <w:rFonts w:ascii="Calibri Light" w:hAnsi="Calibri Light" w:cs="Calibri Light"/>
          <w:color w:val="000000" w:themeColor="text1"/>
          <w:lang w:eastAsia="en-AU"/>
        </w:rPr>
        <w:t xml:space="preserve">mentary support to regional and </w:t>
      </w:r>
      <w:r w:rsidR="00F862E6">
        <w:rPr>
          <w:rFonts w:ascii="Calibri Light" w:hAnsi="Calibri Light" w:cs="Calibri Light"/>
          <w:color w:val="000000" w:themeColor="text1"/>
          <w:lang w:eastAsia="en-AU"/>
        </w:rPr>
        <w:t>bilateral</w:t>
      </w:r>
      <w:r w:rsidR="00F862E6" w:rsidRPr="00887B28">
        <w:rPr>
          <w:rFonts w:ascii="Calibri Light" w:hAnsi="Calibri Light" w:cs="Calibri Light"/>
          <w:color w:val="000000" w:themeColor="text1"/>
          <w:lang w:eastAsia="en-AU"/>
        </w:rPr>
        <w:t xml:space="preserve"> programs, including in health, education and social </w:t>
      </w:r>
      <w:r w:rsidR="00F862E6">
        <w:rPr>
          <w:rFonts w:ascii="Calibri Light" w:hAnsi="Calibri Light" w:cs="Calibri Light"/>
          <w:color w:val="000000" w:themeColor="text1"/>
          <w:lang w:eastAsia="en-AU"/>
        </w:rPr>
        <w:t>inclusion</w:t>
      </w:r>
      <w:r w:rsidR="00F862E6" w:rsidRPr="00887B28">
        <w:rPr>
          <w:rFonts w:ascii="Calibri Light" w:hAnsi="Calibri Light" w:cs="Calibri Light"/>
          <w:color w:val="000000" w:themeColor="text1"/>
          <w:lang w:eastAsia="en-AU"/>
        </w:rPr>
        <w:t xml:space="preserve">. For example, </w:t>
      </w:r>
      <w:r w:rsidR="00F862E6">
        <w:rPr>
          <w:rFonts w:ascii="Calibri Light" w:hAnsi="Calibri Light" w:cs="Calibri Light"/>
          <w:color w:val="000000" w:themeColor="text1"/>
          <w:lang w:eastAsia="en-AU"/>
        </w:rPr>
        <w:t>the Indo-Pacific Sexual and Reproductive Health and Rights COVID-19 Surge Response program (SRHR C-Surge)</w:t>
      </w:r>
      <w:r w:rsidR="00F862E6" w:rsidRPr="00887B28">
        <w:rPr>
          <w:rFonts w:ascii="Calibri Light" w:hAnsi="Calibri Light" w:cs="Calibri Light"/>
          <w:color w:val="000000" w:themeColor="text1"/>
          <w:lang w:eastAsia="en-AU"/>
        </w:rPr>
        <w:t xml:space="preserve">, </w:t>
      </w:r>
      <w:r w:rsidR="00D2316F" w:rsidRPr="00887B28">
        <w:rPr>
          <w:rFonts w:ascii="Calibri Light" w:hAnsi="Calibri Light" w:cs="Calibri Light"/>
          <w:color w:val="000000" w:themeColor="text1"/>
          <w:lang w:eastAsia="en-AU"/>
        </w:rPr>
        <w:t>G</w:t>
      </w:r>
      <w:r w:rsidR="00D2316F">
        <w:rPr>
          <w:rFonts w:ascii="Calibri Light" w:hAnsi="Calibri Light" w:cs="Calibri Light"/>
          <w:color w:val="000000" w:themeColor="text1"/>
          <w:lang w:eastAsia="en-AU"/>
        </w:rPr>
        <w:t>avi</w:t>
      </w:r>
      <w:r w:rsidR="00F862E6">
        <w:rPr>
          <w:rFonts w:ascii="Calibri Light" w:hAnsi="Calibri Light" w:cs="Calibri Light"/>
          <w:color w:val="000000" w:themeColor="text1"/>
          <w:lang w:eastAsia="en-AU"/>
        </w:rPr>
        <w:t xml:space="preserve">, </w:t>
      </w:r>
      <w:r w:rsidR="0058689A">
        <w:rPr>
          <w:rFonts w:ascii="Calibri Light" w:hAnsi="Calibri Light" w:cs="Calibri Light"/>
          <w:color w:val="000000" w:themeColor="text1"/>
          <w:lang w:eastAsia="en-AU"/>
        </w:rPr>
        <w:t>t</w:t>
      </w:r>
      <w:r w:rsidR="00F862E6">
        <w:rPr>
          <w:rFonts w:ascii="Calibri Light" w:hAnsi="Calibri Light" w:cs="Calibri Light"/>
          <w:color w:val="000000" w:themeColor="text1"/>
          <w:lang w:eastAsia="en-AU"/>
        </w:rPr>
        <w:t>he Vaccine Alliance</w:t>
      </w:r>
      <w:r w:rsidR="00F862E6" w:rsidRPr="00887B28">
        <w:rPr>
          <w:rFonts w:ascii="Calibri Light" w:hAnsi="Calibri Light" w:cs="Calibri Light"/>
          <w:color w:val="000000" w:themeColor="text1"/>
          <w:lang w:eastAsia="en-AU"/>
        </w:rPr>
        <w:t xml:space="preserve">, </w:t>
      </w:r>
      <w:r w:rsidR="00F862E6">
        <w:rPr>
          <w:rFonts w:ascii="Calibri Light" w:hAnsi="Calibri Light" w:cs="Calibri Light"/>
          <w:color w:val="000000" w:themeColor="text1"/>
          <w:lang w:eastAsia="en-AU"/>
        </w:rPr>
        <w:t xml:space="preserve">the </w:t>
      </w:r>
      <w:r w:rsidR="00F862E6" w:rsidRPr="00887B28">
        <w:rPr>
          <w:rFonts w:ascii="Calibri Light" w:hAnsi="Calibri Light" w:cs="Calibri Light"/>
          <w:color w:val="000000" w:themeColor="text1"/>
          <w:lang w:eastAsia="en-AU"/>
        </w:rPr>
        <w:t>G</w:t>
      </w:r>
      <w:r w:rsidR="00F862E6">
        <w:rPr>
          <w:rFonts w:ascii="Calibri Light" w:hAnsi="Calibri Light" w:cs="Calibri Light"/>
          <w:color w:val="000000" w:themeColor="text1"/>
          <w:lang w:eastAsia="en-AU"/>
        </w:rPr>
        <w:t xml:space="preserve">lobal Partnership for Education, and </w:t>
      </w:r>
      <w:r w:rsidR="00F862E6" w:rsidRPr="0040164B">
        <w:rPr>
          <w:rFonts w:ascii="Calibri Light" w:hAnsi="Calibri Light" w:cs="Calibri Light"/>
          <w:color w:val="000000" w:themeColor="text1"/>
          <w:lang w:eastAsia="en-AU"/>
        </w:rPr>
        <w:t xml:space="preserve">Water for Women promote gender equality through </w:t>
      </w:r>
      <w:proofErr w:type="spellStart"/>
      <w:r w:rsidR="00F862E6" w:rsidRPr="0040164B">
        <w:rPr>
          <w:rFonts w:ascii="Calibri Light" w:hAnsi="Calibri Light" w:cs="Calibri Light"/>
          <w:color w:val="000000" w:themeColor="text1"/>
          <w:lang w:eastAsia="en-AU"/>
        </w:rPr>
        <w:t>multi</w:t>
      </w:r>
      <w:r w:rsidR="00F862E6">
        <w:rPr>
          <w:rFonts w:ascii="Calibri Light" w:hAnsi="Calibri Light" w:cs="Calibri Light"/>
          <w:color w:val="000000" w:themeColor="text1"/>
          <w:lang w:eastAsia="en-AU"/>
        </w:rPr>
        <w:t>country</w:t>
      </w:r>
      <w:proofErr w:type="spellEnd"/>
      <w:r w:rsidR="00F862E6" w:rsidRPr="0040164B">
        <w:rPr>
          <w:rFonts w:ascii="Calibri Light" w:hAnsi="Calibri Light" w:cs="Calibri Light"/>
          <w:color w:val="000000" w:themeColor="text1"/>
          <w:lang w:eastAsia="en-AU"/>
        </w:rPr>
        <w:t xml:space="preserve"> health, education, </w:t>
      </w:r>
      <w:r w:rsidR="00501445">
        <w:rPr>
          <w:rFonts w:ascii="Calibri Light" w:hAnsi="Calibri Light" w:cs="Calibri Light"/>
          <w:color w:val="000000" w:themeColor="text1"/>
          <w:lang w:eastAsia="en-AU"/>
        </w:rPr>
        <w:t xml:space="preserve">and </w:t>
      </w:r>
      <w:r w:rsidR="00F862E6" w:rsidRPr="0040164B">
        <w:rPr>
          <w:rFonts w:ascii="Calibri Light" w:hAnsi="Calibri Light" w:cs="Calibri Light"/>
          <w:color w:val="000000" w:themeColor="text1"/>
          <w:lang w:eastAsia="en-AU"/>
        </w:rPr>
        <w:t xml:space="preserve">water, sanitation and hygiene </w:t>
      </w:r>
      <w:r w:rsidR="00F862E6">
        <w:rPr>
          <w:rFonts w:ascii="Calibri Light" w:hAnsi="Calibri Light" w:cs="Calibri Light"/>
          <w:color w:val="000000" w:themeColor="text1"/>
          <w:lang w:eastAsia="en-AU"/>
        </w:rPr>
        <w:t>(WASH)</w:t>
      </w:r>
      <w:r w:rsidR="00C73233">
        <w:rPr>
          <w:rFonts w:ascii="Calibri Light" w:hAnsi="Calibri Light" w:cs="Calibri Light"/>
          <w:color w:val="000000" w:themeColor="text1"/>
          <w:lang w:eastAsia="en-AU"/>
        </w:rPr>
        <w:t> </w:t>
      </w:r>
      <w:r w:rsidR="00F862E6" w:rsidRPr="0040164B">
        <w:rPr>
          <w:rFonts w:ascii="Calibri Light" w:hAnsi="Calibri Light" w:cs="Calibri Light"/>
          <w:color w:val="000000" w:themeColor="text1"/>
          <w:lang w:eastAsia="en-AU"/>
        </w:rPr>
        <w:t>programs</w:t>
      </w:r>
      <w:r w:rsidR="00F862E6">
        <w:rPr>
          <w:rFonts w:ascii="Calibri Light" w:hAnsi="Calibri Light" w:cs="Calibri Light"/>
          <w:color w:val="000000"/>
          <w:lang w:eastAsia="en-AU"/>
        </w:rPr>
        <w:t>.</w:t>
      </w:r>
    </w:p>
    <w:p w14:paraId="64A898C9" w14:textId="31FB5ABC" w:rsidR="003E3B4D" w:rsidRDefault="003E3B4D" w:rsidP="003E3B4D">
      <w:pPr>
        <w:rPr>
          <w:lang w:eastAsia="en-AU"/>
        </w:rPr>
      </w:pPr>
      <w:r w:rsidRPr="00FA2C26">
        <w:rPr>
          <w:lang w:eastAsia="en-AU"/>
        </w:rPr>
        <w:t xml:space="preserve">Our development partnership in </w:t>
      </w:r>
      <w:r>
        <w:rPr>
          <w:lang w:eastAsia="en-AU"/>
        </w:rPr>
        <w:t xml:space="preserve">South Asia </w:t>
      </w:r>
      <w:r w:rsidRPr="00FA2C26">
        <w:rPr>
          <w:lang w:eastAsia="en-AU"/>
        </w:rPr>
        <w:t xml:space="preserve">encompasses strong engagement </w:t>
      </w:r>
      <w:r>
        <w:rPr>
          <w:lang w:eastAsia="en-AU"/>
        </w:rPr>
        <w:t xml:space="preserve">across the Australian Government, </w:t>
      </w:r>
      <w:r w:rsidRPr="00FA2C26">
        <w:rPr>
          <w:lang w:eastAsia="en-AU"/>
        </w:rPr>
        <w:t xml:space="preserve">including </w:t>
      </w:r>
      <w:r>
        <w:rPr>
          <w:lang w:eastAsia="en-AU"/>
        </w:rPr>
        <w:t xml:space="preserve">the Department of Home Affairs, </w:t>
      </w:r>
      <w:r w:rsidR="001309E8">
        <w:rPr>
          <w:lang w:eastAsia="en-AU"/>
        </w:rPr>
        <w:t xml:space="preserve">the </w:t>
      </w:r>
      <w:r>
        <w:rPr>
          <w:lang w:eastAsia="en-AU"/>
        </w:rPr>
        <w:t>Department of Defence, Austrade, the Department of Agriculture</w:t>
      </w:r>
      <w:r w:rsidR="007F0F42">
        <w:rPr>
          <w:lang w:eastAsia="en-AU"/>
        </w:rPr>
        <w:t>,</w:t>
      </w:r>
      <w:r>
        <w:rPr>
          <w:lang w:eastAsia="en-AU"/>
        </w:rPr>
        <w:t xml:space="preserve"> </w:t>
      </w:r>
      <w:r w:rsidR="007F0F42">
        <w:rPr>
          <w:lang w:eastAsia="en-AU"/>
        </w:rPr>
        <w:t xml:space="preserve">Fisheries and </w:t>
      </w:r>
      <w:r>
        <w:rPr>
          <w:lang w:eastAsia="en-AU"/>
        </w:rPr>
        <w:t xml:space="preserve">Forestry, the Department of Education, ACIAR and CSIRO. </w:t>
      </w:r>
      <w:r w:rsidRPr="00FA2C26">
        <w:rPr>
          <w:lang w:eastAsia="en-AU"/>
        </w:rPr>
        <w:t xml:space="preserve">We intend to increase </w:t>
      </w:r>
      <w:r>
        <w:rPr>
          <w:lang w:eastAsia="en-AU"/>
        </w:rPr>
        <w:t xml:space="preserve">engagement across the Australian Government further </w:t>
      </w:r>
      <w:r w:rsidRPr="00FA2C26">
        <w:rPr>
          <w:lang w:eastAsia="en-AU"/>
        </w:rPr>
        <w:t xml:space="preserve">over time, as we consciously seek to build institutional links and strengthen partnerships between people. </w:t>
      </w:r>
      <w:r w:rsidR="00566A1E" w:rsidRPr="00887B28">
        <w:rPr>
          <w:lang w:eastAsia="en-AU"/>
        </w:rPr>
        <w:t>W</w:t>
      </w:r>
      <w:r w:rsidR="00566A1E">
        <w:rPr>
          <w:lang w:eastAsia="en-AU"/>
        </w:rPr>
        <w:t>e</w:t>
      </w:r>
      <w:r w:rsidR="00566A1E" w:rsidRPr="00887B28">
        <w:rPr>
          <w:lang w:eastAsia="en-AU"/>
        </w:rPr>
        <w:t xml:space="preserve"> will achieve greater coherence through regular dialogue,</w:t>
      </w:r>
      <w:r w:rsidR="00566A1E">
        <w:rPr>
          <w:lang w:eastAsia="en-AU"/>
        </w:rPr>
        <w:t xml:space="preserve"> via </w:t>
      </w:r>
      <w:r w:rsidR="00566A1E" w:rsidRPr="00887B28">
        <w:rPr>
          <w:lang w:eastAsia="en-AU"/>
        </w:rPr>
        <w:t xml:space="preserve">design quality assurance, </w:t>
      </w:r>
      <w:r w:rsidR="00566A1E">
        <w:rPr>
          <w:lang w:eastAsia="en-AU"/>
        </w:rPr>
        <w:t xml:space="preserve">and through </w:t>
      </w:r>
      <w:r w:rsidR="00566A1E" w:rsidRPr="00887B28">
        <w:rPr>
          <w:lang w:eastAsia="en-AU"/>
        </w:rPr>
        <w:t>monitoring and evaluation processes.</w:t>
      </w:r>
    </w:p>
    <w:p w14:paraId="1A52B8AE" w14:textId="77777777" w:rsidR="008432C4" w:rsidRDefault="008432C4">
      <w:pPr>
        <w:spacing w:before="0" w:after="0" w:line="240" w:lineRule="auto"/>
        <w:rPr>
          <w:lang w:eastAsia="en-AU"/>
        </w:rPr>
      </w:pPr>
      <w:r>
        <w:rPr>
          <w:lang w:eastAsia="en-AU"/>
        </w:rPr>
        <w:br w:type="page"/>
      </w:r>
    </w:p>
    <w:p w14:paraId="7B67814B" w14:textId="0350236B" w:rsidR="002F4955" w:rsidRPr="00802862" w:rsidRDefault="002F4955" w:rsidP="00B77837">
      <w:pPr>
        <w:pStyle w:val="Tabletitle"/>
      </w:pPr>
      <w:r w:rsidRPr="00802862">
        <w:lastRenderedPageBreak/>
        <w:t xml:space="preserve">Table 1: Australia – </w:t>
      </w:r>
      <w:r w:rsidR="00244163" w:rsidRPr="00AF090E">
        <w:t xml:space="preserve">South Asia </w:t>
      </w:r>
      <w:r w:rsidR="00244163">
        <w:t>(Regional)</w:t>
      </w:r>
      <w:r w:rsidRPr="00802862">
        <w:t xml:space="preserve"> </w:t>
      </w:r>
      <w:r w:rsidR="006F4631">
        <w:t>d</w:t>
      </w:r>
      <w:r w:rsidRPr="00802862">
        <w:t xml:space="preserve">evelopment </w:t>
      </w:r>
      <w:r w:rsidR="006F4631">
        <w:t>p</w:t>
      </w:r>
      <w:r w:rsidRPr="00802862">
        <w:t>artnership</w:t>
      </w:r>
    </w:p>
    <w:p w14:paraId="4CD804CB" w14:textId="26F6881C" w:rsidR="009C22DC" w:rsidRPr="009C22DC" w:rsidRDefault="009C22DC" w:rsidP="009C22DC">
      <w:pPr>
        <w:rPr>
          <w:b/>
          <w:bCs/>
          <w:lang w:eastAsia="en-AU"/>
        </w:rPr>
      </w:pPr>
      <w:r w:rsidRPr="009C22DC">
        <w:rPr>
          <w:b/>
          <w:bCs/>
          <w:lang w:eastAsia="en-AU"/>
        </w:rPr>
        <w:t xml:space="preserve">Goal: A prosperous, resilient and </w:t>
      </w:r>
      <w:r w:rsidRPr="00802862">
        <w:rPr>
          <w:b/>
          <w:bCs/>
        </w:rPr>
        <w:t xml:space="preserve">stable </w:t>
      </w:r>
      <w:r w:rsidR="00D02C00" w:rsidRPr="00802862">
        <w:rPr>
          <w:b/>
          <w:bCs/>
        </w:rPr>
        <w:t>South Asia</w:t>
      </w:r>
    </w:p>
    <w:tbl>
      <w:tblPr>
        <w:tblStyle w:val="ListTable3-Accent1"/>
        <w:tblW w:w="5000" w:type="pct"/>
        <w:tblBorders>
          <w:insideH w:val="single" w:sz="4" w:space="0" w:color="3A586E" w:themeColor="accent1"/>
        </w:tblBorders>
        <w:tblCellMar>
          <w:bottom w:w="108" w:type="dxa"/>
        </w:tblCellMar>
        <w:tblLook w:val="04A0" w:firstRow="1" w:lastRow="0" w:firstColumn="1" w:lastColumn="0" w:noHBand="0" w:noVBand="1"/>
        <w:tblCaption w:val="Australia – South Asia (Regional) Development Partnership "/>
        <w:tblDescription w:val="The objectives, outcomes and focus areas to support the goal of a prosperous, resilient and stable South Asia"/>
      </w:tblPr>
      <w:tblGrid>
        <w:gridCol w:w="3015"/>
        <w:gridCol w:w="3658"/>
        <w:gridCol w:w="3521"/>
      </w:tblGrid>
      <w:tr w:rsidR="00031C8E" w:rsidRPr="000E77A9" w14:paraId="4C7F5D06" w14:textId="77777777" w:rsidTr="0008462C">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100" w:firstRow="0" w:lastRow="0" w:firstColumn="1" w:lastColumn="0" w:oddVBand="0" w:evenVBand="0" w:oddHBand="0" w:evenHBand="0" w:firstRowFirstColumn="1" w:firstRowLastColumn="0" w:lastRowFirstColumn="0" w:lastRowLastColumn="0"/>
            <w:tcW w:w="1479" w:type="pct"/>
            <w:tcBorders>
              <w:top w:val="single" w:sz="4" w:space="0" w:color="auto"/>
              <w:left w:val="single" w:sz="4" w:space="0" w:color="auto"/>
              <w:bottom w:val="single" w:sz="4" w:space="0" w:color="auto"/>
              <w:right w:val="single" w:sz="4" w:space="0" w:color="auto"/>
            </w:tcBorders>
            <w:shd w:val="clear" w:color="auto" w:fill="3A586E"/>
          </w:tcPr>
          <w:p w14:paraId="163CC4FA" w14:textId="77777777" w:rsidR="00E765D9" w:rsidRPr="00B77837" w:rsidRDefault="00E765D9" w:rsidP="003B4A90">
            <w:pPr>
              <w:pStyle w:val="TableBodyCopy"/>
              <w:rPr>
                <w:color w:val="FFFFFF" w:themeColor="background1"/>
                <w:lang w:eastAsia="en-AU"/>
              </w:rPr>
            </w:pPr>
            <w:r w:rsidRPr="00B77837">
              <w:rPr>
                <w:color w:val="FFFFFF" w:themeColor="background1"/>
                <w:lang w:eastAsia="en-AU"/>
              </w:rPr>
              <w:t>Objective</w:t>
            </w:r>
          </w:p>
        </w:tc>
        <w:tc>
          <w:tcPr>
            <w:tcW w:w="1794" w:type="pct"/>
            <w:tcBorders>
              <w:top w:val="single" w:sz="4" w:space="0" w:color="auto"/>
              <w:left w:val="single" w:sz="4" w:space="0" w:color="auto"/>
              <w:bottom w:val="single" w:sz="4" w:space="0" w:color="auto"/>
              <w:right w:val="single" w:sz="4" w:space="0" w:color="auto"/>
            </w:tcBorders>
            <w:shd w:val="clear" w:color="auto" w:fill="D6E8D2" w:themeFill="accent3" w:themeFillTint="33"/>
            <w:hideMark/>
          </w:tcPr>
          <w:p w14:paraId="345D6D82" w14:textId="346B8435" w:rsidR="00E765D9" w:rsidRPr="007502C6" w:rsidRDefault="00E765D9" w:rsidP="003B4A90">
            <w:pPr>
              <w:pStyle w:val="TableBodyCopy"/>
              <w:cnfStyle w:val="100000000000" w:firstRow="1" w:lastRow="0" w:firstColumn="0" w:lastColumn="0" w:oddVBand="0" w:evenVBand="0" w:oddHBand="0" w:evenHBand="0" w:firstRowFirstColumn="0" w:firstRowLastColumn="0" w:lastRowFirstColumn="0" w:lastRowLastColumn="0"/>
              <w:rPr>
                <w:b w:val="0"/>
                <w:bCs w:val="0"/>
              </w:rPr>
            </w:pPr>
            <w:r w:rsidRPr="007502C6">
              <w:rPr>
                <w:b w:val="0"/>
                <w:bCs w:val="0"/>
              </w:rPr>
              <w:t>Objective 1</w:t>
            </w:r>
          </w:p>
          <w:p w14:paraId="7F3EE106" w14:textId="66252771" w:rsidR="00E765D9" w:rsidRPr="00F81BDD" w:rsidRDefault="00E765D9" w:rsidP="003B4A90">
            <w:pPr>
              <w:pStyle w:val="TableBodyCopy"/>
              <w:cnfStyle w:val="100000000000" w:firstRow="1" w:lastRow="0" w:firstColumn="0" w:lastColumn="0" w:oddVBand="0" w:evenVBand="0" w:oddHBand="0" w:evenHBand="0" w:firstRowFirstColumn="0" w:firstRowLastColumn="0" w:lastRowFirstColumn="0" w:lastRowLastColumn="0"/>
              <w:rPr>
                <w:b w:val="0"/>
                <w:bCs w:val="0"/>
              </w:rPr>
            </w:pPr>
            <w:r w:rsidRPr="00F81BDD">
              <w:rPr>
                <w:b w:val="0"/>
                <w:bCs w:val="0"/>
                <w:lang w:eastAsia="en-AU"/>
              </w:rPr>
              <w:t>Enhance economic growth, regional cooperation and linkages</w:t>
            </w:r>
            <w:r w:rsidRPr="00F81BDD">
              <w:rPr>
                <w:b w:val="0"/>
                <w:bCs w:val="0"/>
              </w:rPr>
              <w:t> </w:t>
            </w:r>
          </w:p>
        </w:tc>
        <w:tc>
          <w:tcPr>
            <w:tcW w:w="1727" w:type="pct"/>
            <w:tcBorders>
              <w:top w:val="single" w:sz="4" w:space="0" w:color="auto"/>
              <w:left w:val="single" w:sz="4" w:space="0" w:color="auto"/>
              <w:bottom w:val="single" w:sz="4" w:space="0" w:color="auto"/>
              <w:right w:val="single" w:sz="4" w:space="0" w:color="auto"/>
            </w:tcBorders>
            <w:shd w:val="clear" w:color="auto" w:fill="FBEED2" w:themeFill="accent4" w:themeFillTint="33"/>
            <w:hideMark/>
          </w:tcPr>
          <w:p w14:paraId="2A4BAA5A" w14:textId="1BBBB1E9" w:rsidR="00E765D9" w:rsidRPr="007502C6" w:rsidRDefault="00E765D9" w:rsidP="003B4A90">
            <w:pPr>
              <w:pStyle w:val="TableBodyCopy"/>
              <w:cnfStyle w:val="100000000000" w:firstRow="1" w:lastRow="0" w:firstColumn="0" w:lastColumn="0" w:oddVBand="0" w:evenVBand="0" w:oddHBand="0" w:evenHBand="0" w:firstRowFirstColumn="0" w:firstRowLastColumn="0" w:lastRowFirstColumn="0" w:lastRowLastColumn="0"/>
              <w:rPr>
                <w:b w:val="0"/>
                <w:bCs w:val="0"/>
              </w:rPr>
            </w:pPr>
            <w:r w:rsidRPr="007502C6">
              <w:rPr>
                <w:b w:val="0"/>
                <w:bCs w:val="0"/>
              </w:rPr>
              <w:t>Objective 2</w:t>
            </w:r>
          </w:p>
          <w:p w14:paraId="33D30C3F" w14:textId="0AA4FB29" w:rsidR="00E765D9" w:rsidRPr="00E765D9" w:rsidRDefault="00E765D9" w:rsidP="003B4A90">
            <w:pPr>
              <w:pStyle w:val="TableBodyCopy"/>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lang w:eastAsia="en-AU"/>
              </w:rPr>
            </w:pPr>
            <w:r w:rsidRPr="00E765D9">
              <w:rPr>
                <w:rStyle w:val="Strong"/>
                <w:rFonts w:asciiTheme="majorHAnsi" w:hAnsiTheme="majorHAnsi" w:cstheme="majorHAnsi"/>
              </w:rPr>
              <w:t xml:space="preserve">Contribute to a climate resilient South Asia region </w:t>
            </w:r>
          </w:p>
        </w:tc>
      </w:tr>
      <w:tr w:rsidR="00B4410A" w:rsidRPr="000E77A9" w14:paraId="2438B97E" w14:textId="77777777" w:rsidTr="0008462C">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1479" w:type="pct"/>
            <w:tcBorders>
              <w:top w:val="single" w:sz="4" w:space="0" w:color="auto"/>
              <w:left w:val="single" w:sz="4" w:space="0" w:color="auto"/>
              <w:bottom w:val="nil"/>
              <w:right w:val="single" w:sz="4" w:space="0" w:color="auto"/>
            </w:tcBorders>
            <w:shd w:val="clear" w:color="auto" w:fill="3A586E"/>
          </w:tcPr>
          <w:p w14:paraId="4D207D08" w14:textId="77777777" w:rsidR="00E765D9" w:rsidRPr="00B77837" w:rsidRDefault="00E765D9" w:rsidP="003B4A90">
            <w:pPr>
              <w:pStyle w:val="TableBodyCopy"/>
              <w:rPr>
                <w:rFonts w:eastAsia="Times New Roman" w:cs="Calibri"/>
                <w:color w:val="FFFFFF" w:themeColor="background1"/>
                <w:lang w:eastAsia="en-AU"/>
              </w:rPr>
            </w:pPr>
            <w:r w:rsidRPr="00B77837">
              <w:rPr>
                <w:rFonts w:eastAsia="Times New Roman" w:cs="Calibri"/>
                <w:color w:val="FFFFFF" w:themeColor="background1"/>
                <w:lang w:eastAsia="en-AU"/>
              </w:rPr>
              <w:t>Outcomes</w:t>
            </w:r>
          </w:p>
        </w:tc>
        <w:tc>
          <w:tcPr>
            <w:tcW w:w="1794" w:type="pct"/>
            <w:tcBorders>
              <w:top w:val="single" w:sz="4" w:space="0" w:color="auto"/>
              <w:left w:val="single" w:sz="4" w:space="0" w:color="auto"/>
              <w:bottom w:val="nil"/>
              <w:right w:val="single" w:sz="4" w:space="0" w:color="auto"/>
            </w:tcBorders>
            <w:shd w:val="clear" w:color="auto" w:fill="D6E8D2" w:themeFill="accent3" w:themeFillTint="33"/>
            <w:hideMark/>
          </w:tcPr>
          <w:p w14:paraId="27CDC091" w14:textId="012C138A" w:rsidR="003E4821" w:rsidRDefault="00272A05" w:rsidP="00037837">
            <w:pPr>
              <w:pStyle w:val="TableBodyCopy"/>
              <w:cnfStyle w:val="000000100000" w:firstRow="0" w:lastRow="0" w:firstColumn="0" w:lastColumn="0" w:oddVBand="0" w:evenVBand="0" w:oddHBand="1" w:evenHBand="0" w:firstRowFirstColumn="0" w:firstRowLastColumn="0" w:lastRowFirstColumn="0" w:lastRowLastColumn="0"/>
              <w:rPr>
                <w:lang w:eastAsia="en-AU"/>
              </w:rPr>
            </w:pPr>
            <w:r w:rsidRPr="00E21E23">
              <w:rPr>
                <w:lang w:eastAsia="en-AU"/>
              </w:rPr>
              <w:t>Outcome 1.1</w:t>
            </w:r>
          </w:p>
          <w:p w14:paraId="72696B2D" w14:textId="31732F95" w:rsidR="00E765D9" w:rsidRPr="004C0214" w:rsidRDefault="00272A05" w:rsidP="00037837">
            <w:pPr>
              <w:pStyle w:val="TableBodyCopy"/>
              <w:cnfStyle w:val="000000100000" w:firstRow="0" w:lastRow="0" w:firstColumn="0" w:lastColumn="0" w:oddVBand="0" w:evenVBand="0" w:oddHBand="1" w:evenHBand="0" w:firstRowFirstColumn="0" w:firstRowLastColumn="0" w:lastRowFirstColumn="0" w:lastRowLastColumn="0"/>
              <w:rPr>
                <w:lang w:eastAsia="en-AU"/>
              </w:rPr>
            </w:pPr>
            <w:r w:rsidRPr="00E21E23">
              <w:rPr>
                <w:lang w:eastAsia="en-AU"/>
              </w:rPr>
              <w:t>Economic growth</w:t>
            </w:r>
            <w:r w:rsidR="003E4821">
              <w:t xml:space="preserve">: </w:t>
            </w:r>
            <w:r w:rsidRPr="000D2583">
              <w:t xml:space="preserve">Supporting regional economic growth through increased </w:t>
            </w:r>
            <w:r w:rsidRPr="00037837">
              <w:t>infrastructure</w:t>
            </w:r>
            <w:r w:rsidRPr="000D2583">
              <w:t xml:space="preserve"> investment and private sector </w:t>
            </w:r>
            <w:proofErr w:type="gramStart"/>
            <w:r w:rsidRPr="000D2583">
              <w:t>cooperation</w:t>
            </w:r>
            <w:proofErr w:type="gramEnd"/>
          </w:p>
          <w:p w14:paraId="711A2646" w14:textId="77777777" w:rsidR="0098415F" w:rsidRDefault="00E21E23" w:rsidP="00037837">
            <w:pPr>
              <w:pStyle w:val="TableBodyCopy"/>
              <w:cnfStyle w:val="000000100000" w:firstRow="0" w:lastRow="0" w:firstColumn="0" w:lastColumn="0" w:oddVBand="0" w:evenVBand="0" w:oddHBand="1" w:evenHBand="0" w:firstRowFirstColumn="0" w:firstRowLastColumn="0" w:lastRowFirstColumn="0" w:lastRowLastColumn="0"/>
              <w:rPr>
                <w:lang w:eastAsia="en-AU"/>
              </w:rPr>
            </w:pPr>
            <w:r w:rsidRPr="00E21E23">
              <w:rPr>
                <w:lang w:eastAsia="en-AU"/>
              </w:rPr>
              <w:t>Outcome 1.2</w:t>
            </w:r>
          </w:p>
          <w:p w14:paraId="493EEA0E" w14:textId="2D6F1F1E" w:rsidR="00E21E23" w:rsidRPr="00E21E23" w:rsidRDefault="00E21E23" w:rsidP="00037837">
            <w:pPr>
              <w:pStyle w:val="TableBodyCopy"/>
              <w:cnfStyle w:val="000000100000" w:firstRow="0" w:lastRow="0" w:firstColumn="0" w:lastColumn="0" w:oddVBand="0" w:evenVBand="0" w:oddHBand="1" w:evenHBand="0" w:firstRowFirstColumn="0" w:firstRowLastColumn="0" w:lastRowFirstColumn="0" w:lastRowLastColumn="0"/>
            </w:pPr>
            <w:r w:rsidRPr="00E21E23">
              <w:rPr>
                <w:lang w:eastAsia="en-AU"/>
              </w:rPr>
              <w:t>Enduring relationships and cooperation</w:t>
            </w:r>
            <w:r w:rsidR="0098415F">
              <w:rPr>
                <w:lang w:eastAsia="en-AU"/>
              </w:rPr>
              <w:t xml:space="preserve">: </w:t>
            </w:r>
            <w:r w:rsidRPr="00E21E23">
              <w:t>Strengthened South Asian architecture, linkages, and collaboration between institutions and individuals, including with Australia</w:t>
            </w:r>
          </w:p>
          <w:p w14:paraId="49FF1245" w14:textId="77777777" w:rsidR="0098415F" w:rsidRDefault="00E21E23" w:rsidP="00037837">
            <w:pPr>
              <w:pStyle w:val="TableBodyCopy"/>
              <w:cnfStyle w:val="000000100000" w:firstRow="0" w:lastRow="0" w:firstColumn="0" w:lastColumn="0" w:oddVBand="0" w:evenVBand="0" w:oddHBand="1" w:evenHBand="0" w:firstRowFirstColumn="0" w:firstRowLastColumn="0" w:lastRowFirstColumn="0" w:lastRowLastColumn="0"/>
            </w:pPr>
            <w:r w:rsidRPr="00E21E23">
              <w:t>Outcome 1.3</w:t>
            </w:r>
          </w:p>
          <w:p w14:paraId="5141A44B" w14:textId="56DA7AEE" w:rsidR="00E765D9" w:rsidRPr="004C0214" w:rsidRDefault="00E21E23" w:rsidP="0098415F">
            <w:pPr>
              <w:pStyle w:val="TableBodyCop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en-AU"/>
              </w:rPr>
            </w:pPr>
            <w:r w:rsidRPr="00E21E23">
              <w:t>Skills and mobility</w:t>
            </w:r>
            <w:r w:rsidR="0098415F">
              <w:t xml:space="preserve">: </w:t>
            </w:r>
            <w:r w:rsidRPr="00E21E23">
              <w:t xml:space="preserve">Increased skills development and mobility opportunities </w:t>
            </w:r>
            <w:r w:rsidRPr="00037837">
              <w:t>through</w:t>
            </w:r>
            <w:r w:rsidRPr="00E21E23">
              <w:t xml:space="preserve"> scholarships and short courses in focus areas</w:t>
            </w:r>
          </w:p>
        </w:tc>
        <w:tc>
          <w:tcPr>
            <w:tcW w:w="1727" w:type="pct"/>
            <w:tcBorders>
              <w:top w:val="single" w:sz="4" w:space="0" w:color="auto"/>
              <w:left w:val="single" w:sz="4" w:space="0" w:color="auto"/>
              <w:bottom w:val="nil"/>
              <w:right w:val="single" w:sz="4" w:space="0" w:color="auto"/>
            </w:tcBorders>
            <w:shd w:val="clear" w:color="auto" w:fill="FBEED2" w:themeFill="accent4" w:themeFillTint="33"/>
            <w:hideMark/>
          </w:tcPr>
          <w:p w14:paraId="103B2F63" w14:textId="7643FA41" w:rsidR="001D739F" w:rsidRDefault="00B24FF2" w:rsidP="00B24FF2">
            <w:pPr>
              <w:pStyle w:val="TableBodyCopy"/>
              <w:cnfStyle w:val="000000100000" w:firstRow="0" w:lastRow="0" w:firstColumn="0" w:lastColumn="0" w:oddVBand="0" w:evenVBand="0" w:oddHBand="1" w:evenHBand="0" w:firstRowFirstColumn="0" w:firstRowLastColumn="0" w:lastRowFirstColumn="0" w:lastRowLastColumn="0"/>
              <w:rPr>
                <w:lang w:eastAsia="en-AU"/>
              </w:rPr>
            </w:pPr>
            <w:r w:rsidRPr="00C8214D">
              <w:rPr>
                <w:lang w:eastAsia="en-AU"/>
              </w:rPr>
              <w:t>Outcome 2.1</w:t>
            </w:r>
          </w:p>
          <w:p w14:paraId="114E7048" w14:textId="0FCA8742" w:rsidR="00B24FF2" w:rsidRPr="000D2583" w:rsidRDefault="00B24FF2" w:rsidP="00C8214D">
            <w:pPr>
              <w:pStyle w:val="TableBodyCopy"/>
              <w:cnfStyle w:val="000000100000" w:firstRow="0" w:lastRow="0" w:firstColumn="0" w:lastColumn="0" w:oddVBand="0" w:evenVBand="0" w:oddHBand="1" w:evenHBand="0" w:firstRowFirstColumn="0" w:firstRowLastColumn="0" w:lastRowFirstColumn="0" w:lastRowLastColumn="0"/>
              <w:rPr>
                <w:lang w:eastAsia="en-AU"/>
              </w:rPr>
            </w:pPr>
            <w:r w:rsidRPr="00802862">
              <w:rPr>
                <w:lang w:eastAsia="en-AU"/>
              </w:rPr>
              <w:t xml:space="preserve">State </w:t>
            </w:r>
            <w:r>
              <w:rPr>
                <w:lang w:eastAsia="en-AU"/>
              </w:rPr>
              <w:t>c</w:t>
            </w:r>
            <w:r w:rsidRPr="00C8214D">
              <w:rPr>
                <w:lang w:eastAsia="en-AU"/>
              </w:rPr>
              <w:t>apacity</w:t>
            </w:r>
            <w:r w:rsidR="001D739F">
              <w:rPr>
                <w:lang w:eastAsia="en-AU"/>
              </w:rPr>
              <w:t xml:space="preserve">: </w:t>
            </w:r>
            <w:r w:rsidRPr="000D2583">
              <w:rPr>
                <w:lang w:eastAsia="en-AU"/>
              </w:rPr>
              <w:t>Improved partner government capacity to manage the impacts of climate change</w:t>
            </w:r>
          </w:p>
          <w:p w14:paraId="2C3E685E" w14:textId="77777777" w:rsidR="0098415F" w:rsidRDefault="00B24FF2">
            <w:pPr>
              <w:pStyle w:val="TableBodyCopy"/>
              <w:cnfStyle w:val="000000100000" w:firstRow="0" w:lastRow="0" w:firstColumn="0" w:lastColumn="0" w:oddVBand="0" w:evenVBand="0" w:oddHBand="1" w:evenHBand="0" w:firstRowFirstColumn="0" w:firstRowLastColumn="0" w:lastRowFirstColumn="0" w:lastRowLastColumn="0"/>
              <w:rPr>
                <w:lang w:eastAsia="en-AU"/>
              </w:rPr>
            </w:pPr>
            <w:r w:rsidRPr="00C8214D">
              <w:rPr>
                <w:lang w:eastAsia="en-AU"/>
              </w:rPr>
              <w:t>Outcome 2.2</w:t>
            </w:r>
          </w:p>
          <w:p w14:paraId="0D75FC30" w14:textId="69330424" w:rsidR="00B24FF2" w:rsidRPr="000D2583" w:rsidRDefault="00B24FF2">
            <w:pPr>
              <w:pStyle w:val="TableBodyCopy"/>
              <w:cnfStyle w:val="000000100000" w:firstRow="0" w:lastRow="0" w:firstColumn="0" w:lastColumn="0" w:oddVBand="0" w:evenVBand="0" w:oddHBand="1" w:evenHBand="0" w:firstRowFirstColumn="0" w:firstRowLastColumn="0" w:lastRowFirstColumn="0" w:lastRowLastColumn="0"/>
              <w:rPr>
                <w:lang w:eastAsia="en-AU"/>
              </w:rPr>
            </w:pPr>
            <w:r w:rsidRPr="00802862">
              <w:rPr>
                <w:lang w:eastAsia="en-AU"/>
              </w:rPr>
              <w:t xml:space="preserve">Community </w:t>
            </w:r>
            <w:r>
              <w:rPr>
                <w:lang w:eastAsia="en-AU"/>
              </w:rPr>
              <w:t>r</w:t>
            </w:r>
            <w:r w:rsidRPr="00C8214D">
              <w:rPr>
                <w:lang w:eastAsia="en-AU"/>
              </w:rPr>
              <w:t>esilience</w:t>
            </w:r>
            <w:r w:rsidR="0098415F">
              <w:rPr>
                <w:lang w:eastAsia="en-AU"/>
              </w:rPr>
              <w:t xml:space="preserve">: </w:t>
            </w:r>
            <w:r w:rsidRPr="000D2583">
              <w:rPr>
                <w:lang w:eastAsia="en-AU"/>
              </w:rPr>
              <w:t xml:space="preserve">Improved access to climate resilient </w:t>
            </w:r>
            <w:r w:rsidR="00D9788C">
              <w:rPr>
                <w:lang w:eastAsia="en-AU"/>
              </w:rPr>
              <w:t>water, sanitation and hygiene</w:t>
            </w:r>
            <w:r w:rsidR="000521BE">
              <w:rPr>
                <w:lang w:eastAsia="en-AU"/>
              </w:rPr>
              <w:t>,</w:t>
            </w:r>
            <w:r w:rsidRPr="000D2583">
              <w:rPr>
                <w:lang w:eastAsia="en-AU"/>
              </w:rPr>
              <w:t xml:space="preserve"> and disaster preparedness</w:t>
            </w:r>
          </w:p>
          <w:p w14:paraId="57B07378" w14:textId="77777777" w:rsidR="0098415F" w:rsidRDefault="00B24FF2">
            <w:pPr>
              <w:pStyle w:val="TableBodyCopy"/>
              <w:cnfStyle w:val="000000100000" w:firstRow="0" w:lastRow="0" w:firstColumn="0" w:lastColumn="0" w:oddVBand="0" w:evenVBand="0" w:oddHBand="1" w:evenHBand="0" w:firstRowFirstColumn="0" w:firstRowLastColumn="0" w:lastRowFirstColumn="0" w:lastRowLastColumn="0"/>
              <w:rPr>
                <w:lang w:eastAsia="en-AU"/>
              </w:rPr>
            </w:pPr>
            <w:r w:rsidRPr="00C8214D">
              <w:rPr>
                <w:lang w:eastAsia="en-AU"/>
              </w:rPr>
              <w:t>Outcome 2.3</w:t>
            </w:r>
          </w:p>
          <w:p w14:paraId="25A1739D" w14:textId="7A621313" w:rsidR="0061106C" w:rsidRPr="00B77837" w:rsidRDefault="00B24FF2" w:rsidP="0098415F">
            <w:pPr>
              <w:pStyle w:val="TableBodyCopy"/>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2"/>
                <w:szCs w:val="22"/>
                <w:lang w:eastAsia="en-AU"/>
              </w:rPr>
            </w:pPr>
            <w:r w:rsidRPr="00802862">
              <w:rPr>
                <w:lang w:eastAsia="en-AU"/>
              </w:rPr>
              <w:t xml:space="preserve">Gender </w:t>
            </w:r>
            <w:r>
              <w:rPr>
                <w:lang w:eastAsia="en-AU"/>
              </w:rPr>
              <w:t>e</w:t>
            </w:r>
            <w:r w:rsidRPr="00C8214D">
              <w:rPr>
                <w:lang w:eastAsia="en-AU"/>
              </w:rPr>
              <w:t>quality</w:t>
            </w:r>
            <w:r w:rsidR="0098415F">
              <w:rPr>
                <w:lang w:eastAsia="en-AU"/>
              </w:rPr>
              <w:t xml:space="preserve">: </w:t>
            </w:r>
            <w:r w:rsidRPr="000D2583">
              <w:rPr>
                <w:lang w:eastAsia="en-AU"/>
              </w:rPr>
              <w:t>Enhanced women’s participation in climate resilience interventions</w:t>
            </w:r>
          </w:p>
        </w:tc>
      </w:tr>
      <w:tr w:rsidR="00031C8E" w:rsidRPr="000E77A9" w14:paraId="670B563D" w14:textId="77777777" w:rsidTr="0008462C">
        <w:trPr>
          <w:cantSplit/>
          <w:trHeight w:val="1605"/>
        </w:trPr>
        <w:tc>
          <w:tcPr>
            <w:cnfStyle w:val="001000000000" w:firstRow="0" w:lastRow="0" w:firstColumn="1" w:lastColumn="0" w:oddVBand="0" w:evenVBand="0" w:oddHBand="0" w:evenHBand="0" w:firstRowFirstColumn="0" w:firstRowLastColumn="0" w:lastRowFirstColumn="0" w:lastRowLastColumn="0"/>
            <w:tcW w:w="1479" w:type="pct"/>
            <w:tcBorders>
              <w:top w:val="single" w:sz="4" w:space="0" w:color="auto"/>
              <w:left w:val="single" w:sz="4" w:space="0" w:color="auto"/>
              <w:bottom w:val="single" w:sz="4" w:space="0" w:color="auto"/>
              <w:right w:val="single" w:sz="4" w:space="0" w:color="auto"/>
            </w:tcBorders>
            <w:shd w:val="clear" w:color="auto" w:fill="3A586E"/>
          </w:tcPr>
          <w:p w14:paraId="2F30CBD3" w14:textId="77777777" w:rsidR="00E765D9" w:rsidRPr="00B77837" w:rsidRDefault="00E765D9" w:rsidP="003B4A90">
            <w:pPr>
              <w:pStyle w:val="TableBodyCopy"/>
              <w:rPr>
                <w:rFonts w:eastAsia="Times New Roman" w:cs="Calibri"/>
                <w:color w:val="FFFFFF" w:themeColor="background1"/>
                <w:lang w:eastAsia="en-AU"/>
              </w:rPr>
            </w:pPr>
            <w:r w:rsidRPr="00B77837">
              <w:rPr>
                <w:rFonts w:eastAsia="Times New Roman" w:cs="Calibri"/>
                <w:color w:val="FFFFFF" w:themeColor="background1"/>
                <w:lang w:eastAsia="en-AU"/>
              </w:rPr>
              <w:t>Focus areas</w:t>
            </w:r>
          </w:p>
        </w:tc>
        <w:tc>
          <w:tcPr>
            <w:tcW w:w="1794" w:type="pct"/>
            <w:tcBorders>
              <w:top w:val="single" w:sz="4" w:space="0" w:color="auto"/>
              <w:left w:val="single" w:sz="4" w:space="0" w:color="auto"/>
              <w:bottom w:val="single" w:sz="4" w:space="0" w:color="auto"/>
              <w:right w:val="single" w:sz="4" w:space="0" w:color="auto"/>
            </w:tcBorders>
            <w:shd w:val="clear" w:color="auto" w:fill="D6E8D2" w:themeFill="accent3" w:themeFillTint="33"/>
          </w:tcPr>
          <w:p w14:paraId="43F10741" w14:textId="77777777" w:rsidR="007D64AE" w:rsidRPr="007D64AE" w:rsidRDefault="007D64AE" w:rsidP="007D64AE">
            <w:pPr>
              <w:pStyle w:val="TableBodyCopy"/>
              <w:cnfStyle w:val="000000000000" w:firstRow="0" w:lastRow="0" w:firstColumn="0" w:lastColumn="0" w:oddVBand="0" w:evenVBand="0" w:oddHBand="0" w:evenHBand="0" w:firstRowFirstColumn="0" w:firstRowLastColumn="0" w:lastRowFirstColumn="0" w:lastRowLastColumn="0"/>
            </w:pPr>
            <w:r w:rsidRPr="007D64AE">
              <w:t>Objective 1 focus areas</w:t>
            </w:r>
          </w:p>
          <w:p w14:paraId="10B01A23" w14:textId="636E16AC" w:rsidR="007D64AE" w:rsidRPr="0098415F" w:rsidRDefault="007D64AE" w:rsidP="00B63C47">
            <w:pPr>
              <w:pStyle w:val="Tablebullet"/>
              <w:numPr>
                <w:ilvl w:val="0"/>
                <w:numId w:val="9"/>
              </w:numPr>
              <w:cnfStyle w:val="000000000000" w:firstRow="0" w:lastRow="0" w:firstColumn="0" w:lastColumn="0" w:oddVBand="0" w:evenVBand="0" w:oddHBand="0" w:evenHBand="0" w:firstRowFirstColumn="0" w:firstRowLastColumn="0" w:lastRowFirstColumn="0" w:lastRowLastColumn="0"/>
            </w:pPr>
            <w:r w:rsidRPr="008C1226">
              <w:t xml:space="preserve">Australia </w:t>
            </w:r>
            <w:r w:rsidRPr="0098415F">
              <w:t xml:space="preserve">Awards </w:t>
            </w:r>
            <w:r w:rsidR="00BD4695">
              <w:t>S</w:t>
            </w:r>
            <w:r w:rsidRPr="0098415F">
              <w:t>cholarships, Fellowships and short courses</w:t>
            </w:r>
          </w:p>
          <w:p w14:paraId="4EE77C2B" w14:textId="77777777" w:rsidR="007D64AE" w:rsidRPr="0098415F" w:rsidRDefault="007D64AE" w:rsidP="00B63C47">
            <w:pPr>
              <w:pStyle w:val="Tablebullet"/>
              <w:numPr>
                <w:ilvl w:val="0"/>
                <w:numId w:val="9"/>
              </w:numPr>
              <w:cnfStyle w:val="000000000000" w:firstRow="0" w:lastRow="0" w:firstColumn="0" w:lastColumn="0" w:oddVBand="0" w:evenVBand="0" w:oddHBand="0" w:evenHBand="0" w:firstRowFirstColumn="0" w:firstRowLastColumn="0" w:lastRowFirstColumn="0" w:lastRowLastColumn="0"/>
            </w:pPr>
            <w:r w:rsidRPr="0098415F">
              <w:t>Regional integration and regional architecture</w:t>
            </w:r>
          </w:p>
          <w:p w14:paraId="21935417" w14:textId="77777777" w:rsidR="007D64AE" w:rsidRPr="0098415F" w:rsidRDefault="007D64AE" w:rsidP="00B63C47">
            <w:pPr>
              <w:pStyle w:val="Tablebullet"/>
              <w:numPr>
                <w:ilvl w:val="0"/>
                <w:numId w:val="9"/>
              </w:numPr>
              <w:cnfStyle w:val="000000000000" w:firstRow="0" w:lastRow="0" w:firstColumn="0" w:lastColumn="0" w:oddVBand="0" w:evenVBand="0" w:oddHBand="0" w:evenHBand="0" w:firstRowFirstColumn="0" w:firstRowLastColumn="0" w:lastRowFirstColumn="0" w:lastRowLastColumn="0"/>
            </w:pPr>
            <w:r w:rsidRPr="0098415F">
              <w:t>Maritime safety, security and environment</w:t>
            </w:r>
          </w:p>
          <w:p w14:paraId="2C0DC15C" w14:textId="77777777" w:rsidR="007D64AE" w:rsidRPr="0098415F" w:rsidRDefault="007D64AE" w:rsidP="00B63C47">
            <w:pPr>
              <w:pStyle w:val="Tablebullet"/>
              <w:numPr>
                <w:ilvl w:val="0"/>
                <w:numId w:val="9"/>
              </w:numPr>
              <w:cnfStyle w:val="000000000000" w:firstRow="0" w:lastRow="0" w:firstColumn="0" w:lastColumn="0" w:oddVBand="0" w:evenVBand="0" w:oddHBand="0" w:evenHBand="0" w:firstRowFirstColumn="0" w:firstRowLastColumn="0" w:lastRowFirstColumn="0" w:lastRowLastColumn="0"/>
            </w:pPr>
            <w:r w:rsidRPr="0098415F">
              <w:t>Economic and social infrastructure</w:t>
            </w:r>
          </w:p>
          <w:p w14:paraId="26BFB972" w14:textId="77777777" w:rsidR="007D64AE" w:rsidRPr="0098415F" w:rsidRDefault="007D64AE" w:rsidP="00B63C47">
            <w:pPr>
              <w:pStyle w:val="Tablebullet"/>
              <w:numPr>
                <w:ilvl w:val="0"/>
                <w:numId w:val="9"/>
              </w:numPr>
              <w:cnfStyle w:val="000000000000" w:firstRow="0" w:lastRow="0" w:firstColumn="0" w:lastColumn="0" w:oddVBand="0" w:evenVBand="0" w:oddHBand="0" w:evenHBand="0" w:firstRowFirstColumn="0" w:firstRowLastColumn="0" w:lastRowFirstColumn="0" w:lastRowLastColumn="0"/>
            </w:pPr>
            <w:r w:rsidRPr="0098415F">
              <w:t>Transport connectivity</w:t>
            </w:r>
          </w:p>
          <w:p w14:paraId="243A07C8" w14:textId="1168A4D8" w:rsidR="007D64AE" w:rsidRPr="0098415F" w:rsidRDefault="007D64AE" w:rsidP="00B63C47">
            <w:pPr>
              <w:pStyle w:val="Tablebullet"/>
              <w:numPr>
                <w:ilvl w:val="0"/>
                <w:numId w:val="9"/>
              </w:numPr>
              <w:cnfStyle w:val="000000000000" w:firstRow="0" w:lastRow="0" w:firstColumn="0" w:lastColumn="0" w:oddVBand="0" w:evenVBand="0" w:oddHBand="0" w:evenHBand="0" w:firstRowFirstColumn="0" w:firstRowLastColumn="0" w:lastRowFirstColumn="0" w:lastRowLastColumn="0"/>
            </w:pPr>
            <w:r w:rsidRPr="0098415F">
              <w:t>Private sector</w:t>
            </w:r>
            <w:r w:rsidR="00483FF0">
              <w:t xml:space="preserve"> investment</w:t>
            </w:r>
          </w:p>
          <w:p w14:paraId="19FB48D5" w14:textId="6149546D" w:rsidR="00E765D9" w:rsidRPr="000E77A9" w:rsidRDefault="007D64AE" w:rsidP="00B63C47">
            <w:pPr>
              <w:pStyle w:val="Tablebullet"/>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8415F">
              <w:t>Energy transition</w:t>
            </w:r>
            <w:r>
              <w:t xml:space="preserve"> and security</w:t>
            </w:r>
          </w:p>
        </w:tc>
        <w:tc>
          <w:tcPr>
            <w:tcW w:w="1727" w:type="pct"/>
            <w:tcBorders>
              <w:top w:val="single" w:sz="4" w:space="0" w:color="auto"/>
              <w:left w:val="single" w:sz="4" w:space="0" w:color="auto"/>
              <w:bottom w:val="single" w:sz="4" w:space="0" w:color="auto"/>
              <w:right w:val="single" w:sz="4" w:space="0" w:color="auto"/>
            </w:tcBorders>
            <w:shd w:val="clear" w:color="auto" w:fill="FBEED2" w:themeFill="accent4" w:themeFillTint="33"/>
          </w:tcPr>
          <w:p w14:paraId="1CEE9DF4" w14:textId="4E9A0594" w:rsidR="00906E99" w:rsidRPr="008933A8" w:rsidRDefault="00906E99" w:rsidP="00802862">
            <w:pPr>
              <w:pStyle w:val="TableBodyCopy"/>
              <w:cnfStyle w:val="000000000000" w:firstRow="0" w:lastRow="0" w:firstColumn="0" w:lastColumn="0" w:oddVBand="0" w:evenVBand="0" w:oddHBand="0" w:evenHBand="0" w:firstRowFirstColumn="0" w:firstRowLastColumn="0" w:lastRowFirstColumn="0" w:lastRowLastColumn="0"/>
              <w:rPr>
                <w:rFonts w:cs="Calibri"/>
                <w:lang w:eastAsia="en-AU"/>
              </w:rPr>
            </w:pPr>
            <w:r w:rsidRPr="00802862">
              <w:t>O</w:t>
            </w:r>
            <w:r w:rsidRPr="00802862">
              <w:rPr>
                <w:lang w:eastAsia="en-AU"/>
              </w:rPr>
              <w:t>bjective 2 focus areas</w:t>
            </w:r>
          </w:p>
          <w:p w14:paraId="092E4FD1" w14:textId="77777777" w:rsidR="00906E99" w:rsidRPr="008933A8" w:rsidRDefault="00906E99" w:rsidP="00B63C47">
            <w:pPr>
              <w:pStyle w:val="Tablebullet"/>
              <w:numPr>
                <w:ilvl w:val="0"/>
                <w:numId w:val="10"/>
              </w:numPr>
              <w:cnfStyle w:val="000000000000" w:firstRow="0" w:lastRow="0" w:firstColumn="0" w:lastColumn="0" w:oddVBand="0" w:evenVBand="0" w:oddHBand="0" w:evenHBand="0" w:firstRowFirstColumn="0" w:firstRowLastColumn="0" w:lastRowFirstColumn="0" w:lastRowLastColumn="0"/>
            </w:pPr>
            <w:r w:rsidRPr="008933A8">
              <w:t>Water security</w:t>
            </w:r>
          </w:p>
          <w:p w14:paraId="50B8C4EA" w14:textId="77777777" w:rsidR="00906E99" w:rsidRPr="008933A8" w:rsidRDefault="00906E99" w:rsidP="00B63C47">
            <w:pPr>
              <w:pStyle w:val="Tablebullet"/>
              <w:numPr>
                <w:ilvl w:val="0"/>
                <w:numId w:val="10"/>
              </w:numPr>
              <w:cnfStyle w:val="000000000000" w:firstRow="0" w:lastRow="0" w:firstColumn="0" w:lastColumn="0" w:oddVBand="0" w:evenVBand="0" w:oddHBand="0" w:evenHBand="0" w:firstRowFirstColumn="0" w:firstRowLastColumn="0" w:lastRowFirstColumn="0" w:lastRowLastColumn="0"/>
            </w:pPr>
            <w:r w:rsidRPr="008933A8">
              <w:t>Climate-smart agriculture</w:t>
            </w:r>
          </w:p>
          <w:p w14:paraId="5B67237E" w14:textId="77777777" w:rsidR="00906E99" w:rsidRPr="008933A8" w:rsidRDefault="00906E99" w:rsidP="00B63C47">
            <w:pPr>
              <w:pStyle w:val="Tablebullet"/>
              <w:numPr>
                <w:ilvl w:val="0"/>
                <w:numId w:val="10"/>
              </w:numPr>
              <w:cnfStyle w:val="000000000000" w:firstRow="0" w:lastRow="0" w:firstColumn="0" w:lastColumn="0" w:oddVBand="0" w:evenVBand="0" w:oddHBand="0" w:evenHBand="0" w:firstRowFirstColumn="0" w:firstRowLastColumn="0" w:lastRowFirstColumn="0" w:lastRowLastColumn="0"/>
            </w:pPr>
            <w:r w:rsidRPr="008933A8">
              <w:t>Resilience and nature positive outcomes</w:t>
            </w:r>
          </w:p>
          <w:p w14:paraId="1EC9747D" w14:textId="7688BC92" w:rsidR="00906E99" w:rsidRPr="008933A8" w:rsidRDefault="00D9788C" w:rsidP="00B63C47">
            <w:pPr>
              <w:pStyle w:val="Tablebullet"/>
              <w:numPr>
                <w:ilvl w:val="0"/>
                <w:numId w:val="10"/>
              </w:numPr>
              <w:cnfStyle w:val="000000000000" w:firstRow="0" w:lastRow="0" w:firstColumn="0" w:lastColumn="0" w:oddVBand="0" w:evenVBand="0" w:oddHBand="0" w:evenHBand="0" w:firstRowFirstColumn="0" w:firstRowLastColumn="0" w:lastRowFirstColumn="0" w:lastRowLastColumn="0"/>
            </w:pPr>
            <w:r>
              <w:t>Gender equality, disability and social inclusion</w:t>
            </w:r>
          </w:p>
          <w:p w14:paraId="31869F7A" w14:textId="77777777" w:rsidR="00906E99" w:rsidRPr="008933A8" w:rsidRDefault="00906E99" w:rsidP="00B63C47">
            <w:pPr>
              <w:pStyle w:val="Tablebullet"/>
              <w:numPr>
                <w:ilvl w:val="0"/>
                <w:numId w:val="10"/>
              </w:numPr>
              <w:cnfStyle w:val="000000000000" w:firstRow="0" w:lastRow="0" w:firstColumn="0" w:lastColumn="0" w:oddVBand="0" w:evenVBand="0" w:oddHBand="0" w:evenHBand="0" w:firstRowFirstColumn="0" w:firstRowLastColumn="0" w:lastRowFirstColumn="0" w:lastRowLastColumn="0"/>
            </w:pPr>
            <w:r w:rsidRPr="008933A8">
              <w:t>Alumni</w:t>
            </w:r>
          </w:p>
          <w:p w14:paraId="667E8312" w14:textId="7AB4A7C9" w:rsidR="00E765D9" w:rsidRPr="00744AC1" w:rsidRDefault="00906E99" w:rsidP="00B63C47">
            <w:pPr>
              <w:pStyle w:val="Tablebullet"/>
              <w:numPr>
                <w:ilvl w:val="0"/>
                <w:numId w:val="10"/>
              </w:numPr>
              <w:cnfStyle w:val="000000000000" w:firstRow="0" w:lastRow="0" w:firstColumn="0" w:lastColumn="0" w:oddVBand="0" w:evenVBand="0" w:oddHBand="0" w:evenHBand="0" w:firstRowFirstColumn="0" w:firstRowLastColumn="0" w:lastRowFirstColumn="0" w:lastRowLastColumn="0"/>
            </w:pPr>
            <w:r w:rsidRPr="008933A8">
              <w:t>Governance</w:t>
            </w:r>
          </w:p>
        </w:tc>
      </w:tr>
    </w:tbl>
    <w:p w14:paraId="43DF7BDF" w14:textId="77777777" w:rsidR="000D4F43" w:rsidRPr="000D4F43" w:rsidRDefault="000D4F43" w:rsidP="00973CC2">
      <w:pPr>
        <w:widowControl w:val="0"/>
        <w:spacing w:line="240" w:lineRule="auto"/>
        <w:rPr>
          <w:b/>
          <w:bCs/>
        </w:rPr>
      </w:pPr>
      <w:r w:rsidRPr="000D4F43">
        <w:rPr>
          <w:b/>
          <w:bCs/>
        </w:rPr>
        <w:t>Ways of working</w:t>
      </w:r>
    </w:p>
    <w:p w14:paraId="6F9FF738" w14:textId="76B71F87" w:rsidR="000D4F43" w:rsidRDefault="000D4F43">
      <w:pPr>
        <w:widowControl w:val="0"/>
        <w:spacing w:after="0" w:line="240" w:lineRule="auto"/>
      </w:pPr>
      <w:r w:rsidRPr="000D4F43">
        <w:t xml:space="preserve">We will work </w:t>
      </w:r>
      <w:r w:rsidR="007F6A9D">
        <w:t>with partners</w:t>
      </w:r>
      <w:r w:rsidR="007F6A9D" w:rsidRPr="000D4F43">
        <w:t xml:space="preserve"> </w:t>
      </w:r>
      <w:r w:rsidRPr="000D4F43">
        <w:t>to progress the objectives set out in Table</w:t>
      </w:r>
      <w:r w:rsidR="00D9788C">
        <w:t> </w:t>
      </w:r>
      <w:r w:rsidRPr="000D4F43">
        <w:t>1 through:</w:t>
      </w:r>
    </w:p>
    <w:p w14:paraId="4D8B96FF" w14:textId="2FAAB4D0" w:rsidR="006A53D4" w:rsidRDefault="00A14638" w:rsidP="00282CD8">
      <w:pPr>
        <w:pStyle w:val="NormalBullets-L1"/>
      </w:pPr>
      <w:r>
        <w:t>flexibility</w:t>
      </w:r>
      <w:r w:rsidR="006A53D4">
        <w:t xml:space="preserve"> and </w:t>
      </w:r>
      <w:r w:rsidRPr="00FD010F">
        <w:t>responsiveness</w:t>
      </w:r>
    </w:p>
    <w:p w14:paraId="6BFDE902" w14:textId="21C2CB3B" w:rsidR="006A53D4" w:rsidRDefault="00973CC2" w:rsidP="00B63C47">
      <w:pPr>
        <w:pStyle w:val="NormalBullets-L1"/>
        <w:numPr>
          <w:ilvl w:val="0"/>
          <w:numId w:val="8"/>
        </w:numPr>
      </w:pPr>
      <w:r>
        <w:t>p</w:t>
      </w:r>
      <w:r w:rsidR="006A53D4">
        <w:t>artner</w:t>
      </w:r>
      <w:r w:rsidR="00EA1F6A">
        <w:t>-</w:t>
      </w:r>
      <w:r w:rsidR="006A53D4">
        <w:t>driven and locally led</w:t>
      </w:r>
      <w:r w:rsidR="007D7993">
        <w:t xml:space="preserve"> </w:t>
      </w:r>
      <w:r w:rsidR="0028106F">
        <w:t>development</w:t>
      </w:r>
    </w:p>
    <w:p w14:paraId="06E0D2C3" w14:textId="48FB640F" w:rsidR="006A53D4" w:rsidRDefault="002B0815" w:rsidP="00B63C47">
      <w:pPr>
        <w:pStyle w:val="NormalBullets-L1"/>
        <w:numPr>
          <w:ilvl w:val="0"/>
          <w:numId w:val="8"/>
        </w:numPr>
      </w:pPr>
      <w:r>
        <w:t xml:space="preserve">a </w:t>
      </w:r>
      <w:r w:rsidR="00973CC2">
        <w:t>c</w:t>
      </w:r>
      <w:r w:rsidR="006A53D4">
        <w:t xml:space="preserve">oordinated and complementary </w:t>
      </w:r>
      <w:r>
        <w:t xml:space="preserve">approach across all </w:t>
      </w:r>
      <w:r w:rsidR="006A53D4">
        <w:t>investments</w:t>
      </w:r>
    </w:p>
    <w:p w14:paraId="7A023F01" w14:textId="092B5F11" w:rsidR="006A53D4" w:rsidRPr="00F568EF" w:rsidRDefault="00973CC2" w:rsidP="00B63C47">
      <w:pPr>
        <w:pStyle w:val="NormalBullets-L1"/>
        <w:numPr>
          <w:ilvl w:val="0"/>
          <w:numId w:val="8"/>
        </w:numPr>
      </w:pPr>
      <w:r>
        <w:t>s</w:t>
      </w:r>
      <w:r w:rsidR="006A53D4" w:rsidRPr="00F568EF">
        <w:t>trengthened monitoring, evaluation and learning</w:t>
      </w:r>
    </w:p>
    <w:p w14:paraId="43E5B8A8" w14:textId="3087F5A8" w:rsidR="00DF6330" w:rsidRPr="00DC5A58" w:rsidRDefault="00BA4FD8" w:rsidP="00B63C47">
      <w:pPr>
        <w:pStyle w:val="NormalBullets-L1"/>
        <w:widowControl w:val="0"/>
        <w:numPr>
          <w:ilvl w:val="0"/>
          <w:numId w:val="8"/>
        </w:numPr>
        <w:spacing w:before="0" w:after="0"/>
      </w:pPr>
      <w:r>
        <w:t xml:space="preserve">a </w:t>
      </w:r>
      <w:r w:rsidR="00973CC2">
        <w:t>m</w:t>
      </w:r>
      <w:r w:rsidR="006A53D4">
        <w:t>ainstreamed approach</w:t>
      </w:r>
      <w:r w:rsidR="006A53D4" w:rsidRPr="00EE0DA9">
        <w:t xml:space="preserve"> to </w:t>
      </w:r>
      <w:r w:rsidR="00BB7E11">
        <w:t>c</w:t>
      </w:r>
      <w:r w:rsidR="00DF0C39">
        <w:t xml:space="preserve">limate </w:t>
      </w:r>
      <w:r w:rsidR="00BB7E11">
        <w:t>c</w:t>
      </w:r>
      <w:r w:rsidR="00DF0C39">
        <w:t xml:space="preserve">hange and </w:t>
      </w:r>
      <w:r w:rsidR="006A53D4">
        <w:t>GEDSI</w:t>
      </w:r>
      <w:r w:rsidR="00407C9E">
        <w:t>.</w:t>
      </w:r>
      <w:r w:rsidR="00DF6330" w:rsidRPr="006646E3">
        <w:br w:type="page"/>
      </w:r>
    </w:p>
    <w:p w14:paraId="3433C0B2" w14:textId="71956B54" w:rsidR="002F4955" w:rsidRPr="00517701" w:rsidRDefault="002F4955" w:rsidP="00517701">
      <w:pPr>
        <w:pStyle w:val="H3-Heading3"/>
      </w:pPr>
      <w:r w:rsidRPr="00517701">
        <w:lastRenderedPageBreak/>
        <w:t xml:space="preserve">Objective 1: </w:t>
      </w:r>
      <w:r w:rsidR="00453E74">
        <w:t>Enhance economic growth, regional</w:t>
      </w:r>
      <w:r w:rsidR="00453E74" w:rsidRPr="001A77D5">
        <w:t xml:space="preserve"> cooperation and </w:t>
      </w:r>
      <w:r w:rsidR="00453E74">
        <w:t>linkages</w:t>
      </w:r>
    </w:p>
    <w:p w14:paraId="6FEECABD" w14:textId="2F432CF1" w:rsidR="00DE5B1F" w:rsidRPr="00225370" w:rsidRDefault="00DE5B1F" w:rsidP="00DE5B1F">
      <w:bookmarkStart w:id="2" w:name="_Hlk156523798"/>
      <w:r w:rsidRPr="00225370">
        <w:t>Australia will work with partners to support regional economic growth through increased infrastructure investment and a stronger focus on integrating climate considerations in accordance with G20 infrastructure principles.</w:t>
      </w:r>
      <w:bookmarkEnd w:id="2"/>
      <w:r w:rsidRPr="00225370">
        <w:t xml:space="preserve"> To achieve this, Australian finance, backed by World Bank and IFC </w:t>
      </w:r>
      <w:bookmarkStart w:id="3" w:name="_Hlk156379659"/>
      <w:r w:rsidRPr="00225370">
        <w:t>expertise, will leverage loans and private sector investment in transport and green energy infrastructure.</w:t>
      </w:r>
      <w:bookmarkEnd w:id="3"/>
      <w:r w:rsidRPr="00225370">
        <w:t xml:space="preserve"> Through the South Asia Regional Infrastructure Connectivity </w:t>
      </w:r>
      <w:r w:rsidR="00725244">
        <w:t xml:space="preserve">(SARIC) </w:t>
      </w:r>
      <w:r w:rsidR="004155E5">
        <w:t>p</w:t>
      </w:r>
      <w:r w:rsidRPr="00225370">
        <w:t>rogram</w:t>
      </w:r>
      <w:r w:rsidR="009C705D">
        <w:t>,</w:t>
      </w:r>
      <w:r w:rsidRPr="00225370">
        <w:t xml:space="preserve"> our partners will assist governments to prepare a pipeline of transport and energy projects that connect economies in the region that are eligible for public and/or private financing. The program will also provide training to build skills and networks that contribute to connectivity projects. The regional program is complemented by bilateral economic growth activities managed by our posts in Bangladesh</w:t>
      </w:r>
      <w:r>
        <w:t xml:space="preserve">, </w:t>
      </w:r>
      <w:r w:rsidRPr="00225370">
        <w:t>Nepal</w:t>
      </w:r>
      <w:r>
        <w:t xml:space="preserve"> and</w:t>
      </w:r>
      <w:r w:rsidRPr="00225370">
        <w:t xml:space="preserve"> Sri Lanka.</w:t>
      </w:r>
    </w:p>
    <w:p w14:paraId="36E4AF65" w14:textId="3C38074C" w:rsidR="00DE5B1F" w:rsidRPr="00F2275F" w:rsidRDefault="00DE5B1F" w:rsidP="00DE5B1F">
      <w:r w:rsidRPr="00720773">
        <w:t xml:space="preserve">We will help strengthen regional architecture, linkages and collaboration between institutions and individuals, including with </w:t>
      </w:r>
      <w:r w:rsidR="00D70468" w:rsidRPr="00720773">
        <w:t xml:space="preserve">those in </w:t>
      </w:r>
      <w:r w:rsidRPr="00720773">
        <w:t>Australia. Australia is a committed member of IORA, which seeks to address regional challenges and uphold international rules and norms</w:t>
      </w:r>
      <w:r w:rsidR="00A57AFC" w:rsidRPr="00720773">
        <w:t>,</w:t>
      </w:r>
      <w:r w:rsidRPr="00720773">
        <w:t xml:space="preserve"> </w:t>
      </w:r>
      <w:r w:rsidR="00134079" w:rsidRPr="00720773">
        <w:t xml:space="preserve">including </w:t>
      </w:r>
      <w:r w:rsidR="009550EF" w:rsidRPr="00720773">
        <w:t>maritime domain awareness and maritime law enforcement</w:t>
      </w:r>
      <w:r w:rsidR="009C4B9B">
        <w:t>,</w:t>
      </w:r>
      <w:r w:rsidR="0023053E" w:rsidRPr="00720773">
        <w:t xml:space="preserve"> through </w:t>
      </w:r>
      <w:r w:rsidRPr="00720773">
        <w:t>workshops</w:t>
      </w:r>
      <w:r w:rsidR="005D06BC" w:rsidRPr="00720773">
        <w:t>.</w:t>
      </w:r>
      <w:r w:rsidRPr="00720773">
        <w:t xml:space="preserve"> </w:t>
      </w:r>
      <w:r w:rsidR="005D06BC" w:rsidRPr="00720773">
        <w:t>These workshops</w:t>
      </w:r>
      <w:r w:rsidR="006834E4" w:rsidRPr="00720773">
        <w:t xml:space="preserve"> </w:t>
      </w:r>
      <w:r w:rsidRPr="00720773">
        <w:t xml:space="preserve">build capacity in the Indian Ocean region on the United Nations Convention on the Law of the Sea (UNCLOS). We will initiate a maritime leadership program, which will help build the skills, leadership and confidence of the region’s senior operational leaders. We will also launch a civil maritime security postgraduate program, bringing together emerging policy leaders to deepen their expertise in international maritime law and security. We will work with India to co-lead IORA’s Working Group for Maritime Safety and Security over the next </w:t>
      </w:r>
      <w:r w:rsidR="007F08A2">
        <w:t>two</w:t>
      </w:r>
      <w:r w:rsidR="00B04BEE" w:rsidRPr="00720773">
        <w:t> </w:t>
      </w:r>
      <w:r w:rsidRPr="00720773">
        <w:t>years.</w:t>
      </w:r>
    </w:p>
    <w:p w14:paraId="7E297D8B" w14:textId="1EA77BE0" w:rsidR="00DE5B1F" w:rsidRPr="005D2A03" w:rsidRDefault="00DE5B1F" w:rsidP="00DE5B1F">
      <w:r w:rsidRPr="005D2A03">
        <w:t xml:space="preserve">Increased skills development and mobility opportunities will be delivered primarily through Australia Awards </w:t>
      </w:r>
      <w:r w:rsidR="007660B6">
        <w:t>S</w:t>
      </w:r>
      <w:r w:rsidRPr="005D2A03">
        <w:t xml:space="preserve">cholarships, </w:t>
      </w:r>
      <w:r>
        <w:t>F</w:t>
      </w:r>
      <w:r w:rsidRPr="005D2A03">
        <w:t xml:space="preserve">ellowships, short courses and professional development opportunities. We will continue to invest in these activities to build skills, support development and enhance linkages within the region and with Australia. This will create more opportunities to invest in the education of the region’s future </w:t>
      </w:r>
      <w:r w:rsidRPr="00B53813">
        <w:t>leaders</w:t>
      </w:r>
      <w:r w:rsidRPr="005D2A03">
        <w:t xml:space="preserve"> and workforce and to better harness the expertise of alumni from our programs.</w:t>
      </w:r>
    </w:p>
    <w:p w14:paraId="18C2451E" w14:textId="4C7CB591" w:rsidR="00DE5B1F" w:rsidRPr="00225370" w:rsidRDefault="00DE5B1F" w:rsidP="00DE5B1F">
      <w:pPr>
        <w:rPr>
          <w:lang w:eastAsia="en-AU"/>
        </w:rPr>
      </w:pPr>
      <w:r>
        <w:rPr>
          <w:lang w:eastAsia="en-AU"/>
        </w:rPr>
        <w:t xml:space="preserve">In addition, </w:t>
      </w:r>
      <w:r w:rsidRPr="00225370">
        <w:rPr>
          <w:lang w:eastAsia="en-AU"/>
        </w:rPr>
        <w:t xml:space="preserve">non-ODA contributions will include support for greater </w:t>
      </w:r>
      <w:r w:rsidR="0000396C">
        <w:rPr>
          <w:lang w:eastAsia="en-AU"/>
        </w:rPr>
        <w:t xml:space="preserve">collaboration between </w:t>
      </w:r>
      <w:r w:rsidRPr="00225370">
        <w:rPr>
          <w:lang w:eastAsia="en-AU"/>
        </w:rPr>
        <w:t xml:space="preserve">Indian Ocean countries on maritime safety, security and environmental protection. This will include training on maritime domain awareness, protection of the marine environment and international law through partners such as CSIRO, </w:t>
      </w:r>
      <w:r>
        <w:rPr>
          <w:lang w:eastAsia="en-AU"/>
        </w:rPr>
        <w:t xml:space="preserve">the Department of </w:t>
      </w:r>
      <w:r w:rsidRPr="00225370">
        <w:rPr>
          <w:lang w:eastAsia="en-AU"/>
        </w:rPr>
        <w:t xml:space="preserve">Home Affairs, </w:t>
      </w:r>
      <w:r>
        <w:rPr>
          <w:lang w:eastAsia="en-AU"/>
        </w:rPr>
        <w:t xml:space="preserve">the </w:t>
      </w:r>
      <w:r w:rsidRPr="00225370">
        <w:rPr>
          <w:lang w:eastAsia="en-AU"/>
        </w:rPr>
        <w:t>Department of Agriculture</w:t>
      </w:r>
      <w:r w:rsidR="005A4481">
        <w:rPr>
          <w:lang w:eastAsia="en-AU"/>
        </w:rPr>
        <w:t>,</w:t>
      </w:r>
      <w:r w:rsidRPr="00225370">
        <w:rPr>
          <w:lang w:eastAsia="en-AU"/>
        </w:rPr>
        <w:t xml:space="preserve"> Fisheries and Forestry and Australian </w:t>
      </w:r>
      <w:r>
        <w:rPr>
          <w:lang w:eastAsia="en-AU"/>
        </w:rPr>
        <w:t>u</w:t>
      </w:r>
      <w:r w:rsidRPr="00225370">
        <w:rPr>
          <w:lang w:eastAsia="en-AU"/>
        </w:rPr>
        <w:t xml:space="preserve">niversities. </w:t>
      </w:r>
      <w:r>
        <w:rPr>
          <w:lang w:eastAsia="en-AU"/>
        </w:rPr>
        <w:t xml:space="preserve">The Department of </w:t>
      </w:r>
      <w:r w:rsidRPr="00225370">
        <w:rPr>
          <w:lang w:eastAsia="en-AU"/>
        </w:rPr>
        <w:t>Home Affairs leads on refugee and migration support in South Asia. ACIAR is directly contributing to efforts on food security</w:t>
      </w:r>
      <w:r>
        <w:rPr>
          <w:lang w:eastAsia="en-AU"/>
        </w:rPr>
        <w:t>,</w:t>
      </w:r>
      <w:r w:rsidRPr="00225370">
        <w:rPr>
          <w:lang w:eastAsia="en-AU"/>
        </w:rPr>
        <w:t xml:space="preserve"> especially in Pakistan. The Department of Climate Change, Energy, </w:t>
      </w:r>
      <w:r>
        <w:rPr>
          <w:lang w:eastAsia="en-AU"/>
        </w:rPr>
        <w:t>t</w:t>
      </w:r>
      <w:r w:rsidRPr="00225370">
        <w:rPr>
          <w:lang w:eastAsia="en-AU"/>
        </w:rPr>
        <w:t xml:space="preserve">he Environment and Water is directly working on plastics pollution </w:t>
      </w:r>
      <w:r>
        <w:rPr>
          <w:lang w:eastAsia="en-AU"/>
        </w:rPr>
        <w:t xml:space="preserve">to enhance </w:t>
      </w:r>
      <w:r w:rsidRPr="00225370">
        <w:rPr>
          <w:lang w:eastAsia="en-AU"/>
        </w:rPr>
        <w:t>environmental protection.</w:t>
      </w:r>
    </w:p>
    <w:p w14:paraId="4641B0DE" w14:textId="674E560A" w:rsidR="002F4955" w:rsidRPr="00FD7FE8" w:rsidRDefault="00DE5B1F" w:rsidP="00DE5B1F">
      <w:pPr>
        <w:rPr>
          <w:lang w:eastAsia="en-AU"/>
        </w:rPr>
      </w:pPr>
      <w:r w:rsidRPr="00225370">
        <w:rPr>
          <w:lang w:eastAsia="en-AU"/>
        </w:rPr>
        <w:t xml:space="preserve">Key </w:t>
      </w:r>
      <w:r>
        <w:rPr>
          <w:lang w:eastAsia="en-AU"/>
        </w:rPr>
        <w:t>d</w:t>
      </w:r>
      <w:r w:rsidRPr="00225370">
        <w:rPr>
          <w:lang w:eastAsia="en-AU"/>
        </w:rPr>
        <w:t>evelopment partners</w:t>
      </w:r>
      <w:r w:rsidR="00E07A3D">
        <w:rPr>
          <w:lang w:eastAsia="en-AU"/>
        </w:rPr>
        <w:t xml:space="preserve"> –</w:t>
      </w:r>
      <w:r w:rsidR="00E07A3D" w:rsidRPr="00E63DB6">
        <w:rPr>
          <w:lang w:eastAsia="en-AU"/>
        </w:rPr>
        <w:t xml:space="preserve"> </w:t>
      </w:r>
      <w:r w:rsidRPr="00225370">
        <w:rPr>
          <w:lang w:eastAsia="en-AU"/>
        </w:rPr>
        <w:t>China</w:t>
      </w:r>
      <w:r>
        <w:rPr>
          <w:lang w:eastAsia="en-AU"/>
        </w:rPr>
        <w:t>,</w:t>
      </w:r>
      <w:r w:rsidRPr="00225370">
        <w:rPr>
          <w:lang w:eastAsia="en-AU"/>
        </w:rPr>
        <w:t xml:space="preserve"> the European Union, India</w:t>
      </w:r>
      <w:r>
        <w:rPr>
          <w:lang w:eastAsia="en-AU"/>
        </w:rPr>
        <w:t>,</w:t>
      </w:r>
      <w:r w:rsidRPr="00225370">
        <w:rPr>
          <w:lang w:eastAsia="en-AU"/>
        </w:rPr>
        <w:t xml:space="preserve"> Japan, South Korea and</w:t>
      </w:r>
      <w:r>
        <w:rPr>
          <w:lang w:eastAsia="en-AU"/>
        </w:rPr>
        <w:t xml:space="preserve"> the </w:t>
      </w:r>
      <w:r w:rsidRPr="00225370">
        <w:rPr>
          <w:lang w:eastAsia="en-AU"/>
        </w:rPr>
        <w:t>United States</w:t>
      </w:r>
      <w:r w:rsidR="00E07A3D">
        <w:rPr>
          <w:lang w:eastAsia="en-AU"/>
        </w:rPr>
        <w:t xml:space="preserve"> – </w:t>
      </w:r>
      <w:r w:rsidRPr="00225370">
        <w:rPr>
          <w:lang w:eastAsia="en-AU"/>
        </w:rPr>
        <w:t>invest significantly in South Asia’s economic growth and integration. Australia will continue to coordinate with these partners where we can</w:t>
      </w:r>
      <w:r w:rsidR="00E07A3D">
        <w:rPr>
          <w:lang w:eastAsia="en-AU"/>
        </w:rPr>
        <w:t xml:space="preserve"> – </w:t>
      </w:r>
      <w:r w:rsidRPr="00225370">
        <w:rPr>
          <w:lang w:eastAsia="en-AU"/>
        </w:rPr>
        <w:t xml:space="preserve">and </w:t>
      </w:r>
      <w:r>
        <w:rPr>
          <w:lang w:eastAsia="en-AU"/>
        </w:rPr>
        <w:t xml:space="preserve">with </w:t>
      </w:r>
      <w:r w:rsidRPr="00225370">
        <w:rPr>
          <w:lang w:eastAsia="en-AU"/>
        </w:rPr>
        <w:t xml:space="preserve">others such as the United Nations, World Bank, IFC and </w:t>
      </w:r>
      <w:r>
        <w:rPr>
          <w:lang w:eastAsia="en-AU"/>
        </w:rPr>
        <w:t>Asian Development Bank</w:t>
      </w:r>
      <w:r w:rsidR="00717B87">
        <w:rPr>
          <w:lang w:eastAsia="en-AU"/>
        </w:rPr>
        <w:t> </w:t>
      </w:r>
      <w:r w:rsidR="00E07A3D">
        <w:rPr>
          <w:lang w:eastAsia="en-AU"/>
        </w:rPr>
        <w:t xml:space="preserve">– </w:t>
      </w:r>
      <w:r w:rsidRPr="00225370">
        <w:rPr>
          <w:lang w:eastAsia="en-AU"/>
        </w:rPr>
        <w:t>to ensure our investments are targeted and avoid duplication.</w:t>
      </w:r>
    </w:p>
    <w:p w14:paraId="612B1E38" w14:textId="2631E48E" w:rsidR="002F4955" w:rsidRPr="009F3ACA" w:rsidRDefault="002F4955" w:rsidP="00DC316E">
      <w:pPr>
        <w:pStyle w:val="H3-Heading3"/>
      </w:pPr>
      <w:r w:rsidRPr="5738B046">
        <w:t xml:space="preserve">Objective 2: </w:t>
      </w:r>
      <w:r w:rsidR="00C679F4" w:rsidRPr="00395934">
        <w:t>Contribute to a climate resilient South Asia</w:t>
      </w:r>
      <w:r w:rsidR="007273C9">
        <w:t xml:space="preserve"> region</w:t>
      </w:r>
    </w:p>
    <w:p w14:paraId="5F42BA8D" w14:textId="6319E34A" w:rsidR="00425422" w:rsidRDefault="00425422" w:rsidP="00425422">
      <w:pPr>
        <w:rPr>
          <w:lang w:eastAsia="en-AU"/>
        </w:rPr>
      </w:pPr>
      <w:r>
        <w:rPr>
          <w:lang w:eastAsia="en-AU"/>
        </w:rPr>
        <w:t xml:space="preserve">Action on climate change is central to Australia’s national development priorities. Australia’s International Development Policy recognises that measures to adapt and build resilience to climate impacts are urgently needed to defend against climate-induced loss and damage. We are committed to considering climate risk in our programming and aligning our investments with partners’ </w:t>
      </w:r>
      <w:r w:rsidR="00172C91">
        <w:rPr>
          <w:lang w:eastAsia="en-AU"/>
        </w:rPr>
        <w:t>Nationally Determined Contributions</w:t>
      </w:r>
      <w:r>
        <w:rPr>
          <w:lang w:eastAsia="en-AU"/>
        </w:rPr>
        <w:t xml:space="preserve"> and National Adaptation Plans.</w:t>
      </w:r>
    </w:p>
    <w:p w14:paraId="1DFB8DF7" w14:textId="77777777" w:rsidR="00425422" w:rsidRPr="00191F5D" w:rsidRDefault="00425422" w:rsidP="00425422">
      <w:pPr>
        <w:rPr>
          <w:lang w:eastAsia="en-AU"/>
        </w:rPr>
      </w:pPr>
      <w:r>
        <w:rPr>
          <w:lang w:eastAsia="en-AU"/>
        </w:rPr>
        <w:t>Australia’s development programming in South Asia will enhance</w:t>
      </w:r>
      <w:r w:rsidRPr="00191F5D">
        <w:rPr>
          <w:lang w:eastAsia="en-AU"/>
        </w:rPr>
        <w:t xml:space="preserve"> </w:t>
      </w:r>
      <w:r w:rsidRPr="008B66F5">
        <w:rPr>
          <w:lang w:eastAsia="en-AU"/>
        </w:rPr>
        <w:t>state and community resilience</w:t>
      </w:r>
      <w:r w:rsidRPr="00191F5D">
        <w:rPr>
          <w:lang w:eastAsia="en-AU"/>
        </w:rPr>
        <w:t xml:space="preserve"> through a focus on water security and managing the impacts of climate change, as disasters grow more severe and outpace our collective ability to manage risk</w:t>
      </w:r>
      <w:r>
        <w:rPr>
          <w:lang w:eastAsia="en-AU"/>
        </w:rPr>
        <w:t xml:space="preserve"> (for both mainland and maritime countries)</w:t>
      </w:r>
      <w:r w:rsidRPr="00191F5D">
        <w:rPr>
          <w:lang w:eastAsia="en-AU"/>
        </w:rPr>
        <w:t xml:space="preserve">. Australia will work with partners to </w:t>
      </w:r>
      <w:r w:rsidRPr="00191F5D">
        <w:rPr>
          <w:lang w:eastAsia="en-AU"/>
        </w:rPr>
        <w:lastRenderedPageBreak/>
        <w:t xml:space="preserve">deliver investments that can cope with and adapt to risks, including on </w:t>
      </w:r>
      <w:r>
        <w:rPr>
          <w:lang w:eastAsia="en-AU"/>
        </w:rPr>
        <w:t xml:space="preserve">environment, the blue economy, </w:t>
      </w:r>
      <w:r w:rsidRPr="00191F5D">
        <w:rPr>
          <w:lang w:eastAsia="en-AU"/>
        </w:rPr>
        <w:t>water resource management and climate change</w:t>
      </w:r>
      <w:r>
        <w:rPr>
          <w:lang w:eastAsia="en-AU"/>
        </w:rPr>
        <w:t>.</w:t>
      </w:r>
    </w:p>
    <w:p w14:paraId="5681EEEE" w14:textId="407298D1" w:rsidR="00425422" w:rsidRPr="0040164B" w:rsidRDefault="00425422" w:rsidP="00425422">
      <w:pPr>
        <w:rPr>
          <w:lang w:eastAsia="en-AU"/>
        </w:rPr>
      </w:pPr>
      <w:r w:rsidRPr="004A4EC7">
        <w:rPr>
          <w:lang w:eastAsia="en-AU"/>
        </w:rPr>
        <w:t>Australia will help improve partner government capacity to mitigate and/or adapt to the impacts of climate change</w:t>
      </w:r>
      <w:r>
        <w:rPr>
          <w:lang w:eastAsia="en-AU"/>
        </w:rPr>
        <w:t xml:space="preserve">, building on the legacy of </w:t>
      </w:r>
      <w:r w:rsidR="00552B34">
        <w:rPr>
          <w:lang w:eastAsia="en-AU"/>
        </w:rPr>
        <w:t>the Sustainable Development Investment Portfolio</w:t>
      </w:r>
      <w:r>
        <w:rPr>
          <w:lang w:eastAsia="en-AU"/>
        </w:rPr>
        <w:t xml:space="preserve">, which </w:t>
      </w:r>
      <w:r w:rsidRPr="005E5E2C">
        <w:rPr>
          <w:rFonts w:cstheme="majorHAnsi"/>
        </w:rPr>
        <w:t xml:space="preserve">aimed to improve the management of water, energy and food resources in three major </w:t>
      </w:r>
      <w:proofErr w:type="gramStart"/>
      <w:r w:rsidRPr="005E5E2C">
        <w:rPr>
          <w:rFonts w:cstheme="majorHAnsi"/>
        </w:rPr>
        <w:t>Himalayan river</w:t>
      </w:r>
      <w:proofErr w:type="gramEnd"/>
      <w:r w:rsidRPr="005E5E2C">
        <w:rPr>
          <w:rFonts w:cstheme="majorHAnsi"/>
        </w:rPr>
        <w:t xml:space="preserve"> basins</w:t>
      </w:r>
      <w:r w:rsidRPr="004A4EC7">
        <w:rPr>
          <w:lang w:eastAsia="en-AU"/>
        </w:rPr>
        <w:t xml:space="preserve">. </w:t>
      </w:r>
      <w:r w:rsidRPr="0040164B">
        <w:rPr>
          <w:lang w:eastAsia="en-AU"/>
        </w:rPr>
        <w:t xml:space="preserve">The South Asia Water Security Initiative (SAWASI) will provide technical assistance and training to India, </w:t>
      </w:r>
      <w:r>
        <w:rPr>
          <w:lang w:eastAsia="en-AU"/>
        </w:rPr>
        <w:t xml:space="preserve">Nepal and </w:t>
      </w:r>
      <w:r w:rsidRPr="0040164B">
        <w:rPr>
          <w:lang w:eastAsia="en-AU"/>
        </w:rPr>
        <w:t>Pakistan to improve access to climate resilient and safe water and sanitation services for disadvantaged communities in South Asian cities and strengthen city-level water governance.</w:t>
      </w:r>
    </w:p>
    <w:p w14:paraId="51B81520" w14:textId="075D52FC" w:rsidR="00425422" w:rsidRPr="00191F5D" w:rsidRDefault="00425422" w:rsidP="00425422">
      <w:pPr>
        <w:rPr>
          <w:lang w:eastAsia="en-AU"/>
        </w:rPr>
      </w:pPr>
      <w:r w:rsidRPr="007B11AD">
        <w:rPr>
          <w:lang w:eastAsia="en-AU"/>
        </w:rPr>
        <w:t>Global programs supported by DFAT</w:t>
      </w:r>
      <w:r>
        <w:rPr>
          <w:lang w:eastAsia="en-AU"/>
        </w:rPr>
        <w:t xml:space="preserve">, </w:t>
      </w:r>
      <w:r w:rsidRPr="007B11AD">
        <w:rPr>
          <w:lang w:eastAsia="en-AU"/>
        </w:rPr>
        <w:t>including the Green Climate Fund</w:t>
      </w:r>
      <w:r>
        <w:rPr>
          <w:lang w:eastAsia="en-AU"/>
        </w:rPr>
        <w:t>,</w:t>
      </w:r>
      <w:r w:rsidRPr="007B11AD">
        <w:rPr>
          <w:lang w:eastAsia="en-AU"/>
        </w:rPr>
        <w:t xml:space="preserve"> Climate Resilient Communities</w:t>
      </w:r>
      <w:r>
        <w:rPr>
          <w:lang w:eastAsia="en-AU"/>
        </w:rPr>
        <w:t xml:space="preserve"> and Australian Water Partnership, </w:t>
      </w:r>
      <w:r w:rsidRPr="007B11AD">
        <w:rPr>
          <w:lang w:eastAsia="en-AU"/>
        </w:rPr>
        <w:t xml:space="preserve">will also contribute to the achievement of this objective. </w:t>
      </w:r>
      <w:r>
        <w:rPr>
          <w:lang w:eastAsia="en-AU"/>
        </w:rPr>
        <w:t>The regional program will explore co-contributing to these programs to expand their reach and impact in South Asia.</w:t>
      </w:r>
    </w:p>
    <w:p w14:paraId="1E0F3F59" w14:textId="43B56C83" w:rsidR="00425422" w:rsidRPr="00460221" w:rsidRDefault="00425422" w:rsidP="00425422">
      <w:pPr>
        <w:rPr>
          <w:lang w:eastAsia="en-AU"/>
        </w:rPr>
      </w:pPr>
      <w:r w:rsidRPr="00460221">
        <w:rPr>
          <w:lang w:eastAsia="en-AU"/>
        </w:rPr>
        <w:t>Our climate</w:t>
      </w:r>
      <w:r>
        <w:rPr>
          <w:lang w:eastAsia="en-AU"/>
        </w:rPr>
        <w:t xml:space="preserve">-related </w:t>
      </w:r>
      <w:r w:rsidRPr="00460221">
        <w:rPr>
          <w:lang w:eastAsia="en-AU"/>
        </w:rPr>
        <w:t xml:space="preserve">investments will contribute to South Asia’s </w:t>
      </w:r>
      <w:r w:rsidRPr="008B66F5">
        <w:rPr>
          <w:lang w:eastAsia="en-AU"/>
        </w:rPr>
        <w:t>connections with Australia and regionally.</w:t>
      </w:r>
      <w:r w:rsidRPr="00460221">
        <w:rPr>
          <w:lang w:eastAsia="en-AU"/>
        </w:rPr>
        <w:t xml:space="preserve"> Through Australia Awards scholarships and short courses, we will advance this connectivity to create more opportunities for the region’s future leaders in climate resilience</w:t>
      </w:r>
      <w:r>
        <w:rPr>
          <w:lang w:eastAsia="en-AU"/>
        </w:rPr>
        <w:t xml:space="preserve"> and green energy transition</w:t>
      </w:r>
      <w:r w:rsidRPr="00460221">
        <w:rPr>
          <w:lang w:eastAsia="en-AU"/>
        </w:rPr>
        <w:t>.</w:t>
      </w:r>
    </w:p>
    <w:p w14:paraId="49FE0130" w14:textId="73318790" w:rsidR="00425422" w:rsidRPr="008864CD" w:rsidRDefault="00425422" w:rsidP="00425422">
      <w:pPr>
        <w:rPr>
          <w:lang w:eastAsia="en-AU"/>
        </w:rPr>
      </w:pPr>
      <w:r w:rsidRPr="008864CD">
        <w:rPr>
          <w:rFonts w:eastAsia="Times New Roman"/>
          <w:lang w:eastAsia="en-AU"/>
        </w:rPr>
        <w:t>Australia will enhance women’s participation in climate resilience interventions</w:t>
      </w:r>
      <w:r w:rsidRPr="008864CD" w:rsidDel="009A7524">
        <w:rPr>
          <w:lang w:eastAsia="en-AU"/>
        </w:rPr>
        <w:t xml:space="preserve"> </w:t>
      </w:r>
      <w:r w:rsidR="005B4987">
        <w:rPr>
          <w:lang w:eastAsia="en-AU"/>
        </w:rPr>
        <w:t xml:space="preserve">by </w:t>
      </w:r>
      <w:r w:rsidRPr="008864CD">
        <w:rPr>
          <w:lang w:eastAsia="en-AU"/>
        </w:rPr>
        <w:t>integrating GEDSI across all regional climate change</w:t>
      </w:r>
      <w:r w:rsidR="000011E7">
        <w:rPr>
          <w:lang w:eastAsia="en-AU"/>
        </w:rPr>
        <w:t>-</w:t>
      </w:r>
      <w:r>
        <w:rPr>
          <w:lang w:eastAsia="en-AU"/>
        </w:rPr>
        <w:t xml:space="preserve">related </w:t>
      </w:r>
      <w:r w:rsidRPr="008864CD">
        <w:rPr>
          <w:lang w:eastAsia="en-AU"/>
        </w:rPr>
        <w:t xml:space="preserve">investments. This will </w:t>
      </w:r>
      <w:r w:rsidR="00882F30">
        <w:rPr>
          <w:lang w:eastAsia="en-AU"/>
        </w:rPr>
        <w:t>create</w:t>
      </w:r>
      <w:r w:rsidR="00882F30" w:rsidRPr="008864CD">
        <w:rPr>
          <w:lang w:eastAsia="en-AU"/>
        </w:rPr>
        <w:t xml:space="preserve"> </w:t>
      </w:r>
      <w:r w:rsidRPr="008864CD">
        <w:rPr>
          <w:lang w:eastAsia="en-AU"/>
        </w:rPr>
        <w:t xml:space="preserve">more equitable and sustainable outcomes. It will also ensure our work to improve water security and management and </w:t>
      </w:r>
      <w:r w:rsidR="00E80753">
        <w:rPr>
          <w:lang w:eastAsia="en-AU"/>
        </w:rPr>
        <w:t xml:space="preserve">our </w:t>
      </w:r>
      <w:r w:rsidRPr="008864CD">
        <w:rPr>
          <w:lang w:eastAsia="en-AU"/>
        </w:rPr>
        <w:t xml:space="preserve">related policies, strategies and service delivery </w:t>
      </w:r>
      <w:r w:rsidR="00E80753">
        <w:rPr>
          <w:lang w:eastAsia="en-AU"/>
        </w:rPr>
        <w:t xml:space="preserve">are </w:t>
      </w:r>
      <w:r w:rsidRPr="008864CD">
        <w:rPr>
          <w:lang w:eastAsia="en-AU"/>
        </w:rPr>
        <w:t>inclusive and integrated across the region.</w:t>
      </w:r>
    </w:p>
    <w:p w14:paraId="30806FB2" w14:textId="4F9501C9" w:rsidR="00425422" w:rsidRDefault="00425422" w:rsidP="00425422">
      <w:pPr>
        <w:rPr>
          <w:lang w:eastAsia="en-AU"/>
        </w:rPr>
      </w:pPr>
      <w:r>
        <w:rPr>
          <w:lang w:eastAsia="en-AU"/>
        </w:rPr>
        <w:t xml:space="preserve">We will continue to share our government, civil society and private sector </w:t>
      </w:r>
      <w:r w:rsidRPr="00191F5D">
        <w:rPr>
          <w:lang w:eastAsia="en-AU"/>
        </w:rPr>
        <w:t xml:space="preserve">expertise </w:t>
      </w:r>
      <w:r>
        <w:rPr>
          <w:lang w:eastAsia="en-AU"/>
        </w:rPr>
        <w:t>with</w:t>
      </w:r>
      <w:r w:rsidRPr="00191F5D">
        <w:rPr>
          <w:lang w:eastAsia="en-AU"/>
        </w:rPr>
        <w:t xml:space="preserve"> South Asia. </w:t>
      </w:r>
      <w:r>
        <w:rPr>
          <w:lang w:eastAsia="en-AU"/>
        </w:rPr>
        <w:t xml:space="preserve">For example, we will share learning </w:t>
      </w:r>
      <w:r w:rsidR="00771964">
        <w:rPr>
          <w:lang w:eastAsia="en-AU"/>
        </w:rPr>
        <w:t xml:space="preserve">through </w:t>
      </w:r>
      <w:r>
        <w:rPr>
          <w:lang w:eastAsia="en-AU"/>
        </w:rPr>
        <w:t>agencies such as ACIAR</w:t>
      </w:r>
      <w:r w:rsidR="004E3F9F">
        <w:rPr>
          <w:lang w:eastAsia="en-AU"/>
        </w:rPr>
        <w:t xml:space="preserve"> and </w:t>
      </w:r>
      <w:r>
        <w:rPr>
          <w:lang w:eastAsia="en-AU"/>
        </w:rPr>
        <w:t xml:space="preserve">CSIRO and </w:t>
      </w:r>
      <w:r w:rsidR="004E3F9F">
        <w:rPr>
          <w:lang w:eastAsia="en-AU"/>
        </w:rPr>
        <w:t xml:space="preserve">through </w:t>
      </w:r>
      <w:r w:rsidR="00E72F78">
        <w:rPr>
          <w:lang w:eastAsia="en-AU"/>
        </w:rPr>
        <w:t xml:space="preserve">the </w:t>
      </w:r>
      <w:r w:rsidR="00E72F78" w:rsidRPr="00225370">
        <w:rPr>
          <w:lang w:eastAsia="en-AU"/>
        </w:rPr>
        <w:t xml:space="preserve">Department of Climate Change, Energy, </w:t>
      </w:r>
      <w:r w:rsidR="00E72F78">
        <w:rPr>
          <w:lang w:eastAsia="en-AU"/>
        </w:rPr>
        <w:t>t</w:t>
      </w:r>
      <w:r w:rsidR="00E72F78" w:rsidRPr="00225370">
        <w:rPr>
          <w:lang w:eastAsia="en-AU"/>
        </w:rPr>
        <w:t xml:space="preserve">he Environment and Water </w:t>
      </w:r>
      <w:r>
        <w:rPr>
          <w:lang w:eastAsia="en-AU"/>
        </w:rPr>
        <w:t xml:space="preserve">to deliver support that strengthens climate resilience. Our focus will include policy engagement and investment in agriculture, </w:t>
      </w:r>
      <w:r w:rsidRPr="00191F5D">
        <w:rPr>
          <w:lang w:eastAsia="en-AU"/>
        </w:rPr>
        <w:t xml:space="preserve">biodiversity, natural hazards mitigation, resilient farming systems, flood prevention, </w:t>
      </w:r>
      <w:r w:rsidR="00A01AAB">
        <w:rPr>
          <w:lang w:eastAsia="en-AU"/>
        </w:rPr>
        <w:t xml:space="preserve">and </w:t>
      </w:r>
      <w:r w:rsidRPr="00191F5D">
        <w:rPr>
          <w:lang w:eastAsia="en-AU"/>
        </w:rPr>
        <w:t>food and water security</w:t>
      </w:r>
      <w:r>
        <w:rPr>
          <w:lang w:eastAsia="en-AU"/>
        </w:rPr>
        <w:t>.</w:t>
      </w:r>
    </w:p>
    <w:p w14:paraId="4E3347EC" w14:textId="5CE50580" w:rsidR="002F4955" w:rsidRPr="009F3ACA" w:rsidRDefault="00425422" w:rsidP="00425422">
      <w:r w:rsidRPr="00982B2C">
        <w:rPr>
          <w:lang w:eastAsia="en-AU"/>
        </w:rPr>
        <w:t xml:space="preserve">Key development financing </w:t>
      </w:r>
      <w:r>
        <w:rPr>
          <w:lang w:eastAsia="en-AU"/>
        </w:rPr>
        <w:t xml:space="preserve">partners include the </w:t>
      </w:r>
      <w:r w:rsidR="00453D66">
        <w:rPr>
          <w:lang w:eastAsia="en-AU"/>
        </w:rPr>
        <w:t xml:space="preserve">Asian Development Bank, the Asian Infrastructure Investment Bank, </w:t>
      </w:r>
      <w:r w:rsidR="00B114A2">
        <w:rPr>
          <w:lang w:eastAsia="en-AU"/>
        </w:rPr>
        <w:t xml:space="preserve">the World Bank Group, Germany, Japan and the </w:t>
      </w:r>
      <w:r>
        <w:rPr>
          <w:lang w:eastAsia="en-AU"/>
        </w:rPr>
        <w:t>United Kingdom</w:t>
      </w:r>
      <w:r w:rsidR="00B114A2">
        <w:rPr>
          <w:lang w:eastAsia="en-AU"/>
        </w:rPr>
        <w:t>.</w:t>
      </w:r>
      <w:r>
        <w:rPr>
          <w:lang w:eastAsia="en-AU"/>
        </w:rPr>
        <w:t xml:space="preserve"> </w:t>
      </w:r>
      <w:r w:rsidRPr="00982B2C">
        <w:rPr>
          <w:lang w:eastAsia="en-AU"/>
        </w:rPr>
        <w:t xml:space="preserve">Given the scale of resources mobilised and coordination required between programs, our support will prioritise targeting areas in which we can most effectively add value, build on existing initiatives, partner strategically, </w:t>
      </w:r>
      <w:r>
        <w:rPr>
          <w:lang w:eastAsia="en-AU"/>
        </w:rPr>
        <w:t xml:space="preserve">and </w:t>
      </w:r>
      <w:r w:rsidRPr="00982B2C">
        <w:rPr>
          <w:lang w:eastAsia="en-AU"/>
        </w:rPr>
        <w:t>invest with purpose and for the long</w:t>
      </w:r>
      <w:r w:rsidR="00001511">
        <w:rPr>
          <w:lang w:eastAsia="en-AU"/>
        </w:rPr>
        <w:t> </w:t>
      </w:r>
      <w:r w:rsidRPr="00982B2C">
        <w:rPr>
          <w:lang w:eastAsia="en-AU"/>
        </w:rPr>
        <w:t>term.</w:t>
      </w:r>
    </w:p>
    <w:p w14:paraId="6AB50D14" w14:textId="77777777" w:rsidR="005E7FFE" w:rsidRPr="002169EF" w:rsidRDefault="005E7FFE" w:rsidP="00F54F79">
      <w:pPr>
        <w:widowControl w:val="0"/>
        <w:spacing w:before="0" w:after="0" w:line="240" w:lineRule="auto"/>
      </w:pPr>
      <w:r>
        <w:br w:type="page"/>
      </w:r>
    </w:p>
    <w:p w14:paraId="3EC3A2E4" w14:textId="62C5B891" w:rsidR="002F4955" w:rsidRPr="00C10C2C" w:rsidRDefault="002F4955" w:rsidP="00C10C2C">
      <w:pPr>
        <w:pStyle w:val="H2-Heading2"/>
      </w:pPr>
      <w:r w:rsidRPr="00C10C2C">
        <w:lastRenderedPageBreak/>
        <w:t xml:space="preserve">Section 4: Delivering our </w:t>
      </w:r>
      <w:r w:rsidR="00054EE2">
        <w:t>p</w:t>
      </w:r>
      <w:r w:rsidRPr="00C10C2C">
        <w:t>artnership</w:t>
      </w:r>
    </w:p>
    <w:p w14:paraId="08D100F0" w14:textId="77777777" w:rsidR="002F4955" w:rsidRPr="005070F5" w:rsidRDefault="002F4955" w:rsidP="005070F5">
      <w:pPr>
        <w:pStyle w:val="H3-Heading3"/>
      </w:pPr>
      <w:r w:rsidRPr="005070F5">
        <w:t>Locally led development</w:t>
      </w:r>
    </w:p>
    <w:p w14:paraId="551DAFAF" w14:textId="525BD042" w:rsidR="002F4955" w:rsidRDefault="004056A5" w:rsidP="005070F5">
      <w:pPr>
        <w:textAlignment w:val="baseline"/>
        <w:rPr>
          <w:rFonts w:ascii="Calibri Light" w:hAnsi="Calibri Light" w:cs="Calibri Light"/>
          <w:color w:val="313E48"/>
          <w:lang w:eastAsia="en-AU"/>
        </w:rPr>
      </w:pPr>
      <w:r>
        <w:rPr>
          <w:rFonts w:ascii="Calibri Light" w:hAnsi="Calibri Light" w:cs="Calibri Light"/>
          <w:lang w:eastAsia="en-AU"/>
        </w:rPr>
        <w:t xml:space="preserve">Our </w:t>
      </w:r>
      <w:r w:rsidR="00117423" w:rsidRPr="00AE3891">
        <w:rPr>
          <w:rFonts w:ascii="Calibri Light" w:hAnsi="Calibri Light" w:cs="Calibri Light"/>
          <w:lang w:eastAsia="en-AU"/>
        </w:rPr>
        <w:t xml:space="preserve">South Asia regional investments are demand-driven and support governments and local actors in agreed priority areas. </w:t>
      </w:r>
      <w:r w:rsidR="00500FA6">
        <w:rPr>
          <w:rFonts w:ascii="Calibri Light" w:hAnsi="Calibri Light" w:cs="Calibri Light"/>
          <w:lang w:eastAsia="en-AU"/>
        </w:rPr>
        <w:t>T</w:t>
      </w:r>
      <w:r w:rsidR="00500FA6" w:rsidRPr="00AE3891">
        <w:rPr>
          <w:rFonts w:ascii="Calibri Light" w:hAnsi="Calibri Light" w:cs="Calibri Light"/>
          <w:lang w:eastAsia="en-AU"/>
        </w:rPr>
        <w:t xml:space="preserve">he delivery of </w:t>
      </w:r>
      <w:r w:rsidR="00E01417">
        <w:rPr>
          <w:rFonts w:ascii="Calibri Light" w:hAnsi="Calibri Light" w:cs="Calibri Light"/>
          <w:lang w:eastAsia="en-AU"/>
        </w:rPr>
        <w:t xml:space="preserve">our </w:t>
      </w:r>
      <w:r w:rsidR="00500FA6" w:rsidRPr="00AE3891">
        <w:rPr>
          <w:rFonts w:ascii="Calibri Light" w:hAnsi="Calibri Light" w:cs="Calibri Light"/>
          <w:lang w:eastAsia="en-AU"/>
        </w:rPr>
        <w:t xml:space="preserve">programs </w:t>
      </w:r>
      <w:r w:rsidR="00E01417">
        <w:rPr>
          <w:rFonts w:ascii="Calibri Light" w:hAnsi="Calibri Light" w:cs="Calibri Light"/>
          <w:lang w:eastAsia="en-AU"/>
        </w:rPr>
        <w:t>(</w:t>
      </w:r>
      <w:r w:rsidR="00500FA6" w:rsidRPr="00AE3891">
        <w:rPr>
          <w:rFonts w:ascii="Calibri Light" w:hAnsi="Calibri Light" w:cs="Calibri Light"/>
          <w:lang w:eastAsia="en-AU"/>
        </w:rPr>
        <w:t xml:space="preserve">such as SAWASI, </w:t>
      </w:r>
      <w:r w:rsidR="007660B6">
        <w:rPr>
          <w:rFonts w:ascii="Calibri Light" w:hAnsi="Calibri Light" w:cs="Calibri Light"/>
          <w:lang w:eastAsia="en-AU"/>
        </w:rPr>
        <w:t xml:space="preserve">SARIC and </w:t>
      </w:r>
      <w:r w:rsidR="0066272D">
        <w:rPr>
          <w:color w:val="000000"/>
          <w:lang w:eastAsia="en-AU"/>
        </w:rPr>
        <w:t>Australia Awards</w:t>
      </w:r>
      <w:r w:rsidR="00E01417">
        <w:rPr>
          <w:rFonts w:ascii="Calibri Light" w:hAnsi="Calibri Light" w:cs="Calibri Light"/>
          <w:lang w:eastAsia="en-AU"/>
        </w:rPr>
        <w:t>)</w:t>
      </w:r>
      <w:r w:rsidR="00500FA6" w:rsidRPr="00AE3891">
        <w:rPr>
          <w:rFonts w:ascii="Calibri Light" w:hAnsi="Calibri Light" w:cs="Calibri Light"/>
          <w:lang w:eastAsia="en-AU"/>
        </w:rPr>
        <w:t xml:space="preserve"> </w:t>
      </w:r>
      <w:r w:rsidR="0066272D">
        <w:rPr>
          <w:rFonts w:ascii="Calibri Light" w:hAnsi="Calibri Light" w:cs="Calibri Light"/>
          <w:lang w:eastAsia="en-AU"/>
        </w:rPr>
        <w:t xml:space="preserve">is shaped by </w:t>
      </w:r>
      <w:r w:rsidR="00E01417">
        <w:rPr>
          <w:rFonts w:ascii="Calibri Light" w:hAnsi="Calibri Light" w:cs="Calibri Light"/>
          <w:lang w:eastAsia="en-AU"/>
        </w:rPr>
        <w:t>t</w:t>
      </w:r>
      <w:r w:rsidR="005129A6" w:rsidRPr="00AE3891">
        <w:rPr>
          <w:rFonts w:ascii="Calibri Light" w:hAnsi="Calibri Light" w:cs="Calibri Light"/>
          <w:lang w:eastAsia="en-AU"/>
        </w:rPr>
        <w:t>he knowledge and expertise of local staff working with DFAT and our implementing partner</w:t>
      </w:r>
      <w:r w:rsidR="00335F9D">
        <w:rPr>
          <w:rFonts w:ascii="Calibri Light" w:hAnsi="Calibri Light" w:cs="Calibri Light"/>
          <w:lang w:eastAsia="en-AU"/>
        </w:rPr>
        <w:t>s</w:t>
      </w:r>
      <w:r w:rsidR="005129A6" w:rsidRPr="00AE3891">
        <w:rPr>
          <w:rFonts w:ascii="Calibri Light" w:hAnsi="Calibri Light" w:cs="Calibri Light"/>
          <w:lang w:eastAsia="en-AU"/>
        </w:rPr>
        <w:t xml:space="preserve">. This enhances local ownership and the sustainability of results. A strong network of locally led development focal points at our posts in South Asia </w:t>
      </w:r>
      <w:r w:rsidR="00837C3F" w:rsidRPr="00AE3891">
        <w:rPr>
          <w:rFonts w:ascii="Calibri Light" w:hAnsi="Calibri Light" w:cs="Calibri Light"/>
          <w:lang w:eastAsia="en-AU"/>
        </w:rPr>
        <w:t xml:space="preserve">will </w:t>
      </w:r>
      <w:r w:rsidR="004A0965" w:rsidRPr="00AE3891">
        <w:rPr>
          <w:rFonts w:ascii="Calibri Light" w:hAnsi="Calibri Light" w:cs="Calibri Light"/>
          <w:lang w:eastAsia="en-AU"/>
        </w:rPr>
        <w:t>bolster</w:t>
      </w:r>
      <w:r w:rsidR="00837C3F" w:rsidRPr="00AE3891">
        <w:rPr>
          <w:rFonts w:ascii="Calibri Light" w:hAnsi="Calibri Light" w:cs="Calibri Light"/>
          <w:lang w:eastAsia="en-AU"/>
        </w:rPr>
        <w:t xml:space="preserve"> </w:t>
      </w:r>
      <w:r w:rsidR="00541F27" w:rsidRPr="00AE3891">
        <w:rPr>
          <w:rFonts w:ascii="Calibri Light" w:hAnsi="Calibri Light" w:cs="Calibri Light"/>
          <w:lang w:eastAsia="en-AU"/>
        </w:rPr>
        <w:t>our</w:t>
      </w:r>
      <w:r w:rsidR="00837C3F" w:rsidRPr="00AE3891">
        <w:rPr>
          <w:rFonts w:ascii="Calibri Light" w:hAnsi="Calibri Light" w:cs="Calibri Light"/>
          <w:lang w:eastAsia="en-AU"/>
        </w:rPr>
        <w:t xml:space="preserve"> </w:t>
      </w:r>
      <w:r w:rsidR="00DC3089" w:rsidRPr="00AE3891">
        <w:rPr>
          <w:rFonts w:ascii="Calibri Light" w:hAnsi="Calibri Light" w:cs="Calibri Light"/>
          <w:lang w:eastAsia="en-AU"/>
        </w:rPr>
        <w:t>efforts</w:t>
      </w:r>
      <w:r w:rsidR="00244302" w:rsidRPr="00AE3891">
        <w:rPr>
          <w:rFonts w:ascii="Calibri Light" w:hAnsi="Calibri Light" w:cs="Calibri Light"/>
          <w:lang w:eastAsia="en-AU"/>
        </w:rPr>
        <w:t xml:space="preserve"> </w:t>
      </w:r>
      <w:r w:rsidR="00541F27" w:rsidRPr="00AE3891">
        <w:rPr>
          <w:rFonts w:ascii="Calibri Light" w:hAnsi="Calibri Light" w:cs="Calibri Light"/>
          <w:lang w:eastAsia="en-AU"/>
        </w:rPr>
        <w:t>to support loca</w:t>
      </w:r>
      <w:r w:rsidR="00602C8E" w:rsidRPr="00AE3891">
        <w:rPr>
          <w:rFonts w:ascii="Calibri Light" w:hAnsi="Calibri Light" w:cs="Calibri Light"/>
          <w:lang w:eastAsia="en-AU"/>
        </w:rPr>
        <w:t xml:space="preserve">l leadership </w:t>
      </w:r>
      <w:r w:rsidR="004A0965" w:rsidRPr="00AE3891">
        <w:rPr>
          <w:rFonts w:ascii="Calibri Light" w:hAnsi="Calibri Light" w:cs="Calibri Light"/>
          <w:lang w:eastAsia="en-AU"/>
        </w:rPr>
        <w:t xml:space="preserve">by </w:t>
      </w:r>
      <w:r w:rsidR="00837C3F" w:rsidRPr="00AE3891">
        <w:rPr>
          <w:rFonts w:ascii="Calibri Light" w:hAnsi="Calibri Light" w:cs="Calibri Light"/>
          <w:lang w:eastAsia="en-AU"/>
        </w:rPr>
        <w:t>sharing lessons and</w:t>
      </w:r>
      <w:r w:rsidR="005129A6" w:rsidRPr="00AE3891">
        <w:rPr>
          <w:rFonts w:ascii="Calibri Light" w:hAnsi="Calibri Light" w:cs="Calibri Light"/>
          <w:lang w:eastAsia="en-AU"/>
        </w:rPr>
        <w:t xml:space="preserve"> </w:t>
      </w:r>
      <w:r w:rsidR="004A0965" w:rsidRPr="00AE3891">
        <w:rPr>
          <w:rFonts w:ascii="Calibri Light" w:hAnsi="Calibri Light" w:cs="Calibri Light"/>
          <w:lang w:eastAsia="en-AU"/>
        </w:rPr>
        <w:t xml:space="preserve">helping tailor </w:t>
      </w:r>
      <w:r w:rsidR="00602C8E" w:rsidRPr="00AE3891">
        <w:rPr>
          <w:rFonts w:ascii="Calibri Light" w:hAnsi="Calibri Light" w:cs="Calibri Light"/>
          <w:lang w:eastAsia="en-AU"/>
        </w:rPr>
        <w:t>strategies</w:t>
      </w:r>
      <w:r w:rsidR="004A0965" w:rsidRPr="00AE3891">
        <w:rPr>
          <w:rFonts w:ascii="Calibri Light" w:hAnsi="Calibri Light" w:cs="Calibri Light"/>
          <w:lang w:eastAsia="en-AU"/>
        </w:rPr>
        <w:t xml:space="preserve"> to</w:t>
      </w:r>
      <w:r w:rsidR="005129A6" w:rsidRPr="00AE3891">
        <w:rPr>
          <w:rFonts w:ascii="Calibri Light" w:hAnsi="Calibri Light" w:cs="Calibri Light"/>
          <w:lang w:eastAsia="en-AU"/>
        </w:rPr>
        <w:t xml:space="preserve"> each unique context. Future South Asia investment designs and evaluations will include participation </w:t>
      </w:r>
      <w:r w:rsidR="003A199A">
        <w:rPr>
          <w:rFonts w:ascii="Calibri Light" w:hAnsi="Calibri Light" w:cs="Calibri Light"/>
          <w:lang w:eastAsia="en-AU"/>
        </w:rPr>
        <w:t xml:space="preserve">of local leaders </w:t>
      </w:r>
      <w:r w:rsidR="005129A6" w:rsidRPr="00AE3891">
        <w:rPr>
          <w:rFonts w:ascii="Calibri Light" w:hAnsi="Calibri Light" w:cs="Calibri Light"/>
          <w:lang w:eastAsia="en-AU"/>
        </w:rPr>
        <w:t>to ensure appropriate expertise is utilised in the planning, design and measurement of activities.</w:t>
      </w:r>
    </w:p>
    <w:p w14:paraId="6EE9A4C3" w14:textId="77777777" w:rsidR="002F4955" w:rsidRPr="005070F5" w:rsidRDefault="002F4955" w:rsidP="005070F5">
      <w:pPr>
        <w:pStyle w:val="H3-Heading3"/>
      </w:pPr>
      <w:r w:rsidRPr="005070F5">
        <w:t>Consultation</w:t>
      </w:r>
    </w:p>
    <w:p w14:paraId="1462C507" w14:textId="74C35F05" w:rsidR="002F4955" w:rsidRPr="00E31A38" w:rsidRDefault="00B421C8" w:rsidP="002F4955">
      <w:pPr>
        <w:spacing w:after="0" w:line="240" w:lineRule="auto"/>
        <w:textAlignment w:val="baseline"/>
        <w:rPr>
          <w:rFonts w:ascii="Calibri Light" w:hAnsi="Calibri Light" w:cs="Calibri Light"/>
          <w:color w:val="313E48"/>
          <w:lang w:eastAsia="en-AU"/>
        </w:rPr>
      </w:pPr>
      <w:r w:rsidRPr="00AE3891">
        <w:rPr>
          <w:rFonts w:cstheme="majorHAnsi"/>
          <w:color w:val="000000" w:themeColor="text1"/>
        </w:rPr>
        <w:t xml:space="preserve">DFAT is committed to continuing DPP discussions with </w:t>
      </w:r>
      <w:r w:rsidR="00D40012">
        <w:rPr>
          <w:rFonts w:cstheme="majorHAnsi"/>
          <w:color w:val="000000" w:themeColor="text1"/>
        </w:rPr>
        <w:t xml:space="preserve">civil society, multilateral organisations and development consultants </w:t>
      </w:r>
      <w:r w:rsidRPr="00AE3891">
        <w:rPr>
          <w:rFonts w:cstheme="majorHAnsi"/>
          <w:color w:val="000000" w:themeColor="text1"/>
        </w:rPr>
        <w:t xml:space="preserve">to assess risks and </w:t>
      </w:r>
      <w:proofErr w:type="gramStart"/>
      <w:r w:rsidRPr="00AE3891">
        <w:rPr>
          <w:rFonts w:cstheme="majorHAnsi"/>
          <w:color w:val="000000" w:themeColor="text1"/>
        </w:rPr>
        <w:t xml:space="preserve">challenges, </w:t>
      </w:r>
      <w:r w:rsidR="00465C16">
        <w:rPr>
          <w:rFonts w:cstheme="majorHAnsi"/>
          <w:color w:val="000000" w:themeColor="text1"/>
        </w:rPr>
        <w:t>and</w:t>
      </w:r>
      <w:proofErr w:type="gramEnd"/>
      <w:r w:rsidR="00465C16">
        <w:rPr>
          <w:rFonts w:cstheme="majorHAnsi"/>
          <w:color w:val="000000" w:themeColor="text1"/>
        </w:rPr>
        <w:t xml:space="preserve"> </w:t>
      </w:r>
      <w:r w:rsidRPr="00AE3891">
        <w:rPr>
          <w:rFonts w:cstheme="majorHAnsi"/>
          <w:color w:val="000000" w:themeColor="text1"/>
        </w:rPr>
        <w:t xml:space="preserve">share </w:t>
      </w:r>
      <w:r w:rsidR="005E61A3">
        <w:rPr>
          <w:rFonts w:cstheme="majorHAnsi"/>
          <w:color w:val="000000" w:themeColor="text1"/>
        </w:rPr>
        <w:t xml:space="preserve">mutual </w:t>
      </w:r>
      <w:r w:rsidRPr="00AE3891">
        <w:rPr>
          <w:rFonts w:cstheme="majorHAnsi"/>
          <w:color w:val="000000" w:themeColor="text1"/>
        </w:rPr>
        <w:t>learning and update</w:t>
      </w:r>
      <w:r w:rsidR="00885C75">
        <w:rPr>
          <w:rFonts w:cstheme="majorHAnsi"/>
          <w:color w:val="000000" w:themeColor="text1"/>
        </w:rPr>
        <w:t>s</w:t>
      </w:r>
      <w:r w:rsidRPr="00AE3891">
        <w:rPr>
          <w:rFonts w:cstheme="majorHAnsi"/>
          <w:color w:val="000000" w:themeColor="text1"/>
        </w:rPr>
        <w:t xml:space="preserve"> on progress. </w:t>
      </w:r>
      <w:r w:rsidR="00EB75E0" w:rsidRPr="00AE3891">
        <w:rPr>
          <w:rFonts w:cstheme="majorHAnsi"/>
          <w:color w:val="000000" w:themeColor="text1"/>
        </w:rPr>
        <w:t xml:space="preserve">Through </w:t>
      </w:r>
      <w:r w:rsidR="00F333F8">
        <w:rPr>
          <w:rFonts w:cstheme="majorHAnsi"/>
          <w:color w:val="000000" w:themeColor="text1"/>
        </w:rPr>
        <w:t xml:space="preserve">participation in </w:t>
      </w:r>
      <w:r w:rsidR="00EB75E0" w:rsidRPr="00AE3891">
        <w:rPr>
          <w:rFonts w:cstheme="majorHAnsi"/>
          <w:color w:val="000000" w:themeColor="text1"/>
        </w:rPr>
        <w:t xml:space="preserve">regional forums and conferences, </w:t>
      </w:r>
      <w:r w:rsidR="00382502" w:rsidRPr="00AE3891">
        <w:rPr>
          <w:rFonts w:cstheme="majorHAnsi"/>
          <w:color w:val="000000" w:themeColor="text1"/>
        </w:rPr>
        <w:t xml:space="preserve">such as </w:t>
      </w:r>
      <w:r w:rsidR="00286411">
        <w:rPr>
          <w:rFonts w:cstheme="majorHAnsi"/>
          <w:color w:val="000000" w:themeColor="text1"/>
        </w:rPr>
        <w:t xml:space="preserve">IORA </w:t>
      </w:r>
      <w:r w:rsidR="00382502" w:rsidRPr="00AE3891">
        <w:rPr>
          <w:rFonts w:cstheme="majorHAnsi"/>
          <w:color w:val="000000" w:themeColor="text1"/>
        </w:rPr>
        <w:t xml:space="preserve">and </w:t>
      </w:r>
      <w:r w:rsidR="00286411">
        <w:rPr>
          <w:rFonts w:cstheme="majorHAnsi"/>
          <w:color w:val="000000" w:themeColor="text1"/>
        </w:rPr>
        <w:t xml:space="preserve">the </w:t>
      </w:r>
      <w:r w:rsidR="00382502" w:rsidRPr="00AE3891">
        <w:rPr>
          <w:rFonts w:cstheme="majorHAnsi"/>
          <w:color w:val="000000" w:themeColor="text1"/>
        </w:rPr>
        <w:t xml:space="preserve">Indian Ocean Conference, </w:t>
      </w:r>
      <w:r w:rsidR="00386002">
        <w:rPr>
          <w:rFonts w:cstheme="majorHAnsi"/>
          <w:color w:val="000000" w:themeColor="text1"/>
        </w:rPr>
        <w:t xml:space="preserve">Australia </w:t>
      </w:r>
      <w:r w:rsidR="00382502" w:rsidRPr="00AE3891">
        <w:rPr>
          <w:rFonts w:cstheme="majorHAnsi"/>
          <w:color w:val="000000" w:themeColor="text1"/>
        </w:rPr>
        <w:t xml:space="preserve">will </w:t>
      </w:r>
      <w:r w:rsidR="00737520">
        <w:rPr>
          <w:rFonts w:cstheme="majorHAnsi"/>
          <w:color w:val="000000" w:themeColor="text1"/>
        </w:rPr>
        <w:t xml:space="preserve">engage stakeholders in </w:t>
      </w:r>
      <w:r w:rsidR="00382502" w:rsidRPr="00AE3891">
        <w:rPr>
          <w:rFonts w:cstheme="majorHAnsi"/>
          <w:color w:val="000000" w:themeColor="text1"/>
        </w:rPr>
        <w:t>discuss</w:t>
      </w:r>
      <w:r w:rsidR="00737520">
        <w:rPr>
          <w:rFonts w:cstheme="majorHAnsi"/>
          <w:color w:val="000000" w:themeColor="text1"/>
        </w:rPr>
        <w:t>ion about</w:t>
      </w:r>
      <w:r w:rsidR="00382502" w:rsidRPr="00AE3891">
        <w:rPr>
          <w:rFonts w:cstheme="majorHAnsi"/>
          <w:color w:val="000000" w:themeColor="text1"/>
        </w:rPr>
        <w:t xml:space="preserve"> our regional programs</w:t>
      </w:r>
      <w:r w:rsidR="005449C3" w:rsidRPr="00AE3891">
        <w:rPr>
          <w:rFonts w:cstheme="majorHAnsi"/>
          <w:color w:val="000000" w:themeColor="text1"/>
        </w:rPr>
        <w:t xml:space="preserve"> and areas of mutual interest such as connectivity, water security and climate change.</w:t>
      </w:r>
      <w:r w:rsidR="0050735D" w:rsidRPr="00AE3891">
        <w:rPr>
          <w:rFonts w:cstheme="majorHAnsi"/>
          <w:color w:val="000000" w:themeColor="text1"/>
        </w:rPr>
        <w:t xml:space="preserve"> </w:t>
      </w:r>
      <w:r w:rsidR="00942C53" w:rsidRPr="00AE3891">
        <w:rPr>
          <w:rFonts w:cstheme="majorHAnsi"/>
          <w:color w:val="000000" w:themeColor="text1"/>
        </w:rPr>
        <w:t xml:space="preserve">Multilateral partners convene </w:t>
      </w:r>
      <w:r w:rsidR="0050735D" w:rsidRPr="00AE3891">
        <w:rPr>
          <w:rFonts w:cstheme="majorHAnsi"/>
          <w:color w:val="000000" w:themeColor="text1"/>
        </w:rPr>
        <w:t>intergovernmental</w:t>
      </w:r>
      <w:r w:rsidR="00942C53" w:rsidRPr="00AE3891">
        <w:rPr>
          <w:rFonts w:cstheme="majorHAnsi"/>
          <w:color w:val="000000" w:themeColor="text1"/>
        </w:rPr>
        <w:t xml:space="preserve"> meetings </w:t>
      </w:r>
      <w:r w:rsidR="0050735D" w:rsidRPr="00AE3891">
        <w:rPr>
          <w:rFonts w:cstheme="majorHAnsi"/>
          <w:color w:val="000000" w:themeColor="text1"/>
        </w:rPr>
        <w:t>and provide feedback on advocacy points to ensure our programs remain fit for purpose.</w:t>
      </w:r>
      <w:r w:rsidR="00942C53" w:rsidRPr="00AE3891">
        <w:rPr>
          <w:rFonts w:cstheme="majorHAnsi"/>
          <w:color w:val="000000" w:themeColor="text1"/>
        </w:rPr>
        <w:t xml:space="preserve"> </w:t>
      </w:r>
      <w:r w:rsidRPr="00AE3891">
        <w:rPr>
          <w:rFonts w:cstheme="majorHAnsi"/>
          <w:color w:val="000000" w:themeColor="text1"/>
        </w:rPr>
        <w:t>This will be supplemented by robust ongoing monitoring</w:t>
      </w:r>
      <w:r w:rsidR="00D40012">
        <w:rPr>
          <w:rFonts w:cstheme="majorHAnsi"/>
          <w:color w:val="000000" w:themeColor="text1"/>
        </w:rPr>
        <w:t xml:space="preserve"> and</w:t>
      </w:r>
      <w:r w:rsidRPr="00AE3891">
        <w:rPr>
          <w:rFonts w:cstheme="majorHAnsi"/>
          <w:color w:val="000000" w:themeColor="text1"/>
        </w:rPr>
        <w:t xml:space="preserve"> evaluation</w:t>
      </w:r>
      <w:r w:rsidR="00FB4562">
        <w:rPr>
          <w:rFonts w:cstheme="majorHAnsi"/>
          <w:color w:val="000000" w:themeColor="text1"/>
        </w:rPr>
        <w:t>.</w:t>
      </w:r>
      <w:r w:rsidR="000A78C3" w:rsidRPr="00AE3891">
        <w:rPr>
          <w:rFonts w:cstheme="majorHAnsi"/>
          <w:color w:val="000000" w:themeColor="text1"/>
        </w:rPr>
        <w:t xml:space="preserve"> The Australian Government </w:t>
      </w:r>
      <w:r w:rsidR="004425DC" w:rsidRPr="00AE3891">
        <w:rPr>
          <w:rFonts w:cstheme="majorHAnsi"/>
          <w:color w:val="000000" w:themeColor="text1"/>
        </w:rPr>
        <w:t>holds</w:t>
      </w:r>
      <w:r w:rsidRPr="00AE3891">
        <w:rPr>
          <w:rFonts w:cstheme="majorHAnsi"/>
          <w:color w:val="000000" w:themeColor="text1"/>
        </w:rPr>
        <w:t xml:space="preserve"> </w:t>
      </w:r>
      <w:r w:rsidR="004425DC" w:rsidRPr="00AE3891">
        <w:rPr>
          <w:rFonts w:cstheme="majorHAnsi"/>
          <w:color w:val="000000" w:themeColor="text1"/>
        </w:rPr>
        <w:t xml:space="preserve">senior official </w:t>
      </w:r>
      <w:r w:rsidRPr="00AE3891">
        <w:rPr>
          <w:rFonts w:cstheme="majorHAnsi"/>
          <w:color w:val="000000" w:themeColor="text1"/>
        </w:rPr>
        <w:t xml:space="preserve">discussions with partner governments </w:t>
      </w:r>
      <w:r w:rsidR="00141302" w:rsidRPr="00AE3891">
        <w:rPr>
          <w:rFonts w:cstheme="majorHAnsi"/>
          <w:color w:val="000000" w:themeColor="text1"/>
        </w:rPr>
        <w:t xml:space="preserve">where </w:t>
      </w:r>
      <w:r w:rsidR="00AB26A6" w:rsidRPr="00AE3891">
        <w:rPr>
          <w:rFonts w:cstheme="majorHAnsi"/>
          <w:color w:val="000000" w:themeColor="text1"/>
        </w:rPr>
        <w:t>topics such as</w:t>
      </w:r>
      <w:r w:rsidR="00141302" w:rsidRPr="00AE3891">
        <w:rPr>
          <w:rFonts w:cstheme="majorHAnsi"/>
          <w:color w:val="000000" w:themeColor="text1"/>
        </w:rPr>
        <w:t xml:space="preserve"> development cooperation</w:t>
      </w:r>
      <w:r w:rsidR="00C678FF" w:rsidRPr="00AE3891">
        <w:rPr>
          <w:rFonts w:cstheme="majorHAnsi"/>
          <w:color w:val="000000" w:themeColor="text1"/>
        </w:rPr>
        <w:t>, trade and the bilateral relationship</w:t>
      </w:r>
      <w:r w:rsidR="00C9448E" w:rsidRPr="00AE3891">
        <w:rPr>
          <w:rFonts w:cstheme="majorHAnsi"/>
          <w:color w:val="000000" w:themeColor="text1"/>
        </w:rPr>
        <w:t xml:space="preserve"> are discussed</w:t>
      </w:r>
      <w:r w:rsidR="00141302" w:rsidRPr="00AE3891">
        <w:rPr>
          <w:rFonts w:cstheme="majorHAnsi"/>
          <w:color w:val="000000" w:themeColor="text1"/>
        </w:rPr>
        <w:t>.</w:t>
      </w:r>
      <w:r w:rsidRPr="00AE3891">
        <w:rPr>
          <w:rFonts w:cstheme="majorHAnsi"/>
          <w:color w:val="000000" w:themeColor="text1"/>
        </w:rPr>
        <w:t xml:space="preserve"> </w:t>
      </w:r>
      <w:r w:rsidR="00141302" w:rsidRPr="00AE3891">
        <w:rPr>
          <w:rFonts w:cstheme="majorHAnsi"/>
          <w:color w:val="000000" w:themeColor="text1"/>
        </w:rPr>
        <w:t>DFAT will also hold a</w:t>
      </w:r>
      <w:r w:rsidRPr="00AE3891">
        <w:rPr>
          <w:rFonts w:cstheme="majorHAnsi"/>
          <w:color w:val="000000" w:themeColor="text1"/>
        </w:rPr>
        <w:t xml:space="preserve">nnual </w:t>
      </w:r>
      <w:r w:rsidR="009E6D2F" w:rsidRPr="00AE3891">
        <w:rPr>
          <w:rFonts w:cstheme="majorHAnsi"/>
          <w:color w:val="000000" w:themeColor="text1"/>
        </w:rPr>
        <w:t>Australian Government</w:t>
      </w:r>
      <w:r w:rsidRPr="00AE3891">
        <w:rPr>
          <w:rFonts w:cstheme="majorHAnsi"/>
          <w:color w:val="000000" w:themeColor="text1"/>
        </w:rPr>
        <w:t xml:space="preserve"> roundtables on the progress</w:t>
      </w:r>
      <w:r w:rsidR="00C66152" w:rsidRPr="00AE3891">
        <w:rPr>
          <w:rFonts w:cstheme="majorHAnsi"/>
          <w:color w:val="000000" w:themeColor="text1"/>
        </w:rPr>
        <w:t xml:space="preserve"> of the DPP.</w:t>
      </w:r>
    </w:p>
    <w:p w14:paraId="2C2D5E82" w14:textId="77777777" w:rsidR="002F4955" w:rsidRPr="005070F5" w:rsidRDefault="002F4955" w:rsidP="005070F5">
      <w:pPr>
        <w:pStyle w:val="H3-Heading3"/>
      </w:pPr>
      <w:r w:rsidRPr="00CF05FA">
        <w:t>Evaluation and learning</w:t>
      </w:r>
    </w:p>
    <w:p w14:paraId="638F6735" w14:textId="119CD946" w:rsidR="002F4955" w:rsidRPr="00E31A38" w:rsidRDefault="00266C92" w:rsidP="002F4955">
      <w:pPr>
        <w:spacing w:line="240" w:lineRule="auto"/>
        <w:textAlignment w:val="baseline"/>
        <w:rPr>
          <w:rFonts w:ascii="Calibri Light" w:hAnsi="Calibri Light" w:cs="Calibri Light"/>
          <w:color w:val="313E48"/>
          <w:lang w:eastAsia="en-AU"/>
        </w:rPr>
      </w:pPr>
      <w:r>
        <w:rPr>
          <w:rStyle w:val="normaltextrun"/>
          <w:rFonts w:ascii="Calibri Light" w:hAnsi="Calibri Light" w:cs="Calibri Light"/>
          <w:color w:val="000000"/>
          <w:shd w:val="clear" w:color="auto" w:fill="FFFFFF"/>
        </w:rPr>
        <w:t>Table</w:t>
      </w:r>
      <w:r w:rsidR="00EC47BA">
        <w:rPr>
          <w:rStyle w:val="normaltextrun"/>
          <w:rFonts w:ascii="Calibri Light" w:hAnsi="Calibri Light" w:cs="Calibri Light"/>
          <w:color w:val="000000"/>
          <w:shd w:val="clear" w:color="auto" w:fill="FFFFFF"/>
        </w:rPr>
        <w:t> </w:t>
      </w:r>
      <w:r>
        <w:rPr>
          <w:rStyle w:val="normaltextrun"/>
          <w:rFonts w:ascii="Calibri Light" w:hAnsi="Calibri Light" w:cs="Calibri Light"/>
          <w:color w:val="000000"/>
          <w:shd w:val="clear" w:color="auto" w:fill="FFFFFF"/>
        </w:rPr>
        <w:t xml:space="preserve">2 outlines the DPP </w:t>
      </w:r>
      <w:r w:rsidR="0007425C">
        <w:rPr>
          <w:rStyle w:val="normaltextrun"/>
          <w:rFonts w:ascii="Calibri Light" w:hAnsi="Calibri Light" w:cs="Calibri Light"/>
          <w:color w:val="000000"/>
          <w:shd w:val="clear" w:color="auto" w:fill="FFFFFF"/>
        </w:rPr>
        <w:t>c</w:t>
      </w:r>
      <w:r>
        <w:rPr>
          <w:rStyle w:val="normaltextrun"/>
          <w:rFonts w:ascii="Calibri Light" w:hAnsi="Calibri Light" w:cs="Calibri Light"/>
          <w:color w:val="000000"/>
          <w:shd w:val="clear" w:color="auto" w:fill="FFFFFF"/>
        </w:rPr>
        <w:t xml:space="preserve">onsultation, </w:t>
      </w:r>
      <w:r w:rsidR="0007425C">
        <w:rPr>
          <w:rStyle w:val="normaltextrun"/>
          <w:rFonts w:ascii="Calibri Light" w:hAnsi="Calibri Light" w:cs="Calibri Light"/>
          <w:color w:val="000000"/>
          <w:shd w:val="clear" w:color="auto" w:fill="FFFFFF"/>
        </w:rPr>
        <w:t>e</w:t>
      </w:r>
      <w:r>
        <w:rPr>
          <w:rStyle w:val="normaltextrun"/>
          <w:rFonts w:ascii="Calibri Light" w:hAnsi="Calibri Light" w:cs="Calibri Light"/>
          <w:color w:val="000000"/>
          <w:shd w:val="clear" w:color="auto" w:fill="FFFFFF"/>
        </w:rPr>
        <w:t xml:space="preserve">valuation and </w:t>
      </w:r>
      <w:r w:rsidR="0007425C">
        <w:rPr>
          <w:rStyle w:val="normaltextrun"/>
          <w:rFonts w:ascii="Calibri Light" w:hAnsi="Calibri Light" w:cs="Calibri Light"/>
          <w:color w:val="000000"/>
          <w:shd w:val="clear" w:color="auto" w:fill="FFFFFF"/>
        </w:rPr>
        <w:t>l</w:t>
      </w:r>
      <w:r>
        <w:rPr>
          <w:rStyle w:val="normaltextrun"/>
          <w:rFonts w:ascii="Calibri Light" w:hAnsi="Calibri Light" w:cs="Calibri Light"/>
          <w:color w:val="000000"/>
          <w:shd w:val="clear" w:color="auto" w:fill="FFFFFF"/>
        </w:rPr>
        <w:t xml:space="preserve">earning </w:t>
      </w:r>
      <w:r w:rsidR="0007425C">
        <w:rPr>
          <w:rStyle w:val="normaltextrun"/>
          <w:rFonts w:ascii="Calibri Light" w:hAnsi="Calibri Light" w:cs="Calibri Light"/>
          <w:color w:val="000000"/>
          <w:shd w:val="clear" w:color="auto" w:fill="FFFFFF"/>
        </w:rPr>
        <w:t>p</w:t>
      </w:r>
      <w:r>
        <w:rPr>
          <w:rStyle w:val="normaltextrun"/>
          <w:rFonts w:ascii="Calibri Light" w:hAnsi="Calibri Light" w:cs="Calibri Light"/>
          <w:color w:val="000000"/>
          <w:shd w:val="clear" w:color="auto" w:fill="FFFFFF"/>
        </w:rPr>
        <w:t xml:space="preserve">lan, which includes three investment level evaluations, annual stakeholder consultations with government, business and civil society, and a mid-cycle review of the DPP during the first </w:t>
      </w:r>
      <w:r w:rsidR="007F08A2">
        <w:rPr>
          <w:rStyle w:val="normaltextrun"/>
          <w:rFonts w:ascii="Calibri Light" w:hAnsi="Calibri Light" w:cs="Calibri Light"/>
          <w:color w:val="000000"/>
          <w:shd w:val="clear" w:color="auto" w:fill="FFFFFF"/>
        </w:rPr>
        <w:t>three</w:t>
      </w:r>
      <w:r w:rsidR="00226F06">
        <w:rPr>
          <w:rStyle w:val="normaltextrun"/>
          <w:rFonts w:ascii="Calibri Light" w:hAnsi="Calibri Light" w:cs="Calibri Light"/>
          <w:color w:val="000000"/>
          <w:shd w:val="clear" w:color="auto" w:fill="FFFFFF"/>
        </w:rPr>
        <w:t> </w:t>
      </w:r>
      <w:r>
        <w:rPr>
          <w:rStyle w:val="normaltextrun"/>
          <w:rFonts w:ascii="Calibri Light" w:hAnsi="Calibri Light" w:cs="Calibri Light"/>
          <w:color w:val="000000"/>
          <w:shd w:val="clear" w:color="auto" w:fill="FFFFFF"/>
        </w:rPr>
        <w:t>years of implementation.</w:t>
      </w:r>
    </w:p>
    <w:p w14:paraId="6FBFD485" w14:textId="77777777" w:rsidR="008432C4" w:rsidRDefault="008432C4">
      <w:pPr>
        <w:spacing w:before="0" w:after="0" w:line="240" w:lineRule="auto"/>
        <w:rPr>
          <w:rFonts w:eastAsiaTheme="majorEastAsia" w:cstheme="minorHAnsi"/>
          <w:b/>
          <w:bCs/>
          <w:iCs/>
          <w:sz w:val="24"/>
          <w:szCs w:val="24"/>
        </w:rPr>
      </w:pPr>
      <w:r>
        <w:br w:type="page"/>
      </w:r>
    </w:p>
    <w:p w14:paraId="0F774F1F" w14:textId="49480A7A" w:rsidR="002F4955" w:rsidRDefault="002F4955" w:rsidP="00BB1A17">
      <w:pPr>
        <w:pStyle w:val="Tabletitle"/>
      </w:pPr>
      <w:r>
        <w:lastRenderedPageBreak/>
        <w:t xml:space="preserve">Table 2: Consultation, </w:t>
      </w:r>
      <w:r w:rsidR="00BB1A17">
        <w:t>e</w:t>
      </w:r>
      <w:r>
        <w:t xml:space="preserve">valuation and </w:t>
      </w:r>
      <w:r w:rsidR="00BB1A17">
        <w:t>l</w:t>
      </w:r>
      <w:r>
        <w:t xml:space="preserve">earning </w:t>
      </w:r>
      <w:r w:rsidR="00BB1A17">
        <w:t>p</w:t>
      </w:r>
      <w:r>
        <w:t>lan</w:t>
      </w:r>
    </w:p>
    <w:tbl>
      <w:tblPr>
        <w:tblStyle w:val="GridTable2-Accent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08" w:type="dxa"/>
        </w:tblCellMar>
        <w:tblLook w:val="0420" w:firstRow="1" w:lastRow="0" w:firstColumn="0" w:lastColumn="0" w:noHBand="0" w:noVBand="1"/>
        <w:tblCaption w:val="Consultation, evaluation and learning plan"/>
        <w:tblDescription w:val="The DPP consultation, evaluation and learning plan includes investment-level evaluations, annual stakeholder consultations and a mid-cycle review of the DPP"/>
      </w:tblPr>
      <w:tblGrid>
        <w:gridCol w:w="2350"/>
        <w:gridCol w:w="2630"/>
        <w:gridCol w:w="2467"/>
        <w:gridCol w:w="2629"/>
      </w:tblGrid>
      <w:tr w:rsidR="0087283F" w:rsidRPr="00D918BD" w14:paraId="7A745DDD" w14:textId="77777777" w:rsidTr="001E1E64">
        <w:trPr>
          <w:cnfStyle w:val="100000000000" w:firstRow="1" w:lastRow="0" w:firstColumn="0" w:lastColumn="0" w:oddVBand="0" w:evenVBand="0" w:oddHBand="0" w:evenHBand="0" w:firstRowFirstColumn="0" w:firstRowLastColumn="0" w:lastRowFirstColumn="0" w:lastRowLastColumn="0"/>
          <w:cantSplit/>
          <w:trHeight w:val="331"/>
          <w:tblHeader/>
        </w:trPr>
        <w:tc>
          <w:tcPr>
            <w:tcW w:w="0" w:type="pct"/>
            <w:tcBorders>
              <w:top w:val="none" w:sz="0" w:space="0" w:color="auto"/>
              <w:bottom w:val="none" w:sz="0" w:space="0" w:color="auto"/>
              <w:right w:val="none" w:sz="0" w:space="0" w:color="auto"/>
            </w:tcBorders>
            <w:shd w:val="clear" w:color="auto" w:fill="3A586E" w:themeFill="accent1"/>
          </w:tcPr>
          <w:p w14:paraId="6F231D31" w14:textId="77777777" w:rsidR="002F4955" w:rsidRPr="00CE3F43" w:rsidRDefault="00C22E6E" w:rsidP="00CB3CFC">
            <w:pPr>
              <w:pStyle w:val="TableHeading"/>
              <w:rPr>
                <w:b w:val="0"/>
              </w:rPr>
            </w:pPr>
            <w:r w:rsidRPr="00CE3F43">
              <w:t>Objective</w:t>
            </w:r>
          </w:p>
        </w:tc>
        <w:tc>
          <w:tcPr>
            <w:tcW w:w="0" w:type="pct"/>
            <w:tcBorders>
              <w:top w:val="none" w:sz="0" w:space="0" w:color="auto"/>
              <w:left w:val="none" w:sz="0" w:space="0" w:color="auto"/>
              <w:bottom w:val="none" w:sz="0" w:space="0" w:color="auto"/>
              <w:right w:val="none" w:sz="0" w:space="0" w:color="auto"/>
            </w:tcBorders>
            <w:shd w:val="clear" w:color="auto" w:fill="3A586E" w:themeFill="accent1"/>
          </w:tcPr>
          <w:p w14:paraId="3123E533" w14:textId="5209B56A" w:rsidR="002F4955" w:rsidRPr="00CE3F43" w:rsidRDefault="002F4955" w:rsidP="00CB3CFC">
            <w:pPr>
              <w:pStyle w:val="TableHeading"/>
              <w:rPr>
                <w:b w:val="0"/>
              </w:rPr>
            </w:pPr>
            <w:r w:rsidRPr="00CE3F43">
              <w:t>202</w:t>
            </w:r>
            <w:r w:rsidR="00B53DCB" w:rsidRPr="00CE3F43">
              <w:t>4</w:t>
            </w:r>
            <w:r w:rsidR="00266C92" w:rsidRPr="00CE3F43">
              <w:t>–</w:t>
            </w:r>
            <w:r w:rsidR="00B53DCB" w:rsidRPr="00CE3F43">
              <w:t>25</w:t>
            </w:r>
          </w:p>
        </w:tc>
        <w:tc>
          <w:tcPr>
            <w:tcW w:w="0" w:type="pct"/>
            <w:tcBorders>
              <w:top w:val="none" w:sz="0" w:space="0" w:color="auto"/>
              <w:left w:val="none" w:sz="0" w:space="0" w:color="auto"/>
              <w:bottom w:val="none" w:sz="0" w:space="0" w:color="auto"/>
              <w:right w:val="none" w:sz="0" w:space="0" w:color="auto"/>
            </w:tcBorders>
            <w:shd w:val="clear" w:color="auto" w:fill="3A586E" w:themeFill="accent1"/>
          </w:tcPr>
          <w:p w14:paraId="491CADDE" w14:textId="59817807" w:rsidR="002F4955" w:rsidRPr="00CE3F43" w:rsidRDefault="002F4955" w:rsidP="00CB3CFC">
            <w:pPr>
              <w:pStyle w:val="TableHeading"/>
              <w:rPr>
                <w:b w:val="0"/>
              </w:rPr>
            </w:pPr>
            <w:r w:rsidRPr="00CE3F43">
              <w:t>202</w:t>
            </w:r>
            <w:r w:rsidR="00927422" w:rsidRPr="00CE3F43">
              <w:t>5</w:t>
            </w:r>
            <w:r w:rsidR="00266C92" w:rsidRPr="00CE3F43">
              <w:t>–</w:t>
            </w:r>
            <w:r w:rsidR="00927422" w:rsidRPr="00CE3F43">
              <w:t>26</w:t>
            </w:r>
          </w:p>
        </w:tc>
        <w:tc>
          <w:tcPr>
            <w:tcW w:w="0" w:type="pct"/>
            <w:tcBorders>
              <w:top w:val="none" w:sz="0" w:space="0" w:color="auto"/>
              <w:left w:val="none" w:sz="0" w:space="0" w:color="auto"/>
              <w:bottom w:val="none" w:sz="0" w:space="0" w:color="auto"/>
            </w:tcBorders>
            <w:shd w:val="clear" w:color="auto" w:fill="3A586E" w:themeFill="accent1"/>
          </w:tcPr>
          <w:p w14:paraId="6C46FD68" w14:textId="56E67A2F" w:rsidR="002F4955" w:rsidRPr="00CE3F43" w:rsidRDefault="002F4955" w:rsidP="00CB3CFC">
            <w:pPr>
              <w:pStyle w:val="TableHeading"/>
              <w:rPr>
                <w:b w:val="0"/>
              </w:rPr>
            </w:pPr>
            <w:r w:rsidRPr="00CE3F43">
              <w:t>202</w:t>
            </w:r>
            <w:r w:rsidR="0034668D" w:rsidRPr="00CE3F43">
              <w:t>6</w:t>
            </w:r>
            <w:r w:rsidR="00266C92" w:rsidRPr="00CE3F43">
              <w:t>–</w:t>
            </w:r>
            <w:r w:rsidR="0034668D" w:rsidRPr="00CE3F43">
              <w:t>27</w:t>
            </w:r>
          </w:p>
        </w:tc>
      </w:tr>
      <w:tr w:rsidR="003B45AD" w:rsidRPr="002C113F" w14:paraId="1D1C374E" w14:textId="77777777" w:rsidTr="001E1E64">
        <w:trPr>
          <w:cnfStyle w:val="000000100000" w:firstRow="0" w:lastRow="0" w:firstColumn="0" w:lastColumn="0" w:oddVBand="0" w:evenVBand="0" w:oddHBand="1" w:evenHBand="0" w:firstRowFirstColumn="0" w:firstRowLastColumn="0" w:lastRowFirstColumn="0" w:lastRowLastColumn="0"/>
          <w:cantSplit/>
          <w:trHeight w:val="984"/>
        </w:trPr>
        <w:tc>
          <w:tcPr>
            <w:tcW w:w="0" w:type="pct"/>
            <w:shd w:val="clear" w:color="auto" w:fill="D6E8D2" w:themeFill="accent3" w:themeFillTint="33"/>
          </w:tcPr>
          <w:p w14:paraId="455B3D68" w14:textId="442C8316" w:rsidR="002F4955" w:rsidRDefault="002F4955" w:rsidP="001E1E64">
            <w:pPr>
              <w:pStyle w:val="TableBodyCopybold"/>
            </w:pPr>
            <w:r w:rsidRPr="007E6C68">
              <w:t>Objective 1</w:t>
            </w:r>
          </w:p>
          <w:p w14:paraId="5D41D474" w14:textId="563ED25E" w:rsidR="003B79EA" w:rsidRPr="005F18E2" w:rsidRDefault="003B79EA" w:rsidP="00B6670C">
            <w:pPr>
              <w:pStyle w:val="TableBodyCopy"/>
            </w:pPr>
            <w:r w:rsidRPr="00B6670C">
              <w:rPr>
                <w:rStyle w:val="normaltextrun"/>
              </w:rPr>
              <w:t xml:space="preserve">Enhance </w:t>
            </w:r>
            <w:r w:rsidR="004D1D5C" w:rsidRPr="00B6670C">
              <w:rPr>
                <w:rStyle w:val="normaltextrun"/>
              </w:rPr>
              <w:t xml:space="preserve">economic growth, </w:t>
            </w:r>
            <w:r w:rsidRPr="00B6670C">
              <w:rPr>
                <w:rStyle w:val="normaltextrun"/>
              </w:rPr>
              <w:t>regional cooperation and linkages</w:t>
            </w:r>
          </w:p>
        </w:tc>
        <w:tc>
          <w:tcPr>
            <w:tcW w:w="0" w:type="pct"/>
            <w:shd w:val="clear" w:color="auto" w:fill="D6E8D2" w:themeFill="accent3" w:themeFillTint="33"/>
          </w:tcPr>
          <w:p w14:paraId="41805902" w14:textId="117632CC" w:rsidR="002F4955" w:rsidRPr="00547EDB" w:rsidRDefault="00FD6351" w:rsidP="00FD6351">
            <w:pPr>
              <w:pStyle w:val="TableBodyCopy"/>
              <w:rPr>
                <w:rFonts w:asciiTheme="majorHAnsi" w:hAnsiTheme="majorHAnsi" w:cstheme="majorHAnsi"/>
              </w:rPr>
            </w:pPr>
            <w:r w:rsidRPr="00547EDB">
              <w:rPr>
                <w:rStyle w:val="normaltextrun"/>
                <w:rFonts w:asciiTheme="majorHAnsi" w:hAnsiTheme="majorHAnsi" w:cstheme="majorHAnsi"/>
                <w:szCs w:val="20"/>
              </w:rPr>
              <w:t xml:space="preserve">Mid-term evaluation of </w:t>
            </w:r>
            <w:r w:rsidR="00992AD8">
              <w:rPr>
                <w:rStyle w:val="normaltextrun"/>
                <w:rFonts w:asciiTheme="majorHAnsi" w:hAnsiTheme="majorHAnsi" w:cstheme="majorHAnsi"/>
                <w:szCs w:val="20"/>
              </w:rPr>
              <w:t xml:space="preserve">South Asia Regional Infrastructure Connectivity </w:t>
            </w:r>
            <w:r w:rsidR="00B63C47">
              <w:rPr>
                <w:rStyle w:val="normaltextrun"/>
                <w:rFonts w:asciiTheme="majorHAnsi" w:hAnsiTheme="majorHAnsi" w:cstheme="majorHAnsi"/>
                <w:szCs w:val="20"/>
              </w:rPr>
              <w:t>(</w:t>
            </w:r>
            <w:r w:rsidRPr="00547EDB">
              <w:rPr>
                <w:rStyle w:val="normaltextrun"/>
                <w:rFonts w:asciiTheme="majorHAnsi" w:hAnsiTheme="majorHAnsi" w:cstheme="majorHAnsi"/>
                <w:szCs w:val="20"/>
              </w:rPr>
              <w:t>SARIC</w:t>
            </w:r>
            <w:r w:rsidR="00B63C47">
              <w:rPr>
                <w:rStyle w:val="normaltextrun"/>
                <w:rFonts w:asciiTheme="majorHAnsi" w:hAnsiTheme="majorHAnsi" w:cstheme="majorHAnsi"/>
                <w:szCs w:val="20"/>
              </w:rPr>
              <w:t>)</w:t>
            </w:r>
            <w:r w:rsidR="008D5ACB">
              <w:rPr>
                <w:rStyle w:val="normaltextrun"/>
                <w:rFonts w:asciiTheme="majorHAnsi" w:hAnsiTheme="majorHAnsi" w:cstheme="majorHAnsi"/>
                <w:szCs w:val="20"/>
              </w:rPr>
              <w:t xml:space="preserve"> </w:t>
            </w:r>
            <w:r w:rsidR="008D5ACB">
              <w:rPr>
                <w:rStyle w:val="normaltextrun"/>
                <w:rFonts w:asciiTheme="majorHAnsi" w:hAnsiTheme="majorHAnsi" w:cstheme="majorHAnsi"/>
              </w:rPr>
              <w:t>program</w:t>
            </w:r>
          </w:p>
        </w:tc>
        <w:tc>
          <w:tcPr>
            <w:tcW w:w="0" w:type="pct"/>
            <w:shd w:val="clear" w:color="auto" w:fill="D6E8D2" w:themeFill="accent3" w:themeFillTint="33"/>
          </w:tcPr>
          <w:p w14:paraId="73E366A8" w14:textId="2B1E92B2" w:rsidR="002F4955" w:rsidRPr="00547EDB" w:rsidRDefault="001702EE" w:rsidP="00705BF7">
            <w:pPr>
              <w:pStyle w:val="TableBodyCopy"/>
              <w:rPr>
                <w:rFonts w:asciiTheme="majorHAnsi" w:hAnsiTheme="majorHAnsi" w:cstheme="majorHAnsi"/>
              </w:rPr>
            </w:pPr>
            <w:r w:rsidRPr="00547EDB">
              <w:rPr>
                <w:rStyle w:val="normaltextrun"/>
                <w:rFonts w:asciiTheme="majorHAnsi" w:hAnsiTheme="majorHAnsi" w:cstheme="majorHAnsi"/>
                <w:szCs w:val="20"/>
              </w:rPr>
              <w:t xml:space="preserve">Consultations and regular </w:t>
            </w:r>
            <w:r w:rsidR="0065610B" w:rsidRPr="00547EDB">
              <w:rPr>
                <w:rStyle w:val="normaltextrun"/>
                <w:rFonts w:asciiTheme="majorHAnsi" w:hAnsiTheme="majorHAnsi" w:cstheme="majorHAnsi"/>
                <w:szCs w:val="20"/>
              </w:rPr>
              <w:t>monitoring missions for non-</w:t>
            </w:r>
            <w:r w:rsidR="00036EB3">
              <w:rPr>
                <w:rStyle w:val="normaltextrun"/>
                <w:rFonts w:asciiTheme="majorHAnsi" w:hAnsiTheme="majorHAnsi" w:cstheme="majorHAnsi"/>
                <w:szCs w:val="20"/>
              </w:rPr>
              <w:t>Official Development Assistance</w:t>
            </w:r>
            <w:r w:rsidR="0065610B" w:rsidRPr="00547EDB">
              <w:rPr>
                <w:rStyle w:val="normaltextrun"/>
                <w:rFonts w:asciiTheme="majorHAnsi" w:hAnsiTheme="majorHAnsi" w:cstheme="majorHAnsi"/>
                <w:szCs w:val="20"/>
              </w:rPr>
              <w:t xml:space="preserve"> </w:t>
            </w:r>
            <w:r w:rsidR="00036EB3">
              <w:rPr>
                <w:rStyle w:val="normaltextrun"/>
                <w:rFonts w:asciiTheme="majorHAnsi" w:hAnsiTheme="majorHAnsi" w:cstheme="majorHAnsi"/>
                <w:szCs w:val="20"/>
              </w:rPr>
              <w:t>Indian Ocean Rim Association</w:t>
            </w:r>
            <w:r w:rsidR="0065610B" w:rsidRPr="00802862">
              <w:rPr>
                <w:rStyle w:val="normaltextrun"/>
                <w:rFonts w:asciiTheme="majorHAnsi" w:hAnsiTheme="majorHAnsi" w:cstheme="majorHAnsi"/>
                <w:szCs w:val="20"/>
              </w:rPr>
              <w:t xml:space="preserve"> activities</w:t>
            </w:r>
          </w:p>
        </w:tc>
        <w:tc>
          <w:tcPr>
            <w:tcW w:w="0" w:type="pct"/>
            <w:shd w:val="clear" w:color="auto" w:fill="D6E8D2" w:themeFill="accent3" w:themeFillTint="33"/>
          </w:tcPr>
          <w:p w14:paraId="75E63F6D" w14:textId="5B6F9219" w:rsidR="002F4955" w:rsidRPr="008810BC" w:rsidRDefault="008810BC" w:rsidP="007F5B54">
            <w:pPr>
              <w:pStyle w:val="TableBodyCopy"/>
              <w:rPr>
                <w:rFonts w:asciiTheme="majorHAnsi" w:hAnsiTheme="majorHAnsi" w:cstheme="majorHAnsi"/>
              </w:rPr>
            </w:pPr>
            <w:r w:rsidRPr="008810BC">
              <w:rPr>
                <w:rStyle w:val="normaltextrun"/>
                <w:rFonts w:asciiTheme="majorHAnsi" w:hAnsiTheme="majorHAnsi" w:cstheme="majorHAnsi"/>
                <w:szCs w:val="20"/>
              </w:rPr>
              <w:t xml:space="preserve">Mid-term evaluation of </w:t>
            </w:r>
            <w:r w:rsidR="00036EB3">
              <w:rPr>
                <w:rStyle w:val="normaltextrun"/>
                <w:rFonts w:asciiTheme="majorHAnsi" w:hAnsiTheme="majorHAnsi" w:cstheme="majorHAnsi"/>
                <w:szCs w:val="20"/>
              </w:rPr>
              <w:t>Australia Awards in South Asia and Mongolia (</w:t>
            </w:r>
            <w:r w:rsidRPr="008810BC">
              <w:rPr>
                <w:rStyle w:val="normaltextrun"/>
                <w:rFonts w:asciiTheme="majorHAnsi" w:hAnsiTheme="majorHAnsi" w:cstheme="majorHAnsi"/>
                <w:szCs w:val="20"/>
              </w:rPr>
              <w:t>AASAM</w:t>
            </w:r>
            <w:r w:rsidR="00036EB3">
              <w:rPr>
                <w:rStyle w:val="normaltextrun"/>
                <w:rFonts w:asciiTheme="majorHAnsi" w:hAnsiTheme="majorHAnsi" w:cstheme="majorHAnsi"/>
                <w:szCs w:val="20"/>
              </w:rPr>
              <w:t>)</w:t>
            </w:r>
            <w:r w:rsidRPr="00802862">
              <w:rPr>
                <w:rStyle w:val="normaltextrun"/>
                <w:rFonts w:asciiTheme="majorHAnsi" w:hAnsiTheme="majorHAnsi" w:cstheme="majorHAnsi"/>
                <w:szCs w:val="20"/>
              </w:rPr>
              <w:t xml:space="preserve"> investment</w:t>
            </w:r>
          </w:p>
        </w:tc>
      </w:tr>
      <w:tr w:rsidR="003B45AD" w:rsidRPr="002C113F" w14:paraId="7B036427" w14:textId="77777777" w:rsidTr="001E1E64">
        <w:trPr>
          <w:cantSplit/>
          <w:trHeight w:val="614"/>
        </w:trPr>
        <w:tc>
          <w:tcPr>
            <w:tcW w:w="0" w:type="pct"/>
            <w:shd w:val="clear" w:color="auto" w:fill="FBEED2" w:themeFill="accent4" w:themeFillTint="33"/>
          </w:tcPr>
          <w:p w14:paraId="5E8264CE" w14:textId="6DD488BE" w:rsidR="00D53E3F" w:rsidRPr="007E6C68" w:rsidRDefault="00D53E3F" w:rsidP="001E1E64">
            <w:pPr>
              <w:pStyle w:val="TableBodyCopybold"/>
            </w:pPr>
            <w:r w:rsidRPr="007E6C68">
              <w:t>Objective 2</w:t>
            </w:r>
          </w:p>
          <w:p w14:paraId="4B6218E3" w14:textId="5E84437B" w:rsidR="00D53E3F" w:rsidRPr="005F18E2" w:rsidRDefault="00D53E3F" w:rsidP="00B6670C">
            <w:pPr>
              <w:pStyle w:val="TableBodyCopy"/>
            </w:pPr>
            <w:r w:rsidRPr="00B6670C">
              <w:rPr>
                <w:rStyle w:val="normaltextrun"/>
              </w:rPr>
              <w:t>Contribute to a climate resilient South Asia</w:t>
            </w:r>
            <w:r w:rsidR="00B6754B" w:rsidRPr="00B6670C">
              <w:rPr>
                <w:rStyle w:val="normaltextrun"/>
              </w:rPr>
              <w:t xml:space="preserve"> region</w:t>
            </w:r>
          </w:p>
        </w:tc>
        <w:tc>
          <w:tcPr>
            <w:tcW w:w="0" w:type="pct"/>
            <w:shd w:val="clear" w:color="auto" w:fill="FBEED2" w:themeFill="accent4" w:themeFillTint="33"/>
          </w:tcPr>
          <w:p w14:paraId="72AC90B1" w14:textId="17D88D88" w:rsidR="00D53E3F" w:rsidRPr="00D53E3F" w:rsidRDefault="00D53E3F" w:rsidP="00D53E3F">
            <w:pPr>
              <w:pStyle w:val="TableBodyCopy"/>
              <w:rPr>
                <w:rStyle w:val="normaltextrun"/>
                <w:rFonts w:asciiTheme="majorHAnsi" w:eastAsia="Times New Roman" w:hAnsiTheme="majorHAnsi" w:cstheme="majorHAnsi"/>
                <w:szCs w:val="20"/>
                <w:lang w:eastAsia="en-AU"/>
              </w:rPr>
            </w:pPr>
            <w:r w:rsidRPr="00D53E3F">
              <w:rPr>
                <w:rStyle w:val="normaltextrun"/>
                <w:rFonts w:asciiTheme="majorHAnsi" w:hAnsiTheme="majorHAnsi" w:cstheme="majorHAnsi"/>
                <w:szCs w:val="20"/>
              </w:rPr>
              <w:t xml:space="preserve">Mid-term evaluation of </w:t>
            </w:r>
            <w:r w:rsidR="00500086">
              <w:rPr>
                <w:rStyle w:val="normaltextrun"/>
                <w:rFonts w:asciiTheme="majorHAnsi" w:hAnsiTheme="majorHAnsi" w:cstheme="majorHAnsi"/>
                <w:szCs w:val="20"/>
              </w:rPr>
              <w:t>South Asia Water Security Initiative (</w:t>
            </w:r>
            <w:r w:rsidRPr="00D53E3F">
              <w:rPr>
                <w:rStyle w:val="normaltextrun"/>
                <w:rFonts w:asciiTheme="majorHAnsi" w:hAnsiTheme="majorHAnsi" w:cstheme="majorHAnsi"/>
                <w:szCs w:val="20"/>
              </w:rPr>
              <w:t>SAWASI</w:t>
            </w:r>
            <w:r w:rsidR="00500086">
              <w:rPr>
                <w:rStyle w:val="normaltextrun"/>
                <w:rFonts w:asciiTheme="majorHAnsi" w:hAnsiTheme="majorHAnsi" w:cstheme="majorHAnsi"/>
                <w:szCs w:val="20"/>
              </w:rPr>
              <w:t>)</w:t>
            </w:r>
            <w:r w:rsidRPr="00D53E3F">
              <w:rPr>
                <w:rStyle w:val="normaltextrun"/>
                <w:rFonts w:asciiTheme="majorHAnsi" w:hAnsiTheme="majorHAnsi" w:cstheme="majorHAnsi"/>
                <w:szCs w:val="20"/>
              </w:rPr>
              <w:t xml:space="preserve"> </w:t>
            </w:r>
            <w:r w:rsidRPr="00D53E3F">
              <w:t>investment</w:t>
            </w:r>
          </w:p>
          <w:p w14:paraId="0D61A571" w14:textId="0D8EDE3B" w:rsidR="00D53E3F" w:rsidRPr="00D53E3F" w:rsidRDefault="00D53E3F" w:rsidP="00D53E3F">
            <w:pPr>
              <w:pStyle w:val="TableBodyCopy"/>
              <w:rPr>
                <w:rFonts w:asciiTheme="majorHAnsi" w:hAnsiTheme="majorHAnsi" w:cstheme="majorHAnsi"/>
                <w:szCs w:val="20"/>
              </w:rPr>
            </w:pPr>
            <w:r w:rsidRPr="00D53E3F">
              <w:rPr>
                <w:rStyle w:val="normaltextrun"/>
                <w:rFonts w:asciiTheme="majorHAnsi" w:hAnsiTheme="majorHAnsi" w:cstheme="majorHAnsi"/>
                <w:szCs w:val="20"/>
              </w:rPr>
              <w:t xml:space="preserve">Learning events/regional </w:t>
            </w:r>
            <w:r w:rsidRPr="00D53E3F">
              <w:t>workshops</w:t>
            </w:r>
            <w:r w:rsidR="00AE2F1C">
              <w:rPr>
                <w:rStyle w:val="normaltextrun"/>
                <w:rFonts w:asciiTheme="majorHAnsi" w:hAnsiTheme="majorHAnsi" w:cstheme="majorHAnsi"/>
                <w:szCs w:val="20"/>
              </w:rPr>
              <w:t xml:space="preserve"> </w:t>
            </w:r>
            <w:r w:rsidR="00AE2F1C">
              <w:rPr>
                <w:rStyle w:val="normaltextrun"/>
                <w:rFonts w:asciiTheme="majorHAnsi" w:hAnsiTheme="majorHAnsi" w:cstheme="majorHAnsi"/>
              </w:rPr>
              <w:t xml:space="preserve">– </w:t>
            </w:r>
            <w:r w:rsidRPr="00D53E3F">
              <w:rPr>
                <w:rStyle w:val="normaltextrun"/>
                <w:rFonts w:asciiTheme="majorHAnsi" w:hAnsiTheme="majorHAnsi" w:cstheme="majorHAnsi"/>
                <w:szCs w:val="20"/>
              </w:rPr>
              <w:t>AASAM and SAWASI with partners and beneficiaries</w:t>
            </w:r>
          </w:p>
        </w:tc>
        <w:tc>
          <w:tcPr>
            <w:tcW w:w="0" w:type="pct"/>
            <w:shd w:val="clear" w:color="auto" w:fill="FBEED2" w:themeFill="accent4" w:themeFillTint="33"/>
          </w:tcPr>
          <w:p w14:paraId="7614A5E2" w14:textId="61397D94" w:rsidR="00D53E3F" w:rsidRPr="00D53E3F" w:rsidRDefault="00A67A30" w:rsidP="00D53E3F">
            <w:pPr>
              <w:pStyle w:val="TableBodyCopy"/>
              <w:rPr>
                <w:rFonts w:asciiTheme="majorHAnsi" w:hAnsiTheme="majorHAnsi" w:cstheme="majorHAnsi"/>
                <w:szCs w:val="20"/>
              </w:rPr>
            </w:pPr>
            <w:r>
              <w:rPr>
                <w:rFonts w:asciiTheme="majorHAnsi" w:hAnsiTheme="majorHAnsi" w:cstheme="majorHAnsi"/>
                <w:szCs w:val="20"/>
              </w:rPr>
              <w:t>No formal reviews currently planned</w:t>
            </w:r>
          </w:p>
        </w:tc>
        <w:tc>
          <w:tcPr>
            <w:tcW w:w="0" w:type="pct"/>
            <w:shd w:val="clear" w:color="auto" w:fill="FBEED2" w:themeFill="accent4" w:themeFillTint="33"/>
          </w:tcPr>
          <w:p w14:paraId="112CB408" w14:textId="68D9BDE2" w:rsidR="00D53E3F" w:rsidRPr="00D53E3F" w:rsidRDefault="00D53E3F" w:rsidP="00D53E3F">
            <w:pPr>
              <w:pStyle w:val="TableBodyCopy"/>
              <w:rPr>
                <w:rFonts w:asciiTheme="majorHAnsi" w:hAnsiTheme="majorHAnsi" w:cstheme="majorHAnsi"/>
                <w:szCs w:val="20"/>
              </w:rPr>
            </w:pPr>
            <w:r w:rsidRPr="00D53E3F">
              <w:rPr>
                <w:rStyle w:val="normaltextrun"/>
                <w:rFonts w:asciiTheme="majorHAnsi" w:hAnsiTheme="majorHAnsi" w:cstheme="majorHAnsi"/>
                <w:szCs w:val="20"/>
              </w:rPr>
              <w:t>Learning events/regional workshops</w:t>
            </w:r>
            <w:r w:rsidR="00AE2F1C">
              <w:rPr>
                <w:rStyle w:val="normaltextrun"/>
                <w:rFonts w:asciiTheme="majorHAnsi" w:hAnsiTheme="majorHAnsi" w:cstheme="majorHAnsi"/>
                <w:szCs w:val="20"/>
              </w:rPr>
              <w:t xml:space="preserve"> </w:t>
            </w:r>
            <w:r w:rsidR="00AE2F1C">
              <w:rPr>
                <w:rStyle w:val="normaltextrun"/>
                <w:rFonts w:asciiTheme="majorHAnsi" w:hAnsiTheme="majorHAnsi" w:cstheme="majorHAnsi"/>
              </w:rPr>
              <w:t>–</w:t>
            </w:r>
            <w:r w:rsidR="00500086">
              <w:rPr>
                <w:rStyle w:val="normaltextrun"/>
                <w:rFonts w:asciiTheme="majorHAnsi" w:hAnsiTheme="majorHAnsi" w:cstheme="majorHAnsi"/>
              </w:rPr>
              <w:t xml:space="preserve"> </w:t>
            </w:r>
            <w:r w:rsidRPr="00D53E3F">
              <w:rPr>
                <w:rStyle w:val="normaltextrun"/>
                <w:rFonts w:asciiTheme="majorHAnsi" w:hAnsiTheme="majorHAnsi" w:cstheme="majorHAnsi"/>
                <w:szCs w:val="20"/>
              </w:rPr>
              <w:t>AASAM with partners and beneficiaries</w:t>
            </w:r>
          </w:p>
        </w:tc>
      </w:tr>
      <w:tr w:rsidR="00476EE8" w:rsidRPr="002C113F" w14:paraId="3C89F174" w14:textId="77777777" w:rsidTr="001E1E64">
        <w:trPr>
          <w:cnfStyle w:val="000000100000" w:firstRow="0" w:lastRow="0" w:firstColumn="0" w:lastColumn="0" w:oddVBand="0" w:evenVBand="0" w:oddHBand="1" w:evenHBand="0" w:firstRowFirstColumn="0" w:firstRowLastColumn="0" w:lastRowFirstColumn="0" w:lastRowLastColumn="0"/>
          <w:cantSplit/>
          <w:trHeight w:val="614"/>
        </w:trPr>
        <w:tc>
          <w:tcPr>
            <w:tcW w:w="0" w:type="pct"/>
          </w:tcPr>
          <w:p w14:paraId="4C9F0936" w14:textId="41994F54" w:rsidR="00476EE8" w:rsidRPr="007E6C68" w:rsidRDefault="00476EE8" w:rsidP="001E1E64">
            <w:pPr>
              <w:pStyle w:val="TableBodyCopybold"/>
            </w:pPr>
            <w:r w:rsidRPr="007E6C68">
              <w:t>Cross-</w:t>
            </w:r>
            <w:r>
              <w:t>p</w:t>
            </w:r>
            <w:r w:rsidRPr="007E6C68">
              <w:t>rogram</w:t>
            </w:r>
          </w:p>
        </w:tc>
        <w:tc>
          <w:tcPr>
            <w:tcW w:w="0" w:type="pct"/>
          </w:tcPr>
          <w:p w14:paraId="0C313590" w14:textId="125CBB19" w:rsidR="00476EE8" w:rsidRPr="00476EE8" w:rsidRDefault="00476EE8" w:rsidP="00476EE8">
            <w:pPr>
              <w:pStyle w:val="TableBodyCopy"/>
            </w:pPr>
            <w:r w:rsidRPr="00476EE8">
              <w:rPr>
                <w:rStyle w:val="normaltextrun"/>
              </w:rPr>
              <w:t>Stakeholder learning roundtables (thematic focus on climate resilience in South Asia, and drawing on research by partners)</w:t>
            </w:r>
          </w:p>
        </w:tc>
        <w:tc>
          <w:tcPr>
            <w:tcW w:w="0" w:type="pct"/>
          </w:tcPr>
          <w:p w14:paraId="49F9192F" w14:textId="22DA9E50" w:rsidR="00476EE8" w:rsidRPr="00476EE8" w:rsidRDefault="00476EE8" w:rsidP="00476EE8">
            <w:pPr>
              <w:pStyle w:val="TableBodyCopy"/>
              <w:rPr>
                <w:rStyle w:val="normaltextrun"/>
              </w:rPr>
            </w:pPr>
            <w:r w:rsidRPr="00476EE8">
              <w:rPr>
                <w:rStyle w:val="normaltextrun"/>
              </w:rPr>
              <w:t xml:space="preserve">Stakeholder learning roundtables (thematic focus on </w:t>
            </w:r>
            <w:r w:rsidR="00490977">
              <w:rPr>
                <w:rStyle w:val="normaltextrun"/>
              </w:rPr>
              <w:t>gender equality, disability and social inclusion</w:t>
            </w:r>
            <w:r w:rsidRPr="00476EE8">
              <w:rPr>
                <w:rStyle w:val="normaltextrun"/>
              </w:rPr>
              <w:t>, and drawing on research by partners)</w:t>
            </w:r>
          </w:p>
          <w:p w14:paraId="56E079BA" w14:textId="37F82C1E" w:rsidR="00476EE8" w:rsidRPr="00476EE8" w:rsidRDefault="00476EE8" w:rsidP="00476EE8">
            <w:pPr>
              <w:pStyle w:val="TableBodyCopy"/>
            </w:pPr>
            <w:r w:rsidRPr="00476EE8">
              <w:rPr>
                <w:rStyle w:val="normaltextrun"/>
              </w:rPr>
              <w:t>Mid-cycle review</w:t>
            </w:r>
            <w:r w:rsidRPr="00802862">
              <w:rPr>
                <w:rStyle w:val="normaltextrun"/>
              </w:rPr>
              <w:t xml:space="preserve"> of </w:t>
            </w:r>
            <w:r w:rsidR="00922BA9">
              <w:rPr>
                <w:rStyle w:val="normaltextrun"/>
              </w:rPr>
              <w:t>development partnership plan</w:t>
            </w:r>
          </w:p>
        </w:tc>
        <w:tc>
          <w:tcPr>
            <w:tcW w:w="0" w:type="pct"/>
          </w:tcPr>
          <w:p w14:paraId="7CAAB90C" w14:textId="7CBDEFAA" w:rsidR="00476EE8" w:rsidRPr="00476EE8" w:rsidRDefault="00476EE8" w:rsidP="00476EE8">
            <w:pPr>
              <w:pStyle w:val="TableBodyCopy"/>
            </w:pPr>
            <w:r w:rsidRPr="00476EE8">
              <w:rPr>
                <w:rStyle w:val="normaltextrun"/>
              </w:rPr>
              <w:t>Stakeholder learning roundtables (thematic focus on regional forums, and drawing on academic research)</w:t>
            </w:r>
          </w:p>
        </w:tc>
      </w:tr>
    </w:tbl>
    <w:p w14:paraId="7C8BA4EC" w14:textId="23DE82B2" w:rsidR="00C65616" w:rsidRPr="00F54F79" w:rsidRDefault="00C65616" w:rsidP="00F54F79">
      <w:pPr>
        <w:spacing w:after="0" w:line="240" w:lineRule="auto"/>
        <w:textAlignment w:val="baseline"/>
        <w:rPr>
          <w:rFonts w:ascii="Calibri Light" w:hAnsi="Calibri Light" w:cs="Calibri Light"/>
          <w:color w:val="313E48" w:themeColor="text2"/>
          <w:lang w:eastAsia="en-AU"/>
        </w:rPr>
        <w:sectPr w:rsidR="00C65616" w:rsidRPr="00F54F79" w:rsidSect="00DC5504">
          <w:headerReference w:type="first" r:id="rId16"/>
          <w:endnotePr>
            <w:numFmt w:val="decimal"/>
          </w:endnotePr>
          <w:type w:val="continuous"/>
          <w:pgSz w:w="11906" w:h="16838" w:code="9"/>
          <w:pgMar w:top="1418" w:right="851" w:bottom="425" w:left="851" w:header="340" w:footer="533" w:gutter="0"/>
          <w:pgNumType w:start="1"/>
          <w:cols w:space="708"/>
          <w:noEndnote/>
          <w:docGrid w:linePitch="360"/>
        </w:sectPr>
      </w:pPr>
    </w:p>
    <w:p w14:paraId="201A08A2" w14:textId="77777777" w:rsidR="001D499F" w:rsidRPr="001E1E64" w:rsidRDefault="001D499F" w:rsidP="001E1E64">
      <w:pPr>
        <w:pStyle w:val="H3-Heading3"/>
      </w:pPr>
      <w:r w:rsidRPr="001E1E64">
        <w:lastRenderedPageBreak/>
        <w:t>Performance and results</w:t>
      </w:r>
    </w:p>
    <w:p w14:paraId="6EE44E23" w14:textId="45826F1D" w:rsidR="00647D7E" w:rsidRPr="00F54F79" w:rsidRDefault="00647D7E" w:rsidP="001E1E64">
      <w:pPr>
        <w:rPr>
          <w:rFonts w:ascii="Calibri Light" w:hAnsi="Calibri Light"/>
          <w:lang w:eastAsia="en-AU"/>
        </w:rPr>
      </w:pPr>
      <w:r w:rsidRPr="4314E796">
        <w:rPr>
          <w:lang w:eastAsia="en-AU"/>
        </w:rPr>
        <w:t xml:space="preserve">The Performance Assessment Framework (PAF) </w:t>
      </w:r>
      <w:r>
        <w:rPr>
          <w:lang w:eastAsia="en-AU"/>
        </w:rPr>
        <w:t xml:space="preserve">at </w:t>
      </w:r>
      <w:r w:rsidRPr="4314E796">
        <w:rPr>
          <w:lang w:eastAsia="en-AU"/>
        </w:rPr>
        <w:t>Table</w:t>
      </w:r>
      <w:r w:rsidR="00490977">
        <w:rPr>
          <w:lang w:eastAsia="en-AU"/>
        </w:rPr>
        <w:t> </w:t>
      </w:r>
      <w:r w:rsidRPr="4314E796">
        <w:rPr>
          <w:lang w:eastAsia="en-AU"/>
        </w:rPr>
        <w:t xml:space="preserve">3 provides a selection of indicators and expected results for the first </w:t>
      </w:r>
      <w:r w:rsidR="007F08A2">
        <w:rPr>
          <w:lang w:eastAsia="en-AU"/>
        </w:rPr>
        <w:t>three</w:t>
      </w:r>
      <w:r>
        <w:rPr>
          <w:lang w:eastAsia="en-AU"/>
        </w:rPr>
        <w:t> </w:t>
      </w:r>
      <w:r w:rsidRPr="4314E796">
        <w:rPr>
          <w:lang w:eastAsia="en-AU"/>
        </w:rPr>
        <w:t>years of the DPP. The PAF will be updated periodically including at the mid</w:t>
      </w:r>
      <w:r>
        <w:rPr>
          <w:lang w:eastAsia="en-AU"/>
        </w:rPr>
        <w:t>-</w:t>
      </w:r>
      <w:r w:rsidRPr="4314E796">
        <w:rPr>
          <w:lang w:eastAsia="en-AU"/>
        </w:rPr>
        <w:t>cycle review point</w:t>
      </w:r>
      <w:r w:rsidR="0098240C">
        <w:rPr>
          <w:lang w:eastAsia="en-AU"/>
        </w:rPr>
        <w:t>,</w:t>
      </w:r>
      <w:r w:rsidRPr="4314E796">
        <w:rPr>
          <w:lang w:eastAsia="en-AU"/>
        </w:rPr>
        <w:t xml:space="preserve"> at which time indicators and results for the second half of the DPP will be identified.</w:t>
      </w:r>
    </w:p>
    <w:p w14:paraId="1442F66F" w14:textId="37ED9243" w:rsidR="001724B1" w:rsidRPr="002719A7" w:rsidRDefault="001724B1" w:rsidP="00CD0ECA">
      <w:pPr>
        <w:pStyle w:val="Tabletitle"/>
        <w:rPr>
          <w:rFonts w:ascii="Calibri Light" w:hAnsi="Calibri Light" w:cs="Calibri Light"/>
          <w:sz w:val="38"/>
          <w:szCs w:val="38"/>
          <w:lang w:val="en-US"/>
        </w:rPr>
      </w:pPr>
      <w:r w:rsidRPr="2456706A">
        <w:t xml:space="preserve">Table 3: Performance </w:t>
      </w:r>
      <w:r w:rsidR="00E3733A">
        <w:t>A</w:t>
      </w:r>
      <w:r w:rsidR="00E3733A" w:rsidRPr="2456706A">
        <w:t xml:space="preserve">ssessment </w:t>
      </w:r>
      <w:r w:rsidR="00E3733A">
        <w:t>F</w:t>
      </w:r>
      <w:r w:rsidR="00E3733A" w:rsidRPr="2456706A">
        <w:t>ramework</w:t>
      </w:r>
    </w:p>
    <w:p w14:paraId="6578AB58" w14:textId="79204F27" w:rsidR="000175A1" w:rsidRPr="00E62D4C" w:rsidRDefault="000175A1" w:rsidP="001E1E64">
      <w:pPr>
        <w:pStyle w:val="PAFobjectivehead"/>
      </w:pPr>
      <w:r w:rsidRPr="00E62D4C">
        <w:t>Objective 1:</w:t>
      </w:r>
      <w:r w:rsidR="00A1179D" w:rsidRPr="00E62D4C">
        <w:t xml:space="preserve"> </w:t>
      </w:r>
      <w:r w:rsidR="00A1179D" w:rsidRPr="00E62D4C">
        <w:rPr>
          <w:rStyle w:val="Strong"/>
          <w:rFonts w:asciiTheme="majorHAnsi" w:hAnsiTheme="majorHAnsi"/>
          <w:b/>
          <w:bCs/>
        </w:rPr>
        <w:t>Enhance economic growth, regional cooperation and linkages</w:t>
      </w:r>
    </w:p>
    <w:tbl>
      <w:tblPr>
        <w:tblStyle w:val="DFATPaddock"/>
        <w:tblW w:w="14513" w:type="dxa"/>
        <w:tblLayout w:type="fixed"/>
        <w:tblCellMar>
          <w:bottom w:w="108" w:type="dxa"/>
        </w:tblCellMar>
        <w:tblLook w:val="04A0" w:firstRow="1" w:lastRow="0" w:firstColumn="1" w:lastColumn="0" w:noHBand="0" w:noVBand="1"/>
        <w:tblCaption w:val="Performance Assessment Framework for Objective 1"/>
        <w:tblDescription w:val="Expected results for Objective 1 for the first 3 years of the DPP and against the Sustainable Development Goals&#10;"/>
      </w:tblPr>
      <w:tblGrid>
        <w:gridCol w:w="2418"/>
        <w:gridCol w:w="2419"/>
        <w:gridCol w:w="2419"/>
        <w:gridCol w:w="2419"/>
        <w:gridCol w:w="2419"/>
        <w:gridCol w:w="2419"/>
      </w:tblGrid>
      <w:tr w:rsidR="00840D96" w:rsidRPr="00CE3F43" w14:paraId="1BA5C930" w14:textId="77777777" w:rsidTr="000070A5">
        <w:trPr>
          <w:cnfStyle w:val="100000000000" w:firstRow="1" w:lastRow="0" w:firstColumn="0" w:lastColumn="0" w:oddVBand="0" w:evenVBand="0" w:oddHBand="0" w:evenHBand="0" w:firstRowFirstColumn="0" w:firstRowLastColumn="0" w:lastRowFirstColumn="0" w:lastRowLastColumn="0"/>
          <w:cantSplit/>
          <w:trHeight w:val="787"/>
        </w:trPr>
        <w:tc>
          <w:tcPr>
            <w:tcW w:w="2418" w:type="dxa"/>
            <w:hideMark/>
          </w:tcPr>
          <w:p w14:paraId="61522DFA" w14:textId="480BF3CD" w:rsidR="00840D96" w:rsidRPr="001E1E64" w:rsidRDefault="00840D96" w:rsidP="005F20EE">
            <w:pPr>
              <w:pStyle w:val="TableHeading"/>
              <w:rPr>
                <w:b/>
                <w:bCs w:val="0"/>
              </w:rPr>
            </w:pPr>
            <w:r w:rsidRPr="001E1E64">
              <w:rPr>
                <w:b/>
                <w:bCs w:val="0"/>
              </w:rPr>
              <w:t>Outcome</w:t>
            </w:r>
          </w:p>
        </w:tc>
        <w:tc>
          <w:tcPr>
            <w:tcW w:w="2419" w:type="dxa"/>
          </w:tcPr>
          <w:p w14:paraId="01E9A650" w14:textId="37ED94E6" w:rsidR="00840D96" w:rsidRPr="001E1E64" w:rsidRDefault="00840D96" w:rsidP="005F20EE">
            <w:pPr>
              <w:pStyle w:val="TableHeading"/>
              <w:rPr>
                <w:b/>
                <w:bCs w:val="0"/>
              </w:rPr>
            </w:pPr>
            <w:r w:rsidRPr="001E1E64">
              <w:rPr>
                <w:b/>
                <w:bCs w:val="0"/>
              </w:rPr>
              <w:t>Indicator</w:t>
            </w:r>
          </w:p>
        </w:tc>
        <w:tc>
          <w:tcPr>
            <w:tcW w:w="2419" w:type="dxa"/>
            <w:hideMark/>
          </w:tcPr>
          <w:p w14:paraId="28BAB5F3" w14:textId="68F108C0" w:rsidR="00840D96" w:rsidRPr="001E1E64" w:rsidRDefault="00840D96" w:rsidP="005F20EE">
            <w:pPr>
              <w:pStyle w:val="TableHeading"/>
              <w:rPr>
                <w:b/>
                <w:bCs w:val="0"/>
              </w:rPr>
            </w:pPr>
            <w:r w:rsidRPr="001E1E64">
              <w:rPr>
                <w:b/>
                <w:bCs w:val="0"/>
              </w:rPr>
              <w:t>Expected results</w:t>
            </w:r>
            <w:r w:rsidRPr="001E1E64">
              <w:rPr>
                <w:b/>
                <w:bCs w:val="0"/>
              </w:rPr>
              <w:br/>
              <w:t>2024–25</w:t>
            </w:r>
          </w:p>
        </w:tc>
        <w:tc>
          <w:tcPr>
            <w:tcW w:w="2419" w:type="dxa"/>
            <w:hideMark/>
          </w:tcPr>
          <w:p w14:paraId="1DE2F4DC" w14:textId="08C98ABF" w:rsidR="00840D96" w:rsidRPr="001E1E64" w:rsidRDefault="00840D96" w:rsidP="005F20EE">
            <w:pPr>
              <w:pStyle w:val="TableHeading"/>
              <w:rPr>
                <w:b/>
                <w:bCs w:val="0"/>
              </w:rPr>
            </w:pPr>
            <w:r w:rsidRPr="001E1E64">
              <w:rPr>
                <w:b/>
                <w:bCs w:val="0"/>
              </w:rPr>
              <w:t>Expected results</w:t>
            </w:r>
            <w:r w:rsidRPr="001E1E64">
              <w:rPr>
                <w:b/>
                <w:bCs w:val="0"/>
              </w:rPr>
              <w:br/>
              <w:t>2025–26</w:t>
            </w:r>
          </w:p>
        </w:tc>
        <w:tc>
          <w:tcPr>
            <w:tcW w:w="2419" w:type="dxa"/>
            <w:hideMark/>
          </w:tcPr>
          <w:p w14:paraId="26D85DA3" w14:textId="40120FC3" w:rsidR="00840D96" w:rsidRPr="001E1E64" w:rsidRDefault="00840D96" w:rsidP="005F20EE">
            <w:pPr>
              <w:pStyle w:val="TableHeading"/>
              <w:rPr>
                <w:b/>
                <w:bCs w:val="0"/>
              </w:rPr>
            </w:pPr>
            <w:r w:rsidRPr="001E1E64">
              <w:rPr>
                <w:b/>
                <w:bCs w:val="0"/>
              </w:rPr>
              <w:t>Expected results</w:t>
            </w:r>
            <w:r w:rsidRPr="001E1E64">
              <w:rPr>
                <w:b/>
                <w:bCs w:val="0"/>
              </w:rPr>
              <w:br/>
              <w:t>2026–27</w:t>
            </w:r>
          </w:p>
        </w:tc>
        <w:tc>
          <w:tcPr>
            <w:tcW w:w="2419" w:type="dxa"/>
            <w:hideMark/>
          </w:tcPr>
          <w:p w14:paraId="558CF527" w14:textId="041C5A1C" w:rsidR="00840D96" w:rsidRPr="001E1E64" w:rsidRDefault="00840D96" w:rsidP="005F20EE">
            <w:pPr>
              <w:pStyle w:val="TableHeading"/>
              <w:rPr>
                <w:b/>
                <w:bCs w:val="0"/>
              </w:rPr>
            </w:pPr>
            <w:r w:rsidRPr="001E1E64">
              <w:rPr>
                <w:b/>
                <w:bCs w:val="0"/>
              </w:rPr>
              <w:t>Sustainable Development Goals (SDGs)</w:t>
            </w:r>
          </w:p>
        </w:tc>
      </w:tr>
      <w:tr w:rsidR="002567D7" w:rsidRPr="002567D7" w14:paraId="687B5128" w14:textId="77777777" w:rsidTr="000070A5">
        <w:trPr>
          <w:cantSplit/>
          <w:trHeight w:val="561"/>
        </w:trPr>
        <w:tc>
          <w:tcPr>
            <w:tcW w:w="2418" w:type="dxa"/>
            <w:hideMark/>
          </w:tcPr>
          <w:p w14:paraId="6C481B1F" w14:textId="77777777" w:rsidR="00840D96" w:rsidRPr="002567D7" w:rsidRDefault="00840D96" w:rsidP="001E6007">
            <w:pPr>
              <w:pStyle w:val="TableBodyCopy"/>
              <w:rPr>
                <w:b/>
                <w:bCs/>
                <w:szCs w:val="20"/>
              </w:rPr>
            </w:pPr>
            <w:r w:rsidRPr="002567D7">
              <w:rPr>
                <w:b/>
                <w:bCs/>
                <w:szCs w:val="20"/>
              </w:rPr>
              <w:t>Outcome 1.1</w:t>
            </w:r>
          </w:p>
          <w:p w14:paraId="4223FF1E" w14:textId="3F794BA3" w:rsidR="00840D96" w:rsidRPr="002567D7" w:rsidRDefault="00506516" w:rsidP="006864BF">
            <w:pPr>
              <w:pStyle w:val="TableBodyCopy"/>
            </w:pPr>
            <w:r w:rsidRPr="002567D7">
              <w:t xml:space="preserve">Economic growth: </w:t>
            </w:r>
            <w:r w:rsidR="00840D96" w:rsidRPr="002567D7">
              <w:t>Supporting regional economic growth through increased infrastructure investment and private sector cooperation</w:t>
            </w:r>
          </w:p>
        </w:tc>
        <w:tc>
          <w:tcPr>
            <w:tcW w:w="2419" w:type="dxa"/>
          </w:tcPr>
          <w:p w14:paraId="2CF527A3" w14:textId="203513BF" w:rsidR="00840D96" w:rsidRPr="002567D7" w:rsidRDefault="004813AC" w:rsidP="001E6007">
            <w:pPr>
              <w:pStyle w:val="TableBodyCopy"/>
            </w:pPr>
            <w:r w:rsidRPr="002567D7">
              <w:rPr>
                <w:szCs w:val="20"/>
              </w:rPr>
              <w:t xml:space="preserve">Number of infrastructure projects supported that meet G20 </w:t>
            </w:r>
            <w:r w:rsidR="00904BFC">
              <w:rPr>
                <w:szCs w:val="20"/>
              </w:rPr>
              <w:t>P</w:t>
            </w:r>
            <w:r w:rsidRPr="002567D7">
              <w:rPr>
                <w:szCs w:val="20"/>
              </w:rPr>
              <w:t xml:space="preserve">rinciples for </w:t>
            </w:r>
            <w:r w:rsidR="002E1B73">
              <w:rPr>
                <w:szCs w:val="20"/>
              </w:rPr>
              <w:t>Q</w:t>
            </w:r>
            <w:r w:rsidRPr="002567D7">
              <w:rPr>
                <w:szCs w:val="20"/>
              </w:rPr>
              <w:t xml:space="preserve">uality </w:t>
            </w:r>
            <w:r w:rsidR="002E1B73">
              <w:rPr>
                <w:szCs w:val="20"/>
              </w:rPr>
              <w:t>I</w:t>
            </w:r>
            <w:r w:rsidRPr="002567D7">
              <w:rPr>
                <w:szCs w:val="20"/>
              </w:rPr>
              <w:t xml:space="preserve">nfrastructure </w:t>
            </w:r>
            <w:r w:rsidR="002E1B73">
              <w:rPr>
                <w:szCs w:val="20"/>
              </w:rPr>
              <w:t>I</w:t>
            </w:r>
            <w:r w:rsidRPr="002567D7">
              <w:rPr>
                <w:szCs w:val="20"/>
              </w:rPr>
              <w:t>nvestments, or similar internationally agreed standards (Tier</w:t>
            </w:r>
            <w:r w:rsidR="00A36A22">
              <w:rPr>
                <w:szCs w:val="20"/>
              </w:rPr>
              <w:t> </w:t>
            </w:r>
            <w:r w:rsidRPr="002567D7">
              <w:rPr>
                <w:szCs w:val="20"/>
              </w:rPr>
              <w:t>2)</w:t>
            </w:r>
          </w:p>
        </w:tc>
        <w:tc>
          <w:tcPr>
            <w:tcW w:w="2419" w:type="dxa"/>
            <w:hideMark/>
          </w:tcPr>
          <w:p w14:paraId="79FF0314" w14:textId="44EF5857" w:rsidR="00840D96" w:rsidRPr="002567D7" w:rsidRDefault="00840D96" w:rsidP="001E6007">
            <w:pPr>
              <w:pStyle w:val="TableBodyCopy"/>
            </w:pPr>
            <w:r w:rsidRPr="002567D7">
              <w:t>11</w:t>
            </w:r>
            <w:r w:rsidR="00A36A22">
              <w:t> </w:t>
            </w:r>
            <w:r w:rsidRPr="002567D7">
              <w:t>projects (4</w:t>
            </w:r>
            <w:r w:rsidR="00A36A22">
              <w:t> </w:t>
            </w:r>
            <w:r w:rsidRPr="002567D7">
              <w:t>supported by World Bank; 7</w:t>
            </w:r>
            <w:r w:rsidR="00397481">
              <w:t> </w:t>
            </w:r>
            <w:r w:rsidRPr="002567D7">
              <w:t xml:space="preserve">supported by </w:t>
            </w:r>
            <w:r w:rsidR="001A7A70">
              <w:t>International Finance Corporation (</w:t>
            </w:r>
            <w:r w:rsidRPr="002567D7">
              <w:t>IFC</w:t>
            </w:r>
            <w:r w:rsidR="001A7A70">
              <w:t>)</w:t>
            </w:r>
            <w:r w:rsidRPr="002567D7">
              <w:t>)</w:t>
            </w:r>
          </w:p>
        </w:tc>
        <w:tc>
          <w:tcPr>
            <w:tcW w:w="2419" w:type="dxa"/>
            <w:hideMark/>
          </w:tcPr>
          <w:p w14:paraId="472606A8" w14:textId="46B11ADF" w:rsidR="00840D96" w:rsidRPr="002567D7" w:rsidRDefault="00840D96" w:rsidP="001E6007">
            <w:pPr>
              <w:pStyle w:val="TableBodyCopy"/>
            </w:pPr>
            <w:r w:rsidRPr="002567D7">
              <w:t>11</w:t>
            </w:r>
            <w:r w:rsidR="00A36A22">
              <w:t> </w:t>
            </w:r>
            <w:r w:rsidRPr="002567D7">
              <w:t>projects (4</w:t>
            </w:r>
            <w:r w:rsidR="00A36A22">
              <w:t> </w:t>
            </w:r>
            <w:r w:rsidRPr="002567D7">
              <w:t>supported by World Bank; 7</w:t>
            </w:r>
            <w:r w:rsidR="00110B21">
              <w:t> </w:t>
            </w:r>
            <w:r w:rsidRPr="002567D7">
              <w:t>supported by IFC)</w:t>
            </w:r>
            <w:hyperlink w:anchor="T3na" w:history="1">
              <w:r w:rsidRPr="001E1E64">
                <w:rPr>
                  <w:rStyle w:val="tablehyperlink"/>
                </w:rPr>
                <w:t>a</w:t>
              </w:r>
            </w:hyperlink>
          </w:p>
        </w:tc>
        <w:tc>
          <w:tcPr>
            <w:tcW w:w="2419" w:type="dxa"/>
            <w:hideMark/>
          </w:tcPr>
          <w:p w14:paraId="18DA468E" w14:textId="1492FE42" w:rsidR="00840D96" w:rsidRPr="002567D7" w:rsidRDefault="00840D96" w:rsidP="001E6007">
            <w:pPr>
              <w:pStyle w:val="TableBodyCopy"/>
            </w:pPr>
            <w:r w:rsidRPr="002567D7">
              <w:t>Not applicable</w:t>
            </w:r>
          </w:p>
        </w:tc>
        <w:tc>
          <w:tcPr>
            <w:tcW w:w="2419" w:type="dxa"/>
          </w:tcPr>
          <w:p w14:paraId="08D1822B" w14:textId="10C94D7D" w:rsidR="00840D96" w:rsidRPr="002567D7" w:rsidRDefault="00840D96" w:rsidP="001E6007">
            <w:pPr>
              <w:pStyle w:val="TableBodyCopy"/>
            </w:pPr>
            <w:r w:rsidRPr="002A305E">
              <w:t>SDG9: Industry, innovation and infrastructure</w:t>
            </w:r>
          </w:p>
        </w:tc>
      </w:tr>
      <w:tr w:rsidR="002567D7" w:rsidRPr="002567D7" w14:paraId="040FE4D5" w14:textId="77777777" w:rsidTr="000070A5">
        <w:trPr>
          <w:cantSplit/>
          <w:trHeight w:val="555"/>
        </w:trPr>
        <w:tc>
          <w:tcPr>
            <w:tcW w:w="2418" w:type="dxa"/>
            <w:hideMark/>
          </w:tcPr>
          <w:p w14:paraId="5DE56BCF" w14:textId="4285632B" w:rsidR="00840D96" w:rsidRPr="002567D7" w:rsidRDefault="0032207F" w:rsidP="0097279B">
            <w:pPr>
              <w:pStyle w:val="TableBodyCopy"/>
            </w:pPr>
            <w:r w:rsidRPr="009D666D">
              <w:rPr>
                <w:b/>
                <w:bCs/>
              </w:rPr>
              <w:t>Outcome 1.1</w:t>
            </w:r>
          </w:p>
        </w:tc>
        <w:tc>
          <w:tcPr>
            <w:tcW w:w="2419" w:type="dxa"/>
          </w:tcPr>
          <w:p w14:paraId="7A26DF58" w14:textId="0FB5A917" w:rsidR="00840D96" w:rsidRPr="002567D7" w:rsidRDefault="0032207F" w:rsidP="0097279B">
            <w:pPr>
              <w:pStyle w:val="TableBodyCopy"/>
            </w:pPr>
            <w:r w:rsidRPr="002A305E">
              <w:t>Strengthened capacity of regional mechanisms (</w:t>
            </w:r>
            <w:r w:rsidR="00391422">
              <w:t>Indian Ocean Rim Association (</w:t>
            </w:r>
            <w:r w:rsidRPr="002A305E">
              <w:t>IORA</w:t>
            </w:r>
            <w:r w:rsidR="00391422">
              <w:t>)</w:t>
            </w:r>
            <w:r w:rsidRPr="002A305E">
              <w:t>) to support economic growth and private sector cooperation</w:t>
            </w:r>
          </w:p>
        </w:tc>
        <w:tc>
          <w:tcPr>
            <w:tcW w:w="2419" w:type="dxa"/>
            <w:hideMark/>
          </w:tcPr>
          <w:p w14:paraId="251E28A9" w14:textId="28FFD8A4" w:rsidR="00840D96" w:rsidRPr="002567D7" w:rsidRDefault="00840D96" w:rsidP="0097279B">
            <w:pPr>
              <w:pStyle w:val="TableBodyCopy"/>
            </w:pPr>
            <w:r w:rsidRPr="002567D7">
              <w:t>The Indian Ocean Rim Business Forum supports improved regional business-to-business and government-to-government engagement</w:t>
            </w:r>
          </w:p>
          <w:p w14:paraId="4565BCD7" w14:textId="5230CF9D" w:rsidR="00840D96" w:rsidRPr="002567D7" w:rsidRDefault="00840D96" w:rsidP="006864BF">
            <w:pPr>
              <w:pStyle w:val="TableBodyCopy"/>
            </w:pPr>
            <w:r w:rsidRPr="002567D7">
              <w:t>Progress with the implementation of IORA trade and investment facilitation regional cooperation activities</w:t>
            </w:r>
          </w:p>
        </w:tc>
        <w:tc>
          <w:tcPr>
            <w:tcW w:w="2419" w:type="dxa"/>
            <w:hideMark/>
          </w:tcPr>
          <w:p w14:paraId="6B0A595F" w14:textId="0040A87C" w:rsidR="00840D96" w:rsidRPr="002567D7" w:rsidRDefault="00840D96" w:rsidP="0097279B">
            <w:pPr>
              <w:pStyle w:val="TableBodyCopy"/>
            </w:pPr>
            <w:r w:rsidRPr="002567D7">
              <w:t>The Indian Ocean Rim Business Forum supports improved regional business-to-business and government-to-government engagement</w:t>
            </w:r>
          </w:p>
        </w:tc>
        <w:tc>
          <w:tcPr>
            <w:tcW w:w="2419" w:type="dxa"/>
            <w:hideMark/>
          </w:tcPr>
          <w:p w14:paraId="0713867B" w14:textId="050E0DB6" w:rsidR="00840D96" w:rsidRPr="002567D7" w:rsidRDefault="00840D96" w:rsidP="0097279B">
            <w:pPr>
              <w:pStyle w:val="TableBodyCopy"/>
            </w:pPr>
            <w:r w:rsidRPr="002567D7">
              <w:t>The Indian Ocean Rim Business Forum supports improved regional business-to-business and government-to-government engagement</w:t>
            </w:r>
          </w:p>
        </w:tc>
        <w:tc>
          <w:tcPr>
            <w:tcW w:w="2419" w:type="dxa"/>
          </w:tcPr>
          <w:p w14:paraId="131ABEA1" w14:textId="6812F68A" w:rsidR="00840D96" w:rsidRPr="002567D7" w:rsidRDefault="00840D96" w:rsidP="0097279B">
            <w:pPr>
              <w:pStyle w:val="TableBodyCopy"/>
            </w:pPr>
            <w:r w:rsidRPr="002567D7">
              <w:rPr>
                <w:rFonts w:asciiTheme="majorHAnsi" w:hAnsiTheme="majorHAnsi" w:cstheme="majorHAnsi"/>
              </w:rPr>
              <w:t>Not applicable</w:t>
            </w:r>
          </w:p>
        </w:tc>
      </w:tr>
      <w:tr w:rsidR="002567D7" w:rsidRPr="002567D7" w14:paraId="4124783E" w14:textId="77777777" w:rsidTr="000070A5">
        <w:trPr>
          <w:cantSplit/>
          <w:trHeight w:val="472"/>
        </w:trPr>
        <w:tc>
          <w:tcPr>
            <w:tcW w:w="2418" w:type="dxa"/>
            <w:hideMark/>
          </w:tcPr>
          <w:p w14:paraId="70CA77A6" w14:textId="299FE81D" w:rsidR="00840D96" w:rsidRPr="002567D7" w:rsidRDefault="009F0C01" w:rsidP="003651C0">
            <w:pPr>
              <w:pStyle w:val="TableBodyCopy"/>
            </w:pPr>
            <w:r w:rsidRPr="00C001CE">
              <w:rPr>
                <w:b/>
                <w:bCs/>
              </w:rPr>
              <w:lastRenderedPageBreak/>
              <w:t>Outcome 1.1</w:t>
            </w:r>
          </w:p>
        </w:tc>
        <w:tc>
          <w:tcPr>
            <w:tcW w:w="2419" w:type="dxa"/>
          </w:tcPr>
          <w:p w14:paraId="40A5ED0E" w14:textId="78F3C0C4" w:rsidR="00840D96" w:rsidRPr="002567D7" w:rsidRDefault="009F0C01" w:rsidP="008A16A2">
            <w:pPr>
              <w:pStyle w:val="TableBodyCopy"/>
            </w:pPr>
            <w:r w:rsidRPr="00CD0ECA">
              <w:t>Improved policies and regulations in the infrastructure sector (Tier 2)</w:t>
            </w:r>
          </w:p>
        </w:tc>
        <w:tc>
          <w:tcPr>
            <w:tcW w:w="2419" w:type="dxa"/>
            <w:hideMark/>
          </w:tcPr>
          <w:p w14:paraId="225D04F5" w14:textId="1360B56E" w:rsidR="00840D96" w:rsidRPr="002567D7" w:rsidRDefault="00840D96" w:rsidP="008A16A2">
            <w:pPr>
              <w:pStyle w:val="TableBodyCopy"/>
            </w:pPr>
            <w:r w:rsidRPr="002567D7">
              <w:t xml:space="preserve">Improved policy settings for infrastructure in relation to </w:t>
            </w:r>
            <w:r w:rsidR="00F7055D">
              <w:t>gender equality, disability and social inclusion</w:t>
            </w:r>
            <w:r w:rsidRPr="002567D7">
              <w:t xml:space="preserve"> and safeguards</w:t>
            </w:r>
          </w:p>
        </w:tc>
        <w:tc>
          <w:tcPr>
            <w:tcW w:w="2419" w:type="dxa"/>
            <w:hideMark/>
          </w:tcPr>
          <w:p w14:paraId="6593E2F9" w14:textId="744B6B5A" w:rsidR="00840D96" w:rsidRPr="002567D7" w:rsidRDefault="00840D96" w:rsidP="008A16A2">
            <w:pPr>
              <w:pStyle w:val="TableBodyCopy"/>
            </w:pPr>
            <w:r w:rsidRPr="002567D7">
              <w:t>Improved policy settings for infrastructure connectivity and access to green electricity markets</w:t>
            </w:r>
          </w:p>
        </w:tc>
        <w:tc>
          <w:tcPr>
            <w:tcW w:w="2419" w:type="dxa"/>
            <w:hideMark/>
          </w:tcPr>
          <w:p w14:paraId="75775E98" w14:textId="0C624652" w:rsidR="00840D96" w:rsidRPr="002567D7" w:rsidRDefault="00840D96" w:rsidP="008A16A2">
            <w:pPr>
              <w:pStyle w:val="TableBodyCopy"/>
            </w:pPr>
            <w:r w:rsidRPr="002567D7">
              <w:t>Improved policy settings for infrastructure connectivity and access to green electricity markets</w:t>
            </w:r>
          </w:p>
        </w:tc>
        <w:tc>
          <w:tcPr>
            <w:tcW w:w="2419" w:type="dxa"/>
          </w:tcPr>
          <w:p w14:paraId="7F74DBE2" w14:textId="60CA3107" w:rsidR="00840D96" w:rsidRPr="002567D7" w:rsidRDefault="00840D96" w:rsidP="008A16A2">
            <w:pPr>
              <w:pStyle w:val="TableBodyCopy"/>
            </w:pPr>
            <w:r w:rsidRPr="00C001CE">
              <w:t>SDG9</w:t>
            </w:r>
          </w:p>
        </w:tc>
      </w:tr>
      <w:tr w:rsidR="002567D7" w:rsidRPr="002567D7" w14:paraId="0C92A667" w14:textId="77777777" w:rsidTr="000070A5">
        <w:trPr>
          <w:cantSplit/>
          <w:trHeight w:val="472"/>
        </w:trPr>
        <w:tc>
          <w:tcPr>
            <w:tcW w:w="2418" w:type="dxa"/>
          </w:tcPr>
          <w:p w14:paraId="54DBF3D4" w14:textId="79645E0B" w:rsidR="00A6668B" w:rsidRPr="00CD0ECA" w:rsidRDefault="00A6668B" w:rsidP="003651C0">
            <w:pPr>
              <w:pStyle w:val="TableBodyCopy"/>
              <w:rPr>
                <w:b/>
                <w:bCs/>
              </w:rPr>
            </w:pPr>
            <w:r w:rsidRPr="00CD0ECA">
              <w:rPr>
                <w:b/>
                <w:bCs/>
              </w:rPr>
              <w:t>Outcome 1.1</w:t>
            </w:r>
          </w:p>
        </w:tc>
        <w:tc>
          <w:tcPr>
            <w:tcW w:w="2419" w:type="dxa"/>
          </w:tcPr>
          <w:p w14:paraId="15260148" w14:textId="7F4D918D" w:rsidR="00A6668B" w:rsidRPr="00CD0ECA" w:rsidRDefault="00A6668B" w:rsidP="008A16A2">
            <w:pPr>
              <w:pStyle w:val="TableBodyCopy"/>
            </w:pPr>
            <w:r w:rsidRPr="00CD0ECA">
              <w:t>Additional private funds leveraged to support sustainable development (Tier 2)</w:t>
            </w:r>
          </w:p>
        </w:tc>
        <w:tc>
          <w:tcPr>
            <w:tcW w:w="2419" w:type="dxa"/>
          </w:tcPr>
          <w:p w14:paraId="6E0BE4E5" w14:textId="4E73AFA5" w:rsidR="00A6668B" w:rsidRPr="002567D7" w:rsidRDefault="00A6668B" w:rsidP="008A16A2">
            <w:pPr>
              <w:pStyle w:val="TableBodyCopy"/>
            </w:pPr>
            <w:r w:rsidRPr="00CD0ECA">
              <w:t>Not applicable</w:t>
            </w:r>
          </w:p>
        </w:tc>
        <w:tc>
          <w:tcPr>
            <w:tcW w:w="2419" w:type="dxa"/>
          </w:tcPr>
          <w:p w14:paraId="595918CE" w14:textId="001CFD54" w:rsidR="00A6668B" w:rsidRPr="002567D7" w:rsidRDefault="00A6668B" w:rsidP="008A16A2">
            <w:pPr>
              <w:pStyle w:val="TableBodyCopy"/>
            </w:pPr>
            <w:r w:rsidRPr="00CD0ECA">
              <w:t>~USD100</w:t>
            </w:r>
            <w:r w:rsidR="0055010D">
              <w:t> </w:t>
            </w:r>
            <w:proofErr w:type="spellStart"/>
            <w:r w:rsidRPr="00CD0ECA">
              <w:t>million</w:t>
            </w:r>
            <w:hyperlink w:anchor="T3nb" w:history="1">
              <w:r w:rsidRPr="001E1E64">
                <w:rPr>
                  <w:rStyle w:val="tablehyperlink"/>
                </w:rPr>
                <w:t>b</w:t>
              </w:r>
              <w:proofErr w:type="spellEnd"/>
            </w:hyperlink>
          </w:p>
        </w:tc>
        <w:tc>
          <w:tcPr>
            <w:tcW w:w="2419" w:type="dxa"/>
          </w:tcPr>
          <w:p w14:paraId="4A197B2A" w14:textId="233406E9" w:rsidR="00A6668B" w:rsidRPr="002567D7" w:rsidRDefault="00A6668B" w:rsidP="008A16A2">
            <w:pPr>
              <w:pStyle w:val="TableBodyCopy"/>
            </w:pPr>
            <w:r w:rsidRPr="00CD0ECA">
              <w:t>Not applicable</w:t>
            </w:r>
          </w:p>
        </w:tc>
        <w:tc>
          <w:tcPr>
            <w:tcW w:w="2419" w:type="dxa"/>
          </w:tcPr>
          <w:p w14:paraId="4E96DC6A" w14:textId="11F79895" w:rsidR="00A6668B" w:rsidRPr="00CD0ECA" w:rsidRDefault="00A6668B" w:rsidP="008A16A2">
            <w:pPr>
              <w:pStyle w:val="TableBodyCopy"/>
            </w:pPr>
            <w:r w:rsidRPr="00CD0ECA">
              <w:t>SDG9</w:t>
            </w:r>
          </w:p>
        </w:tc>
      </w:tr>
      <w:tr w:rsidR="000F491E" w14:paraId="525DF471" w14:textId="77777777" w:rsidTr="000070A5">
        <w:trPr>
          <w:cantSplit/>
          <w:trHeight w:val="472"/>
        </w:trPr>
        <w:tc>
          <w:tcPr>
            <w:tcW w:w="2418" w:type="dxa"/>
          </w:tcPr>
          <w:p w14:paraId="720100FA" w14:textId="77777777" w:rsidR="000F491E" w:rsidRPr="00CD0ECA" w:rsidRDefault="000F491E" w:rsidP="000F491E">
            <w:pPr>
              <w:spacing w:line="252" w:lineRule="auto"/>
              <w:rPr>
                <w:rFonts w:ascii="Calibri Light" w:hAnsi="Calibri Light" w:cs="Calibri Light"/>
                <w:b/>
                <w:bCs/>
                <w:sz w:val="20"/>
                <w:szCs w:val="21"/>
              </w:rPr>
            </w:pPr>
            <w:r w:rsidRPr="00CD0ECA">
              <w:rPr>
                <w:rFonts w:ascii="Calibri Light" w:hAnsi="Calibri Light" w:cs="Calibri Light"/>
                <w:b/>
                <w:bCs/>
                <w:sz w:val="20"/>
                <w:szCs w:val="21"/>
              </w:rPr>
              <w:t>Outcome 1.2</w:t>
            </w:r>
          </w:p>
          <w:p w14:paraId="38FD383A" w14:textId="732F341D" w:rsidR="000F491E" w:rsidRPr="002567D7" w:rsidRDefault="000F491E" w:rsidP="00CD0ECA">
            <w:pPr>
              <w:pStyle w:val="TableBodyCopy"/>
              <w:rPr>
                <w:b/>
                <w:bCs/>
              </w:rPr>
            </w:pPr>
            <w:r w:rsidRPr="002567D7">
              <w:t>Enduring relationships and cooperation: Strengthened South Asian architecture, linkages, and collaboration between institutions and individuals, including with Australia</w:t>
            </w:r>
          </w:p>
        </w:tc>
        <w:tc>
          <w:tcPr>
            <w:tcW w:w="2419" w:type="dxa"/>
          </w:tcPr>
          <w:p w14:paraId="6562DB1D" w14:textId="5046139B" w:rsidR="000F491E" w:rsidRPr="00CD0ECA" w:rsidRDefault="000F491E" w:rsidP="000F491E">
            <w:pPr>
              <w:pStyle w:val="TableBodyCopy"/>
            </w:pPr>
            <w:r w:rsidRPr="00CD0ECA">
              <w:t xml:space="preserve">Number and percentage of alumni participating in mutual collaborations between their country and Australia, </w:t>
            </w:r>
            <w:r w:rsidR="000F0126">
              <w:t xml:space="preserve">after completion of an </w:t>
            </w:r>
            <w:r w:rsidRPr="00CD0ECA">
              <w:t>Australia Award (Tier 2)</w:t>
            </w:r>
          </w:p>
        </w:tc>
        <w:tc>
          <w:tcPr>
            <w:tcW w:w="2419" w:type="dxa"/>
          </w:tcPr>
          <w:p w14:paraId="1C7CE3C5" w14:textId="74EF2A01" w:rsidR="000F491E" w:rsidRPr="00CD0ECA" w:rsidRDefault="000F491E" w:rsidP="000F491E">
            <w:pPr>
              <w:pStyle w:val="TableBodyCopy"/>
            </w:pPr>
            <w:r w:rsidRPr="00CD0ECA">
              <w:t>4</w:t>
            </w:r>
            <w:r w:rsidR="003324AC">
              <w:t> </w:t>
            </w:r>
            <w:r w:rsidRPr="00CD0ECA">
              <w:t xml:space="preserve">alumni (25%) participating in mutual collaborations between their country and Australia, </w:t>
            </w:r>
            <w:r w:rsidR="000F0126">
              <w:t xml:space="preserve">after completion of an </w:t>
            </w:r>
            <w:r w:rsidRPr="00CD0ECA">
              <w:t>Australia Award</w:t>
            </w:r>
          </w:p>
        </w:tc>
        <w:tc>
          <w:tcPr>
            <w:tcW w:w="2419" w:type="dxa"/>
          </w:tcPr>
          <w:p w14:paraId="7E3AB62F" w14:textId="162B5F21" w:rsidR="000F491E" w:rsidRPr="00CD0ECA" w:rsidRDefault="000F491E" w:rsidP="000F491E">
            <w:pPr>
              <w:pStyle w:val="TableBodyCopy"/>
            </w:pPr>
            <w:r w:rsidRPr="00CD0ECA">
              <w:t>4</w:t>
            </w:r>
            <w:r w:rsidR="003324AC">
              <w:t> </w:t>
            </w:r>
            <w:r w:rsidRPr="00CD0ECA">
              <w:t xml:space="preserve">alumni (26%) participating in mutual collaborations between their country and Australia, </w:t>
            </w:r>
            <w:r w:rsidR="000F0126">
              <w:t xml:space="preserve">after completion of an </w:t>
            </w:r>
            <w:r w:rsidRPr="00CD0ECA">
              <w:t>Australia Award</w:t>
            </w:r>
          </w:p>
        </w:tc>
        <w:tc>
          <w:tcPr>
            <w:tcW w:w="2419" w:type="dxa"/>
          </w:tcPr>
          <w:p w14:paraId="2D6C1D11" w14:textId="18ED24B8" w:rsidR="000F491E" w:rsidRPr="00CD0ECA" w:rsidRDefault="000F491E" w:rsidP="000F491E">
            <w:pPr>
              <w:pStyle w:val="TableBodyCopy"/>
            </w:pPr>
            <w:r w:rsidRPr="00CD0ECA">
              <w:t>6</w:t>
            </w:r>
            <w:r w:rsidR="003324AC">
              <w:t> </w:t>
            </w:r>
            <w:r w:rsidRPr="00CD0ECA">
              <w:t xml:space="preserve">alumni (29%) participating in mutual collaborations between their country and Australia, </w:t>
            </w:r>
            <w:r w:rsidR="000F0126">
              <w:t xml:space="preserve">after completion of an </w:t>
            </w:r>
            <w:r w:rsidRPr="00CD0ECA">
              <w:t>Australia Award</w:t>
            </w:r>
          </w:p>
        </w:tc>
        <w:tc>
          <w:tcPr>
            <w:tcW w:w="2419" w:type="dxa"/>
          </w:tcPr>
          <w:p w14:paraId="27A3CF8C" w14:textId="23437641" w:rsidR="000F491E" w:rsidRPr="00CD0ECA" w:rsidRDefault="000F491E" w:rsidP="000F491E">
            <w:pPr>
              <w:pStyle w:val="TableBodyCopy"/>
            </w:pPr>
            <w:r w:rsidRPr="00CD0ECA">
              <w:t>SDG4: Quality education</w:t>
            </w:r>
          </w:p>
        </w:tc>
      </w:tr>
      <w:tr w:rsidR="000F491E" w14:paraId="064C811F" w14:textId="77777777" w:rsidTr="000070A5">
        <w:trPr>
          <w:cantSplit/>
          <w:trHeight w:val="472"/>
        </w:trPr>
        <w:tc>
          <w:tcPr>
            <w:tcW w:w="2418" w:type="dxa"/>
          </w:tcPr>
          <w:p w14:paraId="0115EFB0" w14:textId="0EF24E6F" w:rsidR="000F491E" w:rsidRPr="00CD0ECA" w:rsidRDefault="000F491E" w:rsidP="00F64410">
            <w:pPr>
              <w:spacing w:line="252" w:lineRule="auto"/>
              <w:rPr>
                <w:rFonts w:ascii="Calibri Light" w:hAnsi="Calibri Light" w:cs="Calibri Light"/>
                <w:b/>
                <w:bCs/>
                <w:sz w:val="20"/>
                <w:szCs w:val="21"/>
              </w:rPr>
            </w:pPr>
            <w:r w:rsidRPr="00CD0ECA">
              <w:rPr>
                <w:rFonts w:ascii="Calibri Light" w:hAnsi="Calibri Light" w:cs="Calibri Light"/>
                <w:b/>
                <w:bCs/>
                <w:sz w:val="20"/>
                <w:szCs w:val="21"/>
              </w:rPr>
              <w:t>Outcome 1.2</w:t>
            </w:r>
          </w:p>
        </w:tc>
        <w:tc>
          <w:tcPr>
            <w:tcW w:w="2419" w:type="dxa"/>
          </w:tcPr>
          <w:p w14:paraId="4198D5A1" w14:textId="30FC7803" w:rsidR="000F491E" w:rsidRPr="00CD0ECA" w:rsidRDefault="000F491E" w:rsidP="000F491E">
            <w:pPr>
              <w:pStyle w:val="TableBodyCopy"/>
            </w:pPr>
            <w:r w:rsidRPr="00CD0ECA">
              <w:t>A strengthened IORA</w:t>
            </w:r>
          </w:p>
        </w:tc>
        <w:tc>
          <w:tcPr>
            <w:tcW w:w="2419" w:type="dxa"/>
          </w:tcPr>
          <w:p w14:paraId="6094E201" w14:textId="1E1FE216" w:rsidR="000F491E" w:rsidRPr="00CD0ECA" w:rsidRDefault="000F491E" w:rsidP="00A32AA5">
            <w:pPr>
              <w:pStyle w:val="TableBodyCopy"/>
            </w:pPr>
            <w:r w:rsidRPr="00CD0ECA">
              <w:t xml:space="preserve">Development of IORA’s </w:t>
            </w:r>
            <w:r w:rsidR="00281525">
              <w:t>c</w:t>
            </w:r>
            <w:r w:rsidRPr="00CD0ECA">
              <w:t xml:space="preserve">limate </w:t>
            </w:r>
            <w:r w:rsidR="00281525">
              <w:t>c</w:t>
            </w:r>
            <w:r w:rsidRPr="00CD0ECA">
              <w:t xml:space="preserve">hange </w:t>
            </w:r>
            <w:r w:rsidR="00281525">
              <w:t>s</w:t>
            </w:r>
            <w:r w:rsidRPr="00CD0ECA">
              <w:t xml:space="preserve">trategic </w:t>
            </w:r>
            <w:r w:rsidR="00281525">
              <w:t>a</w:t>
            </w:r>
            <w:r w:rsidRPr="00CD0ECA">
              <w:t>genda</w:t>
            </w:r>
          </w:p>
          <w:p w14:paraId="1F485F27" w14:textId="6ABC985B" w:rsidR="000F491E" w:rsidRPr="00CD0ECA" w:rsidRDefault="000F491E" w:rsidP="000F491E">
            <w:pPr>
              <w:pStyle w:val="TableBodyCopy"/>
            </w:pPr>
            <w:r w:rsidRPr="00CD0ECA">
              <w:t xml:space="preserve">Strengthened capacity of regional officials in restoring blue carbon ecosystems under the IORA Indian Ocean Blue Carbon Hub through </w:t>
            </w:r>
            <w:r w:rsidR="00AD0C41">
              <w:t>1 </w:t>
            </w:r>
            <w:r w:rsidRPr="00CD0ECA">
              <w:t xml:space="preserve">annual meeting and </w:t>
            </w:r>
            <w:r w:rsidR="00AD0C41">
              <w:t>2 </w:t>
            </w:r>
            <w:r w:rsidRPr="00CD0ECA">
              <w:t>training programs</w:t>
            </w:r>
          </w:p>
        </w:tc>
        <w:tc>
          <w:tcPr>
            <w:tcW w:w="2419" w:type="dxa"/>
          </w:tcPr>
          <w:p w14:paraId="3E97E001" w14:textId="491442BF" w:rsidR="000F491E" w:rsidRPr="00CD0ECA" w:rsidRDefault="000F491E" w:rsidP="00A32AA5">
            <w:pPr>
              <w:pStyle w:val="TableBodyCopy"/>
            </w:pPr>
            <w:r w:rsidRPr="00CD0ECA">
              <w:t xml:space="preserve">Development of IORA’s </w:t>
            </w:r>
            <w:r w:rsidR="00281525">
              <w:t>c</w:t>
            </w:r>
            <w:r w:rsidRPr="00CD0ECA">
              <w:t xml:space="preserve">limate </w:t>
            </w:r>
            <w:r w:rsidR="00281525">
              <w:t>c</w:t>
            </w:r>
            <w:r w:rsidRPr="00CD0ECA">
              <w:t xml:space="preserve">hange </w:t>
            </w:r>
            <w:r w:rsidR="00281525">
              <w:t>s</w:t>
            </w:r>
            <w:r w:rsidRPr="00CD0ECA">
              <w:t xml:space="preserve">trategic </w:t>
            </w:r>
            <w:r w:rsidR="00281525">
              <w:t>a</w:t>
            </w:r>
            <w:r w:rsidRPr="00CD0ECA">
              <w:t>genda</w:t>
            </w:r>
          </w:p>
          <w:p w14:paraId="36771C0F" w14:textId="06CE8270" w:rsidR="000F491E" w:rsidRPr="00CD0ECA" w:rsidRDefault="000F491E" w:rsidP="000F491E">
            <w:pPr>
              <w:pStyle w:val="TableBodyCopy"/>
            </w:pPr>
            <w:r w:rsidRPr="00CD0ECA">
              <w:t xml:space="preserve">Strengthened capacity of regional officials in restoring blue carbon ecosystems under the IORA Indian Ocean Blue Carbon Hub through </w:t>
            </w:r>
            <w:r w:rsidR="00AD0C41">
              <w:t>1 </w:t>
            </w:r>
            <w:r w:rsidRPr="00CD0ECA">
              <w:t xml:space="preserve">annual meeting and </w:t>
            </w:r>
            <w:r w:rsidR="00AD0C41">
              <w:t>2 </w:t>
            </w:r>
            <w:r w:rsidRPr="00CD0ECA">
              <w:t>training programs</w:t>
            </w:r>
          </w:p>
        </w:tc>
        <w:tc>
          <w:tcPr>
            <w:tcW w:w="2419" w:type="dxa"/>
          </w:tcPr>
          <w:p w14:paraId="127C2A78" w14:textId="55A33E12" w:rsidR="000F491E" w:rsidRPr="00CD0ECA" w:rsidRDefault="000F491E" w:rsidP="000F491E">
            <w:pPr>
              <w:pStyle w:val="TableBodyCopy"/>
            </w:pPr>
            <w:r w:rsidRPr="00CD0ECA">
              <w:t xml:space="preserve">Implementation of IORA’s </w:t>
            </w:r>
            <w:r w:rsidR="00281525">
              <w:t>c</w:t>
            </w:r>
            <w:r w:rsidRPr="00CD0ECA">
              <w:t xml:space="preserve">limate </w:t>
            </w:r>
            <w:r w:rsidR="00281525">
              <w:t>c</w:t>
            </w:r>
            <w:r w:rsidRPr="00CD0ECA">
              <w:t xml:space="preserve">hange </w:t>
            </w:r>
            <w:r w:rsidR="00281525">
              <w:t>s</w:t>
            </w:r>
            <w:r w:rsidRPr="00CD0ECA">
              <w:t xml:space="preserve">trategic </w:t>
            </w:r>
            <w:r w:rsidR="00281525">
              <w:t>a</w:t>
            </w:r>
            <w:r w:rsidRPr="00CD0ECA">
              <w:t>genda</w:t>
            </w:r>
          </w:p>
        </w:tc>
        <w:tc>
          <w:tcPr>
            <w:tcW w:w="2419" w:type="dxa"/>
          </w:tcPr>
          <w:p w14:paraId="4075E7DB" w14:textId="47C81E84" w:rsidR="000F491E" w:rsidRPr="00CD0ECA" w:rsidRDefault="000F491E" w:rsidP="000F491E">
            <w:pPr>
              <w:pStyle w:val="TableBodyCopy"/>
            </w:pPr>
            <w:r w:rsidRPr="00CD0ECA">
              <w:t>SDG17: Partnership</w:t>
            </w:r>
            <w:r w:rsidR="00D34DA7">
              <w:t>s</w:t>
            </w:r>
            <w:r w:rsidRPr="00CD0ECA">
              <w:t xml:space="preserve"> for the goals</w:t>
            </w:r>
          </w:p>
        </w:tc>
      </w:tr>
      <w:tr w:rsidR="000F491E" w14:paraId="76A3E515" w14:textId="77777777" w:rsidTr="000070A5">
        <w:trPr>
          <w:cantSplit/>
          <w:trHeight w:val="472"/>
        </w:trPr>
        <w:tc>
          <w:tcPr>
            <w:tcW w:w="2418" w:type="dxa"/>
          </w:tcPr>
          <w:p w14:paraId="6B887D9B" w14:textId="77777777" w:rsidR="000F491E" w:rsidRPr="00CD0ECA" w:rsidRDefault="000F491E" w:rsidP="00CD0ECA">
            <w:pPr>
              <w:pStyle w:val="TableBodyCopy"/>
              <w:rPr>
                <w:b/>
                <w:bCs/>
              </w:rPr>
            </w:pPr>
            <w:r w:rsidRPr="00CD0ECA">
              <w:rPr>
                <w:b/>
                <w:bCs/>
              </w:rPr>
              <w:lastRenderedPageBreak/>
              <w:t>Outcome 1.3</w:t>
            </w:r>
          </w:p>
          <w:p w14:paraId="3757886F" w14:textId="6E478696" w:rsidR="000F491E" w:rsidRPr="002567D7" w:rsidRDefault="000F491E" w:rsidP="00CD0ECA">
            <w:pPr>
              <w:pStyle w:val="TableBodyCopy"/>
              <w:rPr>
                <w:b/>
                <w:bCs/>
              </w:rPr>
            </w:pPr>
            <w:r w:rsidRPr="002567D7">
              <w:t>Skills and mobility: Increased skills development and mobility opportunities through scholarships and short courses in focus areas</w:t>
            </w:r>
          </w:p>
        </w:tc>
        <w:tc>
          <w:tcPr>
            <w:tcW w:w="2419" w:type="dxa"/>
          </w:tcPr>
          <w:p w14:paraId="3419E344" w14:textId="49031C42" w:rsidR="000F491E" w:rsidRPr="00CD0ECA" w:rsidRDefault="000F491E" w:rsidP="000F491E">
            <w:pPr>
              <w:pStyle w:val="TableBodyCopy"/>
            </w:pPr>
            <w:r w:rsidRPr="00CD0ECA">
              <w:t>Number of people who successfully complete a tertiary or technical/vocational course or work-related training (Tier 2)</w:t>
            </w:r>
          </w:p>
        </w:tc>
        <w:tc>
          <w:tcPr>
            <w:tcW w:w="2419" w:type="dxa"/>
          </w:tcPr>
          <w:p w14:paraId="6030727B" w14:textId="337A9FC0" w:rsidR="000F491E" w:rsidRPr="002567D7" w:rsidRDefault="000F491E" w:rsidP="00CD0ECA">
            <w:pPr>
              <w:pStyle w:val="TableBodyCopy"/>
            </w:pPr>
            <w:r w:rsidRPr="002567D7">
              <w:t>200 (50% male; 50%</w:t>
            </w:r>
            <w:r w:rsidR="00650150">
              <w:t> </w:t>
            </w:r>
            <w:r w:rsidRPr="002567D7">
              <w:t>female)</w:t>
            </w:r>
          </w:p>
        </w:tc>
        <w:tc>
          <w:tcPr>
            <w:tcW w:w="2419" w:type="dxa"/>
          </w:tcPr>
          <w:p w14:paraId="3DA4BD2A" w14:textId="15D36A51" w:rsidR="000F491E" w:rsidRPr="002567D7" w:rsidRDefault="000F491E" w:rsidP="00CD0ECA">
            <w:pPr>
              <w:pStyle w:val="TableBodyCopy"/>
            </w:pPr>
            <w:r w:rsidRPr="002567D7">
              <w:t>200 (50% male; 50%</w:t>
            </w:r>
            <w:r w:rsidR="00650150">
              <w:t> </w:t>
            </w:r>
            <w:r w:rsidRPr="002567D7">
              <w:t>female)</w:t>
            </w:r>
          </w:p>
        </w:tc>
        <w:tc>
          <w:tcPr>
            <w:tcW w:w="2419" w:type="dxa"/>
          </w:tcPr>
          <w:p w14:paraId="73F9BDFC" w14:textId="59F94AD8" w:rsidR="000F491E" w:rsidRPr="002567D7" w:rsidRDefault="000F491E" w:rsidP="00E1595E">
            <w:pPr>
              <w:pStyle w:val="TableBodyCopy"/>
            </w:pPr>
            <w:r w:rsidRPr="002567D7">
              <w:t>200 (50% male; 50%</w:t>
            </w:r>
            <w:r w:rsidR="00650150">
              <w:t> </w:t>
            </w:r>
            <w:r w:rsidRPr="002567D7">
              <w:t>female)</w:t>
            </w:r>
          </w:p>
        </w:tc>
        <w:tc>
          <w:tcPr>
            <w:tcW w:w="2419" w:type="dxa"/>
          </w:tcPr>
          <w:p w14:paraId="4EFA628F" w14:textId="5788CEF7" w:rsidR="000F491E" w:rsidRPr="002567D7" w:rsidRDefault="000F491E" w:rsidP="00E1595E">
            <w:pPr>
              <w:pStyle w:val="TableBodyCopy"/>
            </w:pPr>
            <w:r w:rsidRPr="002567D7">
              <w:t>SDG4</w:t>
            </w:r>
          </w:p>
        </w:tc>
      </w:tr>
      <w:tr w:rsidR="000F491E" w14:paraId="5A320D78" w14:textId="77777777" w:rsidTr="000070A5">
        <w:trPr>
          <w:cantSplit/>
          <w:trHeight w:val="472"/>
        </w:trPr>
        <w:tc>
          <w:tcPr>
            <w:tcW w:w="2418" w:type="dxa"/>
          </w:tcPr>
          <w:p w14:paraId="1A41BD5A" w14:textId="4D3B8D75" w:rsidR="000F491E" w:rsidRPr="00CD0ECA" w:rsidRDefault="000F491E" w:rsidP="00CD0ECA">
            <w:pPr>
              <w:pStyle w:val="TableBodyCopy"/>
              <w:rPr>
                <w:b/>
                <w:bCs/>
              </w:rPr>
            </w:pPr>
            <w:r w:rsidRPr="00CD0ECA">
              <w:rPr>
                <w:b/>
                <w:bCs/>
              </w:rPr>
              <w:t>Outcome 1.3</w:t>
            </w:r>
          </w:p>
        </w:tc>
        <w:tc>
          <w:tcPr>
            <w:tcW w:w="2419" w:type="dxa"/>
          </w:tcPr>
          <w:p w14:paraId="6709DCC4" w14:textId="00AEABAE" w:rsidR="000F491E" w:rsidRPr="00CD0ECA" w:rsidRDefault="000F491E" w:rsidP="000F491E">
            <w:pPr>
              <w:pStyle w:val="TableBodyCopy"/>
            </w:pPr>
            <w:r w:rsidRPr="00CD0ECA">
              <w:t>Australian support (including through technical assistance, capacity building and data/information sharing) contributes to partner countries’ resilience and ability to manage their maritime domains and marine resources (Tier 2)</w:t>
            </w:r>
          </w:p>
        </w:tc>
        <w:tc>
          <w:tcPr>
            <w:tcW w:w="2419" w:type="dxa"/>
          </w:tcPr>
          <w:p w14:paraId="47FCF473" w14:textId="78F17EC5" w:rsidR="000F491E" w:rsidRPr="002567D7" w:rsidRDefault="000F491E" w:rsidP="00CD0ECA">
            <w:pPr>
              <w:pStyle w:val="TableBodyCopy"/>
            </w:pPr>
            <w:r w:rsidRPr="002567D7">
              <w:t>14</w:t>
            </w:r>
            <w:r w:rsidR="00A8485C">
              <w:t> </w:t>
            </w:r>
            <w:r w:rsidRPr="002567D7">
              <w:t>regional and 8</w:t>
            </w:r>
            <w:r w:rsidR="00A8485C">
              <w:t> </w:t>
            </w:r>
            <w:r w:rsidRPr="002567D7">
              <w:t>bilateral courses or workshops on maritime security delivered to IORA member states</w:t>
            </w:r>
          </w:p>
          <w:p w14:paraId="00673874" w14:textId="4E3AA922" w:rsidR="000F491E" w:rsidRPr="002567D7" w:rsidRDefault="000F491E" w:rsidP="00CD0ECA">
            <w:pPr>
              <w:pStyle w:val="TableBodyCopy"/>
            </w:pPr>
            <w:r w:rsidRPr="002567D7">
              <w:t>Scoping of a maritime leadership program and a civil maritime security postgraduate program</w:t>
            </w:r>
          </w:p>
        </w:tc>
        <w:tc>
          <w:tcPr>
            <w:tcW w:w="2419" w:type="dxa"/>
          </w:tcPr>
          <w:p w14:paraId="3B775BFD" w14:textId="0C30288E" w:rsidR="000F491E" w:rsidRPr="002567D7" w:rsidRDefault="000F491E" w:rsidP="00CD0ECA">
            <w:pPr>
              <w:pStyle w:val="TableBodyCopy"/>
            </w:pPr>
            <w:r w:rsidRPr="002567D7">
              <w:t>4</w:t>
            </w:r>
            <w:r w:rsidR="00A8485C">
              <w:t> </w:t>
            </w:r>
            <w:r w:rsidRPr="002567D7">
              <w:t>regional and 4</w:t>
            </w:r>
            <w:r w:rsidR="00A8485C">
              <w:t> </w:t>
            </w:r>
            <w:r w:rsidRPr="002567D7">
              <w:t>bilateral courses or workshops on maritime security delivered to IORA member states</w:t>
            </w:r>
          </w:p>
          <w:p w14:paraId="12ED672D" w14:textId="6D10BC31" w:rsidR="000F491E" w:rsidRPr="002567D7" w:rsidRDefault="000F491E" w:rsidP="00CD0ECA">
            <w:pPr>
              <w:pStyle w:val="TableBodyCopy"/>
            </w:pPr>
            <w:r w:rsidRPr="002567D7">
              <w:t>Finalise operational requirements for the maritime leadership program and the civil maritime security postgraduate program</w:t>
            </w:r>
          </w:p>
        </w:tc>
        <w:tc>
          <w:tcPr>
            <w:tcW w:w="2419" w:type="dxa"/>
          </w:tcPr>
          <w:p w14:paraId="3610A85A" w14:textId="782EF7EC" w:rsidR="000F491E" w:rsidRPr="002567D7" w:rsidRDefault="000F491E" w:rsidP="00CD0ECA">
            <w:pPr>
              <w:pStyle w:val="TableBodyCopy"/>
            </w:pPr>
            <w:r w:rsidRPr="002567D7">
              <w:t>4</w:t>
            </w:r>
            <w:r w:rsidR="00A8485C">
              <w:t> </w:t>
            </w:r>
            <w:r w:rsidRPr="002567D7">
              <w:t>regional and 4</w:t>
            </w:r>
            <w:r w:rsidR="00A8485C">
              <w:t> </w:t>
            </w:r>
            <w:r w:rsidRPr="002567D7">
              <w:t>bilateral courses or workshops on maritime security delivered to IORA member states</w:t>
            </w:r>
          </w:p>
          <w:p w14:paraId="389BE332" w14:textId="3817449C" w:rsidR="000F491E" w:rsidRPr="002567D7" w:rsidRDefault="000F491E" w:rsidP="00E1595E">
            <w:pPr>
              <w:pStyle w:val="TableBodyCopy"/>
            </w:pPr>
            <w:r w:rsidRPr="002567D7">
              <w:t>Commence first-year intakes for maritime leadership program and civil maritime security postgraduate program</w:t>
            </w:r>
          </w:p>
        </w:tc>
        <w:tc>
          <w:tcPr>
            <w:tcW w:w="2419" w:type="dxa"/>
          </w:tcPr>
          <w:p w14:paraId="4F67BFB3" w14:textId="3CB6B7D2" w:rsidR="000F491E" w:rsidRPr="002567D7" w:rsidRDefault="000F491E" w:rsidP="00E1595E">
            <w:pPr>
              <w:pStyle w:val="TableBodyCopy"/>
            </w:pPr>
            <w:r w:rsidRPr="002567D7">
              <w:t>SDG4</w:t>
            </w:r>
          </w:p>
        </w:tc>
      </w:tr>
    </w:tbl>
    <w:p w14:paraId="4D924976" w14:textId="77777777" w:rsidR="00C05F5C" w:rsidRDefault="00C05F5C" w:rsidP="00FD0A04">
      <w:pPr>
        <w:pStyle w:val="Tablenote"/>
      </w:pPr>
      <w:bookmarkStart w:id="4" w:name="T3na"/>
      <w:proofErr w:type="spellStart"/>
      <w:r>
        <w:t>a</w:t>
      </w:r>
      <w:bookmarkEnd w:id="4"/>
      <w:proofErr w:type="spellEnd"/>
      <w:r>
        <w:tab/>
        <w:t>These projects are a continuation of projects from 2024–25.</w:t>
      </w:r>
    </w:p>
    <w:p w14:paraId="00190206" w14:textId="39CF6B38" w:rsidR="003F118B" w:rsidRDefault="00C05F5C" w:rsidP="00FD0A04">
      <w:pPr>
        <w:pStyle w:val="Tablenote"/>
      </w:pPr>
      <w:bookmarkStart w:id="5" w:name="T3nb"/>
      <w:r>
        <w:t>b</w:t>
      </w:r>
      <w:bookmarkEnd w:id="5"/>
      <w:r>
        <w:tab/>
      </w:r>
      <w:proofErr w:type="gramStart"/>
      <w:r>
        <w:t>The</w:t>
      </w:r>
      <w:proofErr w:type="gramEnd"/>
      <w:r>
        <w:t xml:space="preserve"> investment from which this indicator is derived ends in 2025–26.</w:t>
      </w:r>
    </w:p>
    <w:p w14:paraId="6551164A" w14:textId="77777777" w:rsidR="003F118B" w:rsidRDefault="003F118B">
      <w:pPr>
        <w:spacing w:before="0" w:after="0" w:line="240" w:lineRule="auto"/>
        <w:rPr>
          <w:sz w:val="18"/>
          <w:szCs w:val="18"/>
        </w:rPr>
      </w:pPr>
      <w:r>
        <w:br w:type="page"/>
      </w:r>
    </w:p>
    <w:p w14:paraId="57A312B5" w14:textId="7AD16C1C" w:rsidR="009A37A5" w:rsidRPr="00E62D4C" w:rsidRDefault="009A37A5" w:rsidP="001E1E64">
      <w:pPr>
        <w:pStyle w:val="PAFobjectivehead"/>
      </w:pPr>
      <w:r w:rsidRPr="00E62D4C">
        <w:lastRenderedPageBreak/>
        <w:t xml:space="preserve">Objective </w:t>
      </w:r>
      <w:r w:rsidR="006564C7" w:rsidRPr="00E62D4C">
        <w:t>2</w:t>
      </w:r>
      <w:r w:rsidRPr="00E62D4C">
        <w:t>:</w:t>
      </w:r>
      <w:r w:rsidR="002776E4" w:rsidRPr="00E62D4C">
        <w:t xml:space="preserve"> Contribute to a climate resilient South Asia </w:t>
      </w:r>
      <w:r w:rsidR="0091616C" w:rsidRPr="00E62D4C">
        <w:t>region</w:t>
      </w:r>
    </w:p>
    <w:tbl>
      <w:tblPr>
        <w:tblStyle w:val="DFATWattle"/>
        <w:tblW w:w="5000" w:type="pct"/>
        <w:tblLayout w:type="fixed"/>
        <w:tblCellMar>
          <w:bottom w:w="108" w:type="dxa"/>
        </w:tblCellMar>
        <w:tblLook w:val="04A0" w:firstRow="1" w:lastRow="0" w:firstColumn="1" w:lastColumn="0" w:noHBand="0" w:noVBand="1"/>
        <w:tblCaption w:val="Performance Assessment Framework for Objective 2"/>
        <w:tblDescription w:val="Expected results for Objective 2 for the first 3 years of the DPP and against the Sustainable Development Goals"/>
      </w:tblPr>
      <w:tblGrid>
        <w:gridCol w:w="2403"/>
        <w:gridCol w:w="2403"/>
        <w:gridCol w:w="2403"/>
        <w:gridCol w:w="2403"/>
        <w:gridCol w:w="2403"/>
        <w:gridCol w:w="2403"/>
      </w:tblGrid>
      <w:tr w:rsidR="00630346" w:rsidRPr="00C53712" w14:paraId="42A03C9A" w14:textId="77777777" w:rsidTr="000070A5">
        <w:trPr>
          <w:cnfStyle w:val="100000000000" w:firstRow="1" w:lastRow="0" w:firstColumn="0" w:lastColumn="0" w:oddVBand="0" w:evenVBand="0" w:oddHBand="0" w:evenHBand="0" w:firstRowFirstColumn="0" w:firstRowLastColumn="0" w:lastRowFirstColumn="0" w:lastRowLastColumn="0"/>
          <w:cantSplit/>
          <w:trHeight w:val="787"/>
        </w:trPr>
        <w:tc>
          <w:tcPr>
            <w:tcW w:w="0" w:type="pct"/>
            <w:hideMark/>
          </w:tcPr>
          <w:p w14:paraId="2611914F" w14:textId="580E591C" w:rsidR="00630346" w:rsidRPr="001E1E64" w:rsidRDefault="00630346" w:rsidP="005F20EE">
            <w:pPr>
              <w:pStyle w:val="TableHeading"/>
              <w:rPr>
                <w:b/>
                <w:bCs w:val="0"/>
              </w:rPr>
            </w:pPr>
            <w:r w:rsidRPr="001E1E64" w:rsidDel="008E7816">
              <w:rPr>
                <w:b/>
                <w:bCs w:val="0"/>
              </w:rPr>
              <w:t>Outcome</w:t>
            </w:r>
          </w:p>
        </w:tc>
        <w:tc>
          <w:tcPr>
            <w:tcW w:w="0" w:type="pct"/>
          </w:tcPr>
          <w:p w14:paraId="6FFB257D" w14:textId="71E36EB3" w:rsidR="00630346" w:rsidRPr="001E1E64" w:rsidRDefault="00630346" w:rsidP="005F20EE">
            <w:pPr>
              <w:pStyle w:val="TableHeading"/>
              <w:rPr>
                <w:b/>
                <w:bCs w:val="0"/>
              </w:rPr>
            </w:pPr>
            <w:r w:rsidRPr="001E1E64">
              <w:rPr>
                <w:b/>
                <w:bCs w:val="0"/>
              </w:rPr>
              <w:t>Indicator</w:t>
            </w:r>
          </w:p>
        </w:tc>
        <w:tc>
          <w:tcPr>
            <w:tcW w:w="0" w:type="pct"/>
            <w:hideMark/>
          </w:tcPr>
          <w:p w14:paraId="0B00383A" w14:textId="688FCEBD" w:rsidR="00630346" w:rsidRPr="001E1E64" w:rsidRDefault="00630346" w:rsidP="005F20EE">
            <w:pPr>
              <w:pStyle w:val="TableHeading"/>
              <w:rPr>
                <w:b/>
                <w:bCs w:val="0"/>
              </w:rPr>
            </w:pPr>
            <w:r w:rsidRPr="001E1E64">
              <w:rPr>
                <w:b/>
                <w:bCs w:val="0"/>
              </w:rPr>
              <w:t>Expected results</w:t>
            </w:r>
            <w:r w:rsidRPr="001E1E64">
              <w:rPr>
                <w:b/>
                <w:bCs w:val="0"/>
              </w:rPr>
              <w:br/>
              <w:t>2024–25</w:t>
            </w:r>
          </w:p>
        </w:tc>
        <w:tc>
          <w:tcPr>
            <w:tcW w:w="0" w:type="pct"/>
            <w:hideMark/>
          </w:tcPr>
          <w:p w14:paraId="2279C936" w14:textId="0FC5881E" w:rsidR="00630346" w:rsidRPr="001E1E64" w:rsidRDefault="00630346" w:rsidP="005F20EE">
            <w:pPr>
              <w:pStyle w:val="TableHeading"/>
              <w:rPr>
                <w:b/>
                <w:bCs w:val="0"/>
              </w:rPr>
            </w:pPr>
            <w:r w:rsidRPr="001E1E64">
              <w:rPr>
                <w:b/>
                <w:bCs w:val="0"/>
              </w:rPr>
              <w:t>Expected results</w:t>
            </w:r>
            <w:r w:rsidRPr="001E1E64">
              <w:rPr>
                <w:b/>
                <w:bCs w:val="0"/>
              </w:rPr>
              <w:br/>
              <w:t>2025–26</w:t>
            </w:r>
          </w:p>
        </w:tc>
        <w:tc>
          <w:tcPr>
            <w:tcW w:w="0" w:type="pct"/>
            <w:hideMark/>
          </w:tcPr>
          <w:p w14:paraId="3528E2AD" w14:textId="2BE77653" w:rsidR="00630346" w:rsidRPr="001E1E64" w:rsidRDefault="00630346" w:rsidP="005F20EE">
            <w:pPr>
              <w:pStyle w:val="TableHeading"/>
              <w:rPr>
                <w:b/>
                <w:bCs w:val="0"/>
              </w:rPr>
            </w:pPr>
            <w:r w:rsidRPr="001E1E64">
              <w:rPr>
                <w:b/>
                <w:bCs w:val="0"/>
              </w:rPr>
              <w:t>Expected results</w:t>
            </w:r>
            <w:r w:rsidRPr="001E1E64">
              <w:rPr>
                <w:b/>
                <w:bCs w:val="0"/>
              </w:rPr>
              <w:br/>
              <w:t>2026–27</w:t>
            </w:r>
          </w:p>
        </w:tc>
        <w:tc>
          <w:tcPr>
            <w:tcW w:w="0" w:type="pct"/>
            <w:hideMark/>
          </w:tcPr>
          <w:p w14:paraId="7C8CDA50" w14:textId="5D257A45" w:rsidR="00630346" w:rsidRPr="001E1E64" w:rsidRDefault="005F20EE" w:rsidP="005F20EE">
            <w:pPr>
              <w:pStyle w:val="TableHeading"/>
              <w:rPr>
                <w:b/>
                <w:bCs w:val="0"/>
              </w:rPr>
            </w:pPr>
            <w:r>
              <w:rPr>
                <w:b/>
                <w:bCs w:val="0"/>
              </w:rPr>
              <w:t>S</w:t>
            </w:r>
            <w:r>
              <w:rPr>
                <w:b/>
              </w:rPr>
              <w:t>ustainable Development Goals (</w:t>
            </w:r>
            <w:r w:rsidR="00630346" w:rsidRPr="001E1E64">
              <w:rPr>
                <w:b/>
                <w:bCs w:val="0"/>
              </w:rPr>
              <w:t>SDGs</w:t>
            </w:r>
            <w:r>
              <w:rPr>
                <w:b/>
                <w:bCs w:val="0"/>
              </w:rPr>
              <w:t>)</w:t>
            </w:r>
          </w:p>
        </w:tc>
      </w:tr>
      <w:tr w:rsidR="00E1595E" w:rsidRPr="00E1595E" w14:paraId="6F06C449" w14:textId="77777777" w:rsidTr="000070A5">
        <w:trPr>
          <w:trHeight w:val="594"/>
        </w:trPr>
        <w:tc>
          <w:tcPr>
            <w:tcW w:w="0" w:type="pct"/>
            <w:hideMark/>
          </w:tcPr>
          <w:p w14:paraId="459A27AC" w14:textId="77777777" w:rsidR="00630346" w:rsidRPr="00D34173" w:rsidRDefault="00630346" w:rsidP="00527633">
            <w:pPr>
              <w:pStyle w:val="TableBodyCopy"/>
              <w:rPr>
                <w:b/>
                <w:bCs/>
                <w:szCs w:val="20"/>
              </w:rPr>
            </w:pPr>
            <w:r w:rsidRPr="00D34173">
              <w:rPr>
                <w:b/>
                <w:bCs/>
                <w:szCs w:val="20"/>
              </w:rPr>
              <w:t>Outcome 2.1</w:t>
            </w:r>
          </w:p>
          <w:p w14:paraId="1841BE6F" w14:textId="783735F7" w:rsidR="00630346" w:rsidRPr="00E1595E" w:rsidRDefault="00630346" w:rsidP="00527633">
            <w:pPr>
              <w:pStyle w:val="TableBodyCopy"/>
              <w:rPr>
                <w:szCs w:val="20"/>
              </w:rPr>
            </w:pPr>
            <w:r w:rsidRPr="00D34173">
              <w:rPr>
                <w:szCs w:val="20"/>
              </w:rPr>
              <w:t>State capacity: Improved partner government capacity to manage the impacts of climate change</w:t>
            </w:r>
          </w:p>
        </w:tc>
        <w:tc>
          <w:tcPr>
            <w:tcW w:w="0" w:type="pct"/>
          </w:tcPr>
          <w:p w14:paraId="1FF22469" w14:textId="403196C0" w:rsidR="00630346" w:rsidRPr="00E1595E" w:rsidRDefault="00630346" w:rsidP="00D34173">
            <w:pPr>
              <w:pStyle w:val="TableBodyCopy"/>
            </w:pPr>
            <w:r w:rsidRPr="00E1595E">
              <w:t>Number of government departments or agencies at the local/state or national level where technical assistance is provided</w:t>
            </w:r>
          </w:p>
        </w:tc>
        <w:tc>
          <w:tcPr>
            <w:tcW w:w="0" w:type="pct"/>
            <w:hideMark/>
          </w:tcPr>
          <w:p w14:paraId="39F9A887" w14:textId="161BE1C0" w:rsidR="00630346" w:rsidRPr="00D34173" w:rsidRDefault="00630346" w:rsidP="002A437D">
            <w:pPr>
              <w:spacing w:line="254" w:lineRule="auto"/>
              <w:rPr>
                <w:rFonts w:ascii="Calibri Light" w:hAnsi="Calibri Light" w:cs="Calibri Light"/>
                <w:sz w:val="20"/>
                <w:szCs w:val="20"/>
              </w:rPr>
            </w:pPr>
            <w:r w:rsidRPr="00D34173">
              <w:rPr>
                <w:rFonts w:ascii="Calibri Light" w:hAnsi="Calibri Light" w:cs="Calibri Light"/>
                <w:sz w:val="20"/>
                <w:szCs w:val="20"/>
              </w:rPr>
              <w:t>National level: 4</w:t>
            </w:r>
          </w:p>
          <w:p w14:paraId="2D335DAD" w14:textId="39C31371" w:rsidR="00630346" w:rsidRPr="00E1595E" w:rsidRDefault="00630346" w:rsidP="002A437D">
            <w:pPr>
              <w:pStyle w:val="TableBodyCopy"/>
              <w:rPr>
                <w:szCs w:val="20"/>
              </w:rPr>
            </w:pPr>
            <w:r w:rsidRPr="00D34173">
              <w:rPr>
                <w:szCs w:val="20"/>
              </w:rPr>
              <w:t>Subnational level: 18</w:t>
            </w:r>
          </w:p>
        </w:tc>
        <w:tc>
          <w:tcPr>
            <w:tcW w:w="0" w:type="pct"/>
            <w:hideMark/>
          </w:tcPr>
          <w:p w14:paraId="5797E404" w14:textId="77777777" w:rsidR="00630346" w:rsidRPr="00D34173" w:rsidRDefault="00630346" w:rsidP="00E7182A">
            <w:pPr>
              <w:spacing w:line="254" w:lineRule="auto"/>
              <w:rPr>
                <w:rFonts w:ascii="Calibri Light" w:hAnsi="Calibri Light" w:cs="Calibri Light"/>
                <w:sz w:val="20"/>
                <w:szCs w:val="20"/>
              </w:rPr>
            </w:pPr>
            <w:r w:rsidRPr="00D34173">
              <w:rPr>
                <w:rFonts w:ascii="Calibri Light" w:hAnsi="Calibri Light" w:cs="Calibri Light"/>
                <w:sz w:val="20"/>
                <w:szCs w:val="20"/>
              </w:rPr>
              <w:t>National level: 4</w:t>
            </w:r>
          </w:p>
          <w:p w14:paraId="269D75EA" w14:textId="791363B0" w:rsidR="00630346" w:rsidRPr="00E1595E" w:rsidRDefault="00630346" w:rsidP="00E7182A">
            <w:pPr>
              <w:pStyle w:val="TableBodyCopy"/>
              <w:rPr>
                <w:szCs w:val="20"/>
              </w:rPr>
            </w:pPr>
            <w:r w:rsidRPr="00D34173">
              <w:rPr>
                <w:szCs w:val="20"/>
              </w:rPr>
              <w:t>Subnational level: 20</w:t>
            </w:r>
          </w:p>
        </w:tc>
        <w:tc>
          <w:tcPr>
            <w:tcW w:w="0" w:type="pct"/>
            <w:hideMark/>
          </w:tcPr>
          <w:p w14:paraId="3B21E3CE" w14:textId="77777777" w:rsidR="00630346" w:rsidRPr="00D34173" w:rsidRDefault="00630346" w:rsidP="005B787D">
            <w:pPr>
              <w:spacing w:line="254" w:lineRule="auto"/>
              <w:rPr>
                <w:rFonts w:ascii="Calibri Light" w:hAnsi="Calibri Light" w:cs="Calibri Light"/>
                <w:sz w:val="20"/>
                <w:szCs w:val="20"/>
              </w:rPr>
            </w:pPr>
            <w:r w:rsidRPr="00D34173">
              <w:rPr>
                <w:rFonts w:ascii="Calibri Light" w:hAnsi="Calibri Light" w:cs="Calibri Light"/>
                <w:sz w:val="20"/>
                <w:szCs w:val="20"/>
              </w:rPr>
              <w:t>National level: 4</w:t>
            </w:r>
          </w:p>
          <w:p w14:paraId="01C1511A" w14:textId="1E2D1D2C" w:rsidR="00630346" w:rsidRPr="00E1595E" w:rsidRDefault="00630346" w:rsidP="005B787D">
            <w:pPr>
              <w:pStyle w:val="TableBodyCopy"/>
              <w:rPr>
                <w:szCs w:val="20"/>
              </w:rPr>
            </w:pPr>
            <w:r w:rsidRPr="00D34173">
              <w:rPr>
                <w:szCs w:val="20"/>
              </w:rPr>
              <w:t>Subnational level: 22</w:t>
            </w:r>
          </w:p>
        </w:tc>
        <w:tc>
          <w:tcPr>
            <w:tcW w:w="0" w:type="pct"/>
          </w:tcPr>
          <w:p w14:paraId="705103AC" w14:textId="1C07BE7A" w:rsidR="00630346" w:rsidRPr="00E1595E" w:rsidRDefault="00630346" w:rsidP="00527633">
            <w:pPr>
              <w:pStyle w:val="TableBodyCopy"/>
              <w:rPr>
                <w:szCs w:val="20"/>
              </w:rPr>
            </w:pPr>
            <w:r w:rsidRPr="00D34173">
              <w:rPr>
                <w:szCs w:val="20"/>
              </w:rPr>
              <w:t>SDG13: Climate action</w:t>
            </w:r>
          </w:p>
        </w:tc>
      </w:tr>
      <w:tr w:rsidR="00E1595E" w:rsidRPr="00E1595E" w14:paraId="2C88E0D4" w14:textId="77777777" w:rsidTr="000070A5">
        <w:trPr>
          <w:cantSplit/>
          <w:trHeight w:val="494"/>
        </w:trPr>
        <w:tc>
          <w:tcPr>
            <w:tcW w:w="0" w:type="pct"/>
            <w:hideMark/>
          </w:tcPr>
          <w:p w14:paraId="71A51D87" w14:textId="39843A7D" w:rsidR="00630346" w:rsidRPr="00E1595E" w:rsidRDefault="005559FF" w:rsidP="00527633">
            <w:pPr>
              <w:pStyle w:val="TableBodyCopy"/>
            </w:pPr>
            <w:r w:rsidRPr="00D34173">
              <w:rPr>
                <w:b/>
                <w:bCs/>
              </w:rPr>
              <w:t>Outcome 2.1</w:t>
            </w:r>
          </w:p>
        </w:tc>
        <w:tc>
          <w:tcPr>
            <w:tcW w:w="0" w:type="pct"/>
          </w:tcPr>
          <w:p w14:paraId="700F4AAA" w14:textId="20E007D7" w:rsidR="00630346" w:rsidRPr="00D34173" w:rsidRDefault="00061EF4" w:rsidP="00527633">
            <w:pPr>
              <w:pStyle w:val="TableBodyCopy"/>
            </w:pPr>
            <w:r w:rsidRPr="00D34173">
              <w:t>Number of new government projects, policies or initiatives reflecting technical assistance themes</w:t>
            </w:r>
          </w:p>
        </w:tc>
        <w:tc>
          <w:tcPr>
            <w:tcW w:w="0" w:type="pct"/>
            <w:hideMark/>
          </w:tcPr>
          <w:p w14:paraId="666AAB5E" w14:textId="46B04E5A" w:rsidR="00630346" w:rsidRPr="00E1595E" w:rsidRDefault="00630346" w:rsidP="00527633">
            <w:pPr>
              <w:pStyle w:val="TableBodyCopy"/>
            </w:pPr>
            <w:r w:rsidRPr="00D34173">
              <w:t>5</w:t>
            </w:r>
            <w:r w:rsidR="007858D4">
              <w:t> </w:t>
            </w:r>
            <w:r w:rsidRPr="00D34173">
              <w:t>new (additional) government projects, policies or initiatives reflecting flood mitigation and hydrological technical advice</w:t>
            </w:r>
          </w:p>
        </w:tc>
        <w:tc>
          <w:tcPr>
            <w:tcW w:w="0" w:type="pct"/>
            <w:hideMark/>
          </w:tcPr>
          <w:p w14:paraId="253D2192" w14:textId="74BAB719" w:rsidR="00630346" w:rsidRPr="00E1595E" w:rsidRDefault="00630346" w:rsidP="00527633">
            <w:pPr>
              <w:pStyle w:val="TableBodyCopy"/>
            </w:pPr>
            <w:r w:rsidRPr="00D34173">
              <w:t>5</w:t>
            </w:r>
            <w:r w:rsidR="007858D4">
              <w:t> </w:t>
            </w:r>
            <w:r w:rsidRPr="00D34173">
              <w:t>new (additional) government projects, policies or initiatives reflecting water management and climate resilient infrastructure technical advice</w:t>
            </w:r>
          </w:p>
        </w:tc>
        <w:tc>
          <w:tcPr>
            <w:tcW w:w="0" w:type="pct"/>
            <w:hideMark/>
          </w:tcPr>
          <w:p w14:paraId="353DB183" w14:textId="3A0F2335" w:rsidR="00630346" w:rsidRPr="00E1595E" w:rsidRDefault="00630346" w:rsidP="00527633">
            <w:pPr>
              <w:pStyle w:val="TableBodyCopy"/>
            </w:pPr>
            <w:r w:rsidRPr="00D34173">
              <w:t>5</w:t>
            </w:r>
            <w:r w:rsidR="007858D4">
              <w:t> </w:t>
            </w:r>
            <w:r w:rsidRPr="00D34173">
              <w:t>new (additional) government projects, policies or initiatives reflecting water management and climate resilient infrastructure technical advice</w:t>
            </w:r>
          </w:p>
        </w:tc>
        <w:tc>
          <w:tcPr>
            <w:tcW w:w="0" w:type="pct"/>
          </w:tcPr>
          <w:p w14:paraId="1ACFAF68" w14:textId="1DE30EAC" w:rsidR="00630346" w:rsidRPr="00E1595E" w:rsidRDefault="00630346" w:rsidP="00527633">
            <w:pPr>
              <w:pStyle w:val="TableBodyCopy"/>
            </w:pPr>
            <w:r w:rsidRPr="00D34173">
              <w:t>SDG13</w:t>
            </w:r>
          </w:p>
        </w:tc>
      </w:tr>
      <w:tr w:rsidR="00E1595E" w:rsidRPr="00E1595E" w14:paraId="7642639C" w14:textId="77777777" w:rsidTr="000070A5">
        <w:trPr>
          <w:cantSplit/>
          <w:trHeight w:val="494"/>
        </w:trPr>
        <w:tc>
          <w:tcPr>
            <w:tcW w:w="0" w:type="pct"/>
          </w:tcPr>
          <w:p w14:paraId="385974D0" w14:textId="77777777" w:rsidR="00E46FC8" w:rsidRPr="00D34173" w:rsidRDefault="00E46FC8" w:rsidP="00E46FC8">
            <w:pPr>
              <w:pStyle w:val="TableBodyCopy"/>
            </w:pPr>
            <w:r w:rsidRPr="00D34173">
              <w:rPr>
                <w:b/>
                <w:bCs/>
              </w:rPr>
              <w:t>Outcome 2.2</w:t>
            </w:r>
          </w:p>
          <w:p w14:paraId="3F27BDDD" w14:textId="71C67C19" w:rsidR="00E46FC8" w:rsidRPr="00D34173" w:rsidRDefault="00E46FC8" w:rsidP="00E46FC8">
            <w:pPr>
              <w:pStyle w:val="TableBodyCopy"/>
              <w:rPr>
                <w:b/>
                <w:bCs/>
              </w:rPr>
            </w:pPr>
            <w:r w:rsidRPr="00D34173">
              <w:t xml:space="preserve">Community resilience: Improved access to climate resilient </w:t>
            </w:r>
            <w:r w:rsidR="009F6689">
              <w:t>water, sanitation and hygiene (</w:t>
            </w:r>
            <w:r w:rsidRPr="00D34173">
              <w:t>WASH</w:t>
            </w:r>
            <w:r w:rsidR="009F6689">
              <w:t>)</w:t>
            </w:r>
            <w:r w:rsidRPr="00D34173">
              <w:t xml:space="preserve"> and disaster preparedness</w:t>
            </w:r>
          </w:p>
        </w:tc>
        <w:tc>
          <w:tcPr>
            <w:tcW w:w="0" w:type="pct"/>
          </w:tcPr>
          <w:p w14:paraId="72AB8E3D" w14:textId="56D7F02D" w:rsidR="00E46FC8" w:rsidRPr="00D34173" w:rsidRDefault="00E46FC8" w:rsidP="00E46FC8">
            <w:pPr>
              <w:pStyle w:val="TableBodyCopy"/>
            </w:pPr>
            <w:r w:rsidRPr="00D34173">
              <w:t>Number of WASH structures constructed</w:t>
            </w:r>
          </w:p>
        </w:tc>
        <w:tc>
          <w:tcPr>
            <w:tcW w:w="0" w:type="pct"/>
          </w:tcPr>
          <w:p w14:paraId="3A7CBAE3" w14:textId="3525D646" w:rsidR="00E46FC8" w:rsidRPr="00D34173" w:rsidRDefault="00E46FC8" w:rsidP="00E46FC8">
            <w:pPr>
              <w:pStyle w:val="TableBodyCopy"/>
            </w:pPr>
            <w:r w:rsidRPr="00D34173">
              <w:t>305</w:t>
            </w:r>
          </w:p>
        </w:tc>
        <w:tc>
          <w:tcPr>
            <w:tcW w:w="0" w:type="pct"/>
          </w:tcPr>
          <w:p w14:paraId="5E1A72B3" w14:textId="079A12CD" w:rsidR="00E46FC8" w:rsidRPr="00D34173" w:rsidRDefault="00E46FC8" w:rsidP="00E46FC8">
            <w:pPr>
              <w:pStyle w:val="TableBodyCopy"/>
            </w:pPr>
            <w:r w:rsidRPr="00D34173">
              <w:t>294</w:t>
            </w:r>
          </w:p>
        </w:tc>
        <w:tc>
          <w:tcPr>
            <w:tcW w:w="0" w:type="pct"/>
          </w:tcPr>
          <w:p w14:paraId="37AF2DDF" w14:textId="3CCFEE02" w:rsidR="00E46FC8" w:rsidRPr="00D34173" w:rsidRDefault="00E46FC8" w:rsidP="00E46FC8">
            <w:pPr>
              <w:pStyle w:val="TableBodyCopy"/>
            </w:pPr>
            <w:r w:rsidRPr="00D34173">
              <w:t>292</w:t>
            </w:r>
          </w:p>
        </w:tc>
        <w:tc>
          <w:tcPr>
            <w:tcW w:w="0" w:type="pct"/>
          </w:tcPr>
          <w:p w14:paraId="567F8C9E" w14:textId="0FEA8AA9" w:rsidR="00E46FC8" w:rsidRPr="00D34173" w:rsidRDefault="00E46FC8" w:rsidP="00E46FC8">
            <w:pPr>
              <w:pStyle w:val="TableBodyCopy"/>
            </w:pPr>
            <w:r w:rsidRPr="00D34173">
              <w:t>SDG6: Clean water and sanitation</w:t>
            </w:r>
          </w:p>
        </w:tc>
      </w:tr>
      <w:tr w:rsidR="00E1595E" w:rsidRPr="00E1595E" w14:paraId="6BF0C8AB" w14:textId="77777777" w:rsidTr="000070A5">
        <w:trPr>
          <w:cantSplit/>
          <w:trHeight w:val="494"/>
        </w:trPr>
        <w:tc>
          <w:tcPr>
            <w:tcW w:w="0" w:type="pct"/>
          </w:tcPr>
          <w:p w14:paraId="7C5D53AD" w14:textId="0F4F38BE" w:rsidR="00E46FC8" w:rsidRPr="00D34173" w:rsidRDefault="00E46FC8" w:rsidP="00E46FC8">
            <w:pPr>
              <w:pStyle w:val="TableBodyCopy"/>
              <w:rPr>
                <w:b/>
                <w:bCs/>
              </w:rPr>
            </w:pPr>
            <w:r w:rsidRPr="00D34173">
              <w:rPr>
                <w:b/>
                <w:bCs/>
              </w:rPr>
              <w:t>Outcome 2.2</w:t>
            </w:r>
          </w:p>
        </w:tc>
        <w:tc>
          <w:tcPr>
            <w:tcW w:w="0" w:type="pct"/>
          </w:tcPr>
          <w:p w14:paraId="236009F0" w14:textId="6D4084CC" w:rsidR="00E46FC8" w:rsidRPr="00D34173" w:rsidRDefault="00E46FC8" w:rsidP="00E46FC8">
            <w:pPr>
              <w:pStyle w:val="TableBodyCopy"/>
            </w:pPr>
            <w:r w:rsidRPr="00D34173">
              <w:t>Number of people using basic or safely managed drinking water services (Tier 2)</w:t>
            </w:r>
          </w:p>
        </w:tc>
        <w:tc>
          <w:tcPr>
            <w:tcW w:w="0" w:type="pct"/>
          </w:tcPr>
          <w:p w14:paraId="3669F9DB" w14:textId="6693AEBC" w:rsidR="00E46FC8" w:rsidRPr="00D34173" w:rsidRDefault="00E46FC8" w:rsidP="00E46FC8">
            <w:pPr>
              <w:pStyle w:val="TableBodyCopy"/>
            </w:pPr>
            <w:r w:rsidRPr="00D34173">
              <w:t>26,000</w:t>
            </w:r>
            <w:r w:rsidR="003654EA">
              <w:t> </w:t>
            </w:r>
            <w:r w:rsidRPr="00D34173">
              <w:t>additional households</w:t>
            </w:r>
          </w:p>
        </w:tc>
        <w:tc>
          <w:tcPr>
            <w:tcW w:w="0" w:type="pct"/>
          </w:tcPr>
          <w:p w14:paraId="1AA30CD8" w14:textId="4AA3529D" w:rsidR="00E46FC8" w:rsidRPr="00D34173" w:rsidRDefault="00E46FC8" w:rsidP="00E46FC8">
            <w:pPr>
              <w:pStyle w:val="TableBodyCopy"/>
            </w:pPr>
            <w:r w:rsidRPr="00D34173">
              <w:t>17,500</w:t>
            </w:r>
            <w:r w:rsidR="003654EA">
              <w:t> </w:t>
            </w:r>
            <w:r w:rsidRPr="00D34173">
              <w:t>additional households</w:t>
            </w:r>
          </w:p>
        </w:tc>
        <w:tc>
          <w:tcPr>
            <w:tcW w:w="0" w:type="pct"/>
          </w:tcPr>
          <w:p w14:paraId="7C307C7A" w14:textId="76A53596" w:rsidR="00E46FC8" w:rsidRPr="00D34173" w:rsidRDefault="00E46FC8" w:rsidP="00E46FC8">
            <w:pPr>
              <w:pStyle w:val="TableBodyCopy"/>
            </w:pPr>
            <w:r w:rsidRPr="00D34173">
              <w:t>10,500</w:t>
            </w:r>
            <w:r w:rsidR="003654EA">
              <w:t> </w:t>
            </w:r>
            <w:r w:rsidRPr="00D34173">
              <w:t>additional households</w:t>
            </w:r>
          </w:p>
        </w:tc>
        <w:tc>
          <w:tcPr>
            <w:tcW w:w="0" w:type="pct"/>
          </w:tcPr>
          <w:p w14:paraId="6B24557F" w14:textId="0E602C75" w:rsidR="00E46FC8" w:rsidRPr="00D34173" w:rsidRDefault="00E46FC8" w:rsidP="00E46FC8">
            <w:pPr>
              <w:pStyle w:val="TableBodyCopy"/>
            </w:pPr>
            <w:r w:rsidRPr="00D34173">
              <w:t>SDG6</w:t>
            </w:r>
          </w:p>
        </w:tc>
      </w:tr>
      <w:tr w:rsidR="00E1595E" w:rsidRPr="00E1595E" w14:paraId="66116C30" w14:textId="77777777" w:rsidTr="000070A5">
        <w:trPr>
          <w:cantSplit/>
          <w:trHeight w:val="494"/>
        </w:trPr>
        <w:tc>
          <w:tcPr>
            <w:tcW w:w="0" w:type="pct"/>
          </w:tcPr>
          <w:p w14:paraId="4B667089" w14:textId="77777777" w:rsidR="00E46FC8" w:rsidRPr="00D34173" w:rsidRDefault="00E46FC8" w:rsidP="00E46FC8">
            <w:pPr>
              <w:pStyle w:val="TableBodyCopy"/>
            </w:pPr>
            <w:r w:rsidRPr="00D34173">
              <w:rPr>
                <w:b/>
                <w:bCs/>
              </w:rPr>
              <w:lastRenderedPageBreak/>
              <w:t>Outcome 2.3</w:t>
            </w:r>
          </w:p>
          <w:p w14:paraId="24DC2B2C" w14:textId="33F821A5" w:rsidR="00E46FC8" w:rsidRPr="00D34173" w:rsidRDefault="00E46FC8" w:rsidP="00E46FC8">
            <w:pPr>
              <w:pStyle w:val="TableBodyCopy"/>
              <w:rPr>
                <w:b/>
                <w:bCs/>
              </w:rPr>
            </w:pPr>
            <w:r w:rsidRPr="00D34173">
              <w:t>Gender equality: Enhanced women’s participation in climate resilience interventions</w:t>
            </w:r>
          </w:p>
        </w:tc>
        <w:tc>
          <w:tcPr>
            <w:tcW w:w="0" w:type="pct"/>
          </w:tcPr>
          <w:p w14:paraId="2D70EC1C" w14:textId="512F83AB" w:rsidR="00E46FC8" w:rsidRPr="00D34173" w:rsidRDefault="00E46FC8" w:rsidP="00E46FC8">
            <w:pPr>
              <w:pStyle w:val="TableBodyCopy"/>
            </w:pPr>
            <w:r w:rsidRPr="00D34173">
              <w:t>Percentage of women community members involved in governance processes to improve access to water services</w:t>
            </w:r>
          </w:p>
        </w:tc>
        <w:tc>
          <w:tcPr>
            <w:tcW w:w="0" w:type="pct"/>
          </w:tcPr>
          <w:p w14:paraId="601EBFB1" w14:textId="26DB10F6" w:rsidR="00E46FC8" w:rsidRPr="00D34173" w:rsidRDefault="00E46FC8" w:rsidP="00E46FC8">
            <w:pPr>
              <w:pStyle w:val="TableBodyCopy"/>
            </w:pPr>
            <w:r w:rsidRPr="00D34173">
              <w:t>20%</w:t>
            </w:r>
          </w:p>
        </w:tc>
        <w:tc>
          <w:tcPr>
            <w:tcW w:w="0" w:type="pct"/>
          </w:tcPr>
          <w:p w14:paraId="16ACDB1F" w14:textId="3D267F0A" w:rsidR="00E46FC8" w:rsidRPr="00D34173" w:rsidRDefault="00E46FC8" w:rsidP="00E46FC8">
            <w:pPr>
              <w:pStyle w:val="TableBodyCopy"/>
            </w:pPr>
            <w:r w:rsidRPr="00D34173">
              <w:t>25%</w:t>
            </w:r>
          </w:p>
        </w:tc>
        <w:tc>
          <w:tcPr>
            <w:tcW w:w="0" w:type="pct"/>
          </w:tcPr>
          <w:p w14:paraId="005EE45F" w14:textId="08E47C07" w:rsidR="00E46FC8" w:rsidRPr="00D34173" w:rsidRDefault="00E46FC8" w:rsidP="00E46FC8">
            <w:pPr>
              <w:pStyle w:val="TableBodyCopy"/>
            </w:pPr>
            <w:r w:rsidRPr="00D34173">
              <w:t>30%</w:t>
            </w:r>
          </w:p>
        </w:tc>
        <w:tc>
          <w:tcPr>
            <w:tcW w:w="0" w:type="pct"/>
          </w:tcPr>
          <w:p w14:paraId="536BB527" w14:textId="4076C068" w:rsidR="00E46FC8" w:rsidRPr="00D34173" w:rsidRDefault="00E46FC8" w:rsidP="00E46FC8">
            <w:pPr>
              <w:pStyle w:val="TableBodyCopy"/>
            </w:pPr>
            <w:r w:rsidRPr="00D34173">
              <w:t>SDG5: Gender equality</w:t>
            </w:r>
          </w:p>
        </w:tc>
      </w:tr>
      <w:tr w:rsidR="00E1595E" w:rsidRPr="00E1595E" w14:paraId="13E952DB" w14:textId="77777777" w:rsidTr="000070A5">
        <w:trPr>
          <w:cantSplit/>
          <w:trHeight w:val="494"/>
        </w:trPr>
        <w:tc>
          <w:tcPr>
            <w:tcW w:w="0" w:type="pct"/>
          </w:tcPr>
          <w:p w14:paraId="29A6C1BD" w14:textId="791C467D" w:rsidR="00E46FC8" w:rsidRPr="00D34173" w:rsidRDefault="00E46FC8" w:rsidP="00E46FC8">
            <w:pPr>
              <w:pStyle w:val="TableBodyCopy"/>
              <w:rPr>
                <w:b/>
                <w:bCs/>
              </w:rPr>
            </w:pPr>
            <w:r w:rsidRPr="00D34173">
              <w:rPr>
                <w:b/>
                <w:bCs/>
              </w:rPr>
              <w:t>Outcome 2.3</w:t>
            </w:r>
          </w:p>
        </w:tc>
        <w:tc>
          <w:tcPr>
            <w:tcW w:w="0" w:type="pct"/>
          </w:tcPr>
          <w:p w14:paraId="7D6328FA" w14:textId="4CC92CAF" w:rsidR="00E46FC8" w:rsidRPr="00D34173" w:rsidRDefault="00E46FC8" w:rsidP="00E46FC8">
            <w:pPr>
              <w:pStyle w:val="TableBodyCopy"/>
            </w:pPr>
            <w:r w:rsidRPr="00D34173">
              <w:t>Percentage of women community members engaged in awareness sessions related to WASH</w:t>
            </w:r>
          </w:p>
        </w:tc>
        <w:tc>
          <w:tcPr>
            <w:tcW w:w="0" w:type="pct"/>
          </w:tcPr>
          <w:p w14:paraId="6027FD4C" w14:textId="5CC41867" w:rsidR="00E46FC8" w:rsidRPr="00D34173" w:rsidRDefault="00E46FC8" w:rsidP="00E46FC8">
            <w:pPr>
              <w:pStyle w:val="TableBodyCopy"/>
            </w:pPr>
            <w:r w:rsidRPr="00D34173">
              <w:t>30%</w:t>
            </w:r>
          </w:p>
        </w:tc>
        <w:tc>
          <w:tcPr>
            <w:tcW w:w="0" w:type="pct"/>
          </w:tcPr>
          <w:p w14:paraId="792D3DD3" w14:textId="69E917A9" w:rsidR="00E46FC8" w:rsidRPr="00D34173" w:rsidRDefault="00E46FC8" w:rsidP="00E46FC8">
            <w:pPr>
              <w:pStyle w:val="TableBodyCopy"/>
            </w:pPr>
            <w:r w:rsidRPr="00D34173">
              <w:t>35%</w:t>
            </w:r>
          </w:p>
        </w:tc>
        <w:tc>
          <w:tcPr>
            <w:tcW w:w="0" w:type="pct"/>
          </w:tcPr>
          <w:p w14:paraId="57A9B319" w14:textId="2E3D8BFB" w:rsidR="00E46FC8" w:rsidRPr="00D34173" w:rsidRDefault="00E46FC8" w:rsidP="00E46FC8">
            <w:pPr>
              <w:pStyle w:val="TableBodyCopy"/>
            </w:pPr>
            <w:r w:rsidRPr="00D34173">
              <w:t>45%</w:t>
            </w:r>
          </w:p>
        </w:tc>
        <w:tc>
          <w:tcPr>
            <w:tcW w:w="0" w:type="pct"/>
          </w:tcPr>
          <w:p w14:paraId="2448B235" w14:textId="0A2FF102" w:rsidR="00E46FC8" w:rsidRPr="00D34173" w:rsidRDefault="00E46FC8" w:rsidP="00E46FC8">
            <w:pPr>
              <w:pStyle w:val="TableBodyCopy"/>
            </w:pPr>
            <w:r w:rsidRPr="00D34173">
              <w:t>SDG5</w:t>
            </w:r>
          </w:p>
        </w:tc>
      </w:tr>
    </w:tbl>
    <w:p w14:paraId="26767C53" w14:textId="77777777" w:rsidR="00A27753" w:rsidRDefault="00A27753" w:rsidP="00136F70">
      <w:pPr>
        <w:pStyle w:val="PAFobjectivehead"/>
      </w:pPr>
      <w:r>
        <w:br w:type="page"/>
      </w:r>
    </w:p>
    <w:p w14:paraId="32E58D6E" w14:textId="05DDBBB3" w:rsidR="00377759" w:rsidRPr="008764B3" w:rsidRDefault="00377759" w:rsidP="001E1E64">
      <w:pPr>
        <w:pStyle w:val="PAFobjectivehead"/>
      </w:pPr>
      <w:r w:rsidRPr="004A62BB">
        <w:lastRenderedPageBreak/>
        <w:t>Cross-</w:t>
      </w:r>
      <w:r w:rsidR="00A1402F" w:rsidRPr="004A62BB">
        <w:t>p</w:t>
      </w:r>
      <w:r w:rsidRPr="004A62BB">
        <w:t>rogram</w:t>
      </w:r>
    </w:p>
    <w:tbl>
      <w:tblPr>
        <w:tblStyle w:val="DFATBluegum"/>
        <w:tblW w:w="14454" w:type="dxa"/>
        <w:tblLayout w:type="fixed"/>
        <w:tblLook w:val="04A0" w:firstRow="1" w:lastRow="0" w:firstColumn="1" w:lastColumn="0" w:noHBand="0" w:noVBand="1"/>
        <w:tblCaption w:val="Cross-program Performance Assessment Framework"/>
        <w:tblDescription w:val="Expected results for the first 3 years of the DPP and against the Sustainable Development Goals&#10;"/>
      </w:tblPr>
      <w:tblGrid>
        <w:gridCol w:w="2409"/>
        <w:gridCol w:w="2409"/>
        <w:gridCol w:w="2409"/>
        <w:gridCol w:w="2409"/>
        <w:gridCol w:w="2409"/>
        <w:gridCol w:w="2409"/>
      </w:tblGrid>
      <w:tr w:rsidR="00EE16A1" w:rsidRPr="000B04E1" w14:paraId="1DBB258C" w14:textId="77777777" w:rsidTr="000070A5">
        <w:trPr>
          <w:cnfStyle w:val="100000000000" w:firstRow="1" w:lastRow="0" w:firstColumn="0" w:lastColumn="0" w:oddVBand="0" w:evenVBand="0" w:oddHBand="0" w:evenHBand="0" w:firstRowFirstColumn="0" w:firstRowLastColumn="0" w:lastRowFirstColumn="0" w:lastRowLastColumn="0"/>
          <w:trHeight w:val="787"/>
        </w:trPr>
        <w:tc>
          <w:tcPr>
            <w:tcW w:w="2409" w:type="dxa"/>
          </w:tcPr>
          <w:p w14:paraId="0B8E621A" w14:textId="562E3E41" w:rsidR="00EE16A1" w:rsidRPr="005F20EE" w:rsidRDefault="00EE16A1" w:rsidP="005F20EE">
            <w:pPr>
              <w:pStyle w:val="TableHeading"/>
              <w:rPr>
                <w:b/>
                <w:bCs w:val="0"/>
              </w:rPr>
            </w:pPr>
            <w:r w:rsidRPr="001E1E64">
              <w:rPr>
                <w:b/>
                <w:bCs w:val="0"/>
              </w:rPr>
              <w:t>Theme</w:t>
            </w:r>
          </w:p>
        </w:tc>
        <w:tc>
          <w:tcPr>
            <w:tcW w:w="2409" w:type="dxa"/>
            <w:hideMark/>
          </w:tcPr>
          <w:p w14:paraId="2B6F7148" w14:textId="280CBBD3" w:rsidR="00EE16A1" w:rsidRPr="005F20EE" w:rsidRDefault="00EE16A1" w:rsidP="005F20EE">
            <w:pPr>
              <w:pStyle w:val="TableHeading"/>
              <w:rPr>
                <w:b/>
                <w:bCs w:val="0"/>
              </w:rPr>
            </w:pPr>
            <w:r w:rsidRPr="001E1E64">
              <w:rPr>
                <w:b/>
                <w:bCs w:val="0"/>
              </w:rPr>
              <w:t>Indicator</w:t>
            </w:r>
          </w:p>
        </w:tc>
        <w:tc>
          <w:tcPr>
            <w:tcW w:w="2409" w:type="dxa"/>
            <w:hideMark/>
          </w:tcPr>
          <w:p w14:paraId="6D599319" w14:textId="7472C9AB" w:rsidR="00EE16A1" w:rsidRPr="005F20EE" w:rsidRDefault="00EE16A1" w:rsidP="005F20EE">
            <w:pPr>
              <w:pStyle w:val="TableHeading"/>
              <w:rPr>
                <w:b/>
                <w:bCs w:val="0"/>
              </w:rPr>
            </w:pPr>
            <w:r w:rsidRPr="001E1E64">
              <w:rPr>
                <w:b/>
                <w:bCs w:val="0"/>
              </w:rPr>
              <w:t>Expected results</w:t>
            </w:r>
            <w:r w:rsidRPr="001E1E64">
              <w:rPr>
                <w:b/>
                <w:bCs w:val="0"/>
              </w:rPr>
              <w:br/>
              <w:t>2024–25</w:t>
            </w:r>
          </w:p>
        </w:tc>
        <w:tc>
          <w:tcPr>
            <w:tcW w:w="2409" w:type="dxa"/>
            <w:hideMark/>
          </w:tcPr>
          <w:p w14:paraId="206D0BE9" w14:textId="54E24FDE" w:rsidR="00EE16A1" w:rsidRPr="005F20EE" w:rsidRDefault="00EE16A1" w:rsidP="005F20EE">
            <w:pPr>
              <w:pStyle w:val="TableHeading"/>
              <w:rPr>
                <w:b/>
                <w:bCs w:val="0"/>
              </w:rPr>
            </w:pPr>
            <w:r w:rsidRPr="001E1E64">
              <w:rPr>
                <w:b/>
                <w:bCs w:val="0"/>
              </w:rPr>
              <w:t>Expected results</w:t>
            </w:r>
            <w:r w:rsidRPr="001E1E64">
              <w:rPr>
                <w:b/>
                <w:bCs w:val="0"/>
              </w:rPr>
              <w:br/>
              <w:t>2025–26</w:t>
            </w:r>
          </w:p>
        </w:tc>
        <w:tc>
          <w:tcPr>
            <w:tcW w:w="2409" w:type="dxa"/>
            <w:hideMark/>
          </w:tcPr>
          <w:p w14:paraId="126EBDCB" w14:textId="7FB06A8F" w:rsidR="00EE16A1" w:rsidRPr="005F20EE" w:rsidRDefault="00EE16A1" w:rsidP="005F20EE">
            <w:pPr>
              <w:pStyle w:val="TableHeading"/>
              <w:rPr>
                <w:b/>
                <w:bCs w:val="0"/>
              </w:rPr>
            </w:pPr>
            <w:r w:rsidRPr="001E1E64">
              <w:rPr>
                <w:b/>
                <w:bCs w:val="0"/>
              </w:rPr>
              <w:t>Expected results</w:t>
            </w:r>
            <w:r w:rsidRPr="001E1E64">
              <w:rPr>
                <w:b/>
                <w:bCs w:val="0"/>
              </w:rPr>
              <w:br/>
              <w:t>2026–27</w:t>
            </w:r>
          </w:p>
        </w:tc>
        <w:tc>
          <w:tcPr>
            <w:tcW w:w="2409" w:type="dxa"/>
            <w:hideMark/>
          </w:tcPr>
          <w:p w14:paraId="3D73C78C" w14:textId="1B63D583" w:rsidR="00EE16A1" w:rsidRPr="005F20EE" w:rsidRDefault="005F20EE" w:rsidP="005F20EE">
            <w:pPr>
              <w:pStyle w:val="TableHeading"/>
              <w:rPr>
                <w:b/>
                <w:bCs w:val="0"/>
              </w:rPr>
            </w:pPr>
            <w:r>
              <w:rPr>
                <w:b/>
                <w:bCs w:val="0"/>
              </w:rPr>
              <w:t>Sustainable Development Goals (</w:t>
            </w:r>
            <w:r w:rsidR="00EE16A1" w:rsidRPr="001E1E64">
              <w:rPr>
                <w:b/>
                <w:bCs w:val="0"/>
              </w:rPr>
              <w:t>SDGs</w:t>
            </w:r>
            <w:r>
              <w:rPr>
                <w:b/>
                <w:bCs w:val="0"/>
              </w:rPr>
              <w:t>)</w:t>
            </w:r>
          </w:p>
        </w:tc>
      </w:tr>
      <w:tr w:rsidR="00EE16A1" w14:paraId="392C1CC6" w14:textId="77777777" w:rsidTr="000070A5">
        <w:trPr>
          <w:trHeight w:val="762"/>
        </w:trPr>
        <w:tc>
          <w:tcPr>
            <w:tcW w:w="2409" w:type="dxa"/>
          </w:tcPr>
          <w:p w14:paraId="7CC0CBDD" w14:textId="35E0462E" w:rsidR="00EE16A1" w:rsidRPr="00A361B4" w:rsidRDefault="00EE16A1" w:rsidP="00DF652E">
            <w:pPr>
              <w:pStyle w:val="TableBodyCopy"/>
            </w:pPr>
            <w:r>
              <w:t>Gender equality</w:t>
            </w:r>
          </w:p>
        </w:tc>
        <w:tc>
          <w:tcPr>
            <w:tcW w:w="2409" w:type="dxa"/>
            <w:hideMark/>
          </w:tcPr>
          <w:p w14:paraId="2F9C1D9D" w14:textId="1833228A" w:rsidR="00EE16A1" w:rsidRPr="00A361B4" w:rsidRDefault="00EE16A1" w:rsidP="00DF652E">
            <w:pPr>
              <w:pStyle w:val="TableBodyCopy"/>
            </w:pPr>
            <w:r w:rsidRPr="00A361B4">
              <w:t xml:space="preserve">Gender </w:t>
            </w:r>
            <w:r>
              <w:t xml:space="preserve">equality </w:t>
            </w:r>
            <w:r w:rsidRPr="00A361B4">
              <w:t xml:space="preserve">effectiveness aggregate </w:t>
            </w:r>
            <w:r>
              <w:t xml:space="preserve">investment monitoring report </w:t>
            </w:r>
            <w:r w:rsidRPr="00A361B4">
              <w:t>ratings</w:t>
            </w:r>
          </w:p>
        </w:tc>
        <w:tc>
          <w:tcPr>
            <w:tcW w:w="2409" w:type="dxa"/>
          </w:tcPr>
          <w:p w14:paraId="1328DAE4" w14:textId="215D2845" w:rsidR="00EE16A1" w:rsidRPr="00A361B4" w:rsidRDefault="00EE16A1" w:rsidP="00DF652E">
            <w:pPr>
              <w:pStyle w:val="TableBodyCopy"/>
            </w:pPr>
            <w:r w:rsidRPr="00755008">
              <w:rPr>
                <w:color w:val="313E48"/>
              </w:rPr>
              <w:t>70%</w:t>
            </w:r>
          </w:p>
        </w:tc>
        <w:tc>
          <w:tcPr>
            <w:tcW w:w="2409" w:type="dxa"/>
          </w:tcPr>
          <w:p w14:paraId="216221EA" w14:textId="0DDEB0AB" w:rsidR="00EE16A1" w:rsidRPr="00A361B4" w:rsidRDefault="00EE16A1" w:rsidP="00DF652E">
            <w:pPr>
              <w:pStyle w:val="TableBodyCopy"/>
            </w:pPr>
            <w:r w:rsidRPr="00755008">
              <w:rPr>
                <w:color w:val="313E48"/>
              </w:rPr>
              <w:t>75%</w:t>
            </w:r>
          </w:p>
        </w:tc>
        <w:tc>
          <w:tcPr>
            <w:tcW w:w="2409" w:type="dxa"/>
          </w:tcPr>
          <w:p w14:paraId="4CBBD39E" w14:textId="332C3C2E" w:rsidR="00EE16A1" w:rsidRPr="00A361B4" w:rsidRDefault="00EE16A1" w:rsidP="00DF652E">
            <w:pPr>
              <w:pStyle w:val="TableBodyCopy"/>
            </w:pPr>
            <w:r w:rsidRPr="00755008">
              <w:rPr>
                <w:color w:val="313E48"/>
              </w:rPr>
              <w:t>77%</w:t>
            </w:r>
          </w:p>
        </w:tc>
        <w:tc>
          <w:tcPr>
            <w:tcW w:w="2409" w:type="dxa"/>
          </w:tcPr>
          <w:p w14:paraId="5CB2246C" w14:textId="5D2BBBE6" w:rsidR="00EE16A1" w:rsidRPr="00A361B4" w:rsidRDefault="00EE16A1" w:rsidP="00DF652E">
            <w:pPr>
              <w:pStyle w:val="TableBodyCopy"/>
            </w:pPr>
            <w:r>
              <w:rPr>
                <w:color w:val="313E48"/>
              </w:rPr>
              <w:t>SDG</w:t>
            </w:r>
            <w:r w:rsidRPr="00755008">
              <w:rPr>
                <w:color w:val="313E48"/>
              </w:rPr>
              <w:t>5: Gender equality</w:t>
            </w:r>
          </w:p>
        </w:tc>
      </w:tr>
      <w:tr w:rsidR="00EE16A1" w14:paraId="6E999EAF" w14:textId="77777777" w:rsidTr="000070A5">
        <w:trPr>
          <w:trHeight w:val="688"/>
        </w:trPr>
        <w:tc>
          <w:tcPr>
            <w:tcW w:w="2409" w:type="dxa"/>
          </w:tcPr>
          <w:p w14:paraId="73463604" w14:textId="3698718D" w:rsidR="00EE16A1" w:rsidRPr="00A361B4" w:rsidRDefault="00EE16A1" w:rsidP="00156DD4">
            <w:pPr>
              <w:pStyle w:val="TableBodyCopy"/>
            </w:pPr>
            <w:r>
              <w:t>Disability equity</w:t>
            </w:r>
          </w:p>
        </w:tc>
        <w:tc>
          <w:tcPr>
            <w:tcW w:w="2409" w:type="dxa"/>
          </w:tcPr>
          <w:p w14:paraId="6C58B417" w14:textId="15C9A185" w:rsidR="00EE16A1" w:rsidRPr="00A361B4" w:rsidRDefault="00EE16A1" w:rsidP="00156DD4">
            <w:pPr>
              <w:pStyle w:val="TableBodyCopy"/>
            </w:pPr>
            <w:r w:rsidRPr="00A361B4">
              <w:t xml:space="preserve">Disability inclusion effectiveness aggregate </w:t>
            </w:r>
            <w:r>
              <w:t>investment monitoring report</w:t>
            </w:r>
            <w:r w:rsidRPr="00A361B4" w:rsidDel="001876DD">
              <w:t xml:space="preserve"> </w:t>
            </w:r>
            <w:r w:rsidRPr="00A361B4">
              <w:t>ratings</w:t>
            </w:r>
          </w:p>
        </w:tc>
        <w:tc>
          <w:tcPr>
            <w:tcW w:w="2409" w:type="dxa"/>
          </w:tcPr>
          <w:p w14:paraId="2201C03B" w14:textId="707105CD" w:rsidR="00EE16A1" w:rsidRPr="00A361B4" w:rsidRDefault="00A453ED" w:rsidP="00156DD4">
            <w:pPr>
              <w:pStyle w:val="TableBodyCopy"/>
            </w:pPr>
            <w:r>
              <w:rPr>
                <w:color w:val="313E48"/>
              </w:rPr>
              <w:t>Results collected centrally</w:t>
            </w:r>
          </w:p>
        </w:tc>
        <w:tc>
          <w:tcPr>
            <w:tcW w:w="2409" w:type="dxa"/>
          </w:tcPr>
          <w:p w14:paraId="3838643C" w14:textId="3AF86BEE" w:rsidR="00EE16A1" w:rsidRPr="00A361B4" w:rsidRDefault="00A453ED" w:rsidP="00156DD4">
            <w:pPr>
              <w:pStyle w:val="TableBodyCopy"/>
            </w:pPr>
            <w:r>
              <w:rPr>
                <w:color w:val="313E48"/>
              </w:rPr>
              <w:t>Results collected centrally</w:t>
            </w:r>
          </w:p>
        </w:tc>
        <w:tc>
          <w:tcPr>
            <w:tcW w:w="2409" w:type="dxa"/>
          </w:tcPr>
          <w:p w14:paraId="666A329A" w14:textId="67515702" w:rsidR="00EE16A1" w:rsidRPr="00A361B4" w:rsidRDefault="00A453ED" w:rsidP="00156DD4">
            <w:pPr>
              <w:pStyle w:val="TableBodyCopy"/>
            </w:pPr>
            <w:r>
              <w:rPr>
                <w:color w:val="313E48"/>
              </w:rPr>
              <w:t>Results collected centrally</w:t>
            </w:r>
          </w:p>
        </w:tc>
        <w:tc>
          <w:tcPr>
            <w:tcW w:w="2409" w:type="dxa"/>
          </w:tcPr>
          <w:p w14:paraId="132431DD" w14:textId="3683E7DB" w:rsidR="00EE16A1" w:rsidRPr="00A361B4" w:rsidRDefault="00EE16A1" w:rsidP="00156DD4">
            <w:pPr>
              <w:pStyle w:val="TableBodyCopy"/>
            </w:pPr>
            <w:r>
              <w:rPr>
                <w:color w:val="313E48"/>
              </w:rPr>
              <w:t>SDG</w:t>
            </w:r>
            <w:r w:rsidRPr="00755008">
              <w:rPr>
                <w:color w:val="313E48"/>
              </w:rPr>
              <w:t xml:space="preserve">10: Reduced </w:t>
            </w:r>
            <w:r w:rsidR="000D7A65" w:rsidRPr="00755008">
              <w:rPr>
                <w:color w:val="313E48"/>
              </w:rPr>
              <w:t>inequalit</w:t>
            </w:r>
            <w:r w:rsidR="000D7A65">
              <w:rPr>
                <w:color w:val="313E48"/>
              </w:rPr>
              <w:t>ies</w:t>
            </w:r>
          </w:p>
        </w:tc>
      </w:tr>
      <w:tr w:rsidR="00EE16A1" w14:paraId="34AFF060" w14:textId="77777777" w:rsidTr="000070A5">
        <w:trPr>
          <w:trHeight w:val="700"/>
        </w:trPr>
        <w:tc>
          <w:tcPr>
            <w:tcW w:w="2409" w:type="dxa"/>
          </w:tcPr>
          <w:p w14:paraId="409BEBD1" w14:textId="5CDD1E55" w:rsidR="00EE16A1" w:rsidRPr="00CB2A75" w:rsidRDefault="00EE16A1" w:rsidP="00336690">
            <w:pPr>
              <w:pStyle w:val="TableBodyCopy"/>
              <w:rPr>
                <w:color w:val="313E48"/>
                <w:szCs w:val="20"/>
              </w:rPr>
            </w:pPr>
            <w:r>
              <w:rPr>
                <w:color w:val="313E48"/>
                <w:szCs w:val="20"/>
              </w:rPr>
              <w:t>Localisation</w:t>
            </w:r>
          </w:p>
        </w:tc>
        <w:tc>
          <w:tcPr>
            <w:tcW w:w="2409" w:type="dxa"/>
          </w:tcPr>
          <w:p w14:paraId="166990A5" w14:textId="7C9AAD3C" w:rsidR="00EE16A1" w:rsidRPr="00A361B4" w:rsidRDefault="00EE16A1" w:rsidP="00336690">
            <w:pPr>
              <w:pStyle w:val="TableBodyCopy"/>
            </w:pPr>
            <w:r w:rsidRPr="00CB2A75">
              <w:rPr>
                <w:color w:val="313E48"/>
                <w:szCs w:val="20"/>
              </w:rPr>
              <w:t>Number of local personnel, sub-contractors and staff engaged</w:t>
            </w:r>
            <w:r>
              <w:rPr>
                <w:color w:val="313E48"/>
                <w:szCs w:val="20"/>
              </w:rPr>
              <w:t xml:space="preserve"> – </w:t>
            </w:r>
            <w:r w:rsidRPr="00CB2A75">
              <w:rPr>
                <w:color w:val="313E48"/>
                <w:szCs w:val="20"/>
              </w:rPr>
              <w:t>Managing Contractors (Tier</w:t>
            </w:r>
            <w:r>
              <w:rPr>
                <w:color w:val="313E48"/>
                <w:szCs w:val="20"/>
              </w:rPr>
              <w:t> </w:t>
            </w:r>
            <w:r w:rsidRPr="00CB2A75">
              <w:rPr>
                <w:color w:val="313E48"/>
                <w:szCs w:val="20"/>
              </w:rPr>
              <w:t>3)</w:t>
            </w:r>
            <w:hyperlink w:anchor="T3nc" w:history="1">
              <w:r w:rsidR="00FA3685" w:rsidRPr="001E1E64">
                <w:rPr>
                  <w:rStyle w:val="tablehyperlink"/>
                </w:rPr>
                <w:t>c</w:t>
              </w:r>
            </w:hyperlink>
          </w:p>
        </w:tc>
        <w:tc>
          <w:tcPr>
            <w:tcW w:w="2409" w:type="dxa"/>
          </w:tcPr>
          <w:p w14:paraId="6ADEC129" w14:textId="3F50CE00" w:rsidR="00EE16A1" w:rsidRPr="00A361B4" w:rsidRDefault="009C1AD1" w:rsidP="00336690">
            <w:pPr>
              <w:pStyle w:val="TableBodyCopy"/>
            </w:pPr>
            <w:r>
              <w:rPr>
                <w:color w:val="313E48"/>
              </w:rPr>
              <w:t>Results collected centrally</w:t>
            </w:r>
          </w:p>
        </w:tc>
        <w:tc>
          <w:tcPr>
            <w:tcW w:w="2409" w:type="dxa"/>
          </w:tcPr>
          <w:p w14:paraId="7EA53D13" w14:textId="19FB9E75" w:rsidR="00EE16A1" w:rsidRPr="00A361B4" w:rsidRDefault="009C1AD1" w:rsidP="00336690">
            <w:pPr>
              <w:pStyle w:val="TableBodyCopy"/>
            </w:pPr>
            <w:r>
              <w:rPr>
                <w:color w:val="313E48"/>
              </w:rPr>
              <w:t>Results collected centrally</w:t>
            </w:r>
          </w:p>
        </w:tc>
        <w:tc>
          <w:tcPr>
            <w:tcW w:w="2409" w:type="dxa"/>
          </w:tcPr>
          <w:p w14:paraId="2424F36C" w14:textId="64FABAC7" w:rsidR="00EE16A1" w:rsidRPr="00A361B4" w:rsidRDefault="009C1AD1" w:rsidP="00336690">
            <w:pPr>
              <w:pStyle w:val="TableBodyCopy"/>
            </w:pPr>
            <w:r>
              <w:rPr>
                <w:color w:val="313E48"/>
              </w:rPr>
              <w:t>Results collected centrally</w:t>
            </w:r>
          </w:p>
        </w:tc>
        <w:tc>
          <w:tcPr>
            <w:tcW w:w="2409" w:type="dxa"/>
          </w:tcPr>
          <w:p w14:paraId="389B30E7" w14:textId="061B6F35" w:rsidR="00EE16A1" w:rsidRPr="00A361B4" w:rsidRDefault="00EE16A1" w:rsidP="00336690">
            <w:pPr>
              <w:pStyle w:val="TableBodyCopy"/>
            </w:pPr>
            <w:r>
              <w:rPr>
                <w:color w:val="313E48"/>
              </w:rPr>
              <w:t>SDG</w:t>
            </w:r>
            <w:r w:rsidRPr="007E060E">
              <w:rPr>
                <w:color w:val="313E48"/>
              </w:rPr>
              <w:t>17</w:t>
            </w:r>
            <w:r>
              <w:rPr>
                <w:color w:val="313E48"/>
              </w:rPr>
              <w:t>:</w:t>
            </w:r>
            <w:r w:rsidRPr="007E060E">
              <w:rPr>
                <w:color w:val="313E48"/>
              </w:rPr>
              <w:t xml:space="preserve"> Partnerships for the goals</w:t>
            </w:r>
          </w:p>
        </w:tc>
      </w:tr>
      <w:tr w:rsidR="00EE16A1" w14:paraId="6D6D6C78" w14:textId="77777777" w:rsidTr="000070A5">
        <w:trPr>
          <w:trHeight w:val="700"/>
        </w:trPr>
        <w:tc>
          <w:tcPr>
            <w:tcW w:w="2409" w:type="dxa"/>
          </w:tcPr>
          <w:p w14:paraId="6130AF6B" w14:textId="016A3CAD" w:rsidR="00EE16A1" w:rsidRPr="00802862" w:rsidRDefault="00EE16A1" w:rsidP="00A209DB">
            <w:pPr>
              <w:spacing w:line="254" w:lineRule="auto"/>
              <w:rPr>
                <w:rFonts w:ascii="Calibri Light" w:hAnsi="Calibri Light" w:cs="Calibri Light"/>
                <w:color w:val="313E48"/>
                <w:sz w:val="20"/>
                <w:szCs w:val="20"/>
              </w:rPr>
            </w:pPr>
            <w:r>
              <w:rPr>
                <w:rFonts w:ascii="Calibri Light" w:hAnsi="Calibri Light" w:cs="Calibri Light"/>
                <w:color w:val="313E48"/>
                <w:sz w:val="20"/>
                <w:szCs w:val="20"/>
              </w:rPr>
              <w:t>Localisation</w:t>
            </w:r>
          </w:p>
        </w:tc>
        <w:tc>
          <w:tcPr>
            <w:tcW w:w="2409" w:type="dxa"/>
          </w:tcPr>
          <w:p w14:paraId="722C05E8" w14:textId="649FBD30" w:rsidR="00EE16A1" w:rsidRPr="00BF0A7A" w:rsidRDefault="00EE16A1" w:rsidP="00A209DB">
            <w:pPr>
              <w:spacing w:line="254" w:lineRule="auto"/>
              <w:rPr>
                <w:rFonts w:ascii="Calibri Light" w:hAnsi="Calibri Light" w:cs="Calibri Light"/>
                <w:color w:val="313E48"/>
                <w:sz w:val="20"/>
                <w:szCs w:val="20"/>
              </w:rPr>
            </w:pPr>
            <w:r w:rsidRPr="00802862">
              <w:rPr>
                <w:rFonts w:ascii="Calibri Light" w:hAnsi="Calibri Light" w:cs="Calibri Light"/>
                <w:color w:val="313E48"/>
                <w:sz w:val="20"/>
                <w:szCs w:val="20"/>
              </w:rPr>
              <w:t>Number and dollar value of local contracts and grants – Managing Contractors (Tier</w:t>
            </w:r>
            <w:r>
              <w:rPr>
                <w:rFonts w:ascii="Calibri Light" w:hAnsi="Calibri Light" w:cs="Calibri Light"/>
                <w:color w:val="313E48"/>
                <w:sz w:val="20"/>
                <w:szCs w:val="20"/>
              </w:rPr>
              <w:t> </w:t>
            </w:r>
            <w:r w:rsidRPr="00802862">
              <w:rPr>
                <w:rFonts w:ascii="Calibri Light" w:hAnsi="Calibri Light" w:cs="Calibri Light"/>
                <w:color w:val="313E48"/>
                <w:sz w:val="20"/>
                <w:szCs w:val="20"/>
              </w:rPr>
              <w:t>3)</w:t>
            </w:r>
            <w:hyperlink w:anchor="T3nc" w:history="1">
              <w:r w:rsidR="00F545F0" w:rsidRPr="00F545F0">
                <w:rPr>
                  <w:rStyle w:val="tablehyperlink"/>
                </w:rPr>
                <w:t>c</w:t>
              </w:r>
            </w:hyperlink>
          </w:p>
        </w:tc>
        <w:tc>
          <w:tcPr>
            <w:tcW w:w="2409" w:type="dxa"/>
          </w:tcPr>
          <w:p w14:paraId="1DEB9868" w14:textId="272B309F" w:rsidR="00EE16A1" w:rsidRPr="00A951F0" w:rsidDel="00336690" w:rsidRDefault="009C1AD1" w:rsidP="00A209DB">
            <w:pPr>
              <w:pStyle w:val="TableBodyCopy"/>
              <w:rPr>
                <w:szCs w:val="22"/>
              </w:rPr>
            </w:pPr>
            <w:r>
              <w:rPr>
                <w:color w:val="313E48"/>
              </w:rPr>
              <w:t>Results collected centrally</w:t>
            </w:r>
          </w:p>
        </w:tc>
        <w:tc>
          <w:tcPr>
            <w:tcW w:w="2409" w:type="dxa"/>
          </w:tcPr>
          <w:p w14:paraId="7242A2D2" w14:textId="3EF517C2" w:rsidR="00EE16A1" w:rsidRDefault="009C1AD1" w:rsidP="00A209DB">
            <w:pPr>
              <w:pStyle w:val="TableBodyCopy"/>
              <w:rPr>
                <w:szCs w:val="22"/>
              </w:rPr>
            </w:pPr>
            <w:r>
              <w:rPr>
                <w:color w:val="313E48"/>
              </w:rPr>
              <w:t>Results collected centrally</w:t>
            </w:r>
          </w:p>
        </w:tc>
        <w:tc>
          <w:tcPr>
            <w:tcW w:w="2409" w:type="dxa"/>
          </w:tcPr>
          <w:p w14:paraId="016D58B7" w14:textId="5B9D38B4" w:rsidR="00EE16A1" w:rsidRDefault="009C1AD1" w:rsidP="00A209DB">
            <w:pPr>
              <w:pStyle w:val="TableBodyCopy"/>
              <w:rPr>
                <w:szCs w:val="22"/>
              </w:rPr>
            </w:pPr>
            <w:r>
              <w:rPr>
                <w:color w:val="313E48"/>
              </w:rPr>
              <w:t>Results collected centrally</w:t>
            </w:r>
          </w:p>
        </w:tc>
        <w:tc>
          <w:tcPr>
            <w:tcW w:w="2409" w:type="dxa"/>
          </w:tcPr>
          <w:p w14:paraId="5AF112DC" w14:textId="2CC4AFCB" w:rsidR="00EE16A1" w:rsidRDefault="00EE16A1" w:rsidP="00A209DB">
            <w:pPr>
              <w:pStyle w:val="TableBodyCopy"/>
              <w:rPr>
                <w:color w:val="313E48"/>
              </w:rPr>
            </w:pPr>
            <w:r>
              <w:rPr>
                <w:color w:val="313E48"/>
              </w:rPr>
              <w:t>SDG</w:t>
            </w:r>
            <w:r w:rsidRPr="007E060E">
              <w:rPr>
                <w:color w:val="313E48"/>
              </w:rPr>
              <w:t>17</w:t>
            </w:r>
          </w:p>
        </w:tc>
      </w:tr>
      <w:tr w:rsidR="00EE16A1" w14:paraId="70D80393" w14:textId="77777777" w:rsidTr="000070A5">
        <w:trPr>
          <w:trHeight w:val="700"/>
        </w:trPr>
        <w:tc>
          <w:tcPr>
            <w:tcW w:w="2409" w:type="dxa"/>
          </w:tcPr>
          <w:p w14:paraId="1AA1A72E" w14:textId="76D2AC84" w:rsidR="00EE16A1" w:rsidRPr="00802862" w:rsidRDefault="00EE16A1" w:rsidP="00BF0A7A">
            <w:pPr>
              <w:spacing w:line="254" w:lineRule="auto"/>
              <w:rPr>
                <w:rFonts w:ascii="Calibri Light" w:hAnsi="Calibri Light" w:cs="Calibri Light"/>
                <w:color w:val="313E48"/>
                <w:sz w:val="20"/>
                <w:szCs w:val="20"/>
              </w:rPr>
            </w:pPr>
            <w:r>
              <w:rPr>
                <w:rFonts w:ascii="Calibri Light" w:hAnsi="Calibri Light" w:cs="Calibri Light"/>
                <w:color w:val="313E48"/>
                <w:sz w:val="20"/>
                <w:szCs w:val="20"/>
              </w:rPr>
              <w:t>Localisation</w:t>
            </w:r>
          </w:p>
        </w:tc>
        <w:tc>
          <w:tcPr>
            <w:tcW w:w="2409" w:type="dxa"/>
          </w:tcPr>
          <w:p w14:paraId="76D004DD" w14:textId="27FACDCB" w:rsidR="00EE16A1" w:rsidRPr="00BF0A7A" w:rsidRDefault="00543FFD" w:rsidP="00BF0A7A">
            <w:pPr>
              <w:spacing w:line="254" w:lineRule="auto"/>
              <w:rPr>
                <w:rFonts w:ascii="Calibri Light" w:hAnsi="Calibri Light" w:cs="Calibri Light"/>
                <w:color w:val="313E48"/>
                <w:sz w:val="20"/>
                <w:szCs w:val="20"/>
              </w:rPr>
            </w:pPr>
            <w:r>
              <w:rPr>
                <w:rFonts w:ascii="Calibri Light" w:hAnsi="Calibri Light" w:cs="Calibri Light"/>
                <w:color w:val="313E48"/>
                <w:sz w:val="20"/>
                <w:szCs w:val="20"/>
              </w:rPr>
              <w:t>Percentage</w:t>
            </w:r>
            <w:r w:rsidR="00EE16A1" w:rsidRPr="00802862">
              <w:rPr>
                <w:rFonts w:ascii="Calibri Light" w:hAnsi="Calibri Light" w:cs="Calibri Light"/>
                <w:color w:val="313E48"/>
                <w:sz w:val="20"/>
                <w:szCs w:val="20"/>
              </w:rPr>
              <w:t xml:space="preserve"> of bilateral investment designs and evaluations </w:t>
            </w:r>
            <w:r w:rsidR="00A27753">
              <w:rPr>
                <w:rFonts w:ascii="Calibri Light" w:hAnsi="Calibri Light" w:cs="Calibri Light"/>
                <w:color w:val="313E48"/>
                <w:sz w:val="20"/>
                <w:szCs w:val="20"/>
              </w:rPr>
              <w:t xml:space="preserve">that </w:t>
            </w:r>
            <w:r w:rsidR="00EE16A1" w:rsidRPr="00802862">
              <w:rPr>
                <w:rFonts w:ascii="Calibri Light" w:hAnsi="Calibri Light" w:cs="Calibri Light"/>
                <w:color w:val="313E48"/>
                <w:sz w:val="20"/>
                <w:szCs w:val="20"/>
              </w:rPr>
              <w:t>include local participation (Tier</w:t>
            </w:r>
            <w:r w:rsidR="00EE16A1">
              <w:rPr>
                <w:rFonts w:ascii="Calibri Light" w:hAnsi="Calibri Light" w:cs="Calibri Light"/>
                <w:color w:val="313E48"/>
                <w:sz w:val="20"/>
                <w:szCs w:val="20"/>
              </w:rPr>
              <w:t> </w:t>
            </w:r>
            <w:r w:rsidR="00EE16A1" w:rsidRPr="00802862">
              <w:rPr>
                <w:rFonts w:ascii="Calibri Light" w:hAnsi="Calibri Light" w:cs="Calibri Light"/>
                <w:color w:val="313E48"/>
                <w:sz w:val="20"/>
                <w:szCs w:val="20"/>
              </w:rPr>
              <w:t>3)</w:t>
            </w:r>
          </w:p>
        </w:tc>
        <w:tc>
          <w:tcPr>
            <w:tcW w:w="2409" w:type="dxa"/>
          </w:tcPr>
          <w:p w14:paraId="25578AB2" w14:textId="6708EAE8" w:rsidR="00EE16A1" w:rsidRDefault="00EE16A1" w:rsidP="00BF0A7A">
            <w:pPr>
              <w:pStyle w:val="TableBodyCopy"/>
            </w:pPr>
            <w:r>
              <w:t>50%</w:t>
            </w:r>
          </w:p>
        </w:tc>
        <w:tc>
          <w:tcPr>
            <w:tcW w:w="2409" w:type="dxa"/>
          </w:tcPr>
          <w:p w14:paraId="2A70A49C" w14:textId="5C28AAAF" w:rsidR="00EE16A1" w:rsidRDefault="00EE16A1" w:rsidP="00BF0A7A">
            <w:pPr>
              <w:pStyle w:val="TableBodyCopy"/>
              <w:rPr>
                <w:color w:val="313E48"/>
              </w:rPr>
            </w:pPr>
            <w:r w:rsidRPr="00FA09B6">
              <w:rPr>
                <w:color w:val="313E48"/>
              </w:rPr>
              <w:t>65%</w:t>
            </w:r>
          </w:p>
        </w:tc>
        <w:tc>
          <w:tcPr>
            <w:tcW w:w="2409" w:type="dxa"/>
          </w:tcPr>
          <w:p w14:paraId="3E67B543" w14:textId="1F28E4B3" w:rsidR="00EE16A1" w:rsidRDefault="00EE16A1" w:rsidP="00BF0A7A">
            <w:pPr>
              <w:pStyle w:val="TableBodyCopy"/>
              <w:rPr>
                <w:color w:val="313E48"/>
              </w:rPr>
            </w:pPr>
            <w:r w:rsidRPr="00FA09B6">
              <w:rPr>
                <w:color w:val="313E48"/>
              </w:rPr>
              <w:t>80%</w:t>
            </w:r>
          </w:p>
        </w:tc>
        <w:tc>
          <w:tcPr>
            <w:tcW w:w="2409" w:type="dxa"/>
          </w:tcPr>
          <w:p w14:paraId="2BA194D9" w14:textId="6BDA33E5" w:rsidR="00EE16A1" w:rsidRPr="007E060E" w:rsidDel="00022691" w:rsidRDefault="00EE16A1" w:rsidP="00BF0A7A">
            <w:pPr>
              <w:pStyle w:val="TableBodyCopy"/>
              <w:rPr>
                <w:color w:val="313E48"/>
              </w:rPr>
            </w:pPr>
            <w:r>
              <w:rPr>
                <w:color w:val="313E48"/>
              </w:rPr>
              <w:t>SDG</w:t>
            </w:r>
            <w:r w:rsidRPr="007E060E">
              <w:rPr>
                <w:color w:val="313E48"/>
              </w:rPr>
              <w:t>17</w:t>
            </w:r>
          </w:p>
        </w:tc>
      </w:tr>
    </w:tbl>
    <w:p w14:paraId="316B5A22" w14:textId="13DFACC5" w:rsidR="009A0559" w:rsidRDefault="00933162" w:rsidP="000D793E">
      <w:pPr>
        <w:pStyle w:val="Tablenote"/>
      </w:pPr>
      <w:bookmarkStart w:id="6" w:name="T3nc"/>
      <w:r>
        <w:t>c</w:t>
      </w:r>
      <w:bookmarkEnd w:id="6"/>
      <w:r>
        <w:tab/>
        <w:t xml:space="preserve">Targets are not required for this indicator. Actual results are </w:t>
      </w:r>
      <w:r w:rsidR="00A453ED">
        <w:t xml:space="preserve">collected </w:t>
      </w:r>
      <w:r>
        <w:t>centrally and will be published.</w:t>
      </w:r>
      <w:bookmarkStart w:id="7" w:name="T3nd"/>
    </w:p>
    <w:p w14:paraId="62DA59B5" w14:textId="1FF0BE63" w:rsidR="009A0559" w:rsidRPr="000B04E1" w:rsidRDefault="009A0559" w:rsidP="00FA3685">
      <w:pPr>
        <w:pStyle w:val="Tablenote"/>
        <w:sectPr w:rsidR="009A0559" w:rsidRPr="000B04E1" w:rsidSect="007E0880">
          <w:headerReference w:type="default" r:id="rId17"/>
          <w:footerReference w:type="default" r:id="rId18"/>
          <w:endnotePr>
            <w:numFmt w:val="decimal"/>
          </w:endnotePr>
          <w:pgSz w:w="16838" w:h="11906" w:orient="landscape" w:code="9"/>
          <w:pgMar w:top="1134" w:right="1418" w:bottom="851" w:left="992" w:header="340" w:footer="414" w:gutter="0"/>
          <w:cols w:space="708"/>
          <w:noEndnote/>
          <w:docGrid w:linePitch="360"/>
        </w:sectPr>
      </w:pPr>
    </w:p>
    <w:bookmarkEnd w:id="7"/>
    <w:p w14:paraId="6DB05183" w14:textId="3A91B6E2" w:rsidR="002F4955" w:rsidRPr="00291082" w:rsidRDefault="002F4955" w:rsidP="00AD414A">
      <w:pPr>
        <w:pStyle w:val="H2-Heading2"/>
      </w:pPr>
      <w:r w:rsidRPr="00291082">
        <w:lastRenderedPageBreak/>
        <w:t>Annex 1</w:t>
      </w:r>
      <w:r w:rsidR="00ED6FB8">
        <w:t>: Supporting investments/activities in South Asia</w:t>
      </w:r>
    </w:p>
    <w:p w14:paraId="203409D9" w14:textId="139523ED" w:rsidR="002F4955" w:rsidRDefault="00B719B9" w:rsidP="008F7173">
      <w:pPr>
        <w:rPr>
          <w:lang w:eastAsia="en-AU"/>
        </w:rPr>
      </w:pPr>
      <w:r>
        <w:rPr>
          <w:lang w:eastAsia="en-AU"/>
        </w:rPr>
        <w:t>Australian G</w:t>
      </w:r>
      <w:r w:rsidR="002F4955" w:rsidRPr="413282F0">
        <w:rPr>
          <w:lang w:eastAsia="en-AU"/>
        </w:rPr>
        <w:t xml:space="preserve">overnment supporting investments/activities for </w:t>
      </w:r>
      <w:r>
        <w:rPr>
          <w:lang w:eastAsia="en-AU"/>
        </w:rPr>
        <w:t>O</w:t>
      </w:r>
      <w:r w:rsidR="002F4955" w:rsidRPr="413282F0">
        <w:rPr>
          <w:lang w:eastAsia="en-AU"/>
        </w:rPr>
        <w:t>bjective 1</w:t>
      </w:r>
      <w:r w:rsidR="00A4755E">
        <w:rPr>
          <w:lang w:eastAsia="en-AU"/>
        </w:rPr>
        <w:t xml:space="preserve"> – </w:t>
      </w:r>
      <w:r w:rsidR="00260076">
        <w:rPr>
          <w:lang w:eastAsia="en-AU"/>
        </w:rPr>
        <w:t>Enhance economic growth, regional cooperation and linkages</w:t>
      </w:r>
      <w:r w:rsidR="002F4955" w:rsidRPr="413282F0">
        <w:rPr>
          <w:lang w:eastAsia="en-AU"/>
        </w:rPr>
        <w:t xml:space="preserve"> </w:t>
      </w:r>
      <w:r w:rsidR="002213B9" w:rsidRPr="413282F0">
        <w:rPr>
          <w:lang w:eastAsia="en-AU"/>
        </w:rPr>
        <w:t>(</w:t>
      </w:r>
      <w:r w:rsidR="000F53E9">
        <w:rPr>
          <w:rFonts w:eastAsia="Calibri Light"/>
        </w:rPr>
        <w:t>regional and global</w:t>
      </w:r>
      <w:r w:rsidR="002213B9" w:rsidRPr="1121DF86">
        <w:rPr>
          <w:rFonts w:eastAsia="Calibri Light"/>
        </w:rPr>
        <w:t xml:space="preserve"> </w:t>
      </w:r>
      <w:r w:rsidR="002213B9" w:rsidRPr="1121DF86">
        <w:rPr>
          <w:lang w:eastAsia="en-AU"/>
        </w:rPr>
        <w:t xml:space="preserve">Official Development Assistance (ODA) and significant non-ODA development </w:t>
      </w:r>
      <w:r w:rsidR="002213B9" w:rsidRPr="413282F0">
        <w:rPr>
          <w:lang w:eastAsia="en-AU"/>
        </w:rPr>
        <w:t>investments</w:t>
      </w:r>
      <w:r w:rsidR="002213B9">
        <w:rPr>
          <w:lang w:eastAsia="en-AU"/>
        </w:rPr>
        <w:t>/</w:t>
      </w:r>
      <w:r w:rsidR="002213B9" w:rsidRPr="1121DF86">
        <w:rPr>
          <w:lang w:eastAsia="en-AU"/>
        </w:rPr>
        <w:t>activities</w:t>
      </w:r>
      <w:r w:rsidR="002213B9">
        <w:rPr>
          <w:lang w:eastAsia="en-AU"/>
        </w:rPr>
        <w:t>)</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stralian Government supporting investments/activities for Objective 1"/>
        <w:tblDescription w:val="Investments and activities, duration and key partners"/>
      </w:tblPr>
      <w:tblGrid>
        <w:gridCol w:w="4106"/>
        <w:gridCol w:w="2690"/>
        <w:gridCol w:w="3398"/>
      </w:tblGrid>
      <w:tr w:rsidR="002F4955" w:rsidRPr="007C2DA9" w14:paraId="717CD946" w14:textId="77777777" w:rsidTr="002D14A6">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106" w:type="dxa"/>
          </w:tcPr>
          <w:p w14:paraId="076A9C08" w14:textId="77777777" w:rsidR="002F4955" w:rsidRPr="007C2DA9" w:rsidRDefault="002F4955" w:rsidP="00CE3F43">
            <w:pPr>
              <w:pStyle w:val="TableHeading"/>
              <w:rPr>
                <w:b w:val="0"/>
                <w:bCs/>
              </w:rPr>
            </w:pPr>
            <w:r w:rsidRPr="007C2DA9">
              <w:rPr>
                <w:bCs/>
              </w:rPr>
              <w:t>Name of investment/activity</w:t>
            </w:r>
          </w:p>
        </w:tc>
        <w:tc>
          <w:tcPr>
            <w:tcW w:w="2690" w:type="dxa"/>
          </w:tcPr>
          <w:p w14:paraId="1FF09C5A" w14:textId="77777777" w:rsidR="002F4955" w:rsidRPr="007C2DA9" w:rsidRDefault="43B63052" w:rsidP="00CE3F43">
            <w:pPr>
              <w:pStyle w:val="TableHeading"/>
              <w:cnfStyle w:val="100000000000" w:firstRow="1" w:lastRow="0" w:firstColumn="0" w:lastColumn="0" w:oddVBand="0" w:evenVBand="0" w:oddHBand="0" w:evenHBand="0" w:firstRowFirstColumn="0" w:firstRowLastColumn="0" w:lastRowFirstColumn="0" w:lastRowLastColumn="0"/>
              <w:rPr>
                <w:b w:val="0"/>
                <w:bCs/>
              </w:rPr>
            </w:pPr>
            <w:r w:rsidRPr="007C2DA9">
              <w:rPr>
                <w:bCs/>
              </w:rPr>
              <w:t>Duration</w:t>
            </w:r>
          </w:p>
        </w:tc>
        <w:tc>
          <w:tcPr>
            <w:tcW w:w="3398" w:type="dxa"/>
          </w:tcPr>
          <w:p w14:paraId="6CAADA12" w14:textId="77777777" w:rsidR="002F4955" w:rsidRPr="007C2DA9" w:rsidRDefault="002F4955" w:rsidP="00CE3F43">
            <w:pPr>
              <w:pStyle w:val="TableHeading"/>
              <w:cnfStyle w:val="100000000000" w:firstRow="1" w:lastRow="0" w:firstColumn="0" w:lastColumn="0" w:oddVBand="0" w:evenVBand="0" w:oddHBand="0" w:evenHBand="0" w:firstRowFirstColumn="0" w:firstRowLastColumn="0" w:lastRowFirstColumn="0" w:lastRowLastColumn="0"/>
              <w:rPr>
                <w:b w:val="0"/>
                <w:bCs/>
              </w:rPr>
            </w:pPr>
            <w:r w:rsidRPr="007C2DA9">
              <w:rPr>
                <w:bCs/>
              </w:rPr>
              <w:t>Key partners</w:t>
            </w:r>
          </w:p>
        </w:tc>
      </w:tr>
      <w:tr w:rsidR="007C635C" w14:paraId="4CD1D2A8" w14:textId="77777777" w:rsidTr="002D14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1B49B412" w14:textId="3ECC81A9" w:rsidR="007C635C" w:rsidRPr="001E1E64" w:rsidRDefault="007C635C" w:rsidP="00D72B3A">
            <w:pPr>
              <w:pStyle w:val="TableBodyCopy"/>
            </w:pPr>
            <w:r w:rsidRPr="001E1E64">
              <w:t xml:space="preserve">South Asia Regional Infrastructure Connectivity </w:t>
            </w:r>
            <w:r w:rsidR="001B6282" w:rsidRPr="001E1E64">
              <w:t xml:space="preserve">program </w:t>
            </w:r>
            <w:r w:rsidRPr="001E1E64">
              <w:t>(SARIC)</w:t>
            </w:r>
          </w:p>
          <w:p w14:paraId="5DA852A1" w14:textId="2743026C" w:rsidR="00BC033C" w:rsidRDefault="00BC033C" w:rsidP="00D72B3A">
            <w:pPr>
              <w:pStyle w:val="TableBodyCopy"/>
            </w:pPr>
            <w:r w:rsidRPr="00D72B3A">
              <w:t>(regional)</w:t>
            </w:r>
          </w:p>
        </w:tc>
        <w:tc>
          <w:tcPr>
            <w:tcW w:w="2690" w:type="dxa"/>
            <w:shd w:val="clear" w:color="auto" w:fill="D2DEE7" w:themeFill="accent1" w:themeFillTint="33"/>
          </w:tcPr>
          <w:p w14:paraId="1D76E29A" w14:textId="249E0387" w:rsidR="007C635C" w:rsidRDefault="007C635C" w:rsidP="007C635C">
            <w:pPr>
              <w:pStyle w:val="TableBodyCopy"/>
              <w:cnfStyle w:val="000000100000" w:firstRow="0" w:lastRow="0" w:firstColumn="0" w:lastColumn="0" w:oddVBand="0" w:evenVBand="0" w:oddHBand="1" w:evenHBand="0" w:firstRowFirstColumn="0" w:firstRowLastColumn="0" w:lastRowFirstColumn="0" w:lastRowLastColumn="0"/>
            </w:pPr>
            <w:r w:rsidRPr="00A80004">
              <w:rPr>
                <w:color w:val="000000" w:themeColor="text1"/>
              </w:rPr>
              <w:t>2019</w:t>
            </w:r>
            <w:r>
              <w:rPr>
                <w:color w:val="000000" w:themeColor="text1"/>
              </w:rPr>
              <w:t>–</w:t>
            </w:r>
            <w:r w:rsidRPr="00A80004">
              <w:rPr>
                <w:color w:val="000000" w:themeColor="text1"/>
              </w:rPr>
              <w:t>2025</w:t>
            </w:r>
          </w:p>
        </w:tc>
        <w:tc>
          <w:tcPr>
            <w:tcW w:w="3398" w:type="dxa"/>
            <w:shd w:val="clear" w:color="auto" w:fill="F2F2F2" w:themeFill="background1" w:themeFillShade="F2"/>
          </w:tcPr>
          <w:p w14:paraId="74DFE7F0" w14:textId="2D130859" w:rsidR="007C635C" w:rsidRDefault="007C635C" w:rsidP="007C635C">
            <w:pPr>
              <w:pStyle w:val="TableBodyCopy"/>
              <w:cnfStyle w:val="000000100000" w:firstRow="0" w:lastRow="0" w:firstColumn="0" w:lastColumn="0" w:oddVBand="0" w:evenVBand="0" w:oddHBand="1" w:evenHBand="0" w:firstRowFirstColumn="0" w:firstRowLastColumn="0" w:lastRowFirstColumn="0" w:lastRowLastColumn="0"/>
            </w:pPr>
            <w:r w:rsidRPr="00A80004">
              <w:rPr>
                <w:color w:val="000000" w:themeColor="text1"/>
              </w:rPr>
              <w:t>World Bank</w:t>
            </w:r>
            <w:r w:rsidR="00E87BA8">
              <w:rPr>
                <w:color w:val="000000" w:themeColor="text1"/>
              </w:rPr>
              <w:t>;</w:t>
            </w:r>
            <w:r w:rsidRPr="00A80004">
              <w:rPr>
                <w:color w:val="000000" w:themeColor="text1"/>
              </w:rPr>
              <w:t xml:space="preserve"> I</w:t>
            </w:r>
            <w:r w:rsidR="00F33616">
              <w:rPr>
                <w:color w:val="000000" w:themeColor="text1"/>
              </w:rPr>
              <w:t xml:space="preserve">nternational </w:t>
            </w:r>
            <w:r>
              <w:rPr>
                <w:color w:val="000000" w:themeColor="text1"/>
              </w:rPr>
              <w:t>F</w:t>
            </w:r>
            <w:r w:rsidR="00F33616">
              <w:rPr>
                <w:color w:val="000000" w:themeColor="text1"/>
              </w:rPr>
              <w:t xml:space="preserve">inance </w:t>
            </w:r>
            <w:r>
              <w:rPr>
                <w:color w:val="000000" w:themeColor="text1"/>
              </w:rPr>
              <w:t>C</w:t>
            </w:r>
            <w:r w:rsidR="00F33616">
              <w:rPr>
                <w:color w:val="000000" w:themeColor="text1"/>
              </w:rPr>
              <w:t>orporation</w:t>
            </w:r>
            <w:r w:rsidR="00E87BA8">
              <w:rPr>
                <w:color w:val="000000" w:themeColor="text1"/>
              </w:rPr>
              <w:t>;</w:t>
            </w:r>
            <w:r w:rsidRPr="00A80004">
              <w:rPr>
                <w:color w:val="000000" w:themeColor="text1"/>
              </w:rPr>
              <w:t xml:space="preserve"> Palladium</w:t>
            </w:r>
            <w:r w:rsidR="00E87BA8">
              <w:rPr>
                <w:color w:val="000000" w:themeColor="text1"/>
              </w:rPr>
              <w:t>;</w:t>
            </w:r>
            <w:r w:rsidRPr="00A80004">
              <w:rPr>
                <w:color w:val="000000" w:themeColor="text1"/>
              </w:rPr>
              <w:t xml:space="preserve"> Adam Smith International </w:t>
            </w:r>
          </w:p>
        </w:tc>
      </w:tr>
      <w:tr w:rsidR="007C635C" w14:paraId="3BA0030E" w14:textId="77777777" w:rsidTr="002D14A6">
        <w:trPr>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6CE659A7" w14:textId="48FEE7C5" w:rsidR="007C635C" w:rsidRDefault="007C635C" w:rsidP="007C635C">
            <w:pPr>
              <w:pStyle w:val="TableBodyCopy"/>
              <w:rPr>
                <w:b w:val="0"/>
                <w:bCs w:val="0"/>
                <w:color w:val="000000"/>
                <w:lang w:eastAsia="en-AU"/>
              </w:rPr>
            </w:pPr>
            <w:r>
              <w:rPr>
                <w:color w:val="000000"/>
                <w:lang w:eastAsia="en-AU"/>
              </w:rPr>
              <w:t>Australia Awards in South Asia and Mongolia (AASAM</w:t>
            </w:r>
            <w:r w:rsidR="0006212F">
              <w:rPr>
                <w:color w:val="000000"/>
                <w:lang w:eastAsia="en-AU"/>
              </w:rPr>
              <w:t>)</w:t>
            </w:r>
          </w:p>
          <w:p w14:paraId="288B433C" w14:textId="0A1A0BC5" w:rsidR="00BC033C" w:rsidRDefault="00BC033C" w:rsidP="007C635C">
            <w:pPr>
              <w:pStyle w:val="TableBodyCopy"/>
            </w:pPr>
            <w:r>
              <w:rPr>
                <w:color w:val="000000"/>
              </w:rPr>
              <w:t>(regional)</w:t>
            </w:r>
          </w:p>
        </w:tc>
        <w:tc>
          <w:tcPr>
            <w:tcW w:w="2690" w:type="dxa"/>
            <w:shd w:val="clear" w:color="auto" w:fill="D2DEE7" w:themeFill="accent1" w:themeFillTint="33"/>
          </w:tcPr>
          <w:p w14:paraId="019F243A" w14:textId="4E341BC4" w:rsidR="007C635C" w:rsidRDefault="007C635C" w:rsidP="007C635C">
            <w:pPr>
              <w:pStyle w:val="TableBodyCopy"/>
              <w:cnfStyle w:val="000000000000" w:firstRow="0" w:lastRow="0" w:firstColumn="0" w:lastColumn="0" w:oddVBand="0" w:evenVBand="0" w:oddHBand="0" w:evenHBand="0" w:firstRowFirstColumn="0" w:firstRowLastColumn="0" w:lastRowFirstColumn="0" w:lastRowLastColumn="0"/>
            </w:pPr>
            <w:r w:rsidRPr="00A80004">
              <w:rPr>
                <w:color w:val="000000" w:themeColor="text1"/>
              </w:rPr>
              <w:t>2021</w:t>
            </w:r>
            <w:r>
              <w:rPr>
                <w:color w:val="000000" w:themeColor="text1"/>
              </w:rPr>
              <w:t>–</w:t>
            </w:r>
            <w:r w:rsidRPr="00A80004">
              <w:rPr>
                <w:color w:val="000000" w:themeColor="text1"/>
              </w:rPr>
              <w:t>2</w:t>
            </w:r>
            <w:r>
              <w:rPr>
                <w:color w:val="000000" w:themeColor="text1"/>
              </w:rPr>
              <w:t>02</w:t>
            </w:r>
            <w:r w:rsidRPr="00A80004">
              <w:rPr>
                <w:color w:val="000000" w:themeColor="text1"/>
              </w:rPr>
              <w:t xml:space="preserve">4 (extensions possible </w:t>
            </w:r>
            <w:r w:rsidR="006474FD">
              <w:rPr>
                <w:color w:val="000000" w:themeColor="text1"/>
              </w:rPr>
              <w:t>until</w:t>
            </w:r>
            <w:r w:rsidRPr="00A80004">
              <w:rPr>
                <w:color w:val="000000" w:themeColor="text1"/>
              </w:rPr>
              <w:t xml:space="preserve"> 2030)</w:t>
            </w:r>
          </w:p>
        </w:tc>
        <w:tc>
          <w:tcPr>
            <w:tcW w:w="3398" w:type="dxa"/>
            <w:shd w:val="clear" w:color="auto" w:fill="F2F2F2" w:themeFill="background1" w:themeFillShade="F2"/>
          </w:tcPr>
          <w:p w14:paraId="513D66DD" w14:textId="427CFA3F" w:rsidR="007C635C" w:rsidRDefault="007C635C" w:rsidP="007C635C">
            <w:pPr>
              <w:pStyle w:val="TableBodyCopy"/>
              <w:cnfStyle w:val="000000000000" w:firstRow="0" w:lastRow="0" w:firstColumn="0" w:lastColumn="0" w:oddVBand="0" w:evenVBand="0" w:oddHBand="0" w:evenHBand="0" w:firstRowFirstColumn="0" w:firstRowLastColumn="0" w:lastRowFirstColumn="0" w:lastRowLastColumn="0"/>
            </w:pPr>
            <w:r w:rsidRPr="00A80004">
              <w:rPr>
                <w:color w:val="000000" w:themeColor="text1"/>
              </w:rPr>
              <w:t>Palladium</w:t>
            </w:r>
          </w:p>
        </w:tc>
      </w:tr>
      <w:tr w:rsidR="007C635C" w14:paraId="6D499FB7" w14:textId="77777777" w:rsidTr="002D14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7CDE4613" w14:textId="7A6E422A" w:rsidR="007C635C" w:rsidRDefault="00160ADB" w:rsidP="007C635C">
            <w:pPr>
              <w:pStyle w:val="TableBodyCopy"/>
              <w:rPr>
                <w:b w:val="0"/>
                <w:bCs w:val="0"/>
                <w:color w:val="000000"/>
                <w:lang w:eastAsia="en-AU"/>
              </w:rPr>
            </w:pPr>
            <w:r w:rsidRPr="00160ADB">
              <w:rPr>
                <w:color w:val="000000"/>
                <w:lang w:eastAsia="en-AU"/>
              </w:rPr>
              <w:t>Indian Ocean Rim Association</w:t>
            </w:r>
            <w:r>
              <w:rPr>
                <w:color w:val="000000"/>
                <w:lang w:eastAsia="en-AU"/>
              </w:rPr>
              <w:t xml:space="preserve"> (IORA) </w:t>
            </w:r>
            <w:r w:rsidR="00574DFE">
              <w:rPr>
                <w:color w:val="000000"/>
                <w:lang w:eastAsia="en-AU"/>
              </w:rPr>
              <w:t>s</w:t>
            </w:r>
            <w:r w:rsidR="007C635C">
              <w:rPr>
                <w:color w:val="000000"/>
                <w:lang w:eastAsia="en-AU"/>
              </w:rPr>
              <w:t xml:space="preserve">econdee </w:t>
            </w:r>
            <w:r w:rsidR="00574DFE">
              <w:rPr>
                <w:color w:val="000000"/>
                <w:lang w:eastAsia="en-AU"/>
              </w:rPr>
              <w:t>s</w:t>
            </w:r>
            <w:r w:rsidR="007C635C">
              <w:rPr>
                <w:color w:val="000000"/>
                <w:lang w:eastAsia="en-AU"/>
              </w:rPr>
              <w:t>upport</w:t>
            </w:r>
          </w:p>
          <w:p w14:paraId="04A1FC11" w14:textId="02A703B7" w:rsidR="00BC033C" w:rsidRDefault="00BC033C" w:rsidP="007C635C">
            <w:pPr>
              <w:pStyle w:val="TableBodyCopy"/>
            </w:pPr>
            <w:r>
              <w:rPr>
                <w:color w:val="000000"/>
              </w:rPr>
              <w:t>(regional)</w:t>
            </w:r>
          </w:p>
        </w:tc>
        <w:tc>
          <w:tcPr>
            <w:tcW w:w="2690" w:type="dxa"/>
            <w:shd w:val="clear" w:color="auto" w:fill="D2DEE7" w:themeFill="accent1" w:themeFillTint="33"/>
          </w:tcPr>
          <w:p w14:paraId="554FD2B2" w14:textId="5D955040" w:rsidR="007C635C" w:rsidRDefault="007C635C" w:rsidP="007C635C">
            <w:pPr>
              <w:pStyle w:val="TableBodyCopy"/>
              <w:cnfStyle w:val="000000100000" w:firstRow="0" w:lastRow="0" w:firstColumn="0" w:lastColumn="0" w:oddVBand="0" w:evenVBand="0" w:oddHBand="1" w:evenHBand="0" w:firstRowFirstColumn="0" w:firstRowLastColumn="0" w:lastRowFirstColumn="0" w:lastRowLastColumn="0"/>
            </w:pPr>
            <w:r w:rsidRPr="00A80004">
              <w:rPr>
                <w:color w:val="000000" w:themeColor="text1"/>
              </w:rPr>
              <w:t>2022</w:t>
            </w:r>
            <w:r>
              <w:rPr>
                <w:color w:val="000000" w:themeColor="text1"/>
              </w:rPr>
              <w:t>–</w:t>
            </w:r>
            <w:r w:rsidRPr="00A80004">
              <w:rPr>
                <w:color w:val="000000" w:themeColor="text1"/>
              </w:rPr>
              <w:t>2</w:t>
            </w:r>
            <w:r>
              <w:rPr>
                <w:color w:val="000000" w:themeColor="text1"/>
              </w:rPr>
              <w:t>02</w:t>
            </w:r>
            <w:r w:rsidRPr="00A80004">
              <w:rPr>
                <w:color w:val="000000" w:themeColor="text1"/>
              </w:rPr>
              <w:t>5</w:t>
            </w:r>
          </w:p>
        </w:tc>
        <w:tc>
          <w:tcPr>
            <w:tcW w:w="3398" w:type="dxa"/>
            <w:shd w:val="clear" w:color="auto" w:fill="F2F2F2" w:themeFill="background1" w:themeFillShade="F2"/>
          </w:tcPr>
          <w:p w14:paraId="7252CB2E" w14:textId="401A1B73" w:rsidR="007C635C" w:rsidRDefault="006474FD" w:rsidP="007C635C">
            <w:pPr>
              <w:pStyle w:val="TableBodyCopy"/>
              <w:cnfStyle w:val="000000100000" w:firstRow="0" w:lastRow="0" w:firstColumn="0" w:lastColumn="0" w:oddVBand="0" w:evenVBand="0" w:oddHBand="1" w:evenHBand="0" w:firstRowFirstColumn="0" w:firstRowLastColumn="0" w:lastRowFirstColumn="0" w:lastRowLastColumn="0"/>
            </w:pPr>
            <w:r>
              <w:rPr>
                <w:color w:val="000000" w:themeColor="text1"/>
              </w:rPr>
              <w:t>Australian Government Department of Foreign Affairs and Trade</w:t>
            </w:r>
          </w:p>
        </w:tc>
      </w:tr>
      <w:tr w:rsidR="007C635C" w14:paraId="5B09E42A" w14:textId="77777777" w:rsidTr="002D14A6">
        <w:trPr>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40CBA80F" w14:textId="59FE74B4" w:rsidR="007C635C" w:rsidRDefault="007C635C" w:rsidP="007C635C">
            <w:pPr>
              <w:pStyle w:val="TableBodyCopy"/>
              <w:rPr>
                <w:b w:val="0"/>
                <w:bCs w:val="0"/>
                <w:color w:val="000000"/>
                <w:lang w:eastAsia="en-AU"/>
              </w:rPr>
            </w:pPr>
            <w:r>
              <w:rPr>
                <w:color w:val="000000"/>
                <w:lang w:eastAsia="en-AU"/>
              </w:rPr>
              <w:t xml:space="preserve">Northeast Indian Ocean </w:t>
            </w:r>
            <w:r w:rsidR="00B718CF">
              <w:rPr>
                <w:color w:val="000000"/>
                <w:lang w:eastAsia="en-AU"/>
              </w:rPr>
              <w:t>m</w:t>
            </w:r>
            <w:r>
              <w:rPr>
                <w:color w:val="000000"/>
                <w:lang w:eastAsia="en-AU"/>
              </w:rPr>
              <w:t xml:space="preserve">aritime </w:t>
            </w:r>
            <w:r w:rsidR="00B718CF">
              <w:rPr>
                <w:color w:val="000000"/>
                <w:lang w:eastAsia="en-AU"/>
              </w:rPr>
              <w:t>d</w:t>
            </w:r>
            <w:r>
              <w:rPr>
                <w:color w:val="000000"/>
                <w:lang w:eastAsia="en-AU"/>
              </w:rPr>
              <w:t xml:space="preserve">omain </w:t>
            </w:r>
            <w:r w:rsidR="00B718CF">
              <w:rPr>
                <w:color w:val="000000"/>
                <w:lang w:eastAsia="en-AU"/>
              </w:rPr>
              <w:t>a</w:t>
            </w:r>
            <w:r>
              <w:rPr>
                <w:color w:val="000000"/>
                <w:lang w:eastAsia="en-AU"/>
              </w:rPr>
              <w:t xml:space="preserve">wareness </w:t>
            </w:r>
            <w:r w:rsidR="00B718CF">
              <w:rPr>
                <w:color w:val="000000"/>
                <w:lang w:eastAsia="en-AU"/>
              </w:rPr>
              <w:t>n</w:t>
            </w:r>
            <w:r>
              <w:rPr>
                <w:color w:val="000000"/>
                <w:lang w:eastAsia="en-AU"/>
              </w:rPr>
              <w:t xml:space="preserve">eeds </w:t>
            </w:r>
            <w:r w:rsidR="00B718CF">
              <w:rPr>
                <w:color w:val="000000"/>
                <w:lang w:eastAsia="en-AU"/>
              </w:rPr>
              <w:t>a</w:t>
            </w:r>
            <w:r>
              <w:rPr>
                <w:color w:val="000000"/>
                <w:lang w:eastAsia="en-AU"/>
              </w:rPr>
              <w:t>nalysis</w:t>
            </w:r>
          </w:p>
          <w:p w14:paraId="3C8120FF" w14:textId="1B38DC4A" w:rsidR="00BC033C" w:rsidRDefault="00BC033C" w:rsidP="007C635C">
            <w:pPr>
              <w:pStyle w:val="TableBodyCopy"/>
            </w:pPr>
            <w:r>
              <w:rPr>
                <w:color w:val="000000"/>
              </w:rPr>
              <w:t>(regional)</w:t>
            </w:r>
          </w:p>
        </w:tc>
        <w:tc>
          <w:tcPr>
            <w:tcW w:w="2690" w:type="dxa"/>
            <w:shd w:val="clear" w:color="auto" w:fill="D2DEE7" w:themeFill="accent1" w:themeFillTint="33"/>
          </w:tcPr>
          <w:p w14:paraId="40DBB7AB" w14:textId="1B984902" w:rsidR="007C635C" w:rsidRDefault="007C635C" w:rsidP="007C635C">
            <w:pPr>
              <w:pStyle w:val="TableBodyCopy"/>
              <w:cnfStyle w:val="000000000000" w:firstRow="0" w:lastRow="0" w:firstColumn="0" w:lastColumn="0" w:oddVBand="0" w:evenVBand="0" w:oddHBand="0" w:evenHBand="0" w:firstRowFirstColumn="0" w:firstRowLastColumn="0" w:lastRowFirstColumn="0" w:lastRowLastColumn="0"/>
            </w:pPr>
            <w:r w:rsidRPr="00A80004">
              <w:rPr>
                <w:color w:val="000000" w:themeColor="text1"/>
              </w:rPr>
              <w:t>2023</w:t>
            </w:r>
            <w:r>
              <w:rPr>
                <w:color w:val="000000" w:themeColor="text1"/>
              </w:rPr>
              <w:t>–</w:t>
            </w:r>
            <w:r w:rsidRPr="00A80004">
              <w:rPr>
                <w:color w:val="000000" w:themeColor="text1"/>
              </w:rPr>
              <w:t>2</w:t>
            </w:r>
            <w:r>
              <w:rPr>
                <w:color w:val="000000" w:themeColor="text1"/>
              </w:rPr>
              <w:t>02</w:t>
            </w:r>
            <w:r w:rsidRPr="00A80004">
              <w:rPr>
                <w:color w:val="000000" w:themeColor="text1"/>
              </w:rPr>
              <w:t>5</w:t>
            </w:r>
          </w:p>
        </w:tc>
        <w:tc>
          <w:tcPr>
            <w:tcW w:w="3398" w:type="dxa"/>
            <w:shd w:val="clear" w:color="auto" w:fill="F2F2F2" w:themeFill="background1" w:themeFillShade="F2"/>
          </w:tcPr>
          <w:p w14:paraId="4821FD94" w14:textId="449BDE2C" w:rsidR="007C635C" w:rsidRDefault="007C635C" w:rsidP="007C635C">
            <w:pPr>
              <w:pStyle w:val="TableBodyCopy"/>
              <w:cnfStyle w:val="000000000000" w:firstRow="0" w:lastRow="0" w:firstColumn="0" w:lastColumn="0" w:oddVBand="0" w:evenVBand="0" w:oddHBand="0" w:evenHBand="0" w:firstRowFirstColumn="0" w:firstRowLastColumn="0" w:lastRowFirstColumn="0" w:lastRowLastColumn="0"/>
            </w:pPr>
            <w:r w:rsidRPr="00A80004">
              <w:rPr>
                <w:color w:val="000000" w:themeColor="text1"/>
              </w:rPr>
              <w:t>Australian National University</w:t>
            </w:r>
          </w:p>
        </w:tc>
      </w:tr>
      <w:tr w:rsidR="007C635C" w14:paraId="0FD472FE" w14:textId="77777777" w:rsidTr="002D14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7A95D1F9" w14:textId="77777777" w:rsidR="007C635C" w:rsidRDefault="007C635C" w:rsidP="007C635C">
            <w:pPr>
              <w:pStyle w:val="TableBodyCopy"/>
              <w:rPr>
                <w:b w:val="0"/>
                <w:bCs w:val="0"/>
                <w:color w:val="000000"/>
                <w:lang w:eastAsia="en-AU"/>
              </w:rPr>
            </w:pPr>
            <w:r w:rsidRPr="003E6C44">
              <w:rPr>
                <w:color w:val="000000"/>
                <w:lang w:eastAsia="en-AU"/>
              </w:rPr>
              <w:t>Indian Ocean Maritime Security Project (IOMSP)</w:t>
            </w:r>
          </w:p>
          <w:p w14:paraId="25831173" w14:textId="19E5CB3F" w:rsidR="00BC033C" w:rsidRDefault="00BC033C" w:rsidP="007C635C">
            <w:pPr>
              <w:pStyle w:val="TableBodyCopy"/>
            </w:pPr>
            <w:r>
              <w:rPr>
                <w:color w:val="000000"/>
              </w:rPr>
              <w:t>(regional)</w:t>
            </w:r>
          </w:p>
        </w:tc>
        <w:tc>
          <w:tcPr>
            <w:tcW w:w="2690" w:type="dxa"/>
            <w:shd w:val="clear" w:color="auto" w:fill="D2DEE7" w:themeFill="accent1" w:themeFillTint="33"/>
          </w:tcPr>
          <w:p w14:paraId="30413BB9" w14:textId="3C3593F7" w:rsidR="007C635C" w:rsidRDefault="007C635C" w:rsidP="007C635C">
            <w:pPr>
              <w:pStyle w:val="TableBodyCopy"/>
              <w:cnfStyle w:val="000000100000" w:firstRow="0" w:lastRow="0" w:firstColumn="0" w:lastColumn="0" w:oddVBand="0" w:evenVBand="0" w:oddHBand="1" w:evenHBand="0" w:firstRowFirstColumn="0" w:firstRowLastColumn="0" w:lastRowFirstColumn="0" w:lastRowLastColumn="0"/>
            </w:pPr>
            <w:r w:rsidRPr="00A80004">
              <w:rPr>
                <w:color w:val="000000" w:themeColor="text1"/>
              </w:rPr>
              <w:t>2023</w:t>
            </w:r>
            <w:r>
              <w:rPr>
                <w:color w:val="000000" w:themeColor="text1"/>
              </w:rPr>
              <w:t>–</w:t>
            </w:r>
            <w:r w:rsidRPr="00A80004">
              <w:rPr>
                <w:color w:val="000000" w:themeColor="text1"/>
              </w:rPr>
              <w:t>2</w:t>
            </w:r>
            <w:r>
              <w:rPr>
                <w:color w:val="000000" w:themeColor="text1"/>
              </w:rPr>
              <w:t>02</w:t>
            </w:r>
            <w:r w:rsidRPr="00A80004">
              <w:rPr>
                <w:color w:val="000000" w:themeColor="text1"/>
              </w:rPr>
              <w:t>6</w:t>
            </w:r>
          </w:p>
        </w:tc>
        <w:tc>
          <w:tcPr>
            <w:tcW w:w="3398" w:type="dxa"/>
            <w:shd w:val="clear" w:color="auto" w:fill="F2F2F2" w:themeFill="background1" w:themeFillShade="F2"/>
          </w:tcPr>
          <w:p w14:paraId="519D04F8" w14:textId="2AA71E32" w:rsidR="007C635C" w:rsidRDefault="008332F6" w:rsidP="007C635C">
            <w:pPr>
              <w:pStyle w:val="TableBodyCopy"/>
              <w:cnfStyle w:val="000000100000" w:firstRow="0" w:lastRow="0" w:firstColumn="0" w:lastColumn="0" w:oddVBand="0" w:evenVBand="0" w:oddHBand="1" w:evenHBand="0" w:firstRowFirstColumn="0" w:firstRowLastColumn="0" w:lastRowFirstColumn="0" w:lastRowLastColumn="0"/>
            </w:pPr>
            <w:r>
              <w:rPr>
                <w:color w:val="000000" w:themeColor="text1"/>
              </w:rPr>
              <w:t xml:space="preserve">Australian Government </w:t>
            </w:r>
            <w:r w:rsidR="007C635C" w:rsidRPr="00A80004">
              <w:rPr>
                <w:color w:val="000000" w:themeColor="text1"/>
              </w:rPr>
              <w:t>Department of Home Affairs</w:t>
            </w:r>
            <w:r w:rsidR="00E87BA8">
              <w:rPr>
                <w:color w:val="000000" w:themeColor="text1"/>
              </w:rPr>
              <w:t>;</w:t>
            </w:r>
            <w:r w:rsidR="00D031CE">
              <w:rPr>
                <w:color w:val="000000" w:themeColor="text1"/>
              </w:rPr>
              <w:t xml:space="preserve"> </w:t>
            </w:r>
            <w:r w:rsidR="007C635C" w:rsidRPr="00A80004">
              <w:rPr>
                <w:color w:val="000000" w:themeColor="text1"/>
              </w:rPr>
              <w:t>Australian Border Force</w:t>
            </w:r>
          </w:p>
        </w:tc>
      </w:tr>
      <w:tr w:rsidR="00D03454" w14:paraId="095F3895" w14:textId="77777777" w:rsidTr="002D14A6">
        <w:trPr>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4082C2EB" w14:textId="77777777" w:rsidR="00D03454" w:rsidRDefault="00D03454" w:rsidP="007C635C">
            <w:pPr>
              <w:pStyle w:val="TableBodyCopy"/>
              <w:rPr>
                <w:b w:val="0"/>
                <w:bCs w:val="0"/>
                <w:color w:val="000000"/>
                <w:lang w:eastAsia="en-AU"/>
              </w:rPr>
            </w:pPr>
            <w:r w:rsidRPr="00802862">
              <w:rPr>
                <w:color w:val="000000"/>
                <w:lang w:eastAsia="en-AU"/>
              </w:rPr>
              <w:t>International Finance Facility for Immunisation</w:t>
            </w:r>
          </w:p>
          <w:p w14:paraId="4A2193A8" w14:textId="43542DD1" w:rsidR="00D03454" w:rsidRDefault="00D03454" w:rsidP="007C635C">
            <w:pPr>
              <w:pStyle w:val="TableBodyCopy"/>
              <w:rPr>
                <w:color w:val="000000"/>
                <w:lang w:eastAsia="en-AU"/>
              </w:rPr>
            </w:pPr>
            <w:r>
              <w:rPr>
                <w:color w:val="000000"/>
                <w:lang w:eastAsia="en-AU"/>
              </w:rPr>
              <w:t>(global)</w:t>
            </w:r>
          </w:p>
        </w:tc>
        <w:tc>
          <w:tcPr>
            <w:tcW w:w="2690" w:type="dxa"/>
            <w:shd w:val="clear" w:color="auto" w:fill="D2DEE7" w:themeFill="accent1" w:themeFillTint="33"/>
          </w:tcPr>
          <w:p w14:paraId="052A79CA" w14:textId="11CFFBE1" w:rsidR="00D03454" w:rsidRDefault="00D03454" w:rsidP="007C635C">
            <w:pPr>
              <w:pStyle w:val="TableBodyCopy"/>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2010</w:t>
            </w:r>
            <w:r w:rsidR="001B6282">
              <w:rPr>
                <w:color w:val="000000" w:themeColor="text1"/>
              </w:rPr>
              <w:t>–</w:t>
            </w:r>
            <w:r>
              <w:rPr>
                <w:color w:val="000000" w:themeColor="text1"/>
              </w:rPr>
              <w:t>2028</w:t>
            </w:r>
          </w:p>
        </w:tc>
        <w:tc>
          <w:tcPr>
            <w:tcW w:w="3398" w:type="dxa"/>
            <w:shd w:val="clear" w:color="auto" w:fill="F2F2F2" w:themeFill="background1" w:themeFillShade="F2"/>
          </w:tcPr>
          <w:p w14:paraId="498EE11F" w14:textId="72FE9C16" w:rsidR="00D03454" w:rsidRDefault="00D13CDD" w:rsidP="007C635C">
            <w:pPr>
              <w:pStyle w:val="TableBodyCopy"/>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G</w:t>
            </w:r>
            <w:r w:rsidR="00264A0B">
              <w:rPr>
                <w:color w:val="000000" w:themeColor="text1"/>
              </w:rPr>
              <w:t xml:space="preserve">avi, </w:t>
            </w:r>
            <w:r w:rsidR="0058689A">
              <w:rPr>
                <w:color w:val="000000" w:themeColor="text1"/>
              </w:rPr>
              <w:t>t</w:t>
            </w:r>
            <w:r w:rsidR="00264A0B">
              <w:rPr>
                <w:color w:val="000000" w:themeColor="text1"/>
              </w:rPr>
              <w:t>he Vaccin</w:t>
            </w:r>
            <w:r w:rsidR="0058689A">
              <w:rPr>
                <w:color w:val="000000" w:themeColor="text1"/>
              </w:rPr>
              <w:t>e</w:t>
            </w:r>
            <w:r w:rsidR="00264A0B">
              <w:rPr>
                <w:color w:val="000000" w:themeColor="text1"/>
              </w:rPr>
              <w:t xml:space="preserve"> </w:t>
            </w:r>
            <w:r>
              <w:rPr>
                <w:color w:val="000000" w:themeColor="text1"/>
              </w:rPr>
              <w:t>Alliance</w:t>
            </w:r>
          </w:p>
        </w:tc>
      </w:tr>
      <w:tr w:rsidR="00D13CDD" w14:paraId="0BAF6A15" w14:textId="77777777" w:rsidTr="002D14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7D6891BF" w14:textId="326B3140" w:rsidR="00D13CDD" w:rsidRDefault="00D13CDD" w:rsidP="007C635C">
            <w:pPr>
              <w:pStyle w:val="TableBodyCopy"/>
              <w:rPr>
                <w:b w:val="0"/>
                <w:bCs w:val="0"/>
                <w:color w:val="000000"/>
                <w:lang w:eastAsia="en-AU"/>
              </w:rPr>
            </w:pPr>
            <w:r>
              <w:rPr>
                <w:color w:val="000000"/>
                <w:lang w:eastAsia="en-AU"/>
              </w:rPr>
              <w:t xml:space="preserve">Cyber </w:t>
            </w:r>
            <w:r w:rsidR="0003198C">
              <w:rPr>
                <w:color w:val="000000"/>
                <w:lang w:eastAsia="en-AU"/>
              </w:rPr>
              <w:t>c</w:t>
            </w:r>
            <w:r>
              <w:rPr>
                <w:color w:val="000000"/>
                <w:lang w:eastAsia="en-AU"/>
              </w:rPr>
              <w:t>ooperation program</w:t>
            </w:r>
          </w:p>
          <w:p w14:paraId="05F6BC65" w14:textId="63FAC7C6" w:rsidR="00D13CDD" w:rsidRPr="00D13CDD" w:rsidRDefault="00D13CDD" w:rsidP="007C635C">
            <w:pPr>
              <w:pStyle w:val="TableBodyCopy"/>
              <w:rPr>
                <w:color w:val="000000"/>
                <w:lang w:eastAsia="en-AU"/>
              </w:rPr>
            </w:pPr>
            <w:r>
              <w:rPr>
                <w:color w:val="000000"/>
                <w:lang w:eastAsia="en-AU"/>
              </w:rPr>
              <w:t>(global)</w:t>
            </w:r>
          </w:p>
        </w:tc>
        <w:tc>
          <w:tcPr>
            <w:tcW w:w="2690" w:type="dxa"/>
            <w:shd w:val="clear" w:color="auto" w:fill="D2DEE7" w:themeFill="accent1" w:themeFillTint="33"/>
          </w:tcPr>
          <w:p w14:paraId="65A62B75" w14:textId="554D2BF5" w:rsidR="00D13CDD" w:rsidRDefault="001A4E87" w:rsidP="007C635C">
            <w:pPr>
              <w:pStyle w:val="TableBodyCopy"/>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To be confirmed</w:t>
            </w:r>
          </w:p>
        </w:tc>
        <w:tc>
          <w:tcPr>
            <w:tcW w:w="3398" w:type="dxa"/>
            <w:shd w:val="clear" w:color="auto" w:fill="F2F2F2" w:themeFill="background1" w:themeFillShade="F2"/>
          </w:tcPr>
          <w:p w14:paraId="32DE0D42" w14:textId="0C9C2954" w:rsidR="00D13CDD" w:rsidRDefault="001A4E87" w:rsidP="007C635C">
            <w:pPr>
              <w:pStyle w:val="TableBodyCopy"/>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To be confirmed</w:t>
            </w:r>
          </w:p>
        </w:tc>
      </w:tr>
    </w:tbl>
    <w:p w14:paraId="16374172" w14:textId="0AB3A92F" w:rsidR="002F4955" w:rsidRDefault="00A4755E" w:rsidP="000070A5">
      <w:pPr>
        <w:spacing w:line="240" w:lineRule="auto"/>
        <w:rPr>
          <w:lang w:eastAsia="en-AU"/>
        </w:rPr>
      </w:pPr>
      <w:r>
        <w:rPr>
          <w:lang w:eastAsia="en-AU"/>
        </w:rPr>
        <w:t>Australian G</w:t>
      </w:r>
      <w:r w:rsidR="002F4955" w:rsidRPr="413282F0">
        <w:rPr>
          <w:lang w:eastAsia="en-AU"/>
        </w:rPr>
        <w:t xml:space="preserve">overnment supporting investments for </w:t>
      </w:r>
      <w:r>
        <w:rPr>
          <w:lang w:eastAsia="en-AU"/>
        </w:rPr>
        <w:t>O</w:t>
      </w:r>
      <w:r w:rsidR="002F4955" w:rsidRPr="413282F0">
        <w:rPr>
          <w:lang w:eastAsia="en-AU"/>
        </w:rPr>
        <w:t>bjective 2</w:t>
      </w:r>
      <w:r w:rsidR="00EC1CBE">
        <w:rPr>
          <w:lang w:eastAsia="en-AU"/>
        </w:rPr>
        <w:t xml:space="preserve"> </w:t>
      </w:r>
      <w:r>
        <w:rPr>
          <w:lang w:eastAsia="en-AU"/>
        </w:rPr>
        <w:t xml:space="preserve">– </w:t>
      </w:r>
      <w:r w:rsidR="00EF791B" w:rsidRPr="00C27ABA">
        <w:rPr>
          <w:lang w:eastAsia="en-AU"/>
        </w:rPr>
        <w:t>Contribute to a climate resilient South Asia</w:t>
      </w:r>
      <w:r w:rsidR="00EF791B">
        <w:rPr>
          <w:lang w:eastAsia="en-AU"/>
        </w:rPr>
        <w:t xml:space="preserve"> region</w:t>
      </w:r>
      <w:r w:rsidR="002F4955" w:rsidRPr="413282F0">
        <w:rPr>
          <w:lang w:eastAsia="en-AU"/>
        </w:rPr>
        <w:t xml:space="preserve"> </w:t>
      </w:r>
      <w:r w:rsidR="00EC67FB">
        <w:rPr>
          <w:lang w:eastAsia="en-AU"/>
        </w:rPr>
        <w:t xml:space="preserve">(bilateral </w:t>
      </w:r>
      <w:r w:rsidR="00AE2EF5">
        <w:rPr>
          <w:lang w:eastAsia="en-AU"/>
        </w:rPr>
        <w:t>Official</w:t>
      </w:r>
      <w:r w:rsidR="00EC67FB">
        <w:rPr>
          <w:lang w:eastAsia="en-AU"/>
        </w:rPr>
        <w:t xml:space="preserve"> Development Assistance (ODA) as well as significant </w:t>
      </w:r>
      <w:r w:rsidR="004579D8" w:rsidRPr="1121DF86">
        <w:rPr>
          <w:lang w:eastAsia="en-AU"/>
        </w:rPr>
        <w:t>regional and global ODA</w:t>
      </w:r>
      <w:r w:rsidR="008224A2">
        <w:rPr>
          <w:lang w:eastAsia="en-AU"/>
        </w:rPr>
        <w:t>,</w:t>
      </w:r>
      <w:r w:rsidR="004579D8" w:rsidRPr="1121DF86">
        <w:rPr>
          <w:lang w:eastAsia="en-AU"/>
        </w:rPr>
        <w:t xml:space="preserve"> and significant non-ODA development </w:t>
      </w:r>
      <w:r w:rsidR="004579D8" w:rsidRPr="413282F0">
        <w:rPr>
          <w:lang w:eastAsia="en-AU"/>
        </w:rPr>
        <w:t>investments</w:t>
      </w:r>
      <w:r w:rsidR="004579D8">
        <w:rPr>
          <w:lang w:eastAsia="en-AU"/>
        </w:rPr>
        <w:t>/</w:t>
      </w:r>
      <w:r w:rsidR="004579D8" w:rsidRPr="1121DF86">
        <w:rPr>
          <w:lang w:eastAsia="en-AU"/>
        </w:rPr>
        <w:t>activities</w:t>
      </w:r>
      <w:r w:rsidR="004579D8">
        <w:rPr>
          <w:lang w:eastAsia="en-AU"/>
        </w:rPr>
        <w:t>)</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stralia Government supporting investments/activities for Objective 2"/>
        <w:tblDescription w:val="Investments and activities, duration and key partners"/>
      </w:tblPr>
      <w:tblGrid>
        <w:gridCol w:w="4106"/>
        <w:gridCol w:w="2690"/>
        <w:gridCol w:w="3398"/>
      </w:tblGrid>
      <w:tr w:rsidR="002F4955" w:rsidRPr="007869DF" w14:paraId="22ED1500" w14:textId="77777777" w:rsidTr="000070A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0" w:type="dxa"/>
          </w:tcPr>
          <w:p w14:paraId="60D66464" w14:textId="3F43659F" w:rsidR="002F4955" w:rsidRPr="007869DF" w:rsidRDefault="002F4955" w:rsidP="00967711">
            <w:pPr>
              <w:pStyle w:val="TableHeading"/>
              <w:rPr>
                <w:b w:val="0"/>
              </w:rPr>
            </w:pPr>
            <w:r w:rsidRPr="007869DF">
              <w:t xml:space="preserve">Name of </w:t>
            </w:r>
            <w:r w:rsidR="00A2384E" w:rsidRPr="007869DF">
              <w:t>i</w:t>
            </w:r>
            <w:r w:rsidRPr="007869DF">
              <w:t>nvestment</w:t>
            </w:r>
            <w:r w:rsidR="00EA08A2" w:rsidRPr="007869DF">
              <w:t>/activity</w:t>
            </w:r>
          </w:p>
        </w:tc>
        <w:tc>
          <w:tcPr>
            <w:tcW w:w="0" w:type="dxa"/>
          </w:tcPr>
          <w:p w14:paraId="1BD63017" w14:textId="77777777" w:rsidR="002F4955" w:rsidRPr="007869DF" w:rsidRDefault="0C7E6A20" w:rsidP="00967711">
            <w:pPr>
              <w:pStyle w:val="TableHeading"/>
              <w:cnfStyle w:val="100000000000" w:firstRow="1" w:lastRow="0" w:firstColumn="0" w:lastColumn="0" w:oddVBand="0" w:evenVBand="0" w:oddHBand="0" w:evenHBand="0" w:firstRowFirstColumn="0" w:firstRowLastColumn="0" w:lastRowFirstColumn="0" w:lastRowLastColumn="0"/>
              <w:rPr>
                <w:b w:val="0"/>
              </w:rPr>
            </w:pPr>
            <w:r w:rsidRPr="007869DF">
              <w:t>D</w:t>
            </w:r>
            <w:r w:rsidR="3CF99CB8" w:rsidRPr="007869DF">
              <w:t>uration</w:t>
            </w:r>
          </w:p>
        </w:tc>
        <w:tc>
          <w:tcPr>
            <w:tcW w:w="0" w:type="dxa"/>
          </w:tcPr>
          <w:p w14:paraId="02FF9B15" w14:textId="77777777" w:rsidR="002F4955" w:rsidRPr="007869DF" w:rsidRDefault="002F4955" w:rsidP="00967711">
            <w:pPr>
              <w:pStyle w:val="TableHeading"/>
              <w:cnfStyle w:val="100000000000" w:firstRow="1" w:lastRow="0" w:firstColumn="0" w:lastColumn="0" w:oddVBand="0" w:evenVBand="0" w:oddHBand="0" w:evenHBand="0" w:firstRowFirstColumn="0" w:firstRowLastColumn="0" w:lastRowFirstColumn="0" w:lastRowLastColumn="0"/>
              <w:rPr>
                <w:b w:val="0"/>
              </w:rPr>
            </w:pPr>
            <w:r w:rsidRPr="007869DF">
              <w:t>Key partners</w:t>
            </w:r>
          </w:p>
        </w:tc>
      </w:tr>
      <w:tr w:rsidR="00BB76DD" w14:paraId="4C323F07" w14:textId="77777777" w:rsidTr="00EA0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47CD9781" w14:textId="6C03ABDB" w:rsidR="00BB76DD" w:rsidRDefault="00BB76DD" w:rsidP="00BB76DD">
            <w:pPr>
              <w:pStyle w:val="TableBodyCopy"/>
              <w:rPr>
                <w:b w:val="0"/>
                <w:bCs w:val="0"/>
                <w:color w:val="000000"/>
                <w:lang w:eastAsia="en-AU"/>
              </w:rPr>
            </w:pPr>
            <w:r w:rsidRPr="005C0187">
              <w:rPr>
                <w:color w:val="000000"/>
                <w:lang w:eastAsia="en-AU"/>
              </w:rPr>
              <w:t>South Asia Water Security Initiative (SAWASI</w:t>
            </w:r>
            <w:r w:rsidR="004C2993">
              <w:rPr>
                <w:color w:val="000000"/>
                <w:lang w:eastAsia="en-AU"/>
              </w:rPr>
              <w:t>)</w:t>
            </w:r>
          </w:p>
          <w:p w14:paraId="7C4B6675" w14:textId="0954B558" w:rsidR="00BC033C" w:rsidRDefault="00BC033C" w:rsidP="00BB76DD">
            <w:pPr>
              <w:pStyle w:val="TableBodyCopy"/>
            </w:pPr>
            <w:r>
              <w:rPr>
                <w:color w:val="000000"/>
              </w:rPr>
              <w:t>(regional)</w:t>
            </w:r>
          </w:p>
        </w:tc>
        <w:tc>
          <w:tcPr>
            <w:tcW w:w="2690" w:type="dxa"/>
            <w:shd w:val="clear" w:color="auto" w:fill="D2DEE7" w:themeFill="accent1" w:themeFillTint="33"/>
          </w:tcPr>
          <w:p w14:paraId="73A695F4" w14:textId="63E4D051" w:rsidR="00BB76DD" w:rsidRDefault="00BB76DD" w:rsidP="00BB76DD">
            <w:pPr>
              <w:pStyle w:val="TableBodyCopy"/>
              <w:cnfStyle w:val="000000100000" w:firstRow="0" w:lastRow="0" w:firstColumn="0" w:lastColumn="0" w:oddVBand="0" w:evenVBand="0" w:oddHBand="1" w:evenHBand="0" w:firstRowFirstColumn="0" w:firstRowLastColumn="0" w:lastRowFirstColumn="0" w:lastRowLastColumn="0"/>
            </w:pPr>
            <w:r w:rsidRPr="00A80004">
              <w:rPr>
                <w:color w:val="000000" w:themeColor="text1"/>
              </w:rPr>
              <w:t>2021</w:t>
            </w:r>
            <w:r>
              <w:rPr>
                <w:color w:val="000000" w:themeColor="text1"/>
              </w:rPr>
              <w:t>–2025</w:t>
            </w:r>
          </w:p>
        </w:tc>
        <w:tc>
          <w:tcPr>
            <w:tcW w:w="3398" w:type="dxa"/>
            <w:shd w:val="clear" w:color="auto" w:fill="F2F2F2" w:themeFill="background1" w:themeFillShade="F2"/>
          </w:tcPr>
          <w:p w14:paraId="58D3B0CB" w14:textId="464AC341" w:rsidR="00BB76DD" w:rsidRDefault="00BB76DD" w:rsidP="00BB76DD">
            <w:pPr>
              <w:pStyle w:val="TableBodyCopy"/>
              <w:cnfStyle w:val="000000100000" w:firstRow="0" w:lastRow="0" w:firstColumn="0" w:lastColumn="0" w:oddVBand="0" w:evenVBand="0" w:oddHBand="1" w:evenHBand="0" w:firstRowFirstColumn="0" w:firstRowLastColumn="0" w:lastRowFirstColumn="0" w:lastRowLastColumn="0"/>
            </w:pPr>
            <w:r w:rsidRPr="00A80004">
              <w:rPr>
                <w:color w:val="000000" w:themeColor="text1"/>
              </w:rPr>
              <w:t>Alluvium</w:t>
            </w:r>
            <w:r w:rsidR="00E87BA8">
              <w:rPr>
                <w:color w:val="000000" w:themeColor="text1"/>
              </w:rPr>
              <w:t>;</w:t>
            </w:r>
            <w:r w:rsidRPr="00A80004">
              <w:rPr>
                <w:color w:val="000000" w:themeColor="text1"/>
              </w:rPr>
              <w:t xml:space="preserve"> Arup</w:t>
            </w:r>
            <w:r w:rsidR="00E87BA8">
              <w:rPr>
                <w:color w:val="000000" w:themeColor="text1"/>
              </w:rPr>
              <w:t>;</w:t>
            </w:r>
            <w:r w:rsidRPr="00A80004">
              <w:rPr>
                <w:color w:val="000000" w:themeColor="text1"/>
              </w:rPr>
              <w:t xml:space="preserve"> Adam Smith International</w:t>
            </w:r>
            <w:r w:rsidR="00E87BA8">
              <w:rPr>
                <w:color w:val="000000" w:themeColor="text1"/>
              </w:rPr>
              <w:t>;</w:t>
            </w:r>
            <w:r w:rsidRPr="00A80004">
              <w:rPr>
                <w:color w:val="000000" w:themeColor="text1"/>
              </w:rPr>
              <w:t xml:space="preserve"> </w:t>
            </w:r>
            <w:proofErr w:type="gramStart"/>
            <w:r w:rsidRPr="00A80004">
              <w:rPr>
                <w:color w:val="000000" w:themeColor="text1"/>
              </w:rPr>
              <w:t>World Wide</w:t>
            </w:r>
            <w:proofErr w:type="gramEnd"/>
            <w:r w:rsidRPr="00A80004">
              <w:rPr>
                <w:color w:val="000000" w:themeColor="text1"/>
              </w:rPr>
              <w:t xml:space="preserve"> Fund for Nature</w:t>
            </w:r>
            <w:r w:rsidR="00D86A18">
              <w:rPr>
                <w:color w:val="000000" w:themeColor="text1"/>
              </w:rPr>
              <w:t xml:space="preserve"> </w:t>
            </w:r>
            <w:r w:rsidRPr="00A80004">
              <w:rPr>
                <w:color w:val="000000" w:themeColor="text1"/>
              </w:rPr>
              <w:t>Pakistan</w:t>
            </w:r>
            <w:r w:rsidR="00D86A18">
              <w:rPr>
                <w:color w:val="000000" w:themeColor="text1"/>
              </w:rPr>
              <w:t>;</w:t>
            </w:r>
            <w:r w:rsidRPr="00A80004">
              <w:rPr>
                <w:color w:val="000000" w:themeColor="text1"/>
              </w:rPr>
              <w:t xml:space="preserve"> World Resources Institute</w:t>
            </w:r>
            <w:r w:rsidR="00D86A18">
              <w:rPr>
                <w:color w:val="000000" w:themeColor="text1"/>
              </w:rPr>
              <w:t>;</w:t>
            </w:r>
            <w:r w:rsidRPr="00A80004">
              <w:rPr>
                <w:color w:val="000000" w:themeColor="text1"/>
              </w:rPr>
              <w:t xml:space="preserve"> Oxford Policy Management Australia</w:t>
            </w:r>
          </w:p>
        </w:tc>
      </w:tr>
      <w:tr w:rsidR="00BB76DD" w14:paraId="59CB68A7" w14:textId="77777777" w:rsidTr="00EA08A2">
        <w:trPr>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06AF7E7A" w14:textId="2B53363B" w:rsidR="00BB76DD" w:rsidRDefault="00BB76DD" w:rsidP="00BB76DD">
            <w:pPr>
              <w:pStyle w:val="TableBodyCopy"/>
              <w:rPr>
                <w:b w:val="0"/>
                <w:bCs w:val="0"/>
                <w:color w:val="000000"/>
                <w:lang w:eastAsia="en-AU"/>
              </w:rPr>
            </w:pPr>
            <w:r>
              <w:rPr>
                <w:color w:val="000000"/>
                <w:lang w:eastAsia="en-AU"/>
              </w:rPr>
              <w:t xml:space="preserve">Indian Ocean and IORA </w:t>
            </w:r>
            <w:r w:rsidR="007409C8">
              <w:rPr>
                <w:color w:val="000000"/>
                <w:lang w:eastAsia="en-AU"/>
              </w:rPr>
              <w:t>m</w:t>
            </w:r>
            <w:r>
              <w:rPr>
                <w:color w:val="000000"/>
                <w:lang w:eastAsia="en-AU"/>
              </w:rPr>
              <w:t>aritim</w:t>
            </w:r>
            <w:r w:rsidRPr="00BB76DD">
              <w:rPr>
                <w:color w:val="000000"/>
                <w:lang w:eastAsia="en-AU"/>
              </w:rPr>
              <w:t>e</w:t>
            </w:r>
            <w:r>
              <w:rPr>
                <w:color w:val="000000"/>
                <w:lang w:eastAsia="en-AU"/>
              </w:rPr>
              <w:t xml:space="preserve"> </w:t>
            </w:r>
            <w:r w:rsidR="007409C8">
              <w:rPr>
                <w:color w:val="000000"/>
                <w:lang w:eastAsia="en-AU"/>
              </w:rPr>
              <w:t>p</w:t>
            </w:r>
            <w:r>
              <w:rPr>
                <w:color w:val="000000"/>
                <w:lang w:eastAsia="en-AU"/>
              </w:rPr>
              <w:t>rogramming</w:t>
            </w:r>
          </w:p>
          <w:p w14:paraId="3EA8BCDF" w14:textId="3B337DB5" w:rsidR="00BC033C" w:rsidRDefault="00BC033C" w:rsidP="00BB76DD">
            <w:pPr>
              <w:pStyle w:val="TableBodyCopy"/>
            </w:pPr>
            <w:r>
              <w:rPr>
                <w:color w:val="000000"/>
              </w:rPr>
              <w:t>(regional)</w:t>
            </w:r>
          </w:p>
        </w:tc>
        <w:tc>
          <w:tcPr>
            <w:tcW w:w="2690" w:type="dxa"/>
            <w:shd w:val="clear" w:color="auto" w:fill="D2DEE7" w:themeFill="accent1" w:themeFillTint="33"/>
          </w:tcPr>
          <w:p w14:paraId="6A627BDE" w14:textId="401C1FB0" w:rsidR="00BB76DD" w:rsidRDefault="00BB76DD" w:rsidP="00BB76DD">
            <w:pPr>
              <w:pStyle w:val="TableBodyCopy"/>
              <w:cnfStyle w:val="000000000000" w:firstRow="0" w:lastRow="0" w:firstColumn="0" w:lastColumn="0" w:oddVBand="0" w:evenVBand="0" w:oddHBand="0" w:evenHBand="0" w:firstRowFirstColumn="0" w:firstRowLastColumn="0" w:lastRowFirstColumn="0" w:lastRowLastColumn="0"/>
            </w:pPr>
            <w:r>
              <w:rPr>
                <w:color w:val="000000" w:themeColor="text1"/>
              </w:rPr>
              <w:t>2</w:t>
            </w:r>
            <w:r w:rsidRPr="0040164B">
              <w:rPr>
                <w:color w:val="000000" w:themeColor="text1"/>
              </w:rPr>
              <w:t>023</w:t>
            </w:r>
            <w:r>
              <w:rPr>
                <w:color w:val="000000" w:themeColor="text1"/>
              </w:rPr>
              <w:t>–</w:t>
            </w:r>
            <w:r w:rsidR="000845D2">
              <w:rPr>
                <w:color w:val="000000" w:themeColor="text1"/>
              </w:rPr>
              <w:t>20</w:t>
            </w:r>
            <w:r w:rsidRPr="0040164B">
              <w:rPr>
                <w:color w:val="000000" w:themeColor="text1"/>
              </w:rPr>
              <w:t>26</w:t>
            </w:r>
          </w:p>
        </w:tc>
        <w:tc>
          <w:tcPr>
            <w:tcW w:w="3398" w:type="dxa"/>
            <w:shd w:val="clear" w:color="auto" w:fill="F2F2F2" w:themeFill="background1" w:themeFillShade="F2"/>
          </w:tcPr>
          <w:p w14:paraId="5F36F114" w14:textId="79E102BE" w:rsidR="00BB76DD" w:rsidRDefault="007B08E2" w:rsidP="00BB76DD">
            <w:pPr>
              <w:pStyle w:val="TableBodyCopy"/>
              <w:cnfStyle w:val="000000000000" w:firstRow="0" w:lastRow="0" w:firstColumn="0" w:lastColumn="0" w:oddVBand="0" w:evenVBand="0" w:oddHBand="0" w:evenHBand="0" w:firstRowFirstColumn="0" w:firstRowLastColumn="0" w:lastRowFirstColumn="0" w:lastRowLastColumn="0"/>
            </w:pPr>
            <w:r>
              <w:rPr>
                <w:color w:val="000000" w:themeColor="text1"/>
              </w:rPr>
              <w:t>Commonwealth Scientific and Industrial Research Organisation (</w:t>
            </w:r>
            <w:r w:rsidR="00BB76DD">
              <w:rPr>
                <w:color w:val="000000" w:themeColor="text1"/>
              </w:rPr>
              <w:t>C</w:t>
            </w:r>
            <w:r w:rsidR="00BB76DD" w:rsidRPr="008A38C1">
              <w:rPr>
                <w:color w:val="000000" w:themeColor="text1"/>
              </w:rPr>
              <w:t>SIRO</w:t>
            </w:r>
            <w:r>
              <w:rPr>
                <w:color w:val="000000" w:themeColor="text1"/>
              </w:rPr>
              <w:t>)</w:t>
            </w:r>
            <w:r w:rsidR="00D86A18">
              <w:rPr>
                <w:color w:val="000000" w:themeColor="text1"/>
              </w:rPr>
              <w:t>;</w:t>
            </w:r>
            <w:r w:rsidR="00BB76DD" w:rsidRPr="00A80004">
              <w:rPr>
                <w:color w:val="000000" w:themeColor="text1"/>
              </w:rPr>
              <w:t xml:space="preserve"> Institute for Climate, Energy and Disaster</w:t>
            </w:r>
            <w:r w:rsidR="00D43857">
              <w:rPr>
                <w:color w:val="000000" w:themeColor="text1"/>
              </w:rPr>
              <w:t xml:space="preserve">, </w:t>
            </w:r>
            <w:r w:rsidR="00D43857" w:rsidRPr="00A80004">
              <w:rPr>
                <w:color w:val="000000" w:themeColor="text1"/>
              </w:rPr>
              <w:t>Australian National University</w:t>
            </w:r>
            <w:r w:rsidR="00D86A18">
              <w:rPr>
                <w:color w:val="000000" w:themeColor="text1"/>
              </w:rPr>
              <w:t>;</w:t>
            </w:r>
            <w:r w:rsidR="00BB76DD">
              <w:rPr>
                <w:color w:val="000000" w:themeColor="text1"/>
              </w:rPr>
              <w:t xml:space="preserve"> </w:t>
            </w:r>
            <w:r>
              <w:rPr>
                <w:color w:val="000000" w:themeColor="text1"/>
              </w:rPr>
              <w:t xml:space="preserve">Australian Government </w:t>
            </w:r>
            <w:r w:rsidR="00BB76DD" w:rsidRPr="00A80004">
              <w:rPr>
                <w:color w:val="000000" w:themeColor="text1"/>
              </w:rPr>
              <w:t>Department of Infrastructure, Transport, Regional Development, Communications and the Arts</w:t>
            </w:r>
          </w:p>
        </w:tc>
      </w:tr>
      <w:tr w:rsidR="00BB76DD" w14:paraId="5FB2CD3D" w14:textId="77777777" w:rsidTr="00EA0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5AB873CA" w14:textId="6ED0EEC9" w:rsidR="00BB76DD" w:rsidRDefault="00BB76DD" w:rsidP="00BB76DD">
            <w:pPr>
              <w:pStyle w:val="TableBodyCopy"/>
              <w:rPr>
                <w:b w:val="0"/>
                <w:bCs w:val="0"/>
                <w:color w:val="000000"/>
                <w:lang w:eastAsia="en-AU"/>
              </w:rPr>
            </w:pPr>
            <w:r>
              <w:rPr>
                <w:color w:val="000000"/>
                <w:lang w:eastAsia="en-AU"/>
              </w:rPr>
              <w:lastRenderedPageBreak/>
              <w:t xml:space="preserve">Advancing Australia’s </w:t>
            </w:r>
            <w:r w:rsidR="00C96F16">
              <w:rPr>
                <w:color w:val="000000"/>
                <w:lang w:eastAsia="en-AU"/>
              </w:rPr>
              <w:t>a</w:t>
            </w:r>
            <w:r>
              <w:rPr>
                <w:color w:val="000000"/>
                <w:lang w:eastAsia="en-AU"/>
              </w:rPr>
              <w:t xml:space="preserve">gricultural </w:t>
            </w:r>
            <w:r w:rsidR="00C96F16">
              <w:rPr>
                <w:color w:val="000000"/>
                <w:lang w:eastAsia="en-AU"/>
              </w:rPr>
              <w:t>r</w:t>
            </w:r>
            <w:r>
              <w:rPr>
                <w:color w:val="000000"/>
                <w:lang w:eastAsia="en-AU"/>
              </w:rPr>
              <w:t>elationship with Bangladesh and Pakistan</w:t>
            </w:r>
          </w:p>
          <w:p w14:paraId="35ECCD47" w14:textId="315AF977" w:rsidR="00BC033C" w:rsidRDefault="00BC033C" w:rsidP="00BB76DD">
            <w:pPr>
              <w:pStyle w:val="TableBodyCopy"/>
            </w:pPr>
            <w:r>
              <w:rPr>
                <w:color w:val="000000"/>
              </w:rPr>
              <w:t>(bilateral)</w:t>
            </w:r>
          </w:p>
        </w:tc>
        <w:tc>
          <w:tcPr>
            <w:tcW w:w="2690" w:type="dxa"/>
            <w:shd w:val="clear" w:color="auto" w:fill="D2DEE7" w:themeFill="accent1" w:themeFillTint="33"/>
          </w:tcPr>
          <w:p w14:paraId="588BF475" w14:textId="38F291C9" w:rsidR="00BB76DD" w:rsidRDefault="00BB76DD" w:rsidP="00BB76DD">
            <w:pPr>
              <w:pStyle w:val="TableBodyCopy"/>
              <w:cnfStyle w:val="000000100000" w:firstRow="0" w:lastRow="0" w:firstColumn="0" w:lastColumn="0" w:oddVBand="0" w:evenVBand="0" w:oddHBand="1" w:evenHBand="0" w:firstRowFirstColumn="0" w:firstRowLastColumn="0" w:lastRowFirstColumn="0" w:lastRowLastColumn="0"/>
            </w:pPr>
            <w:r w:rsidRPr="00A80004">
              <w:rPr>
                <w:color w:val="000000" w:themeColor="text1"/>
              </w:rPr>
              <w:t>2023</w:t>
            </w:r>
            <w:r>
              <w:rPr>
                <w:color w:val="000000" w:themeColor="text1"/>
              </w:rPr>
              <w:t>–</w:t>
            </w:r>
            <w:r w:rsidRPr="00A80004">
              <w:rPr>
                <w:color w:val="000000" w:themeColor="text1"/>
              </w:rPr>
              <w:t>2</w:t>
            </w:r>
            <w:r>
              <w:rPr>
                <w:color w:val="000000" w:themeColor="text1"/>
              </w:rPr>
              <w:t>02</w:t>
            </w:r>
            <w:r w:rsidRPr="00A80004">
              <w:rPr>
                <w:color w:val="000000" w:themeColor="text1"/>
              </w:rPr>
              <w:t>5</w:t>
            </w:r>
          </w:p>
        </w:tc>
        <w:tc>
          <w:tcPr>
            <w:tcW w:w="3398" w:type="dxa"/>
            <w:shd w:val="clear" w:color="auto" w:fill="F2F2F2" w:themeFill="background1" w:themeFillShade="F2"/>
          </w:tcPr>
          <w:p w14:paraId="0C2E1A47" w14:textId="196F44AB" w:rsidR="00BB76DD" w:rsidRDefault="007B08E2" w:rsidP="00BB76DD">
            <w:pPr>
              <w:pStyle w:val="TableBodyCopy"/>
              <w:cnfStyle w:val="000000100000" w:firstRow="0" w:lastRow="0" w:firstColumn="0" w:lastColumn="0" w:oddVBand="0" w:evenVBand="0" w:oddHBand="1" w:evenHBand="0" w:firstRowFirstColumn="0" w:firstRowLastColumn="0" w:lastRowFirstColumn="0" w:lastRowLastColumn="0"/>
            </w:pPr>
            <w:r>
              <w:rPr>
                <w:color w:val="000000" w:themeColor="text1"/>
              </w:rPr>
              <w:t xml:space="preserve">Australian Government </w:t>
            </w:r>
            <w:r w:rsidR="00BB76DD" w:rsidRPr="00A80004">
              <w:rPr>
                <w:color w:val="000000" w:themeColor="text1"/>
              </w:rPr>
              <w:t xml:space="preserve">Department of Agriculture, Fisheries and Forestry </w:t>
            </w:r>
          </w:p>
        </w:tc>
      </w:tr>
      <w:tr w:rsidR="00FD62F8" w14:paraId="32952E08" w14:textId="77777777" w:rsidTr="00EA08A2">
        <w:trPr>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44E8AE3E" w14:textId="606575AD" w:rsidR="00FD62F8" w:rsidRPr="00AE3891" w:rsidRDefault="001B00CC" w:rsidP="00BB76DD">
            <w:pPr>
              <w:pStyle w:val="TableBodyCopy"/>
              <w:rPr>
                <w:b w:val="0"/>
                <w:bCs w:val="0"/>
                <w:color w:val="000000"/>
                <w:lang w:eastAsia="en-AU"/>
              </w:rPr>
            </w:pPr>
            <w:r w:rsidRPr="00AE3891">
              <w:rPr>
                <w:color w:val="000000"/>
                <w:lang w:eastAsia="en-AU"/>
              </w:rPr>
              <w:t>Agricultural research (27</w:t>
            </w:r>
            <w:r w:rsidR="00A304E1">
              <w:rPr>
                <w:color w:val="000000"/>
                <w:lang w:eastAsia="en-AU"/>
              </w:rPr>
              <w:t> </w:t>
            </w:r>
            <w:r w:rsidRPr="00AE3891">
              <w:rPr>
                <w:color w:val="000000"/>
                <w:lang w:eastAsia="en-AU"/>
              </w:rPr>
              <w:t>projects)</w:t>
            </w:r>
          </w:p>
          <w:p w14:paraId="2B891487" w14:textId="15FEA449" w:rsidR="00BC033C" w:rsidRPr="00AE3891" w:rsidRDefault="00BC033C" w:rsidP="00BB76DD">
            <w:pPr>
              <w:pStyle w:val="TableBodyCopy"/>
              <w:rPr>
                <w:color w:val="000000"/>
                <w:lang w:eastAsia="en-AU"/>
              </w:rPr>
            </w:pPr>
            <w:r w:rsidRPr="00AE3891">
              <w:rPr>
                <w:color w:val="000000"/>
                <w:lang w:eastAsia="en-AU"/>
              </w:rPr>
              <w:t>(bilateral)</w:t>
            </w:r>
          </w:p>
        </w:tc>
        <w:tc>
          <w:tcPr>
            <w:tcW w:w="2690" w:type="dxa"/>
            <w:shd w:val="clear" w:color="auto" w:fill="D2DEE7" w:themeFill="accent1" w:themeFillTint="33"/>
          </w:tcPr>
          <w:p w14:paraId="44E54CBE" w14:textId="05D8B471" w:rsidR="00FD62F8" w:rsidRPr="00AE3891" w:rsidRDefault="001B00CC" w:rsidP="00BB76DD">
            <w:pPr>
              <w:pStyle w:val="TableBodyCopy"/>
              <w:cnfStyle w:val="000000000000" w:firstRow="0" w:lastRow="0" w:firstColumn="0" w:lastColumn="0" w:oddVBand="0" w:evenVBand="0" w:oddHBand="0" w:evenHBand="0" w:firstRowFirstColumn="0" w:firstRowLastColumn="0" w:lastRowFirstColumn="0" w:lastRowLastColumn="0"/>
              <w:rPr>
                <w:color w:val="000000" w:themeColor="text1"/>
              </w:rPr>
            </w:pPr>
            <w:r w:rsidRPr="00AE3891">
              <w:rPr>
                <w:color w:val="000000" w:themeColor="text1"/>
              </w:rPr>
              <w:t>2024</w:t>
            </w:r>
            <w:r w:rsidR="00356864">
              <w:rPr>
                <w:color w:val="000000" w:themeColor="text1"/>
              </w:rPr>
              <w:t>–</w:t>
            </w:r>
            <w:r w:rsidRPr="00AE3891">
              <w:rPr>
                <w:color w:val="000000" w:themeColor="text1"/>
              </w:rPr>
              <w:t>2025</w:t>
            </w:r>
          </w:p>
        </w:tc>
        <w:tc>
          <w:tcPr>
            <w:tcW w:w="3398" w:type="dxa"/>
            <w:shd w:val="clear" w:color="auto" w:fill="F2F2F2" w:themeFill="background1" w:themeFillShade="F2"/>
          </w:tcPr>
          <w:p w14:paraId="2BBDFCBA" w14:textId="1D826767" w:rsidR="00FD62F8" w:rsidRPr="00AE3891" w:rsidRDefault="00757CB1" w:rsidP="00BB76DD">
            <w:pPr>
              <w:pStyle w:val="TableBodyCopy"/>
              <w:cnfStyle w:val="000000000000" w:firstRow="0" w:lastRow="0" w:firstColumn="0" w:lastColumn="0" w:oddVBand="0" w:evenVBand="0" w:oddHBand="0" w:evenHBand="0" w:firstRowFirstColumn="0" w:firstRowLastColumn="0" w:lastRowFirstColumn="0" w:lastRowLastColumn="0"/>
              <w:rPr>
                <w:color w:val="000000" w:themeColor="text1"/>
              </w:rPr>
            </w:pPr>
            <w:r w:rsidRPr="00AE3891">
              <w:rPr>
                <w:color w:val="000000" w:themeColor="text1"/>
              </w:rPr>
              <w:t xml:space="preserve">Australian Centre for International Agricultural Research (ACIAR) in partnership with </w:t>
            </w:r>
            <w:r w:rsidR="00F2799A" w:rsidRPr="00AE3891">
              <w:rPr>
                <w:color w:val="000000" w:themeColor="text1"/>
              </w:rPr>
              <w:t>universities and agricultural organisations</w:t>
            </w:r>
          </w:p>
        </w:tc>
      </w:tr>
      <w:tr w:rsidR="00AA7E68" w14:paraId="4E856B35" w14:textId="77777777" w:rsidTr="00EA08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06" w:type="dxa"/>
            <w:shd w:val="clear" w:color="auto" w:fill="A5BDCF" w:themeFill="accent1" w:themeFillTint="66"/>
          </w:tcPr>
          <w:p w14:paraId="6C68341C" w14:textId="77777777" w:rsidR="00D03454" w:rsidRPr="00AE3891" w:rsidRDefault="00D03454" w:rsidP="00D03454">
            <w:pPr>
              <w:pStyle w:val="TableBodyCopy"/>
              <w:rPr>
                <w:b w:val="0"/>
                <w:bCs w:val="0"/>
                <w:color w:val="000000"/>
                <w:lang w:eastAsia="en-AU"/>
              </w:rPr>
            </w:pPr>
            <w:r w:rsidRPr="00AE3891">
              <w:rPr>
                <w:color w:val="000000"/>
                <w:lang w:eastAsia="en-AU"/>
              </w:rPr>
              <w:t>Humanitarian Emergency Fund (HEF)</w:t>
            </w:r>
          </w:p>
          <w:p w14:paraId="47C5B564" w14:textId="74A40C55" w:rsidR="00AA7E68" w:rsidRPr="00AE3891" w:rsidRDefault="00D03454" w:rsidP="00D03454">
            <w:pPr>
              <w:pStyle w:val="TableBodyCopy"/>
              <w:rPr>
                <w:color w:val="000000"/>
                <w:lang w:eastAsia="en-AU"/>
              </w:rPr>
            </w:pPr>
            <w:r w:rsidRPr="00AE3891">
              <w:rPr>
                <w:color w:val="000000"/>
                <w:lang w:eastAsia="en-AU"/>
              </w:rPr>
              <w:t>(global)</w:t>
            </w:r>
          </w:p>
        </w:tc>
        <w:tc>
          <w:tcPr>
            <w:tcW w:w="2690" w:type="dxa"/>
            <w:shd w:val="clear" w:color="auto" w:fill="D2DEE7" w:themeFill="accent1" w:themeFillTint="33"/>
          </w:tcPr>
          <w:p w14:paraId="06CC8E8E" w14:textId="11BB5322" w:rsidR="00AA7E68" w:rsidRPr="00AE3891" w:rsidRDefault="00D03454" w:rsidP="00BB76DD">
            <w:pPr>
              <w:pStyle w:val="TableBodyCopy"/>
              <w:cnfStyle w:val="000000100000" w:firstRow="0" w:lastRow="0" w:firstColumn="0" w:lastColumn="0" w:oddVBand="0" w:evenVBand="0" w:oddHBand="1" w:evenHBand="0" w:firstRowFirstColumn="0" w:firstRowLastColumn="0" w:lastRowFirstColumn="0" w:lastRowLastColumn="0"/>
              <w:rPr>
                <w:color w:val="000000" w:themeColor="text1"/>
              </w:rPr>
            </w:pPr>
            <w:r w:rsidRPr="00AE3891">
              <w:rPr>
                <w:color w:val="000000" w:themeColor="text1"/>
              </w:rPr>
              <w:t>Ongoing</w:t>
            </w:r>
          </w:p>
        </w:tc>
        <w:tc>
          <w:tcPr>
            <w:tcW w:w="3398" w:type="dxa"/>
            <w:shd w:val="clear" w:color="auto" w:fill="F2F2F2" w:themeFill="background1" w:themeFillShade="F2"/>
          </w:tcPr>
          <w:p w14:paraId="70858D2A" w14:textId="78F76058" w:rsidR="00AA7E68" w:rsidRPr="00AE3891" w:rsidRDefault="00D03454" w:rsidP="00BB76DD">
            <w:pPr>
              <w:pStyle w:val="TableBodyCopy"/>
              <w:cnfStyle w:val="000000100000" w:firstRow="0" w:lastRow="0" w:firstColumn="0" w:lastColumn="0" w:oddVBand="0" w:evenVBand="0" w:oddHBand="1" w:evenHBand="0" w:firstRowFirstColumn="0" w:firstRowLastColumn="0" w:lastRowFirstColumn="0" w:lastRowLastColumn="0"/>
              <w:rPr>
                <w:color w:val="000000" w:themeColor="text1"/>
              </w:rPr>
            </w:pPr>
            <w:r w:rsidRPr="00AE3891">
              <w:rPr>
                <w:color w:val="000000" w:themeColor="text1"/>
              </w:rPr>
              <w:t>Humanitarian response partners (various)</w:t>
            </w:r>
          </w:p>
        </w:tc>
      </w:tr>
    </w:tbl>
    <w:p w14:paraId="6B9428C5" w14:textId="12F70D55" w:rsidR="00884BD0" w:rsidRDefault="00381B8C" w:rsidP="005213DA">
      <w:pPr>
        <w:spacing w:before="0" w:after="0" w:line="240" w:lineRule="auto"/>
        <w:rPr>
          <w:sz w:val="24"/>
          <w:szCs w:val="24"/>
        </w:rPr>
      </w:pPr>
      <w:r>
        <w:rPr>
          <w:sz w:val="24"/>
          <w:szCs w:val="24"/>
        </w:rPr>
        <w:br w:type="page"/>
      </w:r>
    </w:p>
    <w:p w14:paraId="00ED4F8B" w14:textId="54D8F460" w:rsidR="0034428E" w:rsidRDefault="00433BCD" w:rsidP="00433BCD">
      <w:pPr>
        <w:pStyle w:val="H2-Heading2"/>
        <w:rPr>
          <w:sz w:val="24"/>
          <w:szCs w:val="24"/>
        </w:rPr>
        <w:sectPr w:rsidR="0034428E" w:rsidSect="00366D6D">
          <w:headerReference w:type="default" r:id="rId19"/>
          <w:footerReference w:type="default" r:id="rId20"/>
          <w:headerReference w:type="first" r:id="rId21"/>
          <w:footerReference w:type="first" r:id="rId22"/>
          <w:endnotePr>
            <w:numFmt w:val="decimal"/>
          </w:endnotePr>
          <w:pgSz w:w="11906" w:h="16838" w:code="9"/>
          <w:pgMar w:top="1418" w:right="851" w:bottom="284" w:left="851" w:header="340" w:footer="415" w:gutter="0"/>
          <w:cols w:space="708"/>
          <w:titlePg/>
          <w:docGrid w:linePitch="360"/>
        </w:sectPr>
      </w:pPr>
      <w:r w:rsidRPr="003B619F">
        <w:lastRenderedPageBreak/>
        <w:t>Endnotes</w:t>
      </w:r>
    </w:p>
    <w:p w14:paraId="0983DF95" w14:textId="77777777" w:rsidR="00DB693E" w:rsidRPr="00D6304E" w:rsidRDefault="00DB693E" w:rsidP="001E1E64">
      <w:pPr>
        <w:pStyle w:val="Coverphotocreditshead"/>
      </w:pPr>
      <w:r w:rsidRPr="00D6304E">
        <w:t>Cover photo credits</w:t>
      </w:r>
    </w:p>
    <w:p w14:paraId="232501D7" w14:textId="17D09DE7" w:rsidR="00DB693E" w:rsidRPr="00C91771" w:rsidRDefault="0022042C" w:rsidP="00DB693E">
      <w:pPr>
        <w:pStyle w:val="TableBodyCopy"/>
        <w:widowControl w:val="0"/>
        <w:spacing w:before="0" w:after="0"/>
        <w:rPr>
          <w:szCs w:val="20"/>
        </w:rPr>
      </w:pPr>
      <w:r>
        <w:rPr>
          <w:szCs w:val="20"/>
        </w:rPr>
        <w:t>L</w:t>
      </w:r>
      <w:r w:rsidR="00DB693E" w:rsidRPr="00C91771">
        <w:rPr>
          <w:szCs w:val="20"/>
        </w:rPr>
        <w:t>eft</w:t>
      </w:r>
      <w:r>
        <w:rPr>
          <w:szCs w:val="20"/>
        </w:rPr>
        <w:t xml:space="preserve"> side (from top to bottom)</w:t>
      </w:r>
      <w:r w:rsidR="00DB693E" w:rsidRPr="00C91771">
        <w:rPr>
          <w:szCs w:val="20"/>
        </w:rPr>
        <w:t>:</w:t>
      </w:r>
    </w:p>
    <w:p w14:paraId="5134EA5D" w14:textId="5E3701A2" w:rsidR="00DB693E" w:rsidRPr="00553A66" w:rsidRDefault="00220143" w:rsidP="00B63C47">
      <w:pPr>
        <w:pStyle w:val="TableBodyCopy"/>
        <w:widowControl w:val="0"/>
        <w:numPr>
          <w:ilvl w:val="0"/>
          <w:numId w:val="6"/>
        </w:numPr>
        <w:tabs>
          <w:tab w:val="left" w:pos="709"/>
        </w:tabs>
        <w:spacing w:before="0" w:after="0"/>
        <w:rPr>
          <w:szCs w:val="20"/>
        </w:rPr>
      </w:pPr>
      <w:r>
        <w:rPr>
          <w:szCs w:val="20"/>
        </w:rPr>
        <w:t>Monitoring a water security project in Pakistan</w:t>
      </w:r>
      <w:r w:rsidR="00553A66">
        <w:rPr>
          <w:szCs w:val="20"/>
        </w:rPr>
        <w:br/>
      </w:r>
      <w:r w:rsidR="00DB693E" w:rsidRPr="00553A66">
        <w:rPr>
          <w:szCs w:val="20"/>
        </w:rPr>
        <w:t xml:space="preserve">Credit: </w:t>
      </w:r>
      <w:r w:rsidR="003552E7">
        <w:rPr>
          <w:szCs w:val="20"/>
        </w:rPr>
        <w:t>ACIAR Country Office, Pakistan</w:t>
      </w:r>
    </w:p>
    <w:p w14:paraId="140E069A" w14:textId="131A6563" w:rsidR="00DB693E" w:rsidRPr="00553A66" w:rsidRDefault="004310B0" w:rsidP="00B63C47">
      <w:pPr>
        <w:pStyle w:val="TableBodyCopy"/>
        <w:widowControl w:val="0"/>
        <w:numPr>
          <w:ilvl w:val="0"/>
          <w:numId w:val="6"/>
        </w:numPr>
        <w:tabs>
          <w:tab w:val="left" w:pos="709"/>
        </w:tabs>
        <w:spacing w:before="0" w:after="0"/>
        <w:rPr>
          <w:szCs w:val="20"/>
        </w:rPr>
      </w:pPr>
      <w:r>
        <w:rPr>
          <w:szCs w:val="20"/>
        </w:rPr>
        <w:t>Himalayan mountains in Nepal</w:t>
      </w:r>
      <w:r w:rsidR="00553A66">
        <w:rPr>
          <w:szCs w:val="20"/>
        </w:rPr>
        <w:br/>
      </w:r>
      <w:r w:rsidR="00DB693E" w:rsidRPr="00553A66">
        <w:rPr>
          <w:szCs w:val="20"/>
        </w:rPr>
        <w:t xml:space="preserve">Credit: </w:t>
      </w:r>
      <w:r>
        <w:t>Jitendra Bajracharya</w:t>
      </w:r>
      <w:r w:rsidR="005A2DED">
        <w:t>,</w:t>
      </w:r>
      <w:r w:rsidR="00254441">
        <w:t xml:space="preserve"> </w:t>
      </w:r>
      <w:r w:rsidR="001D3D0B">
        <w:t>International Centre for Integrated Mountain Development (</w:t>
      </w:r>
      <w:r>
        <w:t>ICIMOD</w:t>
      </w:r>
      <w:r w:rsidR="001D3D0B">
        <w:t>)</w:t>
      </w:r>
    </w:p>
    <w:p w14:paraId="791FEF0D" w14:textId="1D424D40" w:rsidR="00DB693E" w:rsidRPr="00C91771" w:rsidRDefault="00DB693E" w:rsidP="00C91771">
      <w:pPr>
        <w:pStyle w:val="TableBodyCopy"/>
        <w:widowControl w:val="0"/>
        <w:tabs>
          <w:tab w:val="left" w:pos="709"/>
        </w:tabs>
        <w:spacing w:before="0" w:after="0"/>
        <w:rPr>
          <w:szCs w:val="20"/>
        </w:rPr>
      </w:pPr>
      <w:r w:rsidRPr="00C91771">
        <w:rPr>
          <w:szCs w:val="20"/>
        </w:rPr>
        <w:t>Right side (from top to bottom):</w:t>
      </w:r>
    </w:p>
    <w:p w14:paraId="224FD20B" w14:textId="5113E128" w:rsidR="00DB693E" w:rsidRPr="00553A66" w:rsidRDefault="001F0EE2" w:rsidP="00B63C47">
      <w:pPr>
        <w:pStyle w:val="TableBodyCopy"/>
        <w:widowControl w:val="0"/>
        <w:numPr>
          <w:ilvl w:val="0"/>
          <w:numId w:val="6"/>
        </w:numPr>
        <w:tabs>
          <w:tab w:val="left" w:pos="709"/>
        </w:tabs>
        <w:spacing w:before="0" w:after="0"/>
        <w:rPr>
          <w:szCs w:val="20"/>
        </w:rPr>
      </w:pPr>
      <w:r>
        <w:rPr>
          <w:szCs w:val="20"/>
        </w:rPr>
        <w:t xml:space="preserve">Australia Awards </w:t>
      </w:r>
      <w:r w:rsidR="002D73B3">
        <w:rPr>
          <w:szCs w:val="20"/>
        </w:rPr>
        <w:t xml:space="preserve">in </w:t>
      </w:r>
      <w:r>
        <w:rPr>
          <w:szCs w:val="20"/>
        </w:rPr>
        <w:t xml:space="preserve">South Asia and Mongolia </w:t>
      </w:r>
      <w:r w:rsidR="002D73B3">
        <w:rPr>
          <w:szCs w:val="20"/>
        </w:rPr>
        <w:t>a</w:t>
      </w:r>
      <w:r>
        <w:rPr>
          <w:szCs w:val="20"/>
        </w:rPr>
        <w:t xml:space="preserve">lumni </w:t>
      </w:r>
      <w:r w:rsidR="00445A55">
        <w:rPr>
          <w:szCs w:val="20"/>
        </w:rPr>
        <w:t>at the National Museum</w:t>
      </w:r>
      <w:r w:rsidR="00177ECB">
        <w:rPr>
          <w:szCs w:val="20"/>
        </w:rPr>
        <w:t xml:space="preserve"> of Australia</w:t>
      </w:r>
      <w:r w:rsidR="00553A66">
        <w:rPr>
          <w:szCs w:val="20"/>
        </w:rPr>
        <w:br/>
      </w:r>
      <w:r w:rsidR="00DB693E" w:rsidRPr="00553A66">
        <w:rPr>
          <w:szCs w:val="20"/>
        </w:rPr>
        <w:t xml:space="preserve">Credit: </w:t>
      </w:r>
      <w:r>
        <w:rPr>
          <w:szCs w:val="20"/>
        </w:rPr>
        <w:t>Palladium</w:t>
      </w:r>
    </w:p>
    <w:p w14:paraId="71008242" w14:textId="05AED7C7" w:rsidR="00553A66" w:rsidRDefault="00545247" w:rsidP="00B63C47">
      <w:pPr>
        <w:pStyle w:val="TableBodyCopy"/>
        <w:widowControl w:val="0"/>
        <w:numPr>
          <w:ilvl w:val="0"/>
          <w:numId w:val="6"/>
        </w:numPr>
        <w:tabs>
          <w:tab w:val="left" w:pos="709"/>
        </w:tabs>
        <w:spacing w:before="0" w:after="0"/>
        <w:rPr>
          <w:szCs w:val="20"/>
        </w:rPr>
      </w:pPr>
      <w:r>
        <w:rPr>
          <w:szCs w:val="20"/>
        </w:rPr>
        <w:t xml:space="preserve">Port of Chittagong, </w:t>
      </w:r>
      <w:r w:rsidR="005A2DED">
        <w:rPr>
          <w:szCs w:val="20"/>
        </w:rPr>
        <w:t>Chattogram, Bangladesh</w:t>
      </w:r>
      <w:r w:rsidR="00553A66" w:rsidRPr="00553A66">
        <w:rPr>
          <w:szCs w:val="20"/>
        </w:rPr>
        <w:br/>
      </w:r>
      <w:r w:rsidR="00DB693E" w:rsidRPr="00553A66">
        <w:rPr>
          <w:szCs w:val="20"/>
        </w:rPr>
        <w:t xml:space="preserve">Credit: </w:t>
      </w:r>
      <w:r w:rsidR="005A2DED">
        <w:rPr>
          <w:szCs w:val="20"/>
        </w:rPr>
        <w:t>Ishara Davey, DFAT</w:t>
      </w:r>
    </w:p>
    <w:p w14:paraId="3135A9E8" w14:textId="02B1AAF4" w:rsidR="00DB693E" w:rsidRPr="00553A66" w:rsidRDefault="005A2DED" w:rsidP="00B63C47">
      <w:pPr>
        <w:pStyle w:val="TableBodyCopy"/>
        <w:widowControl w:val="0"/>
        <w:numPr>
          <w:ilvl w:val="0"/>
          <w:numId w:val="6"/>
        </w:numPr>
        <w:tabs>
          <w:tab w:val="left" w:pos="709"/>
        </w:tabs>
        <w:spacing w:before="0" w:after="0"/>
        <w:rPr>
          <w:szCs w:val="20"/>
        </w:rPr>
      </w:pPr>
      <w:r>
        <w:rPr>
          <w:szCs w:val="20"/>
        </w:rPr>
        <w:t xml:space="preserve">Australia </w:t>
      </w:r>
      <w:r w:rsidR="009A61BA">
        <w:rPr>
          <w:szCs w:val="20"/>
        </w:rPr>
        <w:t xml:space="preserve">Awards </w:t>
      </w:r>
      <w:r w:rsidR="00177ECB">
        <w:rPr>
          <w:szCs w:val="20"/>
        </w:rPr>
        <w:t xml:space="preserve">in </w:t>
      </w:r>
      <w:r w:rsidR="009A61BA">
        <w:rPr>
          <w:szCs w:val="20"/>
        </w:rPr>
        <w:t xml:space="preserve">South Asia and Mongolia </w:t>
      </w:r>
      <w:r w:rsidR="00177ECB">
        <w:rPr>
          <w:szCs w:val="20"/>
        </w:rPr>
        <w:t>a</w:t>
      </w:r>
      <w:r w:rsidR="009A61BA">
        <w:rPr>
          <w:szCs w:val="20"/>
        </w:rPr>
        <w:t>lumni</w:t>
      </w:r>
      <w:r w:rsidR="00553A66">
        <w:rPr>
          <w:szCs w:val="20"/>
        </w:rPr>
        <w:br/>
      </w:r>
      <w:r w:rsidR="00DB693E" w:rsidRPr="00553A66">
        <w:rPr>
          <w:szCs w:val="20"/>
        </w:rPr>
        <w:t xml:space="preserve">Credit: </w:t>
      </w:r>
      <w:r w:rsidR="009A61BA">
        <w:rPr>
          <w:szCs w:val="20"/>
        </w:rPr>
        <w:t>Palladium</w:t>
      </w:r>
    </w:p>
    <w:sectPr w:rsidR="00DB693E" w:rsidRPr="00553A66" w:rsidSect="0034428E">
      <w:endnotePr>
        <w:numFmt w:val="decimal"/>
      </w:endnotePr>
      <w:type w:val="continuous"/>
      <w:pgSz w:w="11906" w:h="16838" w:code="9"/>
      <w:pgMar w:top="1418" w:right="851" w:bottom="284" w:left="851" w:header="340" w:footer="4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1222C" w14:textId="77777777" w:rsidR="00C36BBA" w:rsidRPr="003B0CC3" w:rsidRDefault="00C36BBA" w:rsidP="00EE32FE">
      <w:pPr>
        <w:spacing w:after="0" w:line="240" w:lineRule="auto"/>
        <w:rPr>
          <w:sz w:val="2"/>
          <w:szCs w:val="2"/>
        </w:rPr>
      </w:pPr>
    </w:p>
  </w:endnote>
  <w:endnote w:type="continuationSeparator" w:id="0">
    <w:p w14:paraId="6F396A98" w14:textId="77777777" w:rsidR="00C36BBA" w:rsidRDefault="00C36BBA" w:rsidP="00EE32FE">
      <w:pPr>
        <w:spacing w:after="0" w:line="240" w:lineRule="auto"/>
      </w:pPr>
      <w:r>
        <w:continuationSeparator/>
      </w:r>
    </w:p>
  </w:endnote>
  <w:endnote w:type="continuationNotice" w:id="1">
    <w:p w14:paraId="141C24A3" w14:textId="77777777" w:rsidR="00C36BBA" w:rsidRDefault="00C36BBA">
      <w:pPr>
        <w:spacing w:after="0" w:line="240" w:lineRule="auto"/>
      </w:pPr>
    </w:p>
  </w:endnote>
  <w:endnote w:id="2">
    <w:p w14:paraId="0174DFA1" w14:textId="677EAFDA" w:rsidR="00F95B6C" w:rsidRPr="005448A9" w:rsidRDefault="00F95B6C" w:rsidP="005448A9">
      <w:pPr>
        <w:pStyle w:val="EndnoteText"/>
      </w:pPr>
      <w:r w:rsidRPr="00AC3620">
        <w:rPr>
          <w:rStyle w:val="EndnoteReference"/>
          <w:rFonts w:cs="Segoe UI"/>
          <w:szCs w:val="16"/>
        </w:rPr>
        <w:endnoteRef/>
      </w:r>
      <w:r w:rsidRPr="005448A9">
        <w:t xml:space="preserve"> World Bank, </w:t>
      </w:r>
      <w:r w:rsidRPr="00AC3620">
        <w:rPr>
          <w:i/>
          <w:iCs/>
        </w:rPr>
        <w:t>World Bank expects solid growth but risky outlook for South Asia</w:t>
      </w:r>
      <w:r w:rsidRPr="005448A9">
        <w:t xml:space="preserve"> [media release], 3 October 2023. </w:t>
      </w:r>
      <w:hyperlink r:id="rId1" w:history="1">
        <w:r w:rsidRPr="001E1E64">
          <w:t>https://www.worldbank.org/en/news/press-release/2023/10/03/world-bank-expects-solid-growth-but-risky-outlook-for-south-asia</w:t>
        </w:r>
      </w:hyperlink>
    </w:p>
  </w:endnote>
  <w:endnote w:id="3">
    <w:p w14:paraId="7BB3C5CD" w14:textId="1C834372" w:rsidR="00F95B6C" w:rsidRPr="005448A9" w:rsidRDefault="00F95B6C" w:rsidP="005448A9">
      <w:pPr>
        <w:pStyle w:val="EndnoteText"/>
      </w:pPr>
      <w:r w:rsidRPr="00AC3620">
        <w:rPr>
          <w:rStyle w:val="EndnoteReference"/>
          <w:rFonts w:cs="Segoe UI"/>
          <w:szCs w:val="16"/>
        </w:rPr>
        <w:endnoteRef/>
      </w:r>
      <w:r w:rsidRPr="005448A9">
        <w:t xml:space="preserve"> United Nations Development Program</w:t>
      </w:r>
      <w:r w:rsidR="00C87934" w:rsidRPr="005448A9">
        <w:t>me</w:t>
      </w:r>
      <w:r w:rsidRPr="005448A9">
        <w:t xml:space="preserve"> (UNDP), </w:t>
      </w:r>
      <w:r w:rsidRPr="00AC3620">
        <w:rPr>
          <w:rFonts w:cs="Segoe UI"/>
          <w:i/>
          <w:iCs/>
          <w:szCs w:val="16"/>
        </w:rPr>
        <w:t xml:space="preserve">2024 </w:t>
      </w:r>
      <w:r w:rsidR="00074BD7" w:rsidRPr="00AC3620">
        <w:rPr>
          <w:rFonts w:cs="Segoe UI"/>
          <w:i/>
          <w:iCs/>
          <w:szCs w:val="16"/>
        </w:rPr>
        <w:t>r</w:t>
      </w:r>
      <w:r w:rsidRPr="00AC3620">
        <w:rPr>
          <w:rFonts w:cs="Segoe UI"/>
          <w:i/>
          <w:iCs/>
          <w:szCs w:val="16"/>
        </w:rPr>
        <w:t xml:space="preserve">egional human development report </w:t>
      </w:r>
      <w:r w:rsidR="00E06BB1" w:rsidRPr="00AC3620">
        <w:rPr>
          <w:rFonts w:cs="Segoe UI"/>
          <w:i/>
          <w:iCs/>
          <w:szCs w:val="16"/>
        </w:rPr>
        <w:t>–</w:t>
      </w:r>
      <w:r w:rsidRPr="005448A9">
        <w:t xml:space="preserve"> </w:t>
      </w:r>
      <w:r w:rsidRPr="00AC3620">
        <w:rPr>
          <w:i/>
          <w:iCs/>
        </w:rPr>
        <w:t>making our future: new directions for human development in Asia and the Pacific</w:t>
      </w:r>
      <w:r w:rsidRPr="005448A9">
        <w:t>, 2024.</w:t>
      </w:r>
      <w:r w:rsidRPr="00AC3620">
        <w:rPr>
          <w:rStyle w:val="cf01"/>
          <w:color w:val="0000FF"/>
          <w:sz w:val="16"/>
          <w:szCs w:val="16"/>
          <w:u w:val="single"/>
        </w:rPr>
        <w:t xml:space="preserve"> </w:t>
      </w:r>
      <w:hyperlink r:id="rId2" w:history="1">
        <w:r w:rsidRPr="001E1E64">
          <w:t>https://www.undp.org/sites/g/files/zskgke326/files/2023-11/undp_regional_human_development_report_web_final20nov.pdf</w:t>
        </w:r>
      </w:hyperlink>
    </w:p>
  </w:endnote>
  <w:endnote w:id="4">
    <w:p w14:paraId="3AB85105" w14:textId="72BF2941" w:rsidR="00F95B6C" w:rsidRPr="005448A9" w:rsidRDefault="00F95B6C" w:rsidP="005448A9">
      <w:pPr>
        <w:pStyle w:val="EndnoteText"/>
      </w:pPr>
      <w:r w:rsidRPr="00AC3620">
        <w:rPr>
          <w:rStyle w:val="EndnoteReference"/>
          <w:rFonts w:cs="Segoe UI"/>
          <w:szCs w:val="16"/>
        </w:rPr>
        <w:endnoteRef/>
      </w:r>
      <w:r w:rsidRPr="005448A9">
        <w:t xml:space="preserve"> UNDP, </w:t>
      </w:r>
      <w:r w:rsidRPr="00AC3620">
        <w:rPr>
          <w:rFonts w:cs="Segoe UI"/>
          <w:i/>
          <w:iCs/>
          <w:szCs w:val="16"/>
        </w:rPr>
        <w:t xml:space="preserve">2024 </w:t>
      </w:r>
      <w:r w:rsidR="00D553E9" w:rsidRPr="00AC3620">
        <w:rPr>
          <w:i/>
          <w:iCs/>
        </w:rPr>
        <w:t>r</w:t>
      </w:r>
      <w:r w:rsidRPr="00AC3620">
        <w:rPr>
          <w:i/>
          <w:iCs/>
        </w:rPr>
        <w:t>egional human development report</w:t>
      </w:r>
      <w:r w:rsidR="00D553E9" w:rsidRPr="00AC3620">
        <w:rPr>
          <w:i/>
          <w:iCs/>
        </w:rPr>
        <w:t xml:space="preserve"> </w:t>
      </w:r>
      <w:r w:rsidR="00D553E9" w:rsidRPr="00AC3620">
        <w:rPr>
          <w:rFonts w:cs="Segoe UI"/>
          <w:i/>
          <w:iCs/>
          <w:szCs w:val="16"/>
        </w:rPr>
        <w:t>–</w:t>
      </w:r>
      <w:r w:rsidR="00D553E9" w:rsidRPr="005448A9">
        <w:t xml:space="preserve"> </w:t>
      </w:r>
      <w:r w:rsidR="00D553E9" w:rsidRPr="00AC3620">
        <w:rPr>
          <w:i/>
          <w:iCs/>
        </w:rPr>
        <w:t>making our future: new directions for human development in Asia and the Pacific</w:t>
      </w:r>
      <w:r w:rsidRPr="005448A9">
        <w:t>.</w:t>
      </w:r>
    </w:p>
  </w:endnote>
  <w:endnote w:id="5">
    <w:p w14:paraId="4C090276" w14:textId="236017AC" w:rsidR="00F95B6C" w:rsidRPr="002548DF" w:rsidRDefault="00F95B6C" w:rsidP="005448A9">
      <w:pPr>
        <w:pStyle w:val="EndnoteText"/>
      </w:pPr>
      <w:r w:rsidRPr="00AC3620">
        <w:rPr>
          <w:rStyle w:val="EndnoteReference"/>
          <w:rFonts w:cs="Segoe UI"/>
          <w:szCs w:val="16"/>
        </w:rPr>
        <w:endnoteRef/>
      </w:r>
      <w:r w:rsidRPr="005448A9">
        <w:t xml:space="preserve"> UNDP, </w:t>
      </w:r>
      <w:r w:rsidRPr="00AC3620">
        <w:rPr>
          <w:rFonts w:cs="Segoe UI"/>
          <w:i/>
          <w:iCs/>
          <w:color w:val="000000"/>
          <w:szCs w:val="16"/>
          <w:shd w:val="clear" w:color="auto" w:fill="FFFFFF"/>
        </w:rPr>
        <w:t>2023 Global Multidimensional Poverty Index (MPI)</w:t>
      </w:r>
      <w:r w:rsidR="00C81637" w:rsidRPr="00AC3620">
        <w:rPr>
          <w:rFonts w:cs="Segoe UI"/>
          <w:i/>
          <w:iCs/>
          <w:color w:val="000000"/>
          <w:szCs w:val="16"/>
          <w:shd w:val="clear" w:color="auto" w:fill="FFFFFF"/>
        </w:rPr>
        <w:t xml:space="preserve"> –</w:t>
      </w:r>
      <w:r w:rsidRPr="00AC3620">
        <w:rPr>
          <w:rFonts w:cs="Segoe UI"/>
          <w:i/>
          <w:iCs/>
          <w:color w:val="000000"/>
          <w:szCs w:val="16"/>
          <w:shd w:val="clear" w:color="auto" w:fill="FFFFFF"/>
        </w:rPr>
        <w:t xml:space="preserve"> unstacking global poverty</w:t>
      </w:r>
      <w:r w:rsidR="00C81637" w:rsidRPr="00AC3620">
        <w:rPr>
          <w:rFonts w:cs="Segoe UI"/>
          <w:i/>
          <w:iCs/>
          <w:color w:val="000000"/>
          <w:szCs w:val="16"/>
          <w:shd w:val="clear" w:color="auto" w:fill="FFFFFF"/>
        </w:rPr>
        <w:t>:</w:t>
      </w:r>
      <w:r w:rsidRPr="00AC3620">
        <w:rPr>
          <w:rFonts w:cs="Segoe UI"/>
          <w:i/>
          <w:iCs/>
          <w:color w:val="000000"/>
          <w:szCs w:val="16"/>
          <w:shd w:val="clear" w:color="auto" w:fill="FFFFFF"/>
        </w:rPr>
        <w:t xml:space="preserve"> data for high impact action</w:t>
      </w:r>
      <w:r w:rsidRPr="005448A9">
        <w:t xml:space="preserve">, 2023. </w:t>
      </w:r>
      <w:hyperlink r:id="rId3" w:anchor="/indicies/MPI" w:history="1">
        <w:r w:rsidRPr="001E1E64">
          <w:t>https://hdr.undp.org/content/2023-global-multidimensional-poverty-index-mpi#/indicies/MPI</w:t>
        </w:r>
      </w:hyperlink>
    </w:p>
  </w:endnote>
  <w:endnote w:id="6">
    <w:p w14:paraId="10B033F3" w14:textId="3878E093" w:rsidR="00F95B6C" w:rsidRPr="005448A9" w:rsidRDefault="00F95B6C" w:rsidP="005448A9">
      <w:pPr>
        <w:pStyle w:val="EndnoteText"/>
      </w:pPr>
      <w:r w:rsidRPr="00AC3620">
        <w:rPr>
          <w:rStyle w:val="EndnoteReference"/>
          <w:rFonts w:cs="Segoe UI"/>
          <w:szCs w:val="16"/>
        </w:rPr>
        <w:endnoteRef/>
      </w:r>
      <w:r w:rsidRPr="005448A9">
        <w:t xml:space="preserve"> UNDP, </w:t>
      </w:r>
      <w:r w:rsidRPr="00AC3620">
        <w:rPr>
          <w:rFonts w:cs="Segoe UI"/>
          <w:i/>
          <w:iCs/>
          <w:szCs w:val="16"/>
        </w:rPr>
        <w:t xml:space="preserve">2024 </w:t>
      </w:r>
      <w:r w:rsidR="00963440" w:rsidRPr="00AC3620">
        <w:rPr>
          <w:rFonts w:cs="Segoe UI"/>
          <w:i/>
          <w:iCs/>
          <w:szCs w:val="16"/>
        </w:rPr>
        <w:t>r</w:t>
      </w:r>
      <w:r w:rsidRPr="00AC3620">
        <w:rPr>
          <w:rFonts w:cs="Segoe UI"/>
          <w:i/>
          <w:iCs/>
          <w:szCs w:val="16"/>
        </w:rPr>
        <w:t>egional human development report</w:t>
      </w:r>
      <w:r w:rsidRPr="005448A9">
        <w:t>.</w:t>
      </w:r>
    </w:p>
  </w:endnote>
  <w:endnote w:id="7">
    <w:p w14:paraId="52C5A4E7" w14:textId="0AC10578" w:rsidR="00F95B6C" w:rsidRPr="005448A9" w:rsidRDefault="00F95B6C" w:rsidP="005448A9">
      <w:pPr>
        <w:pStyle w:val="EndnoteText"/>
      </w:pPr>
      <w:r w:rsidRPr="00AC3620">
        <w:rPr>
          <w:rStyle w:val="EndnoteReference"/>
          <w:rFonts w:cs="Segoe UI"/>
          <w:szCs w:val="16"/>
        </w:rPr>
        <w:endnoteRef/>
      </w:r>
      <w:r w:rsidRPr="005448A9">
        <w:t xml:space="preserve"> Economic and Social Commission for Asia and the Pacific (ESCAP), </w:t>
      </w:r>
      <w:r w:rsidRPr="00AC3620">
        <w:rPr>
          <w:i/>
          <w:iCs/>
        </w:rPr>
        <w:t>Asia and the Pacific SDG progress report 2023: championing sustainability despite adversities</w:t>
      </w:r>
      <w:r w:rsidRPr="005448A9">
        <w:t xml:space="preserve">, 2023. </w:t>
      </w:r>
      <w:hyperlink r:id="rId4" w:history="1">
        <w:r w:rsidRPr="001E1E64">
          <w:t>https://www.unescap.org/kp/2023/asia-and-pacific-sdg-progress-report-2023</w:t>
        </w:r>
      </w:hyperlink>
    </w:p>
  </w:endnote>
  <w:endnote w:id="8">
    <w:p w14:paraId="4B313931" w14:textId="29FB81DF" w:rsidR="00F95B6C" w:rsidRPr="005448A9" w:rsidRDefault="00F95B6C" w:rsidP="005448A9">
      <w:pPr>
        <w:pStyle w:val="EndnoteText"/>
      </w:pPr>
      <w:r w:rsidRPr="00AC3620">
        <w:rPr>
          <w:rStyle w:val="EndnoteReference"/>
          <w:rFonts w:cs="Segoe UI"/>
          <w:szCs w:val="16"/>
        </w:rPr>
        <w:endnoteRef/>
      </w:r>
      <w:r w:rsidRPr="005448A9">
        <w:t xml:space="preserve"> South Asia Development Forum, </w:t>
      </w:r>
      <w:r w:rsidRPr="00AC3620">
        <w:rPr>
          <w:i/>
          <w:iCs/>
        </w:rPr>
        <w:t>A glass half full: the promise of regional trade in South Asia</w:t>
      </w:r>
      <w:r w:rsidRPr="005448A9">
        <w:t xml:space="preserve">, 2018. </w:t>
      </w:r>
      <w:hyperlink r:id="rId5" w:history="1">
        <w:r w:rsidRPr="001E1E64">
          <w:t>https://openknowledge.worldbank.org/server/api/core/bitstreams/9f3f97ac-4007-5b30-9b2d-f1d1070c16b7/content</w:t>
        </w:r>
      </w:hyperlink>
    </w:p>
  </w:endnote>
  <w:endnote w:id="9">
    <w:p w14:paraId="08C6D092" w14:textId="190F42AB" w:rsidR="00766B24" w:rsidRPr="005448A9" w:rsidRDefault="00766B24" w:rsidP="005448A9">
      <w:pPr>
        <w:pStyle w:val="EndnoteText"/>
      </w:pPr>
      <w:r w:rsidRPr="00AC3620">
        <w:rPr>
          <w:rStyle w:val="EndnoteReference"/>
          <w:rFonts w:cs="Segoe UI"/>
          <w:szCs w:val="16"/>
        </w:rPr>
        <w:endnoteRef/>
      </w:r>
      <w:r w:rsidRPr="005448A9">
        <w:t xml:space="preserve"> World Bank, </w:t>
      </w:r>
      <w:r w:rsidRPr="00AC3620">
        <w:rPr>
          <w:rFonts w:cs="Segoe UI"/>
          <w:i/>
          <w:iCs/>
          <w:szCs w:val="16"/>
        </w:rPr>
        <w:t>World Bank expects solid growth but risky outlook for South Asia</w:t>
      </w:r>
      <w:r w:rsidRPr="005448A9">
        <w:t>.</w:t>
      </w:r>
    </w:p>
  </w:endnote>
  <w:endnote w:id="10">
    <w:p w14:paraId="3A456F63" w14:textId="797D65CC" w:rsidR="002418F9" w:rsidRPr="005448A9" w:rsidRDefault="002418F9" w:rsidP="005448A9">
      <w:pPr>
        <w:pStyle w:val="EndnoteText"/>
      </w:pPr>
      <w:r w:rsidRPr="00AC3620">
        <w:rPr>
          <w:rStyle w:val="EndnoteReference"/>
        </w:rPr>
        <w:endnoteRef/>
      </w:r>
      <w:r w:rsidRPr="005448A9">
        <w:t xml:space="preserve"> World Bank, </w:t>
      </w:r>
      <w:r w:rsidRPr="00AC3620">
        <w:rPr>
          <w:rFonts w:cs="Segoe UI"/>
          <w:i/>
          <w:iCs/>
          <w:szCs w:val="16"/>
        </w:rPr>
        <w:t>World Bank expects solid growth but risky outlook for South Asia</w:t>
      </w:r>
      <w:r w:rsidRPr="005448A9">
        <w:t>.</w:t>
      </w:r>
    </w:p>
  </w:endnote>
  <w:endnote w:id="11">
    <w:p w14:paraId="32DD9119" w14:textId="5AB72E7B" w:rsidR="00E627EB" w:rsidRPr="005448A9" w:rsidRDefault="00E627EB" w:rsidP="005448A9">
      <w:pPr>
        <w:pStyle w:val="EndnoteText"/>
      </w:pPr>
      <w:r w:rsidRPr="00AC3620">
        <w:rPr>
          <w:rStyle w:val="EndnoteReference"/>
        </w:rPr>
        <w:endnoteRef/>
      </w:r>
      <w:r w:rsidRPr="005448A9">
        <w:t xml:space="preserve"> World Bank, </w:t>
      </w:r>
      <w:r w:rsidRPr="00AC3620">
        <w:rPr>
          <w:rFonts w:cs="Segoe UI"/>
          <w:i/>
          <w:iCs/>
          <w:szCs w:val="16"/>
        </w:rPr>
        <w:t>World Bank expects solid growth but risky outlook for South Asia</w:t>
      </w:r>
      <w:r w:rsidRPr="005448A9">
        <w:t>.</w:t>
      </w:r>
    </w:p>
  </w:endnote>
  <w:endnote w:id="12">
    <w:p w14:paraId="65253D20" w14:textId="407F09C3" w:rsidR="00E627EB" w:rsidRPr="005448A9" w:rsidRDefault="00E627EB" w:rsidP="005448A9">
      <w:pPr>
        <w:pStyle w:val="EndnoteText"/>
      </w:pPr>
      <w:r w:rsidRPr="00AC3620">
        <w:rPr>
          <w:rStyle w:val="EndnoteReference"/>
        </w:rPr>
        <w:endnoteRef/>
      </w:r>
      <w:r w:rsidRPr="005448A9">
        <w:t xml:space="preserve"> </w:t>
      </w:r>
      <w:r w:rsidR="00DE617A" w:rsidRPr="005448A9">
        <w:t xml:space="preserve">World Bank, </w:t>
      </w:r>
      <w:r w:rsidR="00DE617A" w:rsidRPr="00AC3620">
        <w:rPr>
          <w:i/>
          <w:iCs/>
        </w:rPr>
        <w:t>South Asia’s hotspots: impacts of temperature and precipitation changes on living standards</w:t>
      </w:r>
      <w:r w:rsidR="00DE617A" w:rsidRPr="005448A9">
        <w:t xml:space="preserve">, 2018. </w:t>
      </w:r>
      <w:hyperlink r:id="rId6" w:history="1">
        <w:r w:rsidR="00DE617A" w:rsidRPr="001E1E64">
          <w:t>https://openknowledge.worldbank.org/entities/publication/8a6180ce-4e60-5ec2-b869-74cfaad0dbb1</w:t>
        </w:r>
      </w:hyperlink>
    </w:p>
  </w:endnote>
  <w:endnote w:id="13">
    <w:p w14:paraId="49FB396E" w14:textId="64A658F3" w:rsidR="006421A5" w:rsidRPr="005448A9" w:rsidRDefault="006421A5" w:rsidP="005448A9">
      <w:pPr>
        <w:pStyle w:val="EndnoteText"/>
      </w:pPr>
      <w:r w:rsidRPr="00AC3620">
        <w:rPr>
          <w:rStyle w:val="EndnoteReference"/>
          <w:rFonts w:cs="Segoe UI"/>
          <w:szCs w:val="16"/>
        </w:rPr>
        <w:endnoteRef/>
      </w:r>
      <w:r w:rsidRPr="005448A9">
        <w:t xml:space="preserve"> UNDP, </w:t>
      </w:r>
      <w:r w:rsidRPr="00AC3620">
        <w:rPr>
          <w:rFonts w:cs="Segoe UI"/>
          <w:i/>
          <w:iCs/>
          <w:szCs w:val="16"/>
        </w:rPr>
        <w:t xml:space="preserve">2024 </w:t>
      </w:r>
      <w:r w:rsidR="004C53CB" w:rsidRPr="00AC3620">
        <w:rPr>
          <w:rFonts w:cs="Segoe UI"/>
          <w:i/>
          <w:iCs/>
          <w:szCs w:val="16"/>
        </w:rPr>
        <w:t>r</w:t>
      </w:r>
      <w:r w:rsidRPr="00AC3620">
        <w:rPr>
          <w:rFonts w:cs="Segoe UI"/>
          <w:i/>
          <w:iCs/>
          <w:szCs w:val="16"/>
        </w:rPr>
        <w:t>egional human development report</w:t>
      </w:r>
      <w:r w:rsidRPr="005448A9">
        <w:t>.</w:t>
      </w:r>
    </w:p>
  </w:endnote>
  <w:endnote w:id="14">
    <w:p w14:paraId="45D715E4" w14:textId="5CAF5DAF" w:rsidR="006421A5" w:rsidRPr="005448A9" w:rsidRDefault="006421A5" w:rsidP="005448A9">
      <w:pPr>
        <w:pStyle w:val="EndnoteText"/>
      </w:pPr>
      <w:r w:rsidRPr="00AC3620">
        <w:rPr>
          <w:rStyle w:val="EndnoteReference"/>
          <w:rFonts w:cs="Segoe UI"/>
          <w:szCs w:val="16"/>
        </w:rPr>
        <w:endnoteRef/>
      </w:r>
      <w:r w:rsidRPr="005448A9">
        <w:t xml:space="preserve"> International Labour Organization, </w:t>
      </w:r>
      <w:r w:rsidRPr="00AC3620">
        <w:rPr>
          <w:i/>
          <w:iCs/>
        </w:rPr>
        <w:t>Global wage report 2018</w:t>
      </w:r>
      <w:r w:rsidR="003E373D" w:rsidRPr="00AC3620">
        <w:rPr>
          <w:i/>
          <w:iCs/>
        </w:rPr>
        <w:t>–</w:t>
      </w:r>
      <w:r w:rsidRPr="00AC3620">
        <w:rPr>
          <w:i/>
          <w:iCs/>
        </w:rPr>
        <w:t>19: what lies behind gender pay gaps</w:t>
      </w:r>
      <w:r w:rsidRPr="005448A9">
        <w:t xml:space="preserve">, 2019. </w:t>
      </w:r>
      <w:hyperlink r:id="rId7" w:history="1">
        <w:r w:rsidRPr="001E1E64">
          <w:t>https://www.ilo.org/sites/default/files/wcmsp5/groups/public/@dgreports/@dcomm/@publ/documents/publication/wcms_650553.pdf</w:t>
        </w:r>
      </w:hyperlink>
    </w:p>
  </w:endnote>
  <w:endnote w:id="15">
    <w:p w14:paraId="06961989" w14:textId="46D73306" w:rsidR="00884BD0" w:rsidRPr="00AC3620" w:rsidRDefault="006421A5" w:rsidP="005448A9">
      <w:pPr>
        <w:pStyle w:val="EndnoteText"/>
        <w:rPr>
          <w:rFonts w:cs="Segoe UI"/>
          <w:color w:val="014429" w:themeColor="hyperlink"/>
          <w:szCs w:val="16"/>
          <w:u w:val="single"/>
        </w:rPr>
      </w:pPr>
      <w:r w:rsidRPr="00AC3620">
        <w:rPr>
          <w:rStyle w:val="EndnoteReference"/>
          <w:rFonts w:cs="Segoe UI"/>
          <w:szCs w:val="16"/>
        </w:rPr>
        <w:endnoteRef/>
      </w:r>
      <w:r w:rsidRPr="005448A9">
        <w:t xml:space="preserve"> Asian Development Bank Institute, </w:t>
      </w:r>
      <w:r w:rsidRPr="00AC3620">
        <w:rPr>
          <w:i/>
          <w:iCs/>
        </w:rPr>
        <w:t>Women’s economic empowerment in Asia</w:t>
      </w:r>
      <w:r w:rsidRPr="005448A9">
        <w:t xml:space="preserve"> [policy brief], 2021. </w:t>
      </w:r>
      <w:hyperlink r:id="rId8" w:history="1">
        <w:r w:rsidRPr="001E1E64">
          <w:t>https://www.adb.org/sites/default/files/publication/758581/adbi-brief-women-economic-empowerment.pdf</w:t>
        </w:r>
      </w:hyperlink>
    </w:p>
  </w:endnote>
  <w:endnote w:id="16">
    <w:p w14:paraId="42002E15" w14:textId="404BFB6B" w:rsidR="007869DF" w:rsidRPr="009E1558" w:rsidRDefault="00CF6A5F" w:rsidP="005448A9">
      <w:pPr>
        <w:pStyle w:val="EndnoteText"/>
      </w:pPr>
      <w:r w:rsidRPr="00AC3620">
        <w:rPr>
          <w:rStyle w:val="EndnoteReference"/>
        </w:rPr>
        <w:endnoteRef/>
      </w:r>
      <w:r w:rsidRPr="005448A9">
        <w:t xml:space="preserve"> </w:t>
      </w:r>
      <w:r w:rsidR="00501C42" w:rsidRPr="005448A9">
        <w:t>M Raiser</w:t>
      </w:r>
      <w:r w:rsidR="00402729" w:rsidRPr="005448A9">
        <w:t xml:space="preserve">, </w:t>
      </w:r>
      <w:r w:rsidR="00402729" w:rsidRPr="00AC3620">
        <w:rPr>
          <w:i/>
          <w:iCs/>
        </w:rPr>
        <w:t>Standing up to fight gender-based violence in South Asia</w:t>
      </w:r>
      <w:r w:rsidR="00402729" w:rsidRPr="005448A9">
        <w:t xml:space="preserve"> [blog],</w:t>
      </w:r>
      <w:r w:rsidRPr="005448A9">
        <w:t xml:space="preserve"> 2022. </w:t>
      </w:r>
      <w:hyperlink r:id="rId9" w:history="1">
        <w:r w:rsidR="002548DF" w:rsidRPr="001E1E64">
          <w:t>https://blogs.worldbank.org/en/endpovertyinsouthasia/standing-fight-gender-based-violence-south-asia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560018"/>
      <w:docPartObj>
        <w:docPartGallery w:val="Page Numbers (Bottom of Page)"/>
        <w:docPartUnique/>
      </w:docPartObj>
    </w:sdtPr>
    <w:sdtEndPr>
      <w:rPr>
        <w:noProof/>
      </w:rPr>
    </w:sdtEndPr>
    <w:sdtContent>
      <w:p w14:paraId="7D6F97ED" w14:textId="2676CC03" w:rsidR="003059E4" w:rsidRDefault="003059E4" w:rsidP="00941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D17A" w14:textId="21722DDE" w:rsidR="00FC6C44" w:rsidRDefault="00366D6D" w:rsidP="00941703">
    <w:pPr>
      <w:pStyle w:val="Footer"/>
      <w:tabs>
        <w:tab w:val="clear" w:pos="4513"/>
        <w:tab w:val="clear" w:pos="9026"/>
        <w:tab w:val="left" w:pos="3699"/>
      </w:tabs>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C9A7" w14:textId="781EEB0B" w:rsidR="000907F0" w:rsidRDefault="00366D6D" w:rsidP="00941703">
    <w:pPr>
      <w:pStyle w:val="Footer"/>
      <w:tabs>
        <w:tab w:val="clear" w:pos="4513"/>
        <w:tab w:val="clear" w:pos="9026"/>
        <w:tab w:val="left" w:pos="3699"/>
      </w:tabs>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B53A" w14:textId="1DB8A2CE" w:rsidR="001A1CF2" w:rsidRDefault="00366D6D" w:rsidP="00941703">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497C" w14:textId="77777777" w:rsidR="00C36BBA" w:rsidRDefault="00C36BBA" w:rsidP="00EE32FE">
      <w:pPr>
        <w:spacing w:after="0" w:line="240" w:lineRule="auto"/>
      </w:pPr>
      <w:r>
        <w:separator/>
      </w:r>
    </w:p>
  </w:footnote>
  <w:footnote w:type="continuationSeparator" w:id="0">
    <w:p w14:paraId="6792E50A" w14:textId="77777777" w:rsidR="00C36BBA" w:rsidRDefault="00C36BBA" w:rsidP="00EE32FE">
      <w:pPr>
        <w:spacing w:after="0" w:line="240" w:lineRule="auto"/>
      </w:pPr>
      <w:r>
        <w:continuationSeparator/>
      </w:r>
    </w:p>
  </w:footnote>
  <w:footnote w:type="continuationNotice" w:id="1">
    <w:p w14:paraId="350E264C" w14:textId="77777777" w:rsidR="00C36BBA" w:rsidRDefault="00C36B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152C" w14:textId="77777777" w:rsidR="002D7AC1" w:rsidRDefault="002D7AC1" w:rsidP="001075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E4D0" w14:textId="4BB5D71A" w:rsidR="002E713A" w:rsidRDefault="000D690C" w:rsidP="00B817DF">
    <w:pPr>
      <w:pStyle w:val="Header"/>
      <w:tabs>
        <w:tab w:val="clear" w:pos="4513"/>
        <w:tab w:val="clear" w:pos="9026"/>
        <w:tab w:val="left" w:pos="5691"/>
      </w:tabs>
    </w:pPr>
    <w:r>
      <w:rPr>
        <w:noProof/>
      </w:rPr>
      <w:drawing>
        <wp:anchor distT="0" distB="0" distL="114300" distR="114300" simplePos="0" relativeHeight="251658248" behindDoc="1" locked="0" layoutInCell="1" allowOverlap="1" wp14:anchorId="3726CBB0" wp14:editId="751DAC4A">
          <wp:simplePos x="0" y="0"/>
          <wp:positionH relativeFrom="page">
            <wp:align>left</wp:align>
          </wp:positionH>
          <wp:positionV relativeFrom="paragraph">
            <wp:posOffset>-208814</wp:posOffset>
          </wp:positionV>
          <wp:extent cx="7578547" cy="10719440"/>
          <wp:effectExtent l="0" t="0" r="3810" b="5715"/>
          <wp:wrapNone/>
          <wp:docPr id="1302206977" name="Picture 3" descr="Australian Government Department of Foreign Affairs and Trade banner.&#10;Photographs of: (left top) monitoring a water security project in Pakistan; (left bottom) Himalayan mountains in Nepal; (right top) Australia Awards in South Asia and Mongolia alumni at the National Museum of Australia; (right middle) Port of Chittagong, Chattogram, Bangladesh; and (right bottom) Australia Awards in South Asia and Mongolia alumni&#10;&#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06977" name="Picture 3" descr="Australian Government Department of Foreign Affairs and Trade banner.&#10;Photographs of: (left top) monitoring a water security project in Pakistan; (left bottom) Himalayan mountains in Nepal; (right top) Australia Awards in South Asia and Mongolia alumni at the National Museum of Australia; (right middle) Port of Chittagong, Chattogram, Bangladesh; and (right bottom) Australia Awards in South Asia and Mongolia alumni&#10;&#10;&#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782" cy="107339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CBB0" w14:textId="0A41F0CE" w:rsidR="007F0BCA" w:rsidRDefault="007F0BCA" w:rsidP="000070A5">
    <w:pPr>
      <w:pStyle w:val="Header"/>
      <w:tabs>
        <w:tab w:val="clear" w:pos="4513"/>
        <w:tab w:val="clear" w:pos="9026"/>
        <w:tab w:val="left" w:pos="5691"/>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7619" w14:textId="67E53CF2" w:rsidR="00541A9E" w:rsidRPr="00CF17C3" w:rsidRDefault="00541A9E" w:rsidP="00CF17C3">
    <w:pPr>
      <w:pStyle w:val="SECCLASSIFICA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960E" w14:textId="009A6A09" w:rsidR="00EF1299" w:rsidRPr="00CF17C3" w:rsidRDefault="00EF1299" w:rsidP="00CF17C3">
    <w:pPr>
      <w:pStyle w:val="SECCLASSIFICA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3226" w14:textId="34EFE3F1" w:rsidR="001A1CF2" w:rsidRDefault="001A1CF2" w:rsidP="00CF17C3">
    <w:pPr>
      <w:pStyle w:val="SECCLASSIFICA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5155"/>
    <w:multiLevelType w:val="hybridMultilevel"/>
    <w:tmpl w:val="A37AE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start w:val="1"/>
      <w:numFmt w:val="bullet"/>
      <w:lvlText w:val="o"/>
      <w:lvlJc w:val="left"/>
      <w:pPr>
        <w:ind w:left="1592" w:hanging="360"/>
      </w:pPr>
      <w:rPr>
        <w:rFonts w:ascii="Courier New" w:hAnsi="Courier New" w:cs="Courier New" w:hint="default"/>
      </w:rPr>
    </w:lvl>
    <w:lvl w:ilvl="2" w:tplc="0C090005">
      <w:start w:val="1"/>
      <w:numFmt w:val="bullet"/>
      <w:lvlText w:val=""/>
      <w:lvlJc w:val="left"/>
      <w:pPr>
        <w:ind w:left="2312" w:hanging="360"/>
      </w:pPr>
      <w:rPr>
        <w:rFonts w:ascii="Wingdings" w:hAnsi="Wingdings" w:hint="default"/>
      </w:rPr>
    </w:lvl>
    <w:lvl w:ilvl="3" w:tplc="0C090001">
      <w:start w:val="1"/>
      <w:numFmt w:val="bullet"/>
      <w:lvlText w:val=""/>
      <w:lvlJc w:val="left"/>
      <w:pPr>
        <w:ind w:left="3032" w:hanging="360"/>
      </w:pPr>
      <w:rPr>
        <w:rFonts w:ascii="Symbol" w:hAnsi="Symbol" w:hint="default"/>
      </w:rPr>
    </w:lvl>
    <w:lvl w:ilvl="4" w:tplc="0C090003">
      <w:start w:val="1"/>
      <w:numFmt w:val="bullet"/>
      <w:lvlText w:val="o"/>
      <w:lvlJc w:val="left"/>
      <w:pPr>
        <w:ind w:left="3752" w:hanging="360"/>
      </w:pPr>
      <w:rPr>
        <w:rFonts w:ascii="Courier New" w:hAnsi="Courier New" w:cs="Courier New" w:hint="default"/>
      </w:rPr>
    </w:lvl>
    <w:lvl w:ilvl="5" w:tplc="0C090005">
      <w:start w:val="1"/>
      <w:numFmt w:val="bullet"/>
      <w:lvlText w:val=""/>
      <w:lvlJc w:val="left"/>
      <w:pPr>
        <w:ind w:left="4472" w:hanging="360"/>
      </w:pPr>
      <w:rPr>
        <w:rFonts w:ascii="Wingdings" w:hAnsi="Wingdings" w:hint="default"/>
      </w:rPr>
    </w:lvl>
    <w:lvl w:ilvl="6" w:tplc="0C090001">
      <w:start w:val="1"/>
      <w:numFmt w:val="bullet"/>
      <w:lvlText w:val=""/>
      <w:lvlJc w:val="left"/>
      <w:pPr>
        <w:ind w:left="5192" w:hanging="360"/>
      </w:pPr>
      <w:rPr>
        <w:rFonts w:ascii="Symbol" w:hAnsi="Symbol" w:hint="default"/>
      </w:rPr>
    </w:lvl>
    <w:lvl w:ilvl="7" w:tplc="0C090003">
      <w:start w:val="1"/>
      <w:numFmt w:val="bullet"/>
      <w:lvlText w:val="o"/>
      <w:lvlJc w:val="left"/>
      <w:pPr>
        <w:ind w:left="5912" w:hanging="360"/>
      </w:pPr>
      <w:rPr>
        <w:rFonts w:ascii="Courier New" w:hAnsi="Courier New" w:cs="Courier New" w:hint="default"/>
      </w:rPr>
    </w:lvl>
    <w:lvl w:ilvl="8" w:tplc="0C090005">
      <w:start w:val="1"/>
      <w:numFmt w:val="bullet"/>
      <w:lvlText w:val=""/>
      <w:lvlJc w:val="left"/>
      <w:pPr>
        <w:ind w:left="6632" w:hanging="360"/>
      </w:pPr>
      <w:rPr>
        <w:rFonts w:ascii="Wingdings" w:hAnsi="Wingdings" w:hint="default"/>
      </w:rPr>
    </w:lvl>
  </w:abstractNum>
  <w:abstractNum w:abstractNumId="2" w15:restartNumberingAfterBreak="0">
    <w:nsid w:val="1DD53D2A"/>
    <w:multiLevelType w:val="hybridMultilevel"/>
    <w:tmpl w:val="957AE984"/>
    <w:lvl w:ilvl="0" w:tplc="229039E2">
      <w:start w:val="1"/>
      <w:numFmt w:val="bullet"/>
      <w:pStyle w:val="NormalBullets-L2"/>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2D7028"/>
    <w:multiLevelType w:val="hybridMultilevel"/>
    <w:tmpl w:val="0794046C"/>
    <w:lvl w:ilvl="0" w:tplc="19B0D4A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283CD7"/>
    <w:multiLevelType w:val="hybridMultilevel"/>
    <w:tmpl w:val="A98030B2"/>
    <w:lvl w:ilvl="0" w:tplc="F1ACF9B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D41E20"/>
    <w:multiLevelType w:val="hybridMultilevel"/>
    <w:tmpl w:val="BC9C2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4943B1"/>
    <w:multiLevelType w:val="multilevel"/>
    <w:tmpl w:val="C4E2A3E0"/>
    <w:lvl w:ilvl="0">
      <w:start w:val="1"/>
      <w:numFmt w:val="bullet"/>
      <w:pStyle w:val="NormalBullets-L1"/>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83D19"/>
    <w:multiLevelType w:val="hybridMultilevel"/>
    <w:tmpl w:val="4FC0FBBE"/>
    <w:lvl w:ilvl="0" w:tplc="6DEA0B58">
      <w:start w:val="1"/>
      <w:numFmt w:val="bullet"/>
      <w:pStyle w:val="NormalBullets-L3"/>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CF62FD"/>
    <w:multiLevelType w:val="hybridMultilevel"/>
    <w:tmpl w:val="BA528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F127D0"/>
    <w:multiLevelType w:val="hybridMultilevel"/>
    <w:tmpl w:val="FB269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7967916">
    <w:abstractNumId w:val="4"/>
  </w:num>
  <w:num w:numId="2" w16cid:durableId="1400522488">
    <w:abstractNumId w:val="7"/>
  </w:num>
  <w:num w:numId="3" w16cid:durableId="909847184">
    <w:abstractNumId w:val="1"/>
  </w:num>
  <w:num w:numId="4" w16cid:durableId="723600152">
    <w:abstractNumId w:val="8"/>
  </w:num>
  <w:num w:numId="5" w16cid:durableId="826245015">
    <w:abstractNumId w:val="2"/>
  </w:num>
  <w:num w:numId="6" w16cid:durableId="1658219924">
    <w:abstractNumId w:val="0"/>
  </w:num>
  <w:num w:numId="7" w16cid:durableId="746656840">
    <w:abstractNumId w:val="5"/>
  </w:num>
  <w:num w:numId="8" w16cid:durableId="758059348">
    <w:abstractNumId w:val="10"/>
  </w:num>
  <w:num w:numId="9" w16cid:durableId="292059680">
    <w:abstractNumId w:val="9"/>
  </w:num>
  <w:num w:numId="10" w16cid:durableId="808934240">
    <w:abstractNumId w:val="6"/>
  </w:num>
  <w:num w:numId="11" w16cid:durableId="139632213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A6"/>
    <w:rsid w:val="000011E7"/>
    <w:rsid w:val="00001511"/>
    <w:rsid w:val="0000192D"/>
    <w:rsid w:val="00001B93"/>
    <w:rsid w:val="00002B67"/>
    <w:rsid w:val="00003531"/>
    <w:rsid w:val="0000396C"/>
    <w:rsid w:val="000049FA"/>
    <w:rsid w:val="000070A5"/>
    <w:rsid w:val="000109BB"/>
    <w:rsid w:val="00011554"/>
    <w:rsid w:val="00012299"/>
    <w:rsid w:val="000128B8"/>
    <w:rsid w:val="00013079"/>
    <w:rsid w:val="0001535B"/>
    <w:rsid w:val="000158EB"/>
    <w:rsid w:val="00015AB5"/>
    <w:rsid w:val="00017080"/>
    <w:rsid w:val="000175A1"/>
    <w:rsid w:val="0002024C"/>
    <w:rsid w:val="00020A5C"/>
    <w:rsid w:val="00022260"/>
    <w:rsid w:val="000226CC"/>
    <w:rsid w:val="00025428"/>
    <w:rsid w:val="00025ED0"/>
    <w:rsid w:val="00026DC4"/>
    <w:rsid w:val="00027CFF"/>
    <w:rsid w:val="00030679"/>
    <w:rsid w:val="0003198C"/>
    <w:rsid w:val="00031C8E"/>
    <w:rsid w:val="0003205B"/>
    <w:rsid w:val="000326BA"/>
    <w:rsid w:val="00035C82"/>
    <w:rsid w:val="00036EB3"/>
    <w:rsid w:val="00037392"/>
    <w:rsid w:val="00037837"/>
    <w:rsid w:val="00040191"/>
    <w:rsid w:val="00041AEE"/>
    <w:rsid w:val="00043B51"/>
    <w:rsid w:val="00044B24"/>
    <w:rsid w:val="00046CAF"/>
    <w:rsid w:val="00047A2F"/>
    <w:rsid w:val="00050079"/>
    <w:rsid w:val="00051219"/>
    <w:rsid w:val="000521BE"/>
    <w:rsid w:val="000528A9"/>
    <w:rsid w:val="00054A1C"/>
    <w:rsid w:val="00054EE2"/>
    <w:rsid w:val="000551B3"/>
    <w:rsid w:val="00055C72"/>
    <w:rsid w:val="00057544"/>
    <w:rsid w:val="00061EF4"/>
    <w:rsid w:val="0006212F"/>
    <w:rsid w:val="00063EB7"/>
    <w:rsid w:val="00065041"/>
    <w:rsid w:val="000673EA"/>
    <w:rsid w:val="000674D4"/>
    <w:rsid w:val="000677BD"/>
    <w:rsid w:val="00067A7C"/>
    <w:rsid w:val="000736D7"/>
    <w:rsid w:val="00073FB4"/>
    <w:rsid w:val="0007425C"/>
    <w:rsid w:val="00074BD7"/>
    <w:rsid w:val="000800B4"/>
    <w:rsid w:val="000803A1"/>
    <w:rsid w:val="000817AF"/>
    <w:rsid w:val="00082F4B"/>
    <w:rsid w:val="00083836"/>
    <w:rsid w:val="000845D2"/>
    <w:rsid w:val="0008462C"/>
    <w:rsid w:val="00084B64"/>
    <w:rsid w:val="00085055"/>
    <w:rsid w:val="00085AC0"/>
    <w:rsid w:val="00086F56"/>
    <w:rsid w:val="000876DB"/>
    <w:rsid w:val="000907F0"/>
    <w:rsid w:val="0009212D"/>
    <w:rsid w:val="0009265A"/>
    <w:rsid w:val="00092DBE"/>
    <w:rsid w:val="0009390F"/>
    <w:rsid w:val="00093FBA"/>
    <w:rsid w:val="0009490E"/>
    <w:rsid w:val="00094EC7"/>
    <w:rsid w:val="000966D0"/>
    <w:rsid w:val="00096D1D"/>
    <w:rsid w:val="00097D16"/>
    <w:rsid w:val="000A0841"/>
    <w:rsid w:val="000A09CB"/>
    <w:rsid w:val="000A0CBF"/>
    <w:rsid w:val="000A17ED"/>
    <w:rsid w:val="000A1E28"/>
    <w:rsid w:val="000A3003"/>
    <w:rsid w:val="000A333C"/>
    <w:rsid w:val="000A35EE"/>
    <w:rsid w:val="000A44B1"/>
    <w:rsid w:val="000A4975"/>
    <w:rsid w:val="000A5328"/>
    <w:rsid w:val="000A5463"/>
    <w:rsid w:val="000A5FC3"/>
    <w:rsid w:val="000A6982"/>
    <w:rsid w:val="000A7202"/>
    <w:rsid w:val="000A747B"/>
    <w:rsid w:val="000A78C3"/>
    <w:rsid w:val="000B04E1"/>
    <w:rsid w:val="000B3D64"/>
    <w:rsid w:val="000B7830"/>
    <w:rsid w:val="000B7B34"/>
    <w:rsid w:val="000C09B2"/>
    <w:rsid w:val="000C166F"/>
    <w:rsid w:val="000C38A2"/>
    <w:rsid w:val="000C3B88"/>
    <w:rsid w:val="000C3C88"/>
    <w:rsid w:val="000C4BA5"/>
    <w:rsid w:val="000C52E7"/>
    <w:rsid w:val="000C6E92"/>
    <w:rsid w:val="000C7323"/>
    <w:rsid w:val="000D0475"/>
    <w:rsid w:val="000D07DA"/>
    <w:rsid w:val="000D1545"/>
    <w:rsid w:val="000D156D"/>
    <w:rsid w:val="000D210B"/>
    <w:rsid w:val="000D226D"/>
    <w:rsid w:val="000D47BB"/>
    <w:rsid w:val="000D4EDB"/>
    <w:rsid w:val="000D4F43"/>
    <w:rsid w:val="000D6436"/>
    <w:rsid w:val="000D680D"/>
    <w:rsid w:val="000D690C"/>
    <w:rsid w:val="000D6AE2"/>
    <w:rsid w:val="000D793E"/>
    <w:rsid w:val="000D7A65"/>
    <w:rsid w:val="000E09CD"/>
    <w:rsid w:val="000E1211"/>
    <w:rsid w:val="000E1238"/>
    <w:rsid w:val="000E28F4"/>
    <w:rsid w:val="000E29A9"/>
    <w:rsid w:val="000E5B38"/>
    <w:rsid w:val="000E663C"/>
    <w:rsid w:val="000E7D28"/>
    <w:rsid w:val="000F00C2"/>
    <w:rsid w:val="000F0126"/>
    <w:rsid w:val="000F1808"/>
    <w:rsid w:val="000F3A8A"/>
    <w:rsid w:val="000F3C0A"/>
    <w:rsid w:val="000F3D64"/>
    <w:rsid w:val="000F3ED8"/>
    <w:rsid w:val="000F491E"/>
    <w:rsid w:val="000F4EAE"/>
    <w:rsid w:val="000F53E9"/>
    <w:rsid w:val="000F62AF"/>
    <w:rsid w:val="000F717B"/>
    <w:rsid w:val="000F78F7"/>
    <w:rsid w:val="00100731"/>
    <w:rsid w:val="00100A6E"/>
    <w:rsid w:val="0010276B"/>
    <w:rsid w:val="00102FB0"/>
    <w:rsid w:val="001058D0"/>
    <w:rsid w:val="001065D2"/>
    <w:rsid w:val="001074F7"/>
    <w:rsid w:val="00107504"/>
    <w:rsid w:val="00107E79"/>
    <w:rsid w:val="001107B6"/>
    <w:rsid w:val="00110B21"/>
    <w:rsid w:val="0011116C"/>
    <w:rsid w:val="00111464"/>
    <w:rsid w:val="001117F1"/>
    <w:rsid w:val="00111838"/>
    <w:rsid w:val="00115974"/>
    <w:rsid w:val="00117423"/>
    <w:rsid w:val="00120189"/>
    <w:rsid w:val="0012403C"/>
    <w:rsid w:val="00124557"/>
    <w:rsid w:val="00124912"/>
    <w:rsid w:val="001250B0"/>
    <w:rsid w:val="0012513B"/>
    <w:rsid w:val="00125F92"/>
    <w:rsid w:val="00127684"/>
    <w:rsid w:val="00130452"/>
    <w:rsid w:val="001309E8"/>
    <w:rsid w:val="00130ACD"/>
    <w:rsid w:val="001313B5"/>
    <w:rsid w:val="00131519"/>
    <w:rsid w:val="00132CC7"/>
    <w:rsid w:val="00134079"/>
    <w:rsid w:val="00134872"/>
    <w:rsid w:val="00134F82"/>
    <w:rsid w:val="0013598F"/>
    <w:rsid w:val="0013689D"/>
    <w:rsid w:val="00136C24"/>
    <w:rsid w:val="00136F70"/>
    <w:rsid w:val="001405B7"/>
    <w:rsid w:val="0014115F"/>
    <w:rsid w:val="001412D0"/>
    <w:rsid w:val="00141302"/>
    <w:rsid w:val="00142E01"/>
    <w:rsid w:val="00143F85"/>
    <w:rsid w:val="001450D2"/>
    <w:rsid w:val="00145E40"/>
    <w:rsid w:val="00146BA5"/>
    <w:rsid w:val="001502A0"/>
    <w:rsid w:val="00150D70"/>
    <w:rsid w:val="00151078"/>
    <w:rsid w:val="001514A4"/>
    <w:rsid w:val="00151C33"/>
    <w:rsid w:val="0015202F"/>
    <w:rsid w:val="00152A76"/>
    <w:rsid w:val="001551CC"/>
    <w:rsid w:val="0015523C"/>
    <w:rsid w:val="001559E0"/>
    <w:rsid w:val="00155F24"/>
    <w:rsid w:val="00156DD4"/>
    <w:rsid w:val="00157287"/>
    <w:rsid w:val="00157FE6"/>
    <w:rsid w:val="00160ADB"/>
    <w:rsid w:val="00161F52"/>
    <w:rsid w:val="00162754"/>
    <w:rsid w:val="001632B9"/>
    <w:rsid w:val="00165AE5"/>
    <w:rsid w:val="00167109"/>
    <w:rsid w:val="001702EE"/>
    <w:rsid w:val="00170C86"/>
    <w:rsid w:val="00171E62"/>
    <w:rsid w:val="001724B1"/>
    <w:rsid w:val="00172690"/>
    <w:rsid w:val="00172C91"/>
    <w:rsid w:val="001731B4"/>
    <w:rsid w:val="00173F8D"/>
    <w:rsid w:val="00175225"/>
    <w:rsid w:val="001759F4"/>
    <w:rsid w:val="00176E8A"/>
    <w:rsid w:val="00177ECB"/>
    <w:rsid w:val="0018099C"/>
    <w:rsid w:val="00181125"/>
    <w:rsid w:val="001815B0"/>
    <w:rsid w:val="001817AD"/>
    <w:rsid w:val="00181FFA"/>
    <w:rsid w:val="00184471"/>
    <w:rsid w:val="0018479B"/>
    <w:rsid w:val="001856C0"/>
    <w:rsid w:val="001858B5"/>
    <w:rsid w:val="001869DB"/>
    <w:rsid w:val="001876DD"/>
    <w:rsid w:val="00187E02"/>
    <w:rsid w:val="00190C72"/>
    <w:rsid w:val="00191049"/>
    <w:rsid w:val="00191B01"/>
    <w:rsid w:val="00191E56"/>
    <w:rsid w:val="001924F8"/>
    <w:rsid w:val="00192EC7"/>
    <w:rsid w:val="001942AE"/>
    <w:rsid w:val="001952C0"/>
    <w:rsid w:val="001958AE"/>
    <w:rsid w:val="00195B73"/>
    <w:rsid w:val="00195EF7"/>
    <w:rsid w:val="001A07E8"/>
    <w:rsid w:val="001A0D7C"/>
    <w:rsid w:val="001A1CF2"/>
    <w:rsid w:val="001A1FDB"/>
    <w:rsid w:val="001A2E34"/>
    <w:rsid w:val="001A3193"/>
    <w:rsid w:val="001A4E87"/>
    <w:rsid w:val="001A7A70"/>
    <w:rsid w:val="001B00C0"/>
    <w:rsid w:val="001B00CC"/>
    <w:rsid w:val="001B05A6"/>
    <w:rsid w:val="001B0BFC"/>
    <w:rsid w:val="001B0D70"/>
    <w:rsid w:val="001B144E"/>
    <w:rsid w:val="001B1D22"/>
    <w:rsid w:val="001B1D74"/>
    <w:rsid w:val="001B2832"/>
    <w:rsid w:val="001B5C8F"/>
    <w:rsid w:val="001B5FD7"/>
    <w:rsid w:val="001B6282"/>
    <w:rsid w:val="001B6539"/>
    <w:rsid w:val="001B724B"/>
    <w:rsid w:val="001B7348"/>
    <w:rsid w:val="001C0120"/>
    <w:rsid w:val="001C07B6"/>
    <w:rsid w:val="001C709C"/>
    <w:rsid w:val="001C7D0A"/>
    <w:rsid w:val="001C7F37"/>
    <w:rsid w:val="001D05C0"/>
    <w:rsid w:val="001D10D0"/>
    <w:rsid w:val="001D29C1"/>
    <w:rsid w:val="001D3D0B"/>
    <w:rsid w:val="001D428D"/>
    <w:rsid w:val="001D499F"/>
    <w:rsid w:val="001D57D2"/>
    <w:rsid w:val="001D5B3A"/>
    <w:rsid w:val="001D5DAC"/>
    <w:rsid w:val="001D6D26"/>
    <w:rsid w:val="001D739F"/>
    <w:rsid w:val="001D7724"/>
    <w:rsid w:val="001D7CDB"/>
    <w:rsid w:val="001E17F6"/>
    <w:rsid w:val="001E1E64"/>
    <w:rsid w:val="001E4278"/>
    <w:rsid w:val="001E4F4F"/>
    <w:rsid w:val="001E5B18"/>
    <w:rsid w:val="001E6007"/>
    <w:rsid w:val="001E646E"/>
    <w:rsid w:val="001E6A94"/>
    <w:rsid w:val="001E746D"/>
    <w:rsid w:val="001F0ED2"/>
    <w:rsid w:val="001F0EE2"/>
    <w:rsid w:val="001F101F"/>
    <w:rsid w:val="001F1BA1"/>
    <w:rsid w:val="001F2A5E"/>
    <w:rsid w:val="001F3873"/>
    <w:rsid w:val="001F459F"/>
    <w:rsid w:val="001F4726"/>
    <w:rsid w:val="001F625C"/>
    <w:rsid w:val="001F7794"/>
    <w:rsid w:val="00203602"/>
    <w:rsid w:val="0020360B"/>
    <w:rsid w:val="00203AC2"/>
    <w:rsid w:val="00205A37"/>
    <w:rsid w:val="00206142"/>
    <w:rsid w:val="00206461"/>
    <w:rsid w:val="00206894"/>
    <w:rsid w:val="00210C00"/>
    <w:rsid w:val="002114D2"/>
    <w:rsid w:val="00211BF4"/>
    <w:rsid w:val="002124E5"/>
    <w:rsid w:val="00213BF2"/>
    <w:rsid w:val="00214090"/>
    <w:rsid w:val="002169EF"/>
    <w:rsid w:val="00216C3B"/>
    <w:rsid w:val="0021742B"/>
    <w:rsid w:val="00217637"/>
    <w:rsid w:val="00217771"/>
    <w:rsid w:val="0021791D"/>
    <w:rsid w:val="0022001F"/>
    <w:rsid w:val="00220143"/>
    <w:rsid w:val="0022042C"/>
    <w:rsid w:val="00220440"/>
    <w:rsid w:val="00220505"/>
    <w:rsid w:val="002213B9"/>
    <w:rsid w:val="0022262A"/>
    <w:rsid w:val="00222DA3"/>
    <w:rsid w:val="00224C72"/>
    <w:rsid w:val="00226F06"/>
    <w:rsid w:val="00227E18"/>
    <w:rsid w:val="00227FBA"/>
    <w:rsid w:val="0023053E"/>
    <w:rsid w:val="002305CC"/>
    <w:rsid w:val="00230E42"/>
    <w:rsid w:val="00231AF7"/>
    <w:rsid w:val="00232F10"/>
    <w:rsid w:val="0023326C"/>
    <w:rsid w:val="002337FD"/>
    <w:rsid w:val="0023510B"/>
    <w:rsid w:val="002352A4"/>
    <w:rsid w:val="002359FE"/>
    <w:rsid w:val="00235D90"/>
    <w:rsid w:val="00241054"/>
    <w:rsid w:val="002418F9"/>
    <w:rsid w:val="00241EC0"/>
    <w:rsid w:val="00242235"/>
    <w:rsid w:val="002424B0"/>
    <w:rsid w:val="00243476"/>
    <w:rsid w:val="00244163"/>
    <w:rsid w:val="00244302"/>
    <w:rsid w:val="00245663"/>
    <w:rsid w:val="00246196"/>
    <w:rsid w:val="00247601"/>
    <w:rsid w:val="00250D78"/>
    <w:rsid w:val="00252182"/>
    <w:rsid w:val="00252A4D"/>
    <w:rsid w:val="00253EFC"/>
    <w:rsid w:val="002540F3"/>
    <w:rsid w:val="00254441"/>
    <w:rsid w:val="002548DF"/>
    <w:rsid w:val="002565BE"/>
    <w:rsid w:val="002567D7"/>
    <w:rsid w:val="002576DA"/>
    <w:rsid w:val="00257E17"/>
    <w:rsid w:val="00260076"/>
    <w:rsid w:val="00261345"/>
    <w:rsid w:val="00261C69"/>
    <w:rsid w:val="00261D0E"/>
    <w:rsid w:val="0026429D"/>
    <w:rsid w:val="00264A0B"/>
    <w:rsid w:val="00264ECD"/>
    <w:rsid w:val="00265D03"/>
    <w:rsid w:val="00266C4D"/>
    <w:rsid w:val="00266C92"/>
    <w:rsid w:val="002673D3"/>
    <w:rsid w:val="002673E2"/>
    <w:rsid w:val="00267EFF"/>
    <w:rsid w:val="00270908"/>
    <w:rsid w:val="00270AD8"/>
    <w:rsid w:val="00271075"/>
    <w:rsid w:val="0027136C"/>
    <w:rsid w:val="00272A05"/>
    <w:rsid w:val="00274630"/>
    <w:rsid w:val="00276220"/>
    <w:rsid w:val="00276264"/>
    <w:rsid w:val="002765A5"/>
    <w:rsid w:val="00276E2E"/>
    <w:rsid w:val="002776E4"/>
    <w:rsid w:val="00280733"/>
    <w:rsid w:val="0028106F"/>
    <w:rsid w:val="00281525"/>
    <w:rsid w:val="00281550"/>
    <w:rsid w:val="00282CD8"/>
    <w:rsid w:val="00283A5D"/>
    <w:rsid w:val="00284150"/>
    <w:rsid w:val="00286411"/>
    <w:rsid w:val="00287009"/>
    <w:rsid w:val="00287996"/>
    <w:rsid w:val="002907FD"/>
    <w:rsid w:val="00291082"/>
    <w:rsid w:val="002923D5"/>
    <w:rsid w:val="002929B1"/>
    <w:rsid w:val="00297A16"/>
    <w:rsid w:val="00297A74"/>
    <w:rsid w:val="002A0E04"/>
    <w:rsid w:val="002A129C"/>
    <w:rsid w:val="002A1322"/>
    <w:rsid w:val="002A245E"/>
    <w:rsid w:val="002A259E"/>
    <w:rsid w:val="002A286E"/>
    <w:rsid w:val="002A2B2F"/>
    <w:rsid w:val="002A2D01"/>
    <w:rsid w:val="002A305E"/>
    <w:rsid w:val="002A3A18"/>
    <w:rsid w:val="002A437D"/>
    <w:rsid w:val="002A4FDA"/>
    <w:rsid w:val="002A55B3"/>
    <w:rsid w:val="002A7A10"/>
    <w:rsid w:val="002A7FB3"/>
    <w:rsid w:val="002B0815"/>
    <w:rsid w:val="002B0B23"/>
    <w:rsid w:val="002B11EF"/>
    <w:rsid w:val="002B43E9"/>
    <w:rsid w:val="002B49E3"/>
    <w:rsid w:val="002B4BE9"/>
    <w:rsid w:val="002B4D02"/>
    <w:rsid w:val="002B5AAC"/>
    <w:rsid w:val="002B7058"/>
    <w:rsid w:val="002B7308"/>
    <w:rsid w:val="002C080B"/>
    <w:rsid w:val="002C13DE"/>
    <w:rsid w:val="002C149A"/>
    <w:rsid w:val="002C1745"/>
    <w:rsid w:val="002C2048"/>
    <w:rsid w:val="002C20DD"/>
    <w:rsid w:val="002C2662"/>
    <w:rsid w:val="002C5996"/>
    <w:rsid w:val="002C6535"/>
    <w:rsid w:val="002D11E8"/>
    <w:rsid w:val="002D14A6"/>
    <w:rsid w:val="002D1790"/>
    <w:rsid w:val="002D2D7E"/>
    <w:rsid w:val="002D2DEA"/>
    <w:rsid w:val="002D324E"/>
    <w:rsid w:val="002D3E9A"/>
    <w:rsid w:val="002D5DAB"/>
    <w:rsid w:val="002D602A"/>
    <w:rsid w:val="002D60C9"/>
    <w:rsid w:val="002D6C16"/>
    <w:rsid w:val="002D6D8A"/>
    <w:rsid w:val="002D73B3"/>
    <w:rsid w:val="002D7AC1"/>
    <w:rsid w:val="002D7D49"/>
    <w:rsid w:val="002D7E61"/>
    <w:rsid w:val="002E19C0"/>
    <w:rsid w:val="002E1B73"/>
    <w:rsid w:val="002E3DC8"/>
    <w:rsid w:val="002E3DCF"/>
    <w:rsid w:val="002E493E"/>
    <w:rsid w:val="002E713A"/>
    <w:rsid w:val="002E7CB9"/>
    <w:rsid w:val="002F0028"/>
    <w:rsid w:val="002F02BC"/>
    <w:rsid w:val="002F0354"/>
    <w:rsid w:val="002F173C"/>
    <w:rsid w:val="002F2ABD"/>
    <w:rsid w:val="002F4366"/>
    <w:rsid w:val="002F46EC"/>
    <w:rsid w:val="002F4955"/>
    <w:rsid w:val="002F4B13"/>
    <w:rsid w:val="002F4B5A"/>
    <w:rsid w:val="002F4FF3"/>
    <w:rsid w:val="002F5C5E"/>
    <w:rsid w:val="002F5C8B"/>
    <w:rsid w:val="002F7445"/>
    <w:rsid w:val="00301119"/>
    <w:rsid w:val="0030134E"/>
    <w:rsid w:val="00301829"/>
    <w:rsid w:val="0030256E"/>
    <w:rsid w:val="00303F4B"/>
    <w:rsid w:val="003050BE"/>
    <w:rsid w:val="003054C9"/>
    <w:rsid w:val="003059E4"/>
    <w:rsid w:val="00307035"/>
    <w:rsid w:val="003100CB"/>
    <w:rsid w:val="0031079D"/>
    <w:rsid w:val="00311AB3"/>
    <w:rsid w:val="00312C7A"/>
    <w:rsid w:val="00313216"/>
    <w:rsid w:val="00313958"/>
    <w:rsid w:val="0031677F"/>
    <w:rsid w:val="00317F17"/>
    <w:rsid w:val="0032207F"/>
    <w:rsid w:val="003228AA"/>
    <w:rsid w:val="00325AB4"/>
    <w:rsid w:val="003304AA"/>
    <w:rsid w:val="003321E4"/>
    <w:rsid w:val="003324AC"/>
    <w:rsid w:val="0033259F"/>
    <w:rsid w:val="00333089"/>
    <w:rsid w:val="0033389E"/>
    <w:rsid w:val="00335C4E"/>
    <w:rsid w:val="00335E95"/>
    <w:rsid w:val="00335F9D"/>
    <w:rsid w:val="00336690"/>
    <w:rsid w:val="003400A7"/>
    <w:rsid w:val="00341B68"/>
    <w:rsid w:val="00342F59"/>
    <w:rsid w:val="00343A30"/>
    <w:rsid w:val="0034428E"/>
    <w:rsid w:val="00344E96"/>
    <w:rsid w:val="0034582A"/>
    <w:rsid w:val="00345EA6"/>
    <w:rsid w:val="00345F9C"/>
    <w:rsid w:val="0034668D"/>
    <w:rsid w:val="003466F5"/>
    <w:rsid w:val="00347BD1"/>
    <w:rsid w:val="0035082A"/>
    <w:rsid w:val="00351A44"/>
    <w:rsid w:val="0035235B"/>
    <w:rsid w:val="00352D35"/>
    <w:rsid w:val="003532A6"/>
    <w:rsid w:val="0035452B"/>
    <w:rsid w:val="0035519B"/>
    <w:rsid w:val="003552E7"/>
    <w:rsid w:val="00355749"/>
    <w:rsid w:val="00355946"/>
    <w:rsid w:val="00355E28"/>
    <w:rsid w:val="00356864"/>
    <w:rsid w:val="003575D6"/>
    <w:rsid w:val="00357F04"/>
    <w:rsid w:val="003605E8"/>
    <w:rsid w:val="003632CD"/>
    <w:rsid w:val="00363634"/>
    <w:rsid w:val="00363FD5"/>
    <w:rsid w:val="003651C0"/>
    <w:rsid w:val="003654EA"/>
    <w:rsid w:val="003657D9"/>
    <w:rsid w:val="003667B7"/>
    <w:rsid w:val="00366D6D"/>
    <w:rsid w:val="00370539"/>
    <w:rsid w:val="00371732"/>
    <w:rsid w:val="003725BA"/>
    <w:rsid w:val="00372DD9"/>
    <w:rsid w:val="0037366C"/>
    <w:rsid w:val="00373E13"/>
    <w:rsid w:val="00374783"/>
    <w:rsid w:val="00375DCC"/>
    <w:rsid w:val="00375EE3"/>
    <w:rsid w:val="00376F5F"/>
    <w:rsid w:val="00377759"/>
    <w:rsid w:val="00380A49"/>
    <w:rsid w:val="00381723"/>
    <w:rsid w:val="00381B8C"/>
    <w:rsid w:val="0038207E"/>
    <w:rsid w:val="00382502"/>
    <w:rsid w:val="00382510"/>
    <w:rsid w:val="003825BA"/>
    <w:rsid w:val="00382741"/>
    <w:rsid w:val="0038303F"/>
    <w:rsid w:val="00384F91"/>
    <w:rsid w:val="00385119"/>
    <w:rsid w:val="0038551F"/>
    <w:rsid w:val="00386002"/>
    <w:rsid w:val="00386681"/>
    <w:rsid w:val="0038725F"/>
    <w:rsid w:val="00390103"/>
    <w:rsid w:val="00391422"/>
    <w:rsid w:val="0039356E"/>
    <w:rsid w:val="00395712"/>
    <w:rsid w:val="00396219"/>
    <w:rsid w:val="00397481"/>
    <w:rsid w:val="003A199A"/>
    <w:rsid w:val="003A1CC8"/>
    <w:rsid w:val="003A376E"/>
    <w:rsid w:val="003A51EF"/>
    <w:rsid w:val="003A563B"/>
    <w:rsid w:val="003A6B07"/>
    <w:rsid w:val="003A6E4D"/>
    <w:rsid w:val="003A7C39"/>
    <w:rsid w:val="003B0302"/>
    <w:rsid w:val="003B0CC3"/>
    <w:rsid w:val="003B159C"/>
    <w:rsid w:val="003B45AD"/>
    <w:rsid w:val="003B4A90"/>
    <w:rsid w:val="003B56F7"/>
    <w:rsid w:val="003B619F"/>
    <w:rsid w:val="003B70E8"/>
    <w:rsid w:val="003B79EA"/>
    <w:rsid w:val="003B7ECA"/>
    <w:rsid w:val="003C1043"/>
    <w:rsid w:val="003C2687"/>
    <w:rsid w:val="003C3C79"/>
    <w:rsid w:val="003C5D98"/>
    <w:rsid w:val="003C5DB3"/>
    <w:rsid w:val="003C75DC"/>
    <w:rsid w:val="003D0B17"/>
    <w:rsid w:val="003D171F"/>
    <w:rsid w:val="003D4274"/>
    <w:rsid w:val="003D43E6"/>
    <w:rsid w:val="003D661D"/>
    <w:rsid w:val="003D66FD"/>
    <w:rsid w:val="003D69A2"/>
    <w:rsid w:val="003D7614"/>
    <w:rsid w:val="003E0AEF"/>
    <w:rsid w:val="003E0DDB"/>
    <w:rsid w:val="003E2BBE"/>
    <w:rsid w:val="003E373D"/>
    <w:rsid w:val="003E3B4D"/>
    <w:rsid w:val="003E4821"/>
    <w:rsid w:val="003E6531"/>
    <w:rsid w:val="003E681A"/>
    <w:rsid w:val="003E6986"/>
    <w:rsid w:val="003E7D51"/>
    <w:rsid w:val="003E7F2C"/>
    <w:rsid w:val="003F00FE"/>
    <w:rsid w:val="003F118B"/>
    <w:rsid w:val="003F13CD"/>
    <w:rsid w:val="003F29DE"/>
    <w:rsid w:val="003F31FD"/>
    <w:rsid w:val="003F44C1"/>
    <w:rsid w:val="003F68C8"/>
    <w:rsid w:val="003F7DCC"/>
    <w:rsid w:val="00400888"/>
    <w:rsid w:val="00400D26"/>
    <w:rsid w:val="00401255"/>
    <w:rsid w:val="00401CB7"/>
    <w:rsid w:val="00401E98"/>
    <w:rsid w:val="00402729"/>
    <w:rsid w:val="00402B2D"/>
    <w:rsid w:val="00404D26"/>
    <w:rsid w:val="004056A5"/>
    <w:rsid w:val="00406E7C"/>
    <w:rsid w:val="00407C9E"/>
    <w:rsid w:val="0041003A"/>
    <w:rsid w:val="00410B13"/>
    <w:rsid w:val="00415388"/>
    <w:rsid w:val="004155E5"/>
    <w:rsid w:val="004161FB"/>
    <w:rsid w:val="00416AA0"/>
    <w:rsid w:val="00420189"/>
    <w:rsid w:val="00420699"/>
    <w:rsid w:val="004211E0"/>
    <w:rsid w:val="00421DDC"/>
    <w:rsid w:val="00422F91"/>
    <w:rsid w:val="0042337B"/>
    <w:rsid w:val="00424274"/>
    <w:rsid w:val="00424D40"/>
    <w:rsid w:val="00425422"/>
    <w:rsid w:val="0042548D"/>
    <w:rsid w:val="004308FF"/>
    <w:rsid w:val="00430C77"/>
    <w:rsid w:val="004310B0"/>
    <w:rsid w:val="004310B9"/>
    <w:rsid w:val="00431D86"/>
    <w:rsid w:val="00433BCD"/>
    <w:rsid w:val="00434209"/>
    <w:rsid w:val="00434555"/>
    <w:rsid w:val="00440A0D"/>
    <w:rsid w:val="00441AE9"/>
    <w:rsid w:val="004425DC"/>
    <w:rsid w:val="00443058"/>
    <w:rsid w:val="00443303"/>
    <w:rsid w:val="0044576B"/>
    <w:rsid w:val="00445A55"/>
    <w:rsid w:val="00445C36"/>
    <w:rsid w:val="004479A0"/>
    <w:rsid w:val="00447ED0"/>
    <w:rsid w:val="00451089"/>
    <w:rsid w:val="00451FDC"/>
    <w:rsid w:val="00452064"/>
    <w:rsid w:val="00452FF2"/>
    <w:rsid w:val="00453D66"/>
    <w:rsid w:val="00453E74"/>
    <w:rsid w:val="004551F5"/>
    <w:rsid w:val="00455276"/>
    <w:rsid w:val="004564F1"/>
    <w:rsid w:val="004568B9"/>
    <w:rsid w:val="00456F23"/>
    <w:rsid w:val="00457780"/>
    <w:rsid w:val="004579D8"/>
    <w:rsid w:val="00457F44"/>
    <w:rsid w:val="00460F89"/>
    <w:rsid w:val="0046411B"/>
    <w:rsid w:val="00465C16"/>
    <w:rsid w:val="00467D4F"/>
    <w:rsid w:val="00467FCF"/>
    <w:rsid w:val="004714E7"/>
    <w:rsid w:val="0047189E"/>
    <w:rsid w:val="0047219B"/>
    <w:rsid w:val="0047438A"/>
    <w:rsid w:val="00476EE8"/>
    <w:rsid w:val="0048063E"/>
    <w:rsid w:val="00480E34"/>
    <w:rsid w:val="00481396"/>
    <w:rsid w:val="004813AC"/>
    <w:rsid w:val="0048158D"/>
    <w:rsid w:val="00481BF2"/>
    <w:rsid w:val="00482554"/>
    <w:rsid w:val="00483B3C"/>
    <w:rsid w:val="00483FF0"/>
    <w:rsid w:val="004842EE"/>
    <w:rsid w:val="00485188"/>
    <w:rsid w:val="00485301"/>
    <w:rsid w:val="004869B3"/>
    <w:rsid w:val="00487403"/>
    <w:rsid w:val="00490782"/>
    <w:rsid w:val="00490977"/>
    <w:rsid w:val="00490D70"/>
    <w:rsid w:val="004913C0"/>
    <w:rsid w:val="00491513"/>
    <w:rsid w:val="004919E7"/>
    <w:rsid w:val="00491AEB"/>
    <w:rsid w:val="00491DF8"/>
    <w:rsid w:val="00494B26"/>
    <w:rsid w:val="004959FF"/>
    <w:rsid w:val="00495A9A"/>
    <w:rsid w:val="004A018C"/>
    <w:rsid w:val="004A0965"/>
    <w:rsid w:val="004A111D"/>
    <w:rsid w:val="004A12B2"/>
    <w:rsid w:val="004A39C4"/>
    <w:rsid w:val="004A5975"/>
    <w:rsid w:val="004A62BB"/>
    <w:rsid w:val="004B0FA2"/>
    <w:rsid w:val="004B1BD3"/>
    <w:rsid w:val="004B206C"/>
    <w:rsid w:val="004B4629"/>
    <w:rsid w:val="004B4916"/>
    <w:rsid w:val="004B4D9D"/>
    <w:rsid w:val="004B5E08"/>
    <w:rsid w:val="004B6863"/>
    <w:rsid w:val="004B7131"/>
    <w:rsid w:val="004B749C"/>
    <w:rsid w:val="004C0214"/>
    <w:rsid w:val="004C11C5"/>
    <w:rsid w:val="004C12B1"/>
    <w:rsid w:val="004C1683"/>
    <w:rsid w:val="004C2993"/>
    <w:rsid w:val="004C4F47"/>
    <w:rsid w:val="004C53CB"/>
    <w:rsid w:val="004C562D"/>
    <w:rsid w:val="004C5B1E"/>
    <w:rsid w:val="004C72F7"/>
    <w:rsid w:val="004C7566"/>
    <w:rsid w:val="004D16D3"/>
    <w:rsid w:val="004D1D58"/>
    <w:rsid w:val="004D1D5C"/>
    <w:rsid w:val="004D27D9"/>
    <w:rsid w:val="004D29FD"/>
    <w:rsid w:val="004D2A21"/>
    <w:rsid w:val="004D2A3C"/>
    <w:rsid w:val="004D300A"/>
    <w:rsid w:val="004D4562"/>
    <w:rsid w:val="004D4D50"/>
    <w:rsid w:val="004D5CEC"/>
    <w:rsid w:val="004D6673"/>
    <w:rsid w:val="004E1735"/>
    <w:rsid w:val="004E2B04"/>
    <w:rsid w:val="004E2B0A"/>
    <w:rsid w:val="004E3F9F"/>
    <w:rsid w:val="004E5682"/>
    <w:rsid w:val="004E798D"/>
    <w:rsid w:val="004E7CB9"/>
    <w:rsid w:val="004F0FBA"/>
    <w:rsid w:val="004F1426"/>
    <w:rsid w:val="004F29B0"/>
    <w:rsid w:val="004F2C38"/>
    <w:rsid w:val="004F356B"/>
    <w:rsid w:val="004F44BB"/>
    <w:rsid w:val="004F6B51"/>
    <w:rsid w:val="004F7D7E"/>
    <w:rsid w:val="00500086"/>
    <w:rsid w:val="00500FA6"/>
    <w:rsid w:val="00501445"/>
    <w:rsid w:val="00501A03"/>
    <w:rsid w:val="00501C42"/>
    <w:rsid w:val="0050321A"/>
    <w:rsid w:val="005037CD"/>
    <w:rsid w:val="00505829"/>
    <w:rsid w:val="00505B69"/>
    <w:rsid w:val="00506516"/>
    <w:rsid w:val="005070F5"/>
    <w:rsid w:val="0050735D"/>
    <w:rsid w:val="00510838"/>
    <w:rsid w:val="0051294E"/>
    <w:rsid w:val="005129A6"/>
    <w:rsid w:val="00513226"/>
    <w:rsid w:val="00515796"/>
    <w:rsid w:val="005163F4"/>
    <w:rsid w:val="00516A1B"/>
    <w:rsid w:val="00517701"/>
    <w:rsid w:val="00521299"/>
    <w:rsid w:val="005213D9"/>
    <w:rsid w:val="005213DA"/>
    <w:rsid w:val="00521411"/>
    <w:rsid w:val="005219B0"/>
    <w:rsid w:val="00522320"/>
    <w:rsid w:val="005234D7"/>
    <w:rsid w:val="00524118"/>
    <w:rsid w:val="005268F1"/>
    <w:rsid w:val="00527633"/>
    <w:rsid w:val="005279EC"/>
    <w:rsid w:val="00530F3C"/>
    <w:rsid w:val="005318FF"/>
    <w:rsid w:val="00531E82"/>
    <w:rsid w:val="005326EC"/>
    <w:rsid w:val="0053329B"/>
    <w:rsid w:val="00533A1D"/>
    <w:rsid w:val="0053594D"/>
    <w:rsid w:val="00535C53"/>
    <w:rsid w:val="00535ED4"/>
    <w:rsid w:val="00536326"/>
    <w:rsid w:val="005370B3"/>
    <w:rsid w:val="0053741F"/>
    <w:rsid w:val="0053760C"/>
    <w:rsid w:val="0054051E"/>
    <w:rsid w:val="00540DC1"/>
    <w:rsid w:val="00541A9E"/>
    <w:rsid w:val="00541F27"/>
    <w:rsid w:val="00542160"/>
    <w:rsid w:val="0054218A"/>
    <w:rsid w:val="00542B58"/>
    <w:rsid w:val="00543FFD"/>
    <w:rsid w:val="005448A9"/>
    <w:rsid w:val="005449C3"/>
    <w:rsid w:val="0054513A"/>
    <w:rsid w:val="0054522A"/>
    <w:rsid w:val="00545247"/>
    <w:rsid w:val="00545BEB"/>
    <w:rsid w:val="00546E0F"/>
    <w:rsid w:val="005473C7"/>
    <w:rsid w:val="00547765"/>
    <w:rsid w:val="00547EDB"/>
    <w:rsid w:val="0055010D"/>
    <w:rsid w:val="005525B0"/>
    <w:rsid w:val="0055290C"/>
    <w:rsid w:val="00552B34"/>
    <w:rsid w:val="00553A66"/>
    <w:rsid w:val="005546B6"/>
    <w:rsid w:val="00554D13"/>
    <w:rsid w:val="005559FF"/>
    <w:rsid w:val="00557D9C"/>
    <w:rsid w:val="005601C8"/>
    <w:rsid w:val="00562680"/>
    <w:rsid w:val="0056331D"/>
    <w:rsid w:val="00564293"/>
    <w:rsid w:val="00564334"/>
    <w:rsid w:val="0056450F"/>
    <w:rsid w:val="00564DBA"/>
    <w:rsid w:val="00565C7B"/>
    <w:rsid w:val="0056652D"/>
    <w:rsid w:val="00566A1E"/>
    <w:rsid w:val="00567206"/>
    <w:rsid w:val="00567F09"/>
    <w:rsid w:val="005715D1"/>
    <w:rsid w:val="00571BF8"/>
    <w:rsid w:val="00572983"/>
    <w:rsid w:val="00574DFE"/>
    <w:rsid w:val="00575ED8"/>
    <w:rsid w:val="00576477"/>
    <w:rsid w:val="00580DCC"/>
    <w:rsid w:val="0058214C"/>
    <w:rsid w:val="0058526C"/>
    <w:rsid w:val="0058558A"/>
    <w:rsid w:val="00585D87"/>
    <w:rsid w:val="0058689A"/>
    <w:rsid w:val="00590A6A"/>
    <w:rsid w:val="0059177A"/>
    <w:rsid w:val="00591E23"/>
    <w:rsid w:val="00592B27"/>
    <w:rsid w:val="00592D52"/>
    <w:rsid w:val="00592E1A"/>
    <w:rsid w:val="00593695"/>
    <w:rsid w:val="00593835"/>
    <w:rsid w:val="00593E41"/>
    <w:rsid w:val="00593E5D"/>
    <w:rsid w:val="00595CC6"/>
    <w:rsid w:val="005963E5"/>
    <w:rsid w:val="00597193"/>
    <w:rsid w:val="005A0921"/>
    <w:rsid w:val="005A0E36"/>
    <w:rsid w:val="005A1CF7"/>
    <w:rsid w:val="005A2DED"/>
    <w:rsid w:val="005A33BE"/>
    <w:rsid w:val="005A41F0"/>
    <w:rsid w:val="005A4481"/>
    <w:rsid w:val="005A4694"/>
    <w:rsid w:val="005A711F"/>
    <w:rsid w:val="005B069B"/>
    <w:rsid w:val="005B24FB"/>
    <w:rsid w:val="005B38FE"/>
    <w:rsid w:val="005B4987"/>
    <w:rsid w:val="005B6F89"/>
    <w:rsid w:val="005B75E6"/>
    <w:rsid w:val="005B787D"/>
    <w:rsid w:val="005B7988"/>
    <w:rsid w:val="005C07C1"/>
    <w:rsid w:val="005C1DA7"/>
    <w:rsid w:val="005C2754"/>
    <w:rsid w:val="005C2842"/>
    <w:rsid w:val="005C48CE"/>
    <w:rsid w:val="005C77B0"/>
    <w:rsid w:val="005D06AA"/>
    <w:rsid w:val="005D06BC"/>
    <w:rsid w:val="005D1DA9"/>
    <w:rsid w:val="005D20CF"/>
    <w:rsid w:val="005D227B"/>
    <w:rsid w:val="005D29F0"/>
    <w:rsid w:val="005D2BC0"/>
    <w:rsid w:val="005D2ED1"/>
    <w:rsid w:val="005D3F1D"/>
    <w:rsid w:val="005D45D6"/>
    <w:rsid w:val="005D4A54"/>
    <w:rsid w:val="005D7A5B"/>
    <w:rsid w:val="005D7D6B"/>
    <w:rsid w:val="005D7F55"/>
    <w:rsid w:val="005E05FE"/>
    <w:rsid w:val="005E3F32"/>
    <w:rsid w:val="005E44B4"/>
    <w:rsid w:val="005E4F51"/>
    <w:rsid w:val="005E61A3"/>
    <w:rsid w:val="005E7CDE"/>
    <w:rsid w:val="005E7FFE"/>
    <w:rsid w:val="005F0F18"/>
    <w:rsid w:val="005F1546"/>
    <w:rsid w:val="005F18E2"/>
    <w:rsid w:val="005F20EE"/>
    <w:rsid w:val="005F29CE"/>
    <w:rsid w:val="005F2C93"/>
    <w:rsid w:val="005F7323"/>
    <w:rsid w:val="005F7B84"/>
    <w:rsid w:val="00601993"/>
    <w:rsid w:val="00602749"/>
    <w:rsid w:val="00602C8E"/>
    <w:rsid w:val="0060552B"/>
    <w:rsid w:val="0060704F"/>
    <w:rsid w:val="00610DAE"/>
    <w:rsid w:val="0061106C"/>
    <w:rsid w:val="006112E6"/>
    <w:rsid w:val="00611A6E"/>
    <w:rsid w:val="00612EFF"/>
    <w:rsid w:val="00614096"/>
    <w:rsid w:val="00615305"/>
    <w:rsid w:val="0061625C"/>
    <w:rsid w:val="00620E3A"/>
    <w:rsid w:val="00622F44"/>
    <w:rsid w:val="006232D4"/>
    <w:rsid w:val="00623C0A"/>
    <w:rsid w:val="006258FD"/>
    <w:rsid w:val="0062655D"/>
    <w:rsid w:val="00627AEB"/>
    <w:rsid w:val="00630346"/>
    <w:rsid w:val="006308E7"/>
    <w:rsid w:val="00631352"/>
    <w:rsid w:val="00632D9F"/>
    <w:rsid w:val="00633BB1"/>
    <w:rsid w:val="006347D0"/>
    <w:rsid w:val="00634D0E"/>
    <w:rsid w:val="00636064"/>
    <w:rsid w:val="0063670B"/>
    <w:rsid w:val="006369C1"/>
    <w:rsid w:val="0064058E"/>
    <w:rsid w:val="006421A5"/>
    <w:rsid w:val="00644406"/>
    <w:rsid w:val="00644F70"/>
    <w:rsid w:val="006460FD"/>
    <w:rsid w:val="006462D5"/>
    <w:rsid w:val="00646FC1"/>
    <w:rsid w:val="006474FD"/>
    <w:rsid w:val="00647D7E"/>
    <w:rsid w:val="00650150"/>
    <w:rsid w:val="006518ED"/>
    <w:rsid w:val="00651FAB"/>
    <w:rsid w:val="00652543"/>
    <w:rsid w:val="00653411"/>
    <w:rsid w:val="00653A45"/>
    <w:rsid w:val="006550DA"/>
    <w:rsid w:val="0065529E"/>
    <w:rsid w:val="0065583B"/>
    <w:rsid w:val="0065610B"/>
    <w:rsid w:val="006564C7"/>
    <w:rsid w:val="006565A0"/>
    <w:rsid w:val="00657A5C"/>
    <w:rsid w:val="006606A7"/>
    <w:rsid w:val="006609A1"/>
    <w:rsid w:val="00660DDB"/>
    <w:rsid w:val="00661961"/>
    <w:rsid w:val="0066272D"/>
    <w:rsid w:val="00662AF7"/>
    <w:rsid w:val="0066320B"/>
    <w:rsid w:val="006639CA"/>
    <w:rsid w:val="00663D52"/>
    <w:rsid w:val="006643A9"/>
    <w:rsid w:val="00664492"/>
    <w:rsid w:val="0066461A"/>
    <w:rsid w:val="006646E3"/>
    <w:rsid w:val="00666466"/>
    <w:rsid w:val="00667651"/>
    <w:rsid w:val="00667FC1"/>
    <w:rsid w:val="0067013E"/>
    <w:rsid w:val="00671161"/>
    <w:rsid w:val="00671B54"/>
    <w:rsid w:val="006727EC"/>
    <w:rsid w:val="00672D46"/>
    <w:rsid w:val="00672FA1"/>
    <w:rsid w:val="00673441"/>
    <w:rsid w:val="00675572"/>
    <w:rsid w:val="00676119"/>
    <w:rsid w:val="006762D8"/>
    <w:rsid w:val="0067653F"/>
    <w:rsid w:val="00680C88"/>
    <w:rsid w:val="00681631"/>
    <w:rsid w:val="006818D9"/>
    <w:rsid w:val="006834E4"/>
    <w:rsid w:val="0068367A"/>
    <w:rsid w:val="00686160"/>
    <w:rsid w:val="006864BF"/>
    <w:rsid w:val="006869C7"/>
    <w:rsid w:val="00686B8E"/>
    <w:rsid w:val="006876BA"/>
    <w:rsid w:val="006878DE"/>
    <w:rsid w:val="00687B65"/>
    <w:rsid w:val="006910F2"/>
    <w:rsid w:val="006916CE"/>
    <w:rsid w:val="00696F58"/>
    <w:rsid w:val="006A0BD7"/>
    <w:rsid w:val="006A210E"/>
    <w:rsid w:val="006A2121"/>
    <w:rsid w:val="006A2176"/>
    <w:rsid w:val="006A409D"/>
    <w:rsid w:val="006A49BD"/>
    <w:rsid w:val="006A53D4"/>
    <w:rsid w:val="006A5D4A"/>
    <w:rsid w:val="006A6E64"/>
    <w:rsid w:val="006A7973"/>
    <w:rsid w:val="006A7EFE"/>
    <w:rsid w:val="006B0F1B"/>
    <w:rsid w:val="006B1B6F"/>
    <w:rsid w:val="006B1F01"/>
    <w:rsid w:val="006B1F27"/>
    <w:rsid w:val="006B48B5"/>
    <w:rsid w:val="006B5E93"/>
    <w:rsid w:val="006B76BC"/>
    <w:rsid w:val="006C13E7"/>
    <w:rsid w:val="006C200A"/>
    <w:rsid w:val="006C23AA"/>
    <w:rsid w:val="006C457F"/>
    <w:rsid w:val="006C6054"/>
    <w:rsid w:val="006C6405"/>
    <w:rsid w:val="006C6EE5"/>
    <w:rsid w:val="006C75A5"/>
    <w:rsid w:val="006D0748"/>
    <w:rsid w:val="006D1CEB"/>
    <w:rsid w:val="006D3662"/>
    <w:rsid w:val="006D3879"/>
    <w:rsid w:val="006D4EAC"/>
    <w:rsid w:val="006D5B40"/>
    <w:rsid w:val="006D5D57"/>
    <w:rsid w:val="006D60D1"/>
    <w:rsid w:val="006E01DA"/>
    <w:rsid w:val="006E0B1A"/>
    <w:rsid w:val="006E1B7B"/>
    <w:rsid w:val="006E2C28"/>
    <w:rsid w:val="006E3A3E"/>
    <w:rsid w:val="006E4A9A"/>
    <w:rsid w:val="006E4AB8"/>
    <w:rsid w:val="006E744E"/>
    <w:rsid w:val="006E788D"/>
    <w:rsid w:val="006F0592"/>
    <w:rsid w:val="006F40C8"/>
    <w:rsid w:val="006F41EB"/>
    <w:rsid w:val="006F4631"/>
    <w:rsid w:val="006F5540"/>
    <w:rsid w:val="006F797B"/>
    <w:rsid w:val="00700938"/>
    <w:rsid w:val="00700C1A"/>
    <w:rsid w:val="00705BF7"/>
    <w:rsid w:val="00710772"/>
    <w:rsid w:val="00712720"/>
    <w:rsid w:val="0071303A"/>
    <w:rsid w:val="00713340"/>
    <w:rsid w:val="00714678"/>
    <w:rsid w:val="00715264"/>
    <w:rsid w:val="00716856"/>
    <w:rsid w:val="00716D24"/>
    <w:rsid w:val="00717736"/>
    <w:rsid w:val="00717B87"/>
    <w:rsid w:val="00720773"/>
    <w:rsid w:val="007218F4"/>
    <w:rsid w:val="0072313A"/>
    <w:rsid w:val="00723192"/>
    <w:rsid w:val="0072418C"/>
    <w:rsid w:val="007245D0"/>
    <w:rsid w:val="00724EC1"/>
    <w:rsid w:val="00725244"/>
    <w:rsid w:val="007258FA"/>
    <w:rsid w:val="007262E6"/>
    <w:rsid w:val="0072734A"/>
    <w:rsid w:val="007273C9"/>
    <w:rsid w:val="0073008B"/>
    <w:rsid w:val="00730E67"/>
    <w:rsid w:val="007315D7"/>
    <w:rsid w:val="00731E1E"/>
    <w:rsid w:val="007321AA"/>
    <w:rsid w:val="007322A3"/>
    <w:rsid w:val="0073414B"/>
    <w:rsid w:val="0073492C"/>
    <w:rsid w:val="00734965"/>
    <w:rsid w:val="00734E36"/>
    <w:rsid w:val="007350A9"/>
    <w:rsid w:val="007358D9"/>
    <w:rsid w:val="00737520"/>
    <w:rsid w:val="00737F1F"/>
    <w:rsid w:val="00740142"/>
    <w:rsid w:val="007409C8"/>
    <w:rsid w:val="00740C0A"/>
    <w:rsid w:val="0074102F"/>
    <w:rsid w:val="00741A3F"/>
    <w:rsid w:val="00741BDE"/>
    <w:rsid w:val="007424BA"/>
    <w:rsid w:val="007441CC"/>
    <w:rsid w:val="00744617"/>
    <w:rsid w:val="00745A0D"/>
    <w:rsid w:val="007468FC"/>
    <w:rsid w:val="0074793C"/>
    <w:rsid w:val="00747C5D"/>
    <w:rsid w:val="007502C6"/>
    <w:rsid w:val="00750626"/>
    <w:rsid w:val="007511F5"/>
    <w:rsid w:val="00751507"/>
    <w:rsid w:val="00751646"/>
    <w:rsid w:val="00751C7A"/>
    <w:rsid w:val="00752637"/>
    <w:rsid w:val="00754BF5"/>
    <w:rsid w:val="00757CB1"/>
    <w:rsid w:val="00760E5B"/>
    <w:rsid w:val="00760FD9"/>
    <w:rsid w:val="007620BC"/>
    <w:rsid w:val="00765AD2"/>
    <w:rsid w:val="007660B6"/>
    <w:rsid w:val="0076658E"/>
    <w:rsid w:val="00766B24"/>
    <w:rsid w:val="00766E6B"/>
    <w:rsid w:val="00771123"/>
    <w:rsid w:val="00771910"/>
    <w:rsid w:val="00771964"/>
    <w:rsid w:val="00775B1E"/>
    <w:rsid w:val="007765DA"/>
    <w:rsid w:val="00776E9B"/>
    <w:rsid w:val="00780FE3"/>
    <w:rsid w:val="00781826"/>
    <w:rsid w:val="00785315"/>
    <w:rsid w:val="007858D4"/>
    <w:rsid w:val="007869DF"/>
    <w:rsid w:val="0078758F"/>
    <w:rsid w:val="00791418"/>
    <w:rsid w:val="00792C05"/>
    <w:rsid w:val="0079344D"/>
    <w:rsid w:val="00794E9D"/>
    <w:rsid w:val="00795BDA"/>
    <w:rsid w:val="00796217"/>
    <w:rsid w:val="007968D7"/>
    <w:rsid w:val="0079728E"/>
    <w:rsid w:val="007A0768"/>
    <w:rsid w:val="007A0997"/>
    <w:rsid w:val="007A26F6"/>
    <w:rsid w:val="007A3F0D"/>
    <w:rsid w:val="007A4016"/>
    <w:rsid w:val="007B0324"/>
    <w:rsid w:val="007B0493"/>
    <w:rsid w:val="007B08E2"/>
    <w:rsid w:val="007B32D6"/>
    <w:rsid w:val="007B533A"/>
    <w:rsid w:val="007B6358"/>
    <w:rsid w:val="007B713B"/>
    <w:rsid w:val="007C13D8"/>
    <w:rsid w:val="007C2DA9"/>
    <w:rsid w:val="007C30A3"/>
    <w:rsid w:val="007C3599"/>
    <w:rsid w:val="007C362D"/>
    <w:rsid w:val="007C399C"/>
    <w:rsid w:val="007C3A86"/>
    <w:rsid w:val="007C5166"/>
    <w:rsid w:val="007C58DD"/>
    <w:rsid w:val="007C5F36"/>
    <w:rsid w:val="007C635C"/>
    <w:rsid w:val="007C7B56"/>
    <w:rsid w:val="007D0EB4"/>
    <w:rsid w:val="007D1093"/>
    <w:rsid w:val="007D23C9"/>
    <w:rsid w:val="007D2FD9"/>
    <w:rsid w:val="007D34F9"/>
    <w:rsid w:val="007D5744"/>
    <w:rsid w:val="007D5BE6"/>
    <w:rsid w:val="007D64AE"/>
    <w:rsid w:val="007D7993"/>
    <w:rsid w:val="007E01A3"/>
    <w:rsid w:val="007E0880"/>
    <w:rsid w:val="007E1275"/>
    <w:rsid w:val="007E16A2"/>
    <w:rsid w:val="007E2F41"/>
    <w:rsid w:val="007E34D7"/>
    <w:rsid w:val="007E41F4"/>
    <w:rsid w:val="007E50C9"/>
    <w:rsid w:val="007E53B3"/>
    <w:rsid w:val="007E5DD6"/>
    <w:rsid w:val="007E67CB"/>
    <w:rsid w:val="007E6C68"/>
    <w:rsid w:val="007E7227"/>
    <w:rsid w:val="007E7657"/>
    <w:rsid w:val="007E7B02"/>
    <w:rsid w:val="007F08A2"/>
    <w:rsid w:val="007F0BCA"/>
    <w:rsid w:val="007F0F42"/>
    <w:rsid w:val="007F207C"/>
    <w:rsid w:val="007F251A"/>
    <w:rsid w:val="007F4731"/>
    <w:rsid w:val="007F4E33"/>
    <w:rsid w:val="007F5B54"/>
    <w:rsid w:val="007F6A9D"/>
    <w:rsid w:val="007F6F86"/>
    <w:rsid w:val="00800DDB"/>
    <w:rsid w:val="00801271"/>
    <w:rsid w:val="00801D21"/>
    <w:rsid w:val="00802394"/>
    <w:rsid w:val="00802862"/>
    <w:rsid w:val="008030C5"/>
    <w:rsid w:val="00803135"/>
    <w:rsid w:val="00806FCE"/>
    <w:rsid w:val="008070A6"/>
    <w:rsid w:val="00807D0F"/>
    <w:rsid w:val="00807DFF"/>
    <w:rsid w:val="00810F99"/>
    <w:rsid w:val="0081428C"/>
    <w:rsid w:val="00815242"/>
    <w:rsid w:val="00816DF5"/>
    <w:rsid w:val="00817228"/>
    <w:rsid w:val="00817C4F"/>
    <w:rsid w:val="00817C63"/>
    <w:rsid w:val="00820ACF"/>
    <w:rsid w:val="00821E68"/>
    <w:rsid w:val="008224A2"/>
    <w:rsid w:val="008231A1"/>
    <w:rsid w:val="00824AD1"/>
    <w:rsid w:val="00831849"/>
    <w:rsid w:val="0083236D"/>
    <w:rsid w:val="00832916"/>
    <w:rsid w:val="008332F6"/>
    <w:rsid w:val="00833BA9"/>
    <w:rsid w:val="00833CA3"/>
    <w:rsid w:val="00835283"/>
    <w:rsid w:val="008364B8"/>
    <w:rsid w:val="00836758"/>
    <w:rsid w:val="0083681E"/>
    <w:rsid w:val="00836F21"/>
    <w:rsid w:val="00837C3F"/>
    <w:rsid w:val="00840BCD"/>
    <w:rsid w:val="00840D96"/>
    <w:rsid w:val="008417FA"/>
    <w:rsid w:val="00842ED3"/>
    <w:rsid w:val="0084323E"/>
    <w:rsid w:val="008432C4"/>
    <w:rsid w:val="008440CA"/>
    <w:rsid w:val="008448FC"/>
    <w:rsid w:val="00845374"/>
    <w:rsid w:val="00845884"/>
    <w:rsid w:val="0084650B"/>
    <w:rsid w:val="00846CED"/>
    <w:rsid w:val="00847503"/>
    <w:rsid w:val="008476A8"/>
    <w:rsid w:val="0085045F"/>
    <w:rsid w:val="008510EF"/>
    <w:rsid w:val="008511A6"/>
    <w:rsid w:val="00851FB5"/>
    <w:rsid w:val="008533D4"/>
    <w:rsid w:val="00853FF6"/>
    <w:rsid w:val="008559F4"/>
    <w:rsid w:val="008571A6"/>
    <w:rsid w:val="00857A02"/>
    <w:rsid w:val="00857CB0"/>
    <w:rsid w:val="0086018C"/>
    <w:rsid w:val="00862182"/>
    <w:rsid w:val="008667F0"/>
    <w:rsid w:val="00866AD3"/>
    <w:rsid w:val="00871558"/>
    <w:rsid w:val="008721C9"/>
    <w:rsid w:val="00872306"/>
    <w:rsid w:val="0087283F"/>
    <w:rsid w:val="0087406A"/>
    <w:rsid w:val="00874C77"/>
    <w:rsid w:val="008764B3"/>
    <w:rsid w:val="008765CA"/>
    <w:rsid w:val="00877BEA"/>
    <w:rsid w:val="00877E76"/>
    <w:rsid w:val="0087A75D"/>
    <w:rsid w:val="0088024B"/>
    <w:rsid w:val="008810BC"/>
    <w:rsid w:val="008811C7"/>
    <w:rsid w:val="0088203F"/>
    <w:rsid w:val="0088238F"/>
    <w:rsid w:val="00882D8F"/>
    <w:rsid w:val="00882F30"/>
    <w:rsid w:val="00884420"/>
    <w:rsid w:val="00884BD0"/>
    <w:rsid w:val="00885528"/>
    <w:rsid w:val="00885907"/>
    <w:rsid w:val="00885C75"/>
    <w:rsid w:val="00887529"/>
    <w:rsid w:val="00890300"/>
    <w:rsid w:val="008907A9"/>
    <w:rsid w:val="00892C6C"/>
    <w:rsid w:val="00893AE1"/>
    <w:rsid w:val="00893E16"/>
    <w:rsid w:val="0089458B"/>
    <w:rsid w:val="00895ADD"/>
    <w:rsid w:val="00896624"/>
    <w:rsid w:val="00896981"/>
    <w:rsid w:val="00896CC0"/>
    <w:rsid w:val="008A0B7B"/>
    <w:rsid w:val="008A1254"/>
    <w:rsid w:val="008A16A2"/>
    <w:rsid w:val="008A226C"/>
    <w:rsid w:val="008A3B27"/>
    <w:rsid w:val="008A3D9D"/>
    <w:rsid w:val="008A450F"/>
    <w:rsid w:val="008A4697"/>
    <w:rsid w:val="008A671D"/>
    <w:rsid w:val="008A6C3C"/>
    <w:rsid w:val="008B0F8C"/>
    <w:rsid w:val="008B1D41"/>
    <w:rsid w:val="008B1D62"/>
    <w:rsid w:val="008B2F79"/>
    <w:rsid w:val="008B3932"/>
    <w:rsid w:val="008B4154"/>
    <w:rsid w:val="008C2511"/>
    <w:rsid w:val="008C2C83"/>
    <w:rsid w:val="008C369C"/>
    <w:rsid w:val="008C4BCF"/>
    <w:rsid w:val="008C520F"/>
    <w:rsid w:val="008C5D30"/>
    <w:rsid w:val="008C61D0"/>
    <w:rsid w:val="008C6B5D"/>
    <w:rsid w:val="008C7912"/>
    <w:rsid w:val="008D10C6"/>
    <w:rsid w:val="008D2F6F"/>
    <w:rsid w:val="008D37CF"/>
    <w:rsid w:val="008D3FB3"/>
    <w:rsid w:val="008D4B67"/>
    <w:rsid w:val="008D5ACB"/>
    <w:rsid w:val="008D5C8D"/>
    <w:rsid w:val="008D7138"/>
    <w:rsid w:val="008E06E4"/>
    <w:rsid w:val="008E1B35"/>
    <w:rsid w:val="008E39B7"/>
    <w:rsid w:val="008E7816"/>
    <w:rsid w:val="008F01DB"/>
    <w:rsid w:val="008F03F7"/>
    <w:rsid w:val="008F0ADC"/>
    <w:rsid w:val="008F0BD2"/>
    <w:rsid w:val="008F215D"/>
    <w:rsid w:val="008F2CD6"/>
    <w:rsid w:val="008F3239"/>
    <w:rsid w:val="008F38ED"/>
    <w:rsid w:val="008F612F"/>
    <w:rsid w:val="008F6633"/>
    <w:rsid w:val="008F6998"/>
    <w:rsid w:val="008F7173"/>
    <w:rsid w:val="0090254B"/>
    <w:rsid w:val="00903883"/>
    <w:rsid w:val="00903FCD"/>
    <w:rsid w:val="00904BFC"/>
    <w:rsid w:val="00905198"/>
    <w:rsid w:val="0090616E"/>
    <w:rsid w:val="0090693C"/>
    <w:rsid w:val="00906E99"/>
    <w:rsid w:val="00907110"/>
    <w:rsid w:val="00910427"/>
    <w:rsid w:val="00910D03"/>
    <w:rsid w:val="009119DD"/>
    <w:rsid w:val="009148F3"/>
    <w:rsid w:val="00914EF7"/>
    <w:rsid w:val="00914F89"/>
    <w:rsid w:val="00915127"/>
    <w:rsid w:val="0091616C"/>
    <w:rsid w:val="0091656E"/>
    <w:rsid w:val="009165EC"/>
    <w:rsid w:val="00916D88"/>
    <w:rsid w:val="00922AD5"/>
    <w:rsid w:val="00922BA9"/>
    <w:rsid w:val="00925126"/>
    <w:rsid w:val="00925162"/>
    <w:rsid w:val="00925951"/>
    <w:rsid w:val="00925D9D"/>
    <w:rsid w:val="0092645C"/>
    <w:rsid w:val="00927422"/>
    <w:rsid w:val="009309E0"/>
    <w:rsid w:val="00933162"/>
    <w:rsid w:val="00936ABF"/>
    <w:rsid w:val="009409BE"/>
    <w:rsid w:val="00941703"/>
    <w:rsid w:val="009421B8"/>
    <w:rsid w:val="009427A4"/>
    <w:rsid w:val="00942C53"/>
    <w:rsid w:val="009437A2"/>
    <w:rsid w:val="009438DD"/>
    <w:rsid w:val="00944E40"/>
    <w:rsid w:val="00945084"/>
    <w:rsid w:val="00945608"/>
    <w:rsid w:val="009456FD"/>
    <w:rsid w:val="0094714F"/>
    <w:rsid w:val="0095137C"/>
    <w:rsid w:val="00951D72"/>
    <w:rsid w:val="00952564"/>
    <w:rsid w:val="00953A51"/>
    <w:rsid w:val="00953B1E"/>
    <w:rsid w:val="00954E92"/>
    <w:rsid w:val="00954F29"/>
    <w:rsid w:val="009550EF"/>
    <w:rsid w:val="00957735"/>
    <w:rsid w:val="00957913"/>
    <w:rsid w:val="00960DBF"/>
    <w:rsid w:val="00961E94"/>
    <w:rsid w:val="009623A9"/>
    <w:rsid w:val="009628BB"/>
    <w:rsid w:val="00963440"/>
    <w:rsid w:val="009636D2"/>
    <w:rsid w:val="0096396F"/>
    <w:rsid w:val="00964408"/>
    <w:rsid w:val="009655E4"/>
    <w:rsid w:val="00966CB9"/>
    <w:rsid w:val="00966FB3"/>
    <w:rsid w:val="009670FC"/>
    <w:rsid w:val="00967711"/>
    <w:rsid w:val="009702EC"/>
    <w:rsid w:val="009708AC"/>
    <w:rsid w:val="009719EB"/>
    <w:rsid w:val="009724E3"/>
    <w:rsid w:val="0097279B"/>
    <w:rsid w:val="00973CC2"/>
    <w:rsid w:val="00974916"/>
    <w:rsid w:val="0097539C"/>
    <w:rsid w:val="0097550B"/>
    <w:rsid w:val="00977875"/>
    <w:rsid w:val="00981332"/>
    <w:rsid w:val="009814F4"/>
    <w:rsid w:val="00981959"/>
    <w:rsid w:val="00981E6B"/>
    <w:rsid w:val="00982256"/>
    <w:rsid w:val="0098240C"/>
    <w:rsid w:val="0098288A"/>
    <w:rsid w:val="00982D20"/>
    <w:rsid w:val="00983BA9"/>
    <w:rsid w:val="0098415F"/>
    <w:rsid w:val="00984295"/>
    <w:rsid w:val="0098603E"/>
    <w:rsid w:val="0098771B"/>
    <w:rsid w:val="00987929"/>
    <w:rsid w:val="009879C4"/>
    <w:rsid w:val="009925CC"/>
    <w:rsid w:val="00992715"/>
    <w:rsid w:val="00992AD8"/>
    <w:rsid w:val="00992C21"/>
    <w:rsid w:val="0099583A"/>
    <w:rsid w:val="00996C95"/>
    <w:rsid w:val="00997D79"/>
    <w:rsid w:val="00997EE7"/>
    <w:rsid w:val="009A0559"/>
    <w:rsid w:val="009A0FDA"/>
    <w:rsid w:val="009A1E01"/>
    <w:rsid w:val="009A2207"/>
    <w:rsid w:val="009A2972"/>
    <w:rsid w:val="009A2BA3"/>
    <w:rsid w:val="009A2CB0"/>
    <w:rsid w:val="009A37A5"/>
    <w:rsid w:val="009A3A5E"/>
    <w:rsid w:val="009A5093"/>
    <w:rsid w:val="009A55F6"/>
    <w:rsid w:val="009A6070"/>
    <w:rsid w:val="009A61BA"/>
    <w:rsid w:val="009B2776"/>
    <w:rsid w:val="009B3AFD"/>
    <w:rsid w:val="009B505F"/>
    <w:rsid w:val="009B5F11"/>
    <w:rsid w:val="009B600B"/>
    <w:rsid w:val="009B6370"/>
    <w:rsid w:val="009B7888"/>
    <w:rsid w:val="009C120A"/>
    <w:rsid w:val="009C1AD1"/>
    <w:rsid w:val="009C22DC"/>
    <w:rsid w:val="009C2339"/>
    <w:rsid w:val="009C316F"/>
    <w:rsid w:val="009C4002"/>
    <w:rsid w:val="009C4B9B"/>
    <w:rsid w:val="009C511A"/>
    <w:rsid w:val="009C56EC"/>
    <w:rsid w:val="009C5791"/>
    <w:rsid w:val="009C68AF"/>
    <w:rsid w:val="009C68F5"/>
    <w:rsid w:val="009C6AF5"/>
    <w:rsid w:val="009C705D"/>
    <w:rsid w:val="009D05DC"/>
    <w:rsid w:val="009D2A8F"/>
    <w:rsid w:val="009D5050"/>
    <w:rsid w:val="009D666D"/>
    <w:rsid w:val="009D667B"/>
    <w:rsid w:val="009E1558"/>
    <w:rsid w:val="009E1592"/>
    <w:rsid w:val="009E1636"/>
    <w:rsid w:val="009E447A"/>
    <w:rsid w:val="009E4B77"/>
    <w:rsid w:val="009E6D2F"/>
    <w:rsid w:val="009F0C01"/>
    <w:rsid w:val="009F1726"/>
    <w:rsid w:val="009F1C2D"/>
    <w:rsid w:val="009F2F3E"/>
    <w:rsid w:val="009F342F"/>
    <w:rsid w:val="009F3E26"/>
    <w:rsid w:val="009F6162"/>
    <w:rsid w:val="009F6689"/>
    <w:rsid w:val="00A0056E"/>
    <w:rsid w:val="00A01AAB"/>
    <w:rsid w:val="00A01D6E"/>
    <w:rsid w:val="00A0204F"/>
    <w:rsid w:val="00A0316B"/>
    <w:rsid w:val="00A032F8"/>
    <w:rsid w:val="00A046CC"/>
    <w:rsid w:val="00A0470A"/>
    <w:rsid w:val="00A05088"/>
    <w:rsid w:val="00A066C4"/>
    <w:rsid w:val="00A072FB"/>
    <w:rsid w:val="00A111E7"/>
    <w:rsid w:val="00A11562"/>
    <w:rsid w:val="00A1179D"/>
    <w:rsid w:val="00A11F18"/>
    <w:rsid w:val="00A13316"/>
    <w:rsid w:val="00A1402F"/>
    <w:rsid w:val="00A1415E"/>
    <w:rsid w:val="00A14458"/>
    <w:rsid w:val="00A14638"/>
    <w:rsid w:val="00A14A15"/>
    <w:rsid w:val="00A15B21"/>
    <w:rsid w:val="00A165AC"/>
    <w:rsid w:val="00A16E61"/>
    <w:rsid w:val="00A209DB"/>
    <w:rsid w:val="00A20CE9"/>
    <w:rsid w:val="00A2384E"/>
    <w:rsid w:val="00A24577"/>
    <w:rsid w:val="00A24CD6"/>
    <w:rsid w:val="00A27009"/>
    <w:rsid w:val="00A27753"/>
    <w:rsid w:val="00A304E1"/>
    <w:rsid w:val="00A313B2"/>
    <w:rsid w:val="00A3152D"/>
    <w:rsid w:val="00A32AA5"/>
    <w:rsid w:val="00A33446"/>
    <w:rsid w:val="00A33D7C"/>
    <w:rsid w:val="00A34665"/>
    <w:rsid w:val="00A361B4"/>
    <w:rsid w:val="00A36A22"/>
    <w:rsid w:val="00A4001E"/>
    <w:rsid w:val="00A40D08"/>
    <w:rsid w:val="00A40FB3"/>
    <w:rsid w:val="00A428D5"/>
    <w:rsid w:val="00A42C7B"/>
    <w:rsid w:val="00A435B2"/>
    <w:rsid w:val="00A43B97"/>
    <w:rsid w:val="00A453ED"/>
    <w:rsid w:val="00A46AA8"/>
    <w:rsid w:val="00A46B9C"/>
    <w:rsid w:val="00A4755E"/>
    <w:rsid w:val="00A47A79"/>
    <w:rsid w:val="00A50668"/>
    <w:rsid w:val="00A515CA"/>
    <w:rsid w:val="00A539E8"/>
    <w:rsid w:val="00A53B50"/>
    <w:rsid w:val="00A54771"/>
    <w:rsid w:val="00A54D02"/>
    <w:rsid w:val="00A5572B"/>
    <w:rsid w:val="00A55ED3"/>
    <w:rsid w:val="00A577D6"/>
    <w:rsid w:val="00A57AFC"/>
    <w:rsid w:val="00A60C7D"/>
    <w:rsid w:val="00A60CD4"/>
    <w:rsid w:val="00A61C08"/>
    <w:rsid w:val="00A623FC"/>
    <w:rsid w:val="00A649F4"/>
    <w:rsid w:val="00A665C9"/>
    <w:rsid w:val="00A6668B"/>
    <w:rsid w:val="00A66739"/>
    <w:rsid w:val="00A66D84"/>
    <w:rsid w:val="00A67A30"/>
    <w:rsid w:val="00A700A9"/>
    <w:rsid w:val="00A70AA8"/>
    <w:rsid w:val="00A710E4"/>
    <w:rsid w:val="00A71264"/>
    <w:rsid w:val="00A71E83"/>
    <w:rsid w:val="00A739AA"/>
    <w:rsid w:val="00A73C52"/>
    <w:rsid w:val="00A74B7B"/>
    <w:rsid w:val="00A75DE5"/>
    <w:rsid w:val="00A7704A"/>
    <w:rsid w:val="00A772A6"/>
    <w:rsid w:val="00A811F4"/>
    <w:rsid w:val="00A82C4E"/>
    <w:rsid w:val="00A82DBF"/>
    <w:rsid w:val="00A83E04"/>
    <w:rsid w:val="00A8485C"/>
    <w:rsid w:val="00A85E2C"/>
    <w:rsid w:val="00A85E5D"/>
    <w:rsid w:val="00A8604F"/>
    <w:rsid w:val="00A86092"/>
    <w:rsid w:val="00A87340"/>
    <w:rsid w:val="00A9177F"/>
    <w:rsid w:val="00A9248A"/>
    <w:rsid w:val="00A936E2"/>
    <w:rsid w:val="00A970C7"/>
    <w:rsid w:val="00AA2571"/>
    <w:rsid w:val="00AA2C0B"/>
    <w:rsid w:val="00AA3598"/>
    <w:rsid w:val="00AA4BCF"/>
    <w:rsid w:val="00AA584F"/>
    <w:rsid w:val="00AA5B94"/>
    <w:rsid w:val="00AA70FF"/>
    <w:rsid w:val="00AA7D82"/>
    <w:rsid w:val="00AA7E68"/>
    <w:rsid w:val="00AB1058"/>
    <w:rsid w:val="00AB18FB"/>
    <w:rsid w:val="00AB24BA"/>
    <w:rsid w:val="00AB26A6"/>
    <w:rsid w:val="00AB327F"/>
    <w:rsid w:val="00AB3820"/>
    <w:rsid w:val="00AB47A9"/>
    <w:rsid w:val="00AB60DA"/>
    <w:rsid w:val="00AB69F9"/>
    <w:rsid w:val="00AB6A94"/>
    <w:rsid w:val="00AB7575"/>
    <w:rsid w:val="00AC3620"/>
    <w:rsid w:val="00AC427D"/>
    <w:rsid w:val="00AC4D42"/>
    <w:rsid w:val="00AC6058"/>
    <w:rsid w:val="00AD0C41"/>
    <w:rsid w:val="00AD0CC7"/>
    <w:rsid w:val="00AD1467"/>
    <w:rsid w:val="00AD40F1"/>
    <w:rsid w:val="00AD414A"/>
    <w:rsid w:val="00AD5CBC"/>
    <w:rsid w:val="00AD6667"/>
    <w:rsid w:val="00AE09C3"/>
    <w:rsid w:val="00AE0A72"/>
    <w:rsid w:val="00AE1A64"/>
    <w:rsid w:val="00AE2858"/>
    <w:rsid w:val="00AE29EF"/>
    <w:rsid w:val="00AE2EF5"/>
    <w:rsid w:val="00AE2F1C"/>
    <w:rsid w:val="00AE3891"/>
    <w:rsid w:val="00AE7686"/>
    <w:rsid w:val="00AF12E7"/>
    <w:rsid w:val="00AF3AEA"/>
    <w:rsid w:val="00AF6090"/>
    <w:rsid w:val="00AF6901"/>
    <w:rsid w:val="00AF6C48"/>
    <w:rsid w:val="00B007DF"/>
    <w:rsid w:val="00B01B31"/>
    <w:rsid w:val="00B01C16"/>
    <w:rsid w:val="00B02CEE"/>
    <w:rsid w:val="00B03F84"/>
    <w:rsid w:val="00B0466C"/>
    <w:rsid w:val="00B04BEE"/>
    <w:rsid w:val="00B06500"/>
    <w:rsid w:val="00B06BD7"/>
    <w:rsid w:val="00B07731"/>
    <w:rsid w:val="00B10DCC"/>
    <w:rsid w:val="00B11133"/>
    <w:rsid w:val="00B113FA"/>
    <w:rsid w:val="00B114A2"/>
    <w:rsid w:val="00B11C53"/>
    <w:rsid w:val="00B149F6"/>
    <w:rsid w:val="00B15982"/>
    <w:rsid w:val="00B15EB3"/>
    <w:rsid w:val="00B16406"/>
    <w:rsid w:val="00B166B0"/>
    <w:rsid w:val="00B16A06"/>
    <w:rsid w:val="00B16CD3"/>
    <w:rsid w:val="00B17ED4"/>
    <w:rsid w:val="00B2034F"/>
    <w:rsid w:val="00B21FCF"/>
    <w:rsid w:val="00B224B4"/>
    <w:rsid w:val="00B22E32"/>
    <w:rsid w:val="00B23472"/>
    <w:rsid w:val="00B23712"/>
    <w:rsid w:val="00B24FF2"/>
    <w:rsid w:val="00B26375"/>
    <w:rsid w:val="00B27B46"/>
    <w:rsid w:val="00B27DFC"/>
    <w:rsid w:val="00B30A9F"/>
    <w:rsid w:val="00B30CA9"/>
    <w:rsid w:val="00B314F9"/>
    <w:rsid w:val="00B31FA1"/>
    <w:rsid w:val="00B32DE2"/>
    <w:rsid w:val="00B34611"/>
    <w:rsid w:val="00B348E5"/>
    <w:rsid w:val="00B36DA1"/>
    <w:rsid w:val="00B40941"/>
    <w:rsid w:val="00B421C8"/>
    <w:rsid w:val="00B42CDD"/>
    <w:rsid w:val="00B4329D"/>
    <w:rsid w:val="00B434C8"/>
    <w:rsid w:val="00B4410A"/>
    <w:rsid w:val="00B46A84"/>
    <w:rsid w:val="00B4749C"/>
    <w:rsid w:val="00B47711"/>
    <w:rsid w:val="00B47EBE"/>
    <w:rsid w:val="00B51AAA"/>
    <w:rsid w:val="00B529E3"/>
    <w:rsid w:val="00B53500"/>
    <w:rsid w:val="00B53DCB"/>
    <w:rsid w:val="00B54233"/>
    <w:rsid w:val="00B54D10"/>
    <w:rsid w:val="00B5541A"/>
    <w:rsid w:val="00B562FE"/>
    <w:rsid w:val="00B5753C"/>
    <w:rsid w:val="00B621E1"/>
    <w:rsid w:val="00B63B50"/>
    <w:rsid w:val="00B63C47"/>
    <w:rsid w:val="00B6438A"/>
    <w:rsid w:val="00B64FDA"/>
    <w:rsid w:val="00B6531D"/>
    <w:rsid w:val="00B6670C"/>
    <w:rsid w:val="00B66DB6"/>
    <w:rsid w:val="00B6754B"/>
    <w:rsid w:val="00B67E58"/>
    <w:rsid w:val="00B71831"/>
    <w:rsid w:val="00B718CF"/>
    <w:rsid w:val="00B719B9"/>
    <w:rsid w:val="00B723A8"/>
    <w:rsid w:val="00B72C79"/>
    <w:rsid w:val="00B73047"/>
    <w:rsid w:val="00B7375D"/>
    <w:rsid w:val="00B75582"/>
    <w:rsid w:val="00B758D0"/>
    <w:rsid w:val="00B7626B"/>
    <w:rsid w:val="00B7721B"/>
    <w:rsid w:val="00B7759D"/>
    <w:rsid w:val="00B777A0"/>
    <w:rsid w:val="00B77837"/>
    <w:rsid w:val="00B77A23"/>
    <w:rsid w:val="00B813BD"/>
    <w:rsid w:val="00B817DF"/>
    <w:rsid w:val="00B81F20"/>
    <w:rsid w:val="00B821DD"/>
    <w:rsid w:val="00B8243F"/>
    <w:rsid w:val="00B82750"/>
    <w:rsid w:val="00B82AD2"/>
    <w:rsid w:val="00B82E22"/>
    <w:rsid w:val="00B835EB"/>
    <w:rsid w:val="00B83607"/>
    <w:rsid w:val="00B83684"/>
    <w:rsid w:val="00B837F5"/>
    <w:rsid w:val="00B83A1A"/>
    <w:rsid w:val="00B8443B"/>
    <w:rsid w:val="00B85729"/>
    <w:rsid w:val="00B85B4B"/>
    <w:rsid w:val="00B86A95"/>
    <w:rsid w:val="00B871CE"/>
    <w:rsid w:val="00B90D10"/>
    <w:rsid w:val="00B91AAE"/>
    <w:rsid w:val="00B93C88"/>
    <w:rsid w:val="00B93D0E"/>
    <w:rsid w:val="00B93ECA"/>
    <w:rsid w:val="00B94F1A"/>
    <w:rsid w:val="00B9501C"/>
    <w:rsid w:val="00B95EB7"/>
    <w:rsid w:val="00B95FFD"/>
    <w:rsid w:val="00B96C77"/>
    <w:rsid w:val="00B9F6AA"/>
    <w:rsid w:val="00BA18F1"/>
    <w:rsid w:val="00BA1FA3"/>
    <w:rsid w:val="00BA220E"/>
    <w:rsid w:val="00BA232D"/>
    <w:rsid w:val="00BA25D2"/>
    <w:rsid w:val="00BA46B6"/>
    <w:rsid w:val="00BA4853"/>
    <w:rsid w:val="00BA4FD8"/>
    <w:rsid w:val="00BA69A7"/>
    <w:rsid w:val="00BA750B"/>
    <w:rsid w:val="00BA7530"/>
    <w:rsid w:val="00BB158C"/>
    <w:rsid w:val="00BB1A17"/>
    <w:rsid w:val="00BB7162"/>
    <w:rsid w:val="00BB76DD"/>
    <w:rsid w:val="00BB7E11"/>
    <w:rsid w:val="00BB7FD6"/>
    <w:rsid w:val="00BC033C"/>
    <w:rsid w:val="00BC1AE0"/>
    <w:rsid w:val="00BC2457"/>
    <w:rsid w:val="00BC2E3B"/>
    <w:rsid w:val="00BC505B"/>
    <w:rsid w:val="00BC5232"/>
    <w:rsid w:val="00BC586C"/>
    <w:rsid w:val="00BC739C"/>
    <w:rsid w:val="00BC7E4F"/>
    <w:rsid w:val="00BD22E2"/>
    <w:rsid w:val="00BD28C2"/>
    <w:rsid w:val="00BD33B3"/>
    <w:rsid w:val="00BD390C"/>
    <w:rsid w:val="00BD4695"/>
    <w:rsid w:val="00BD5953"/>
    <w:rsid w:val="00BD6DC0"/>
    <w:rsid w:val="00BE0545"/>
    <w:rsid w:val="00BE0F6F"/>
    <w:rsid w:val="00BE2127"/>
    <w:rsid w:val="00BE51B8"/>
    <w:rsid w:val="00BE5FE7"/>
    <w:rsid w:val="00BE6785"/>
    <w:rsid w:val="00BE6BE5"/>
    <w:rsid w:val="00BE7339"/>
    <w:rsid w:val="00BF01C3"/>
    <w:rsid w:val="00BF05E8"/>
    <w:rsid w:val="00BF0A7A"/>
    <w:rsid w:val="00BF302F"/>
    <w:rsid w:val="00BF391F"/>
    <w:rsid w:val="00BF4822"/>
    <w:rsid w:val="00BF4FF6"/>
    <w:rsid w:val="00BF68D0"/>
    <w:rsid w:val="00C001CE"/>
    <w:rsid w:val="00C01440"/>
    <w:rsid w:val="00C01EA9"/>
    <w:rsid w:val="00C02B9F"/>
    <w:rsid w:val="00C02DDF"/>
    <w:rsid w:val="00C03101"/>
    <w:rsid w:val="00C034BB"/>
    <w:rsid w:val="00C03AFF"/>
    <w:rsid w:val="00C04C63"/>
    <w:rsid w:val="00C0543A"/>
    <w:rsid w:val="00C05F17"/>
    <w:rsid w:val="00C05F5C"/>
    <w:rsid w:val="00C06943"/>
    <w:rsid w:val="00C07CE5"/>
    <w:rsid w:val="00C1004B"/>
    <w:rsid w:val="00C107F5"/>
    <w:rsid w:val="00C109D5"/>
    <w:rsid w:val="00C10AFF"/>
    <w:rsid w:val="00C10C2C"/>
    <w:rsid w:val="00C10F97"/>
    <w:rsid w:val="00C1118E"/>
    <w:rsid w:val="00C112AB"/>
    <w:rsid w:val="00C116C3"/>
    <w:rsid w:val="00C13353"/>
    <w:rsid w:val="00C15D6E"/>
    <w:rsid w:val="00C17200"/>
    <w:rsid w:val="00C2031A"/>
    <w:rsid w:val="00C209A3"/>
    <w:rsid w:val="00C20C2C"/>
    <w:rsid w:val="00C2211F"/>
    <w:rsid w:val="00C22E6E"/>
    <w:rsid w:val="00C23600"/>
    <w:rsid w:val="00C23CBB"/>
    <w:rsid w:val="00C2582B"/>
    <w:rsid w:val="00C25E13"/>
    <w:rsid w:val="00C30679"/>
    <w:rsid w:val="00C30FE3"/>
    <w:rsid w:val="00C32195"/>
    <w:rsid w:val="00C33B26"/>
    <w:rsid w:val="00C34BD7"/>
    <w:rsid w:val="00C34CE7"/>
    <w:rsid w:val="00C3524E"/>
    <w:rsid w:val="00C364D7"/>
    <w:rsid w:val="00C36BBA"/>
    <w:rsid w:val="00C401D2"/>
    <w:rsid w:val="00C40320"/>
    <w:rsid w:val="00C406C4"/>
    <w:rsid w:val="00C40760"/>
    <w:rsid w:val="00C408C7"/>
    <w:rsid w:val="00C419E4"/>
    <w:rsid w:val="00C41A74"/>
    <w:rsid w:val="00C42251"/>
    <w:rsid w:val="00C42C09"/>
    <w:rsid w:val="00C447A8"/>
    <w:rsid w:val="00C4501E"/>
    <w:rsid w:val="00C45660"/>
    <w:rsid w:val="00C47E02"/>
    <w:rsid w:val="00C504AB"/>
    <w:rsid w:val="00C51D11"/>
    <w:rsid w:val="00C51D50"/>
    <w:rsid w:val="00C53712"/>
    <w:rsid w:val="00C537A1"/>
    <w:rsid w:val="00C544F6"/>
    <w:rsid w:val="00C5539B"/>
    <w:rsid w:val="00C566A8"/>
    <w:rsid w:val="00C60EBF"/>
    <w:rsid w:val="00C60EE5"/>
    <w:rsid w:val="00C61F15"/>
    <w:rsid w:val="00C629A8"/>
    <w:rsid w:val="00C644A4"/>
    <w:rsid w:val="00C65616"/>
    <w:rsid w:val="00C65AD0"/>
    <w:rsid w:val="00C65BED"/>
    <w:rsid w:val="00C66152"/>
    <w:rsid w:val="00C66B09"/>
    <w:rsid w:val="00C678FF"/>
    <w:rsid w:val="00C679F4"/>
    <w:rsid w:val="00C71428"/>
    <w:rsid w:val="00C71FEB"/>
    <w:rsid w:val="00C72FCF"/>
    <w:rsid w:val="00C73233"/>
    <w:rsid w:val="00C74C33"/>
    <w:rsid w:val="00C7635B"/>
    <w:rsid w:val="00C80D1D"/>
    <w:rsid w:val="00C81637"/>
    <w:rsid w:val="00C8214D"/>
    <w:rsid w:val="00C836CF"/>
    <w:rsid w:val="00C83C18"/>
    <w:rsid w:val="00C84046"/>
    <w:rsid w:val="00C853E2"/>
    <w:rsid w:val="00C87934"/>
    <w:rsid w:val="00C87EFB"/>
    <w:rsid w:val="00C91771"/>
    <w:rsid w:val="00C9203C"/>
    <w:rsid w:val="00C93363"/>
    <w:rsid w:val="00C93BFB"/>
    <w:rsid w:val="00C94452"/>
    <w:rsid w:val="00C9448E"/>
    <w:rsid w:val="00C94B2E"/>
    <w:rsid w:val="00C9657D"/>
    <w:rsid w:val="00C96D44"/>
    <w:rsid w:val="00C96F16"/>
    <w:rsid w:val="00C9722F"/>
    <w:rsid w:val="00C975FB"/>
    <w:rsid w:val="00CA0CCF"/>
    <w:rsid w:val="00CA10D9"/>
    <w:rsid w:val="00CA22A4"/>
    <w:rsid w:val="00CA25D5"/>
    <w:rsid w:val="00CA2B00"/>
    <w:rsid w:val="00CA53E4"/>
    <w:rsid w:val="00CA5E6F"/>
    <w:rsid w:val="00CA5EA6"/>
    <w:rsid w:val="00CA5F0D"/>
    <w:rsid w:val="00CA71FC"/>
    <w:rsid w:val="00CB12BD"/>
    <w:rsid w:val="00CB2A75"/>
    <w:rsid w:val="00CB34E8"/>
    <w:rsid w:val="00CB3CFC"/>
    <w:rsid w:val="00CB55FF"/>
    <w:rsid w:val="00CB5CA1"/>
    <w:rsid w:val="00CB6B92"/>
    <w:rsid w:val="00CB6F23"/>
    <w:rsid w:val="00CB7648"/>
    <w:rsid w:val="00CC1034"/>
    <w:rsid w:val="00CC1B16"/>
    <w:rsid w:val="00CC2A02"/>
    <w:rsid w:val="00CC5013"/>
    <w:rsid w:val="00CD0ECA"/>
    <w:rsid w:val="00CD1712"/>
    <w:rsid w:val="00CD17C0"/>
    <w:rsid w:val="00CD2717"/>
    <w:rsid w:val="00CD3F77"/>
    <w:rsid w:val="00CD4BBF"/>
    <w:rsid w:val="00CD6F43"/>
    <w:rsid w:val="00CE0184"/>
    <w:rsid w:val="00CE08EB"/>
    <w:rsid w:val="00CE0F63"/>
    <w:rsid w:val="00CE2106"/>
    <w:rsid w:val="00CE24F8"/>
    <w:rsid w:val="00CE3F43"/>
    <w:rsid w:val="00CE4B33"/>
    <w:rsid w:val="00CE5C32"/>
    <w:rsid w:val="00CE631A"/>
    <w:rsid w:val="00CE651C"/>
    <w:rsid w:val="00CE6B59"/>
    <w:rsid w:val="00CE70EF"/>
    <w:rsid w:val="00CE7EEB"/>
    <w:rsid w:val="00CF05FA"/>
    <w:rsid w:val="00CF065B"/>
    <w:rsid w:val="00CF066B"/>
    <w:rsid w:val="00CF0A31"/>
    <w:rsid w:val="00CF0EB3"/>
    <w:rsid w:val="00CF12FC"/>
    <w:rsid w:val="00CF17C3"/>
    <w:rsid w:val="00CF19D7"/>
    <w:rsid w:val="00CF1FB6"/>
    <w:rsid w:val="00CF2A54"/>
    <w:rsid w:val="00CF2D76"/>
    <w:rsid w:val="00CF462C"/>
    <w:rsid w:val="00CF46BF"/>
    <w:rsid w:val="00CF5D94"/>
    <w:rsid w:val="00CF6A5F"/>
    <w:rsid w:val="00CFE4AE"/>
    <w:rsid w:val="00D004B6"/>
    <w:rsid w:val="00D00B8A"/>
    <w:rsid w:val="00D017D9"/>
    <w:rsid w:val="00D01FC7"/>
    <w:rsid w:val="00D0266A"/>
    <w:rsid w:val="00D02C00"/>
    <w:rsid w:val="00D031CE"/>
    <w:rsid w:val="00D03454"/>
    <w:rsid w:val="00D0438C"/>
    <w:rsid w:val="00D0472C"/>
    <w:rsid w:val="00D04B30"/>
    <w:rsid w:val="00D05986"/>
    <w:rsid w:val="00D06472"/>
    <w:rsid w:val="00D06ED6"/>
    <w:rsid w:val="00D071F3"/>
    <w:rsid w:val="00D07439"/>
    <w:rsid w:val="00D07FAB"/>
    <w:rsid w:val="00D116C1"/>
    <w:rsid w:val="00D12C9D"/>
    <w:rsid w:val="00D1378E"/>
    <w:rsid w:val="00D13CDD"/>
    <w:rsid w:val="00D1419C"/>
    <w:rsid w:val="00D1500A"/>
    <w:rsid w:val="00D158CA"/>
    <w:rsid w:val="00D16F17"/>
    <w:rsid w:val="00D22205"/>
    <w:rsid w:val="00D2316F"/>
    <w:rsid w:val="00D25D01"/>
    <w:rsid w:val="00D27D83"/>
    <w:rsid w:val="00D30EEC"/>
    <w:rsid w:val="00D31902"/>
    <w:rsid w:val="00D3399E"/>
    <w:rsid w:val="00D33B9F"/>
    <w:rsid w:val="00D33ED0"/>
    <w:rsid w:val="00D34173"/>
    <w:rsid w:val="00D34C28"/>
    <w:rsid w:val="00D34DA7"/>
    <w:rsid w:val="00D35498"/>
    <w:rsid w:val="00D36B39"/>
    <w:rsid w:val="00D37CB1"/>
    <w:rsid w:val="00D37ED3"/>
    <w:rsid w:val="00D40012"/>
    <w:rsid w:val="00D41513"/>
    <w:rsid w:val="00D4153A"/>
    <w:rsid w:val="00D427A4"/>
    <w:rsid w:val="00D432AC"/>
    <w:rsid w:val="00D43857"/>
    <w:rsid w:val="00D43C53"/>
    <w:rsid w:val="00D47CD1"/>
    <w:rsid w:val="00D500F3"/>
    <w:rsid w:val="00D50656"/>
    <w:rsid w:val="00D512CD"/>
    <w:rsid w:val="00D52D74"/>
    <w:rsid w:val="00D53E3F"/>
    <w:rsid w:val="00D53FB2"/>
    <w:rsid w:val="00D553E9"/>
    <w:rsid w:val="00D55DA7"/>
    <w:rsid w:val="00D56062"/>
    <w:rsid w:val="00D56EC5"/>
    <w:rsid w:val="00D576E4"/>
    <w:rsid w:val="00D60408"/>
    <w:rsid w:val="00D62098"/>
    <w:rsid w:val="00D621AF"/>
    <w:rsid w:val="00D6304E"/>
    <w:rsid w:val="00D631E3"/>
    <w:rsid w:val="00D67D56"/>
    <w:rsid w:val="00D70468"/>
    <w:rsid w:val="00D70A1C"/>
    <w:rsid w:val="00D715BC"/>
    <w:rsid w:val="00D725C8"/>
    <w:rsid w:val="00D72B3A"/>
    <w:rsid w:val="00D742A7"/>
    <w:rsid w:val="00D75603"/>
    <w:rsid w:val="00D75F6A"/>
    <w:rsid w:val="00D76CE5"/>
    <w:rsid w:val="00D77703"/>
    <w:rsid w:val="00D77DEC"/>
    <w:rsid w:val="00D808B0"/>
    <w:rsid w:val="00D815CC"/>
    <w:rsid w:val="00D82033"/>
    <w:rsid w:val="00D84A43"/>
    <w:rsid w:val="00D84B09"/>
    <w:rsid w:val="00D85CA2"/>
    <w:rsid w:val="00D86A18"/>
    <w:rsid w:val="00D877E2"/>
    <w:rsid w:val="00D87908"/>
    <w:rsid w:val="00D9160B"/>
    <w:rsid w:val="00D918BD"/>
    <w:rsid w:val="00D94678"/>
    <w:rsid w:val="00D9494F"/>
    <w:rsid w:val="00D95035"/>
    <w:rsid w:val="00D968B4"/>
    <w:rsid w:val="00D9788C"/>
    <w:rsid w:val="00DA00C2"/>
    <w:rsid w:val="00DA4601"/>
    <w:rsid w:val="00DA5AD8"/>
    <w:rsid w:val="00DA6024"/>
    <w:rsid w:val="00DA6042"/>
    <w:rsid w:val="00DA7188"/>
    <w:rsid w:val="00DB0184"/>
    <w:rsid w:val="00DB0691"/>
    <w:rsid w:val="00DB08EB"/>
    <w:rsid w:val="00DB0B03"/>
    <w:rsid w:val="00DB0BA1"/>
    <w:rsid w:val="00DB13E9"/>
    <w:rsid w:val="00DB1FD8"/>
    <w:rsid w:val="00DB42C9"/>
    <w:rsid w:val="00DB49BB"/>
    <w:rsid w:val="00DB6096"/>
    <w:rsid w:val="00DB671C"/>
    <w:rsid w:val="00DB693E"/>
    <w:rsid w:val="00DB6A24"/>
    <w:rsid w:val="00DB760D"/>
    <w:rsid w:val="00DB776D"/>
    <w:rsid w:val="00DC0B59"/>
    <w:rsid w:val="00DC0E1B"/>
    <w:rsid w:val="00DC10AC"/>
    <w:rsid w:val="00DC1655"/>
    <w:rsid w:val="00DC1C82"/>
    <w:rsid w:val="00DC29DE"/>
    <w:rsid w:val="00DC2AF0"/>
    <w:rsid w:val="00DC3089"/>
    <w:rsid w:val="00DC30A8"/>
    <w:rsid w:val="00DC316E"/>
    <w:rsid w:val="00DC3FA2"/>
    <w:rsid w:val="00DC48C8"/>
    <w:rsid w:val="00DC5504"/>
    <w:rsid w:val="00DC5A58"/>
    <w:rsid w:val="00DC6ED6"/>
    <w:rsid w:val="00DC6F22"/>
    <w:rsid w:val="00DC7175"/>
    <w:rsid w:val="00DC77F2"/>
    <w:rsid w:val="00DC7B09"/>
    <w:rsid w:val="00DD07C9"/>
    <w:rsid w:val="00DD1DCD"/>
    <w:rsid w:val="00DD1E33"/>
    <w:rsid w:val="00DD399A"/>
    <w:rsid w:val="00DD5BBF"/>
    <w:rsid w:val="00DD6792"/>
    <w:rsid w:val="00DD7A95"/>
    <w:rsid w:val="00DE00BF"/>
    <w:rsid w:val="00DE2013"/>
    <w:rsid w:val="00DE2C08"/>
    <w:rsid w:val="00DE3186"/>
    <w:rsid w:val="00DE3F86"/>
    <w:rsid w:val="00DE5580"/>
    <w:rsid w:val="00DE587A"/>
    <w:rsid w:val="00DE5B1F"/>
    <w:rsid w:val="00DE617A"/>
    <w:rsid w:val="00DE6705"/>
    <w:rsid w:val="00DE746C"/>
    <w:rsid w:val="00DF0C39"/>
    <w:rsid w:val="00DF0F27"/>
    <w:rsid w:val="00DF17A0"/>
    <w:rsid w:val="00DF192C"/>
    <w:rsid w:val="00DF1BFA"/>
    <w:rsid w:val="00DF22E6"/>
    <w:rsid w:val="00DF3012"/>
    <w:rsid w:val="00DF3C0A"/>
    <w:rsid w:val="00DF4B2D"/>
    <w:rsid w:val="00DF6330"/>
    <w:rsid w:val="00DF64A9"/>
    <w:rsid w:val="00DF652E"/>
    <w:rsid w:val="00DF70D0"/>
    <w:rsid w:val="00DF79EE"/>
    <w:rsid w:val="00E00C6B"/>
    <w:rsid w:val="00E01417"/>
    <w:rsid w:val="00E02977"/>
    <w:rsid w:val="00E039CE"/>
    <w:rsid w:val="00E041D3"/>
    <w:rsid w:val="00E05B42"/>
    <w:rsid w:val="00E06BB1"/>
    <w:rsid w:val="00E06C10"/>
    <w:rsid w:val="00E06C4A"/>
    <w:rsid w:val="00E071AB"/>
    <w:rsid w:val="00E07384"/>
    <w:rsid w:val="00E07A3D"/>
    <w:rsid w:val="00E113C1"/>
    <w:rsid w:val="00E11D5D"/>
    <w:rsid w:val="00E12D72"/>
    <w:rsid w:val="00E1429E"/>
    <w:rsid w:val="00E1441E"/>
    <w:rsid w:val="00E1460F"/>
    <w:rsid w:val="00E14B88"/>
    <w:rsid w:val="00E14E80"/>
    <w:rsid w:val="00E1595E"/>
    <w:rsid w:val="00E16E23"/>
    <w:rsid w:val="00E17EAD"/>
    <w:rsid w:val="00E206F0"/>
    <w:rsid w:val="00E20F2E"/>
    <w:rsid w:val="00E215BD"/>
    <w:rsid w:val="00E219CD"/>
    <w:rsid w:val="00E21E23"/>
    <w:rsid w:val="00E22107"/>
    <w:rsid w:val="00E22476"/>
    <w:rsid w:val="00E231A3"/>
    <w:rsid w:val="00E233B0"/>
    <w:rsid w:val="00E247A1"/>
    <w:rsid w:val="00E24BD5"/>
    <w:rsid w:val="00E261BF"/>
    <w:rsid w:val="00E26CAA"/>
    <w:rsid w:val="00E278AB"/>
    <w:rsid w:val="00E27B33"/>
    <w:rsid w:val="00E30B0C"/>
    <w:rsid w:val="00E30FF3"/>
    <w:rsid w:val="00E31A38"/>
    <w:rsid w:val="00E31EF6"/>
    <w:rsid w:val="00E337EC"/>
    <w:rsid w:val="00E35177"/>
    <w:rsid w:val="00E36307"/>
    <w:rsid w:val="00E363E8"/>
    <w:rsid w:val="00E3733A"/>
    <w:rsid w:val="00E3773F"/>
    <w:rsid w:val="00E40C2C"/>
    <w:rsid w:val="00E42596"/>
    <w:rsid w:val="00E42EFA"/>
    <w:rsid w:val="00E4328A"/>
    <w:rsid w:val="00E432EF"/>
    <w:rsid w:val="00E43F04"/>
    <w:rsid w:val="00E44BFD"/>
    <w:rsid w:val="00E45CB8"/>
    <w:rsid w:val="00E46FC8"/>
    <w:rsid w:val="00E470A2"/>
    <w:rsid w:val="00E47C29"/>
    <w:rsid w:val="00E5017C"/>
    <w:rsid w:val="00E5118B"/>
    <w:rsid w:val="00E525D6"/>
    <w:rsid w:val="00E53B7A"/>
    <w:rsid w:val="00E5450E"/>
    <w:rsid w:val="00E54E4C"/>
    <w:rsid w:val="00E553E3"/>
    <w:rsid w:val="00E56009"/>
    <w:rsid w:val="00E570ED"/>
    <w:rsid w:val="00E57933"/>
    <w:rsid w:val="00E57BC5"/>
    <w:rsid w:val="00E60170"/>
    <w:rsid w:val="00E60C74"/>
    <w:rsid w:val="00E6265F"/>
    <w:rsid w:val="00E627EB"/>
    <w:rsid w:val="00E62D4C"/>
    <w:rsid w:val="00E642EA"/>
    <w:rsid w:val="00E6440B"/>
    <w:rsid w:val="00E66C7A"/>
    <w:rsid w:val="00E673FA"/>
    <w:rsid w:val="00E67AC3"/>
    <w:rsid w:val="00E70434"/>
    <w:rsid w:val="00E70629"/>
    <w:rsid w:val="00E7182A"/>
    <w:rsid w:val="00E72C7F"/>
    <w:rsid w:val="00E72F78"/>
    <w:rsid w:val="00E7353B"/>
    <w:rsid w:val="00E737AF"/>
    <w:rsid w:val="00E74A13"/>
    <w:rsid w:val="00E74DBA"/>
    <w:rsid w:val="00E75BFF"/>
    <w:rsid w:val="00E765D9"/>
    <w:rsid w:val="00E7678B"/>
    <w:rsid w:val="00E77EA2"/>
    <w:rsid w:val="00E800A5"/>
    <w:rsid w:val="00E80753"/>
    <w:rsid w:val="00E822FA"/>
    <w:rsid w:val="00E826D8"/>
    <w:rsid w:val="00E82B0E"/>
    <w:rsid w:val="00E82B58"/>
    <w:rsid w:val="00E82E5A"/>
    <w:rsid w:val="00E8337C"/>
    <w:rsid w:val="00E87BA8"/>
    <w:rsid w:val="00E939DC"/>
    <w:rsid w:val="00E94900"/>
    <w:rsid w:val="00E94B76"/>
    <w:rsid w:val="00E96F04"/>
    <w:rsid w:val="00EA0805"/>
    <w:rsid w:val="00EA08A2"/>
    <w:rsid w:val="00EA1F6A"/>
    <w:rsid w:val="00EA6A41"/>
    <w:rsid w:val="00EA6E18"/>
    <w:rsid w:val="00EA7FB0"/>
    <w:rsid w:val="00EB09FB"/>
    <w:rsid w:val="00EB1176"/>
    <w:rsid w:val="00EB27AC"/>
    <w:rsid w:val="00EB2B74"/>
    <w:rsid w:val="00EB3700"/>
    <w:rsid w:val="00EB4041"/>
    <w:rsid w:val="00EB424E"/>
    <w:rsid w:val="00EB45A6"/>
    <w:rsid w:val="00EB4AE7"/>
    <w:rsid w:val="00EB5059"/>
    <w:rsid w:val="00EB5115"/>
    <w:rsid w:val="00EB53F9"/>
    <w:rsid w:val="00EB5803"/>
    <w:rsid w:val="00EB5BAD"/>
    <w:rsid w:val="00EB5DF5"/>
    <w:rsid w:val="00EB6883"/>
    <w:rsid w:val="00EB75E0"/>
    <w:rsid w:val="00EC1229"/>
    <w:rsid w:val="00EC1CBE"/>
    <w:rsid w:val="00EC3755"/>
    <w:rsid w:val="00EC3C2B"/>
    <w:rsid w:val="00EC47BA"/>
    <w:rsid w:val="00EC505F"/>
    <w:rsid w:val="00EC525B"/>
    <w:rsid w:val="00EC582C"/>
    <w:rsid w:val="00EC663A"/>
    <w:rsid w:val="00EC67FB"/>
    <w:rsid w:val="00EC7B85"/>
    <w:rsid w:val="00ED074C"/>
    <w:rsid w:val="00ED08AB"/>
    <w:rsid w:val="00ED150B"/>
    <w:rsid w:val="00ED1BC3"/>
    <w:rsid w:val="00ED29E6"/>
    <w:rsid w:val="00ED394E"/>
    <w:rsid w:val="00ED39E6"/>
    <w:rsid w:val="00ED6FB8"/>
    <w:rsid w:val="00ED77D1"/>
    <w:rsid w:val="00ED79D0"/>
    <w:rsid w:val="00EE094F"/>
    <w:rsid w:val="00EE1346"/>
    <w:rsid w:val="00EE16A1"/>
    <w:rsid w:val="00EE1B2E"/>
    <w:rsid w:val="00EE32FE"/>
    <w:rsid w:val="00EE33A7"/>
    <w:rsid w:val="00EE3BDE"/>
    <w:rsid w:val="00EE3D62"/>
    <w:rsid w:val="00EE497B"/>
    <w:rsid w:val="00EE4D77"/>
    <w:rsid w:val="00EE6CE3"/>
    <w:rsid w:val="00EF0865"/>
    <w:rsid w:val="00EF1299"/>
    <w:rsid w:val="00EF22CB"/>
    <w:rsid w:val="00EF2347"/>
    <w:rsid w:val="00EF3155"/>
    <w:rsid w:val="00EF3A30"/>
    <w:rsid w:val="00EF5417"/>
    <w:rsid w:val="00EF791B"/>
    <w:rsid w:val="00F0172C"/>
    <w:rsid w:val="00F02446"/>
    <w:rsid w:val="00F03AA7"/>
    <w:rsid w:val="00F04486"/>
    <w:rsid w:val="00F05E8A"/>
    <w:rsid w:val="00F060D8"/>
    <w:rsid w:val="00F065A7"/>
    <w:rsid w:val="00F07203"/>
    <w:rsid w:val="00F106BD"/>
    <w:rsid w:val="00F10A80"/>
    <w:rsid w:val="00F10C19"/>
    <w:rsid w:val="00F10D47"/>
    <w:rsid w:val="00F119EF"/>
    <w:rsid w:val="00F12D5D"/>
    <w:rsid w:val="00F14680"/>
    <w:rsid w:val="00F1570A"/>
    <w:rsid w:val="00F1604E"/>
    <w:rsid w:val="00F16085"/>
    <w:rsid w:val="00F165C9"/>
    <w:rsid w:val="00F16F64"/>
    <w:rsid w:val="00F171A6"/>
    <w:rsid w:val="00F178EC"/>
    <w:rsid w:val="00F179D4"/>
    <w:rsid w:val="00F21A3F"/>
    <w:rsid w:val="00F21CF6"/>
    <w:rsid w:val="00F22006"/>
    <w:rsid w:val="00F22203"/>
    <w:rsid w:val="00F23A06"/>
    <w:rsid w:val="00F24463"/>
    <w:rsid w:val="00F251B5"/>
    <w:rsid w:val="00F26FFB"/>
    <w:rsid w:val="00F2799A"/>
    <w:rsid w:val="00F27A90"/>
    <w:rsid w:val="00F27FE8"/>
    <w:rsid w:val="00F32EF6"/>
    <w:rsid w:val="00F333F8"/>
    <w:rsid w:val="00F33616"/>
    <w:rsid w:val="00F33A4D"/>
    <w:rsid w:val="00F35B8F"/>
    <w:rsid w:val="00F3681E"/>
    <w:rsid w:val="00F37653"/>
    <w:rsid w:val="00F42466"/>
    <w:rsid w:val="00F4274B"/>
    <w:rsid w:val="00F43358"/>
    <w:rsid w:val="00F44044"/>
    <w:rsid w:val="00F44BAD"/>
    <w:rsid w:val="00F5200B"/>
    <w:rsid w:val="00F52FA3"/>
    <w:rsid w:val="00F535EF"/>
    <w:rsid w:val="00F5377F"/>
    <w:rsid w:val="00F53EE9"/>
    <w:rsid w:val="00F545F0"/>
    <w:rsid w:val="00F54F79"/>
    <w:rsid w:val="00F56714"/>
    <w:rsid w:val="00F606A3"/>
    <w:rsid w:val="00F60C25"/>
    <w:rsid w:val="00F61E6B"/>
    <w:rsid w:val="00F62CAC"/>
    <w:rsid w:val="00F62ED8"/>
    <w:rsid w:val="00F63247"/>
    <w:rsid w:val="00F6347D"/>
    <w:rsid w:val="00F64410"/>
    <w:rsid w:val="00F65AF3"/>
    <w:rsid w:val="00F7055D"/>
    <w:rsid w:val="00F7097B"/>
    <w:rsid w:val="00F71464"/>
    <w:rsid w:val="00F7177E"/>
    <w:rsid w:val="00F7234B"/>
    <w:rsid w:val="00F72903"/>
    <w:rsid w:val="00F731A0"/>
    <w:rsid w:val="00F73D55"/>
    <w:rsid w:val="00F75619"/>
    <w:rsid w:val="00F76360"/>
    <w:rsid w:val="00F764A2"/>
    <w:rsid w:val="00F766C3"/>
    <w:rsid w:val="00F778C2"/>
    <w:rsid w:val="00F77EFA"/>
    <w:rsid w:val="00F77F05"/>
    <w:rsid w:val="00F8109D"/>
    <w:rsid w:val="00F81BDD"/>
    <w:rsid w:val="00F81EF2"/>
    <w:rsid w:val="00F85B7D"/>
    <w:rsid w:val="00F862E6"/>
    <w:rsid w:val="00F86B4E"/>
    <w:rsid w:val="00F873F0"/>
    <w:rsid w:val="00F9011D"/>
    <w:rsid w:val="00F90571"/>
    <w:rsid w:val="00F90A5B"/>
    <w:rsid w:val="00F90AB8"/>
    <w:rsid w:val="00F9311A"/>
    <w:rsid w:val="00F94FD1"/>
    <w:rsid w:val="00F95B6C"/>
    <w:rsid w:val="00F96CC0"/>
    <w:rsid w:val="00FA0155"/>
    <w:rsid w:val="00FA0435"/>
    <w:rsid w:val="00FA2826"/>
    <w:rsid w:val="00FA3685"/>
    <w:rsid w:val="00FA40FA"/>
    <w:rsid w:val="00FB12A6"/>
    <w:rsid w:val="00FB179F"/>
    <w:rsid w:val="00FB22AD"/>
    <w:rsid w:val="00FB44EC"/>
    <w:rsid w:val="00FB4562"/>
    <w:rsid w:val="00FB47DA"/>
    <w:rsid w:val="00FB579D"/>
    <w:rsid w:val="00FB5CFC"/>
    <w:rsid w:val="00FB5EFC"/>
    <w:rsid w:val="00FB620D"/>
    <w:rsid w:val="00FB7911"/>
    <w:rsid w:val="00FB7E0C"/>
    <w:rsid w:val="00FC0455"/>
    <w:rsid w:val="00FC183C"/>
    <w:rsid w:val="00FC24CE"/>
    <w:rsid w:val="00FC6C44"/>
    <w:rsid w:val="00FC78D1"/>
    <w:rsid w:val="00FD010F"/>
    <w:rsid w:val="00FD0A04"/>
    <w:rsid w:val="00FD0C2A"/>
    <w:rsid w:val="00FD356E"/>
    <w:rsid w:val="00FD396C"/>
    <w:rsid w:val="00FD457A"/>
    <w:rsid w:val="00FD62F8"/>
    <w:rsid w:val="00FD6351"/>
    <w:rsid w:val="00FD7E58"/>
    <w:rsid w:val="00FE0B1C"/>
    <w:rsid w:val="00FE11BD"/>
    <w:rsid w:val="00FE29C8"/>
    <w:rsid w:val="00FE3159"/>
    <w:rsid w:val="00FE44A1"/>
    <w:rsid w:val="00FE56AB"/>
    <w:rsid w:val="00FE7559"/>
    <w:rsid w:val="00FF2250"/>
    <w:rsid w:val="00FF3FAF"/>
    <w:rsid w:val="00FF4863"/>
    <w:rsid w:val="00FF54A3"/>
    <w:rsid w:val="00FF66C9"/>
    <w:rsid w:val="00FF6F1E"/>
    <w:rsid w:val="00FF7C4B"/>
    <w:rsid w:val="00FF7D80"/>
    <w:rsid w:val="011EDD8D"/>
    <w:rsid w:val="01240174"/>
    <w:rsid w:val="01489EE8"/>
    <w:rsid w:val="017215FD"/>
    <w:rsid w:val="01B3CC80"/>
    <w:rsid w:val="01E0D814"/>
    <w:rsid w:val="0287B2BF"/>
    <w:rsid w:val="0288B927"/>
    <w:rsid w:val="02BFD1D5"/>
    <w:rsid w:val="02CF1BC0"/>
    <w:rsid w:val="033C7E3D"/>
    <w:rsid w:val="036D68DA"/>
    <w:rsid w:val="0394907A"/>
    <w:rsid w:val="03BF481F"/>
    <w:rsid w:val="0443C277"/>
    <w:rsid w:val="04636089"/>
    <w:rsid w:val="048DECDB"/>
    <w:rsid w:val="0542C58D"/>
    <w:rsid w:val="05476D47"/>
    <w:rsid w:val="05B62548"/>
    <w:rsid w:val="05D1D7B9"/>
    <w:rsid w:val="0635B316"/>
    <w:rsid w:val="0651280F"/>
    <w:rsid w:val="06549C69"/>
    <w:rsid w:val="071674EA"/>
    <w:rsid w:val="074523AE"/>
    <w:rsid w:val="076F3136"/>
    <w:rsid w:val="07948070"/>
    <w:rsid w:val="07C35341"/>
    <w:rsid w:val="07D43267"/>
    <w:rsid w:val="08894DEC"/>
    <w:rsid w:val="08C79C24"/>
    <w:rsid w:val="09E95B59"/>
    <w:rsid w:val="0A186DEF"/>
    <w:rsid w:val="0A49CB47"/>
    <w:rsid w:val="0A919862"/>
    <w:rsid w:val="0AAB5BDF"/>
    <w:rsid w:val="0ACAE3BA"/>
    <w:rsid w:val="0B2A9DB6"/>
    <w:rsid w:val="0BC24E53"/>
    <w:rsid w:val="0BD1D77A"/>
    <w:rsid w:val="0BE59BA8"/>
    <w:rsid w:val="0C608DAD"/>
    <w:rsid w:val="0C66B41B"/>
    <w:rsid w:val="0C6EA1A1"/>
    <w:rsid w:val="0C710127"/>
    <w:rsid w:val="0C7584DB"/>
    <w:rsid w:val="0C7E6A20"/>
    <w:rsid w:val="0DF5FE43"/>
    <w:rsid w:val="0E02847C"/>
    <w:rsid w:val="0E89946B"/>
    <w:rsid w:val="0F9E54DD"/>
    <w:rsid w:val="0FD0533C"/>
    <w:rsid w:val="1097D2AF"/>
    <w:rsid w:val="10F0ADC1"/>
    <w:rsid w:val="1121DF86"/>
    <w:rsid w:val="11FF9114"/>
    <w:rsid w:val="120B8CE1"/>
    <w:rsid w:val="1280B318"/>
    <w:rsid w:val="129BAEA2"/>
    <w:rsid w:val="12B63147"/>
    <w:rsid w:val="12D755EE"/>
    <w:rsid w:val="130D5720"/>
    <w:rsid w:val="13621D9C"/>
    <w:rsid w:val="137B8668"/>
    <w:rsid w:val="13805004"/>
    <w:rsid w:val="138614E6"/>
    <w:rsid w:val="13F9C8DB"/>
    <w:rsid w:val="146A0535"/>
    <w:rsid w:val="14B0454D"/>
    <w:rsid w:val="14F4F1F1"/>
    <w:rsid w:val="15227879"/>
    <w:rsid w:val="1594B184"/>
    <w:rsid w:val="15B853DA"/>
    <w:rsid w:val="15C2B2C5"/>
    <w:rsid w:val="15FDE68B"/>
    <w:rsid w:val="16A4DF33"/>
    <w:rsid w:val="16ED4BE8"/>
    <w:rsid w:val="16FCBC11"/>
    <w:rsid w:val="17964684"/>
    <w:rsid w:val="1797EC3A"/>
    <w:rsid w:val="17A4A29F"/>
    <w:rsid w:val="17A4EB73"/>
    <w:rsid w:val="17B291C0"/>
    <w:rsid w:val="17EF94C7"/>
    <w:rsid w:val="1807533D"/>
    <w:rsid w:val="182BA56D"/>
    <w:rsid w:val="18D804A0"/>
    <w:rsid w:val="18E394B1"/>
    <w:rsid w:val="1900DFEC"/>
    <w:rsid w:val="19150593"/>
    <w:rsid w:val="193216E5"/>
    <w:rsid w:val="194E6221"/>
    <w:rsid w:val="19E3B78F"/>
    <w:rsid w:val="1A2B5682"/>
    <w:rsid w:val="1A32E23B"/>
    <w:rsid w:val="1A928BF9"/>
    <w:rsid w:val="1AB84228"/>
    <w:rsid w:val="1AEEADF0"/>
    <w:rsid w:val="1AF9F6C5"/>
    <w:rsid w:val="1B00EDAD"/>
    <w:rsid w:val="1B7A3359"/>
    <w:rsid w:val="1BB71589"/>
    <w:rsid w:val="1BCEB29C"/>
    <w:rsid w:val="1C1B3573"/>
    <w:rsid w:val="1C4BDC5D"/>
    <w:rsid w:val="1C8365C5"/>
    <w:rsid w:val="1C8F1277"/>
    <w:rsid w:val="1CC305EA"/>
    <w:rsid w:val="1CCFB02A"/>
    <w:rsid w:val="1CDD6537"/>
    <w:rsid w:val="1D2A41FD"/>
    <w:rsid w:val="1D30E365"/>
    <w:rsid w:val="1D78DF2A"/>
    <w:rsid w:val="1DAB272C"/>
    <w:rsid w:val="1DC136F6"/>
    <w:rsid w:val="1DCD114E"/>
    <w:rsid w:val="1DD650EB"/>
    <w:rsid w:val="1E2B24CB"/>
    <w:rsid w:val="1E722A69"/>
    <w:rsid w:val="1EB14E74"/>
    <w:rsid w:val="1F289FDB"/>
    <w:rsid w:val="1F677650"/>
    <w:rsid w:val="1FA482B6"/>
    <w:rsid w:val="20279C08"/>
    <w:rsid w:val="20F9D037"/>
    <w:rsid w:val="21215A1F"/>
    <w:rsid w:val="212FF08E"/>
    <w:rsid w:val="2196770D"/>
    <w:rsid w:val="21BE0606"/>
    <w:rsid w:val="21C116AF"/>
    <w:rsid w:val="21EEC974"/>
    <w:rsid w:val="2216791C"/>
    <w:rsid w:val="226D85CE"/>
    <w:rsid w:val="22C5DB63"/>
    <w:rsid w:val="22EC3CB3"/>
    <w:rsid w:val="23063FE7"/>
    <w:rsid w:val="230EB83D"/>
    <w:rsid w:val="2351E3E4"/>
    <w:rsid w:val="23B4EA5F"/>
    <w:rsid w:val="23D2ADA4"/>
    <w:rsid w:val="23E110BB"/>
    <w:rsid w:val="24076E68"/>
    <w:rsid w:val="2456706A"/>
    <w:rsid w:val="248CE59F"/>
    <w:rsid w:val="2501D321"/>
    <w:rsid w:val="2510EDF0"/>
    <w:rsid w:val="251F9BAE"/>
    <w:rsid w:val="2550BAC0"/>
    <w:rsid w:val="2622F498"/>
    <w:rsid w:val="262A22A2"/>
    <w:rsid w:val="267D3C4E"/>
    <w:rsid w:val="26AEA6C9"/>
    <w:rsid w:val="26E12470"/>
    <w:rsid w:val="2707796A"/>
    <w:rsid w:val="2726AF60"/>
    <w:rsid w:val="27424BB0"/>
    <w:rsid w:val="2825648D"/>
    <w:rsid w:val="29886095"/>
    <w:rsid w:val="29AF8B56"/>
    <w:rsid w:val="29C134EE"/>
    <w:rsid w:val="29EEE3A7"/>
    <w:rsid w:val="2A0A0226"/>
    <w:rsid w:val="2A51E1E3"/>
    <w:rsid w:val="2A73A5A7"/>
    <w:rsid w:val="2AA0E608"/>
    <w:rsid w:val="2ABC14C9"/>
    <w:rsid w:val="2AEE34C9"/>
    <w:rsid w:val="2B2430F6"/>
    <w:rsid w:val="2B3F25C9"/>
    <w:rsid w:val="2B54027F"/>
    <w:rsid w:val="2BC897E4"/>
    <w:rsid w:val="2C27780B"/>
    <w:rsid w:val="2CE0B830"/>
    <w:rsid w:val="2CFCBF32"/>
    <w:rsid w:val="2D84AF27"/>
    <w:rsid w:val="2E200BE9"/>
    <w:rsid w:val="2E25D58B"/>
    <w:rsid w:val="2E5BD1B8"/>
    <w:rsid w:val="2E6946BE"/>
    <w:rsid w:val="2EBE6E8A"/>
    <w:rsid w:val="2ECDEC8A"/>
    <w:rsid w:val="2F1EBD85"/>
    <w:rsid w:val="2F8F9E04"/>
    <w:rsid w:val="2FD917D7"/>
    <w:rsid w:val="302C522A"/>
    <w:rsid w:val="302D39E2"/>
    <w:rsid w:val="31134EDF"/>
    <w:rsid w:val="313B4D88"/>
    <w:rsid w:val="3160C530"/>
    <w:rsid w:val="32427F05"/>
    <w:rsid w:val="32DCC54D"/>
    <w:rsid w:val="3384E355"/>
    <w:rsid w:val="34210A96"/>
    <w:rsid w:val="3433A1C9"/>
    <w:rsid w:val="346EAAAA"/>
    <w:rsid w:val="3495170F"/>
    <w:rsid w:val="34B0A38D"/>
    <w:rsid w:val="3501939F"/>
    <w:rsid w:val="3521E17C"/>
    <w:rsid w:val="3547CD03"/>
    <w:rsid w:val="360819C7"/>
    <w:rsid w:val="36B27B9A"/>
    <w:rsid w:val="3727C458"/>
    <w:rsid w:val="37365A5D"/>
    <w:rsid w:val="373C28BB"/>
    <w:rsid w:val="375590CE"/>
    <w:rsid w:val="37B03670"/>
    <w:rsid w:val="382A7EE4"/>
    <w:rsid w:val="385215FF"/>
    <w:rsid w:val="3920EEB6"/>
    <w:rsid w:val="39688832"/>
    <w:rsid w:val="396DEA4C"/>
    <w:rsid w:val="398E19F3"/>
    <w:rsid w:val="3A1FD0B2"/>
    <w:rsid w:val="3A4E44D5"/>
    <w:rsid w:val="3AE5941B"/>
    <w:rsid w:val="3B41109F"/>
    <w:rsid w:val="3B44DD1D"/>
    <w:rsid w:val="3B4F1396"/>
    <w:rsid w:val="3B58B114"/>
    <w:rsid w:val="3BD977C7"/>
    <w:rsid w:val="3BDE0D94"/>
    <w:rsid w:val="3C927794"/>
    <w:rsid w:val="3CC7B7F2"/>
    <w:rsid w:val="3CF99CB8"/>
    <w:rsid w:val="3D7CCC44"/>
    <w:rsid w:val="3DFF4CAC"/>
    <w:rsid w:val="3E135C89"/>
    <w:rsid w:val="3E421DEE"/>
    <w:rsid w:val="3EAB856E"/>
    <w:rsid w:val="3F189CA5"/>
    <w:rsid w:val="3F5CDB23"/>
    <w:rsid w:val="3F5E77C6"/>
    <w:rsid w:val="3FA4E27F"/>
    <w:rsid w:val="3FD4C342"/>
    <w:rsid w:val="3FF4013C"/>
    <w:rsid w:val="4052101D"/>
    <w:rsid w:val="40C1C348"/>
    <w:rsid w:val="413282F0"/>
    <w:rsid w:val="414D7B52"/>
    <w:rsid w:val="4159DB3D"/>
    <w:rsid w:val="41BE5C13"/>
    <w:rsid w:val="41F820A2"/>
    <w:rsid w:val="4204A30C"/>
    <w:rsid w:val="42B0AD55"/>
    <w:rsid w:val="43B63052"/>
    <w:rsid w:val="43C663B3"/>
    <w:rsid w:val="43E1B0EE"/>
    <w:rsid w:val="43F60E6E"/>
    <w:rsid w:val="44CB4715"/>
    <w:rsid w:val="45351708"/>
    <w:rsid w:val="454176F3"/>
    <w:rsid w:val="45BE7B57"/>
    <w:rsid w:val="45DA8179"/>
    <w:rsid w:val="45DF66CC"/>
    <w:rsid w:val="464571AE"/>
    <w:rsid w:val="47DECD54"/>
    <w:rsid w:val="47EAC921"/>
    <w:rsid w:val="48065CEE"/>
    <w:rsid w:val="4874F729"/>
    <w:rsid w:val="48F2E203"/>
    <w:rsid w:val="4970C4A7"/>
    <w:rsid w:val="49B9104D"/>
    <w:rsid w:val="49BC95AF"/>
    <w:rsid w:val="4A4A94DA"/>
    <w:rsid w:val="4A844406"/>
    <w:rsid w:val="4AC4A688"/>
    <w:rsid w:val="4ADE19ED"/>
    <w:rsid w:val="4AE79526"/>
    <w:rsid w:val="4B4B4511"/>
    <w:rsid w:val="4BA4588C"/>
    <w:rsid w:val="4BA5C0C5"/>
    <w:rsid w:val="4BC5D4A1"/>
    <w:rsid w:val="4BEDBC41"/>
    <w:rsid w:val="4BEE5F8F"/>
    <w:rsid w:val="4BFD4909"/>
    <w:rsid w:val="4C79EA4E"/>
    <w:rsid w:val="4CB23E77"/>
    <w:rsid w:val="4CE1D30C"/>
    <w:rsid w:val="4CF43671"/>
    <w:rsid w:val="4DD2E314"/>
    <w:rsid w:val="4E48DEC9"/>
    <w:rsid w:val="4E64B7D8"/>
    <w:rsid w:val="4E7A98CC"/>
    <w:rsid w:val="4E965A41"/>
    <w:rsid w:val="4F6AA168"/>
    <w:rsid w:val="4FA95F89"/>
    <w:rsid w:val="500918B3"/>
    <w:rsid w:val="502023DC"/>
    <w:rsid w:val="508389AF"/>
    <w:rsid w:val="51041766"/>
    <w:rsid w:val="512328EF"/>
    <w:rsid w:val="515EC430"/>
    <w:rsid w:val="516170D6"/>
    <w:rsid w:val="517C92FF"/>
    <w:rsid w:val="519F9C35"/>
    <w:rsid w:val="51BBF43D"/>
    <w:rsid w:val="51E41700"/>
    <w:rsid w:val="51E9C0E3"/>
    <w:rsid w:val="5287333F"/>
    <w:rsid w:val="536A33D4"/>
    <w:rsid w:val="5382A65F"/>
    <w:rsid w:val="53D22C42"/>
    <w:rsid w:val="53F0B469"/>
    <w:rsid w:val="53FB8E26"/>
    <w:rsid w:val="543270BC"/>
    <w:rsid w:val="54362505"/>
    <w:rsid w:val="54436E0B"/>
    <w:rsid w:val="54F394FF"/>
    <w:rsid w:val="55B42BC2"/>
    <w:rsid w:val="55E975F9"/>
    <w:rsid w:val="560200E3"/>
    <w:rsid w:val="5608297E"/>
    <w:rsid w:val="562F72CC"/>
    <w:rsid w:val="5646CBB4"/>
    <w:rsid w:val="566A7139"/>
    <w:rsid w:val="56815FFF"/>
    <w:rsid w:val="568F6560"/>
    <w:rsid w:val="56EAC673"/>
    <w:rsid w:val="5707AA2F"/>
    <w:rsid w:val="5738B046"/>
    <w:rsid w:val="5741BFDA"/>
    <w:rsid w:val="576DC5C7"/>
    <w:rsid w:val="57D8501F"/>
    <w:rsid w:val="57FE831B"/>
    <w:rsid w:val="580FD999"/>
    <w:rsid w:val="587EDAC3"/>
    <w:rsid w:val="58DAE882"/>
    <w:rsid w:val="59099628"/>
    <w:rsid w:val="590FD28F"/>
    <w:rsid w:val="591AFE72"/>
    <w:rsid w:val="5924D7CC"/>
    <w:rsid w:val="59742080"/>
    <w:rsid w:val="599000B3"/>
    <w:rsid w:val="5A43B471"/>
    <w:rsid w:val="5A5BFABA"/>
    <w:rsid w:val="5A6993E7"/>
    <w:rsid w:val="5AA56689"/>
    <w:rsid w:val="5AAA046F"/>
    <w:rsid w:val="5AF9468B"/>
    <w:rsid w:val="5BC2217C"/>
    <w:rsid w:val="5C7619CC"/>
    <w:rsid w:val="5D03B61A"/>
    <w:rsid w:val="5D10E140"/>
    <w:rsid w:val="5D3BB000"/>
    <w:rsid w:val="5DC119C9"/>
    <w:rsid w:val="5DE4F4D1"/>
    <w:rsid w:val="5DECE4DA"/>
    <w:rsid w:val="5E05C27E"/>
    <w:rsid w:val="5E11EA2D"/>
    <w:rsid w:val="5E17D5E4"/>
    <w:rsid w:val="5E29B36A"/>
    <w:rsid w:val="5E4967E7"/>
    <w:rsid w:val="5EA971AB"/>
    <w:rsid w:val="5EB83091"/>
    <w:rsid w:val="5EE385F7"/>
    <w:rsid w:val="5EFBF2D2"/>
    <w:rsid w:val="5F02CD40"/>
    <w:rsid w:val="5F206AB5"/>
    <w:rsid w:val="5F28CB87"/>
    <w:rsid w:val="5F4353BC"/>
    <w:rsid w:val="5F4AC905"/>
    <w:rsid w:val="5FAE869A"/>
    <w:rsid w:val="5FCA39A7"/>
    <w:rsid w:val="603647A6"/>
    <w:rsid w:val="6060DA1F"/>
    <w:rsid w:val="60731FC0"/>
    <w:rsid w:val="609349C5"/>
    <w:rsid w:val="60C2911E"/>
    <w:rsid w:val="6199F8F1"/>
    <w:rsid w:val="61A6D167"/>
    <w:rsid w:val="61D21807"/>
    <w:rsid w:val="61D6DF72"/>
    <w:rsid w:val="627792D5"/>
    <w:rsid w:val="6285417A"/>
    <w:rsid w:val="6285FD26"/>
    <w:rsid w:val="62F34582"/>
    <w:rsid w:val="6335C952"/>
    <w:rsid w:val="636DE868"/>
    <w:rsid w:val="6393008A"/>
    <w:rsid w:val="64208177"/>
    <w:rsid w:val="6447E641"/>
    <w:rsid w:val="645838C6"/>
    <w:rsid w:val="64D199B3"/>
    <w:rsid w:val="6509B8C9"/>
    <w:rsid w:val="652ED0EB"/>
    <w:rsid w:val="65731A14"/>
    <w:rsid w:val="658EC280"/>
    <w:rsid w:val="65913CE0"/>
    <w:rsid w:val="65BA0A89"/>
    <w:rsid w:val="65DC257A"/>
    <w:rsid w:val="661746DB"/>
    <w:rsid w:val="66BC8336"/>
    <w:rsid w:val="66CAA14C"/>
    <w:rsid w:val="6723E18A"/>
    <w:rsid w:val="676AF500"/>
    <w:rsid w:val="67D7C993"/>
    <w:rsid w:val="67FF88E4"/>
    <w:rsid w:val="681F3E45"/>
    <w:rsid w:val="68499DDD"/>
    <w:rsid w:val="697399F4"/>
    <w:rsid w:val="69BCC8C2"/>
    <w:rsid w:val="6AC6AD9A"/>
    <w:rsid w:val="6ADEB97D"/>
    <w:rsid w:val="6AF424FE"/>
    <w:rsid w:val="6B01CE2F"/>
    <w:rsid w:val="6B023681"/>
    <w:rsid w:val="6B1E84A1"/>
    <w:rsid w:val="6B4DA711"/>
    <w:rsid w:val="6B8EC461"/>
    <w:rsid w:val="6B9E126F"/>
    <w:rsid w:val="6BA0AD46"/>
    <w:rsid w:val="6BFD2B6F"/>
    <w:rsid w:val="6C3F18A2"/>
    <w:rsid w:val="6D15969D"/>
    <w:rsid w:val="6D8F72B0"/>
    <w:rsid w:val="6DB21B2F"/>
    <w:rsid w:val="6DEF3CB4"/>
    <w:rsid w:val="6E0B9980"/>
    <w:rsid w:val="6E242665"/>
    <w:rsid w:val="6E4EF89D"/>
    <w:rsid w:val="6E739B05"/>
    <w:rsid w:val="6F0BA865"/>
    <w:rsid w:val="6F2E0598"/>
    <w:rsid w:val="6F79C06B"/>
    <w:rsid w:val="711900A5"/>
    <w:rsid w:val="71542A6F"/>
    <w:rsid w:val="715D58FF"/>
    <w:rsid w:val="718F696C"/>
    <w:rsid w:val="71AB83DC"/>
    <w:rsid w:val="71D96080"/>
    <w:rsid w:val="71F8AE9B"/>
    <w:rsid w:val="7385B80D"/>
    <w:rsid w:val="738CBEDD"/>
    <w:rsid w:val="73BC7872"/>
    <w:rsid w:val="74304FAB"/>
    <w:rsid w:val="74330A0C"/>
    <w:rsid w:val="74F0FB72"/>
    <w:rsid w:val="7646329C"/>
    <w:rsid w:val="764F2EA9"/>
    <w:rsid w:val="76A3EB8D"/>
    <w:rsid w:val="7767F06D"/>
    <w:rsid w:val="779D9853"/>
    <w:rsid w:val="77CD6FED"/>
    <w:rsid w:val="78FA5FBD"/>
    <w:rsid w:val="799A6DE6"/>
    <w:rsid w:val="79E54ADC"/>
    <w:rsid w:val="7AD2CF91"/>
    <w:rsid w:val="7B278DF4"/>
    <w:rsid w:val="7B3F4DAA"/>
    <w:rsid w:val="7B556C63"/>
    <w:rsid w:val="7BF45BFC"/>
    <w:rsid w:val="7C226DC7"/>
    <w:rsid w:val="7C509050"/>
    <w:rsid w:val="7CCE640A"/>
    <w:rsid w:val="7D187D16"/>
    <w:rsid w:val="7D50069A"/>
    <w:rsid w:val="7D6FB296"/>
    <w:rsid w:val="7D8CA129"/>
    <w:rsid w:val="7DEC60B1"/>
    <w:rsid w:val="7E408B03"/>
    <w:rsid w:val="7EB9E8E8"/>
    <w:rsid w:val="7EF6F54E"/>
    <w:rsid w:val="7F371E26"/>
    <w:rsid w:val="7F58944B"/>
    <w:rsid w:val="7F65BD97"/>
    <w:rsid w:val="7F6D234E"/>
    <w:rsid w:val="7F883112"/>
    <w:rsid w:val="7FABE86E"/>
    <w:rsid w:val="7FBEA71B"/>
    <w:rsid w:val="7FCEB3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2E5F"/>
  <w15:chartTrackingRefBased/>
  <w15:docId w15:val="{5A239510-3C5E-4724-9323-827FB588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3C"/>
    <w:pPr>
      <w:spacing w:before="160" w:after="160" w:line="259" w:lineRule="auto"/>
    </w:pPr>
    <w:rPr>
      <w:rFonts w:asciiTheme="majorHAnsi" w:hAnsiTheme="majorHAnsi"/>
      <w:sz w:val="22"/>
      <w:szCs w:val="22"/>
      <w:lang w:eastAsia="en-US"/>
    </w:rPr>
  </w:style>
  <w:style w:type="paragraph" w:styleId="Heading1">
    <w:name w:val="heading 1"/>
    <w:basedOn w:val="Normal"/>
    <w:next w:val="Normal"/>
    <w:link w:val="Heading1Char"/>
    <w:uiPriority w:val="9"/>
    <w:qFormat/>
    <w:rsid w:val="00B5753C"/>
    <w:pPr>
      <w:keepNext/>
      <w:keepLines/>
      <w:spacing w:before="240" w:after="0"/>
      <w:outlineLvl w:val="0"/>
    </w:pPr>
    <w:rPr>
      <w:rFonts w:eastAsiaTheme="majorEastAsia" w:cstheme="majorBidi"/>
      <w:color w:val="2B4152" w:themeColor="accent1" w:themeShade="BF"/>
      <w:sz w:val="32"/>
      <w:szCs w:val="32"/>
    </w:rPr>
  </w:style>
  <w:style w:type="paragraph" w:styleId="Heading2">
    <w:name w:val="heading 2"/>
    <w:basedOn w:val="Normal"/>
    <w:next w:val="Normal"/>
    <w:link w:val="Heading2Char"/>
    <w:uiPriority w:val="9"/>
    <w:unhideWhenUsed/>
    <w:qFormat/>
    <w:rsid w:val="00B5753C"/>
    <w:pPr>
      <w:keepNext/>
      <w:keepLines/>
      <w:spacing w:before="40" w:after="0"/>
      <w:outlineLvl w:val="1"/>
    </w:pPr>
    <w:rPr>
      <w:rFonts w:eastAsiaTheme="majorEastAsia" w:cstheme="majorBidi"/>
      <w:color w:val="2B4152" w:themeColor="accent1" w:themeShade="BF"/>
      <w:sz w:val="26"/>
      <w:szCs w:val="26"/>
    </w:rPr>
  </w:style>
  <w:style w:type="paragraph" w:styleId="Heading3">
    <w:name w:val="heading 3"/>
    <w:basedOn w:val="Normal"/>
    <w:next w:val="Normal"/>
    <w:link w:val="Heading3Char"/>
    <w:uiPriority w:val="9"/>
    <w:unhideWhenUsed/>
    <w:qFormat/>
    <w:rsid w:val="00B5753C"/>
    <w:pPr>
      <w:keepNext/>
      <w:keepLines/>
      <w:spacing w:before="40" w:after="0"/>
      <w:outlineLvl w:val="2"/>
    </w:pPr>
    <w:rPr>
      <w:rFonts w:eastAsiaTheme="majorEastAsia" w:cstheme="majorBidi"/>
      <w:color w:val="1D2B36" w:themeColor="accent1" w:themeShade="7F"/>
      <w:sz w:val="24"/>
      <w:szCs w:val="24"/>
    </w:rPr>
  </w:style>
  <w:style w:type="paragraph" w:styleId="Heading4">
    <w:name w:val="heading 4"/>
    <w:basedOn w:val="Normal"/>
    <w:next w:val="Normal"/>
    <w:link w:val="Heading4Char"/>
    <w:uiPriority w:val="9"/>
    <w:semiHidden/>
    <w:unhideWhenUsed/>
    <w:qFormat/>
    <w:rsid w:val="00B5753C"/>
    <w:pPr>
      <w:keepNext/>
      <w:keepLines/>
      <w:spacing w:before="40" w:after="0"/>
      <w:outlineLvl w:val="3"/>
    </w:pPr>
    <w:rPr>
      <w:rFonts w:eastAsiaTheme="majorEastAsia" w:cstheme="majorBidi"/>
      <w:i/>
      <w:iCs/>
      <w:color w:val="2B415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link w:val="H1-Heading1Char"/>
    <w:qFormat/>
    <w:rsid w:val="00B5753C"/>
    <w:pPr>
      <w:spacing w:before="0"/>
      <w:ind w:left="1560"/>
    </w:pPr>
    <w:rPr>
      <w:b/>
      <w:bCs/>
      <w:caps/>
      <w:color w:val="313E48"/>
      <w:sz w:val="56"/>
      <w:szCs w:val="56"/>
    </w:rPr>
  </w:style>
  <w:style w:type="paragraph" w:customStyle="1" w:styleId="BodyCopy">
    <w:name w:val="Body Copy"/>
    <w:qFormat/>
    <w:rsid w:val="00B5753C"/>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qFormat/>
    <w:rsid w:val="00B5753C"/>
    <w:pPr>
      <w:pageBreakBefore/>
      <w:spacing w:before="240" w:after="120"/>
    </w:pPr>
    <w:rPr>
      <w:rFonts w:asciiTheme="minorHAnsi" w:hAnsiTheme="minorHAnsi" w:cstheme="minorHAnsi"/>
      <w:b/>
      <w:bCs/>
      <w:color w:val="313E48"/>
      <w:sz w:val="36"/>
      <w:szCs w:val="32"/>
    </w:rPr>
  </w:style>
  <w:style w:type="paragraph" w:customStyle="1" w:styleId="H4-Heading4">
    <w:name w:val="H4 - Heading 4"/>
    <w:basedOn w:val="Heading4"/>
    <w:next w:val="BodyCopy"/>
    <w:link w:val="H4-Heading4Char"/>
    <w:qFormat/>
    <w:rsid w:val="00B5753C"/>
    <w:pPr>
      <w:spacing w:before="240" w:after="120"/>
    </w:pPr>
    <w:rPr>
      <w:rFonts w:cstheme="minorHAnsi"/>
      <w:b/>
      <w:bCs/>
      <w:i w:val="0"/>
      <w:color w:val="auto"/>
      <w:sz w:val="24"/>
      <w:szCs w:val="24"/>
    </w:rPr>
  </w:style>
  <w:style w:type="paragraph" w:customStyle="1" w:styleId="H3-Heading3">
    <w:name w:val="H3 - Heading 3"/>
    <w:basedOn w:val="Heading3"/>
    <w:qFormat/>
    <w:rsid w:val="00B5753C"/>
    <w:pPr>
      <w:spacing w:before="240" w:after="12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B5753C"/>
    <w:pPr>
      <w:numPr>
        <w:numId w:val="1"/>
      </w:numPr>
    </w:pPr>
  </w:style>
  <w:style w:type="paragraph" w:customStyle="1" w:styleId="BodyCopyPrebulletsandnumberedbullets">
    <w:name w:val="Body Copy Pre bullets and numbered bullets"/>
    <w:basedOn w:val="BodyCopy"/>
    <w:qFormat/>
    <w:rsid w:val="00B5753C"/>
    <w:pPr>
      <w:spacing w:before="240"/>
    </w:pPr>
  </w:style>
  <w:style w:type="paragraph" w:customStyle="1" w:styleId="NormalBullets-L2">
    <w:name w:val="Normal Bullets - L2"/>
    <w:basedOn w:val="BodyCopy"/>
    <w:qFormat/>
    <w:rsid w:val="00B5753C"/>
    <w:pPr>
      <w:numPr>
        <w:numId w:val="5"/>
      </w:numPr>
      <w:spacing w:before="0" w:after="0"/>
      <w:ind w:left="993" w:hanging="284"/>
    </w:pPr>
    <w:rPr>
      <w:color w:val="auto"/>
      <w:lang w:eastAsia="en-AU"/>
    </w:rPr>
  </w:style>
  <w:style w:type="table" w:styleId="TableGrid">
    <w:name w:val="Table Grid"/>
    <w:basedOn w:val="TableNormal"/>
    <w:uiPriority w:val="39"/>
    <w:rsid w:val="00B57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Copy"/>
    <w:qFormat/>
    <w:rsid w:val="00B5753C"/>
    <w:pPr>
      <w:spacing w:before="240" w:after="240"/>
    </w:pPr>
    <w:rPr>
      <w:rFonts w:asciiTheme="majorHAnsi" w:hAnsiTheme="majorHAnsi" w:cstheme="minorHAnsi"/>
      <w:bCs/>
      <w:color w:val="FFFFFF" w:themeColor="background1"/>
      <w:sz w:val="20"/>
    </w:rPr>
  </w:style>
  <w:style w:type="paragraph" w:customStyle="1" w:styleId="TableBodyCopy">
    <w:name w:val="Table Body Copy"/>
    <w:basedOn w:val="BodyCopy"/>
    <w:qFormat/>
    <w:rsid w:val="00B5753C"/>
    <w:pPr>
      <w:spacing w:before="120" w:after="40"/>
    </w:pPr>
    <w:rPr>
      <w:color w:val="auto"/>
      <w:sz w:val="20"/>
    </w:rPr>
  </w:style>
  <w:style w:type="paragraph" w:customStyle="1" w:styleId="PostBulletsBodyCopy">
    <w:name w:val="Post Bullets Body Copy"/>
    <w:basedOn w:val="BodyCopy"/>
    <w:qFormat/>
    <w:rsid w:val="00B5753C"/>
    <w:pPr>
      <w:spacing w:before="240" w:after="160"/>
    </w:pPr>
  </w:style>
  <w:style w:type="paragraph" w:styleId="Header">
    <w:name w:val="header"/>
    <w:basedOn w:val="Normal"/>
    <w:link w:val="HeaderChar"/>
    <w:uiPriority w:val="99"/>
    <w:unhideWhenUsed/>
    <w:rsid w:val="00B5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53C"/>
    <w:rPr>
      <w:rFonts w:asciiTheme="majorHAnsi" w:hAnsiTheme="majorHAnsi"/>
      <w:sz w:val="22"/>
      <w:szCs w:val="22"/>
      <w:lang w:eastAsia="en-US"/>
    </w:rPr>
  </w:style>
  <w:style w:type="paragraph" w:styleId="Footer">
    <w:name w:val="footer"/>
    <w:basedOn w:val="Normal"/>
    <w:link w:val="FooterChar"/>
    <w:uiPriority w:val="99"/>
    <w:unhideWhenUsed/>
    <w:rsid w:val="00B5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53C"/>
    <w:rPr>
      <w:rFonts w:asciiTheme="majorHAnsi" w:hAnsiTheme="majorHAnsi"/>
      <w:sz w:val="22"/>
      <w:szCs w:val="22"/>
      <w:lang w:eastAsia="en-US"/>
    </w:rPr>
  </w:style>
  <w:style w:type="character" w:customStyle="1" w:styleId="Green">
    <w:name w:val="Green"/>
    <w:basedOn w:val="DefaultParagraphFont"/>
    <w:uiPriority w:val="1"/>
    <w:qFormat/>
    <w:rsid w:val="00B5753C"/>
    <w:rPr>
      <w:color w:val="00837C" w:themeColor="accent2"/>
    </w:rPr>
  </w:style>
  <w:style w:type="paragraph" w:customStyle="1" w:styleId="TitleCover">
    <w:name w:val="Title Cover"/>
    <w:basedOn w:val="H1-Heading1"/>
    <w:link w:val="TitleCoverChar"/>
    <w:qFormat/>
    <w:rsid w:val="00B5753C"/>
    <w:pPr>
      <w:spacing w:before="4440" w:line="240" w:lineRule="auto"/>
    </w:pPr>
    <w:rPr>
      <w:rFonts w:asciiTheme="minorHAnsi" w:hAnsiTheme="minorHAnsi" w:cstheme="minorHAnsi"/>
      <w:color w:val="FFFFFF" w:themeColor="background1"/>
      <w:sz w:val="48"/>
    </w:rPr>
  </w:style>
  <w:style w:type="paragraph" w:customStyle="1" w:styleId="SECCLASSIFICATION">
    <w:name w:val="SEC CLASSIFICATION"/>
    <w:basedOn w:val="Header"/>
    <w:qFormat/>
    <w:rsid w:val="00B5753C"/>
    <w:pPr>
      <w:jc w:val="center"/>
    </w:pPr>
    <w:rPr>
      <w:b/>
      <w:caps/>
      <w:noProof/>
      <w:color w:val="FF0000"/>
    </w:rPr>
  </w:style>
  <w:style w:type="character" w:customStyle="1" w:styleId="H1-Heading1Char">
    <w:name w:val="H1 - Heading 1 Char"/>
    <w:basedOn w:val="DefaultParagraphFont"/>
    <w:link w:val="H1-Heading1"/>
    <w:rsid w:val="00B5753C"/>
    <w:rPr>
      <w:rFonts w:asciiTheme="majorHAnsi" w:eastAsiaTheme="majorEastAsia" w:hAnsiTheme="majorHAnsi" w:cstheme="majorBidi"/>
      <w:b/>
      <w:bCs/>
      <w:caps/>
      <w:color w:val="313E48"/>
      <w:sz w:val="56"/>
      <w:szCs w:val="56"/>
      <w:lang w:eastAsia="en-US"/>
    </w:rPr>
  </w:style>
  <w:style w:type="character" w:customStyle="1" w:styleId="TitleCoverChar">
    <w:name w:val="Title Cover Char"/>
    <w:basedOn w:val="H1-Heading1Char"/>
    <w:link w:val="TitleCover"/>
    <w:rsid w:val="00B5753C"/>
    <w:rPr>
      <w:rFonts w:asciiTheme="minorHAnsi" w:eastAsiaTheme="majorEastAsia" w:hAnsiTheme="minorHAnsi" w:cstheme="minorHAnsi"/>
      <w:b/>
      <w:bCs/>
      <w:caps/>
      <w:color w:val="FFFFFF" w:themeColor="background1"/>
      <w:sz w:val="48"/>
      <w:szCs w:val="56"/>
      <w:lang w:eastAsia="en-US"/>
    </w:rPr>
  </w:style>
  <w:style w:type="paragraph" w:customStyle="1" w:styleId="Subtitlecover">
    <w:name w:val="Subtitle cover"/>
    <w:basedOn w:val="TitleCover"/>
    <w:link w:val="SubtitlecoverChar"/>
    <w:qFormat/>
    <w:rsid w:val="00B5753C"/>
    <w:pPr>
      <w:spacing w:before="360"/>
    </w:pPr>
    <w:rPr>
      <w:sz w:val="36"/>
    </w:rPr>
  </w:style>
  <w:style w:type="character" w:customStyle="1" w:styleId="SubtitlecoverChar">
    <w:name w:val="Subtitle cover Char"/>
    <w:basedOn w:val="TitleCoverChar"/>
    <w:link w:val="Subtitlecover"/>
    <w:rsid w:val="00B5753C"/>
    <w:rPr>
      <w:rFonts w:asciiTheme="minorHAnsi" w:eastAsiaTheme="majorEastAsia" w:hAnsiTheme="minorHAnsi" w:cstheme="minorHAnsi"/>
      <w:b/>
      <w:bCs/>
      <w:caps/>
      <w:color w:val="FFFFFF" w:themeColor="background1"/>
      <w:sz w:val="36"/>
      <w:szCs w:val="56"/>
      <w:lang w:eastAsia="en-US"/>
    </w:rPr>
  </w:style>
  <w:style w:type="paragraph" w:styleId="TOC2">
    <w:name w:val="toc 2"/>
    <w:basedOn w:val="Normal"/>
    <w:next w:val="Normal"/>
    <w:autoRedefine/>
    <w:uiPriority w:val="39"/>
    <w:unhideWhenUsed/>
    <w:rsid w:val="00B5753C"/>
    <w:pPr>
      <w:spacing w:after="100"/>
      <w:ind w:left="220"/>
    </w:pPr>
  </w:style>
  <w:style w:type="character" w:customStyle="1" w:styleId="Heading2Char">
    <w:name w:val="Heading 2 Char"/>
    <w:basedOn w:val="DefaultParagraphFont"/>
    <w:link w:val="Heading2"/>
    <w:uiPriority w:val="9"/>
    <w:rsid w:val="00B5753C"/>
    <w:rPr>
      <w:rFonts w:asciiTheme="majorHAnsi" w:eastAsiaTheme="majorEastAsia" w:hAnsiTheme="majorHAnsi" w:cstheme="majorBidi"/>
      <w:color w:val="2B4152" w:themeColor="accent1" w:themeShade="BF"/>
      <w:sz w:val="26"/>
      <w:szCs w:val="26"/>
      <w:lang w:eastAsia="en-US"/>
    </w:rPr>
  </w:style>
  <w:style w:type="character" w:customStyle="1" w:styleId="Heading1Char">
    <w:name w:val="Heading 1 Char"/>
    <w:basedOn w:val="DefaultParagraphFont"/>
    <w:link w:val="Heading1"/>
    <w:uiPriority w:val="9"/>
    <w:rsid w:val="00B5753C"/>
    <w:rPr>
      <w:rFonts w:asciiTheme="majorHAnsi" w:eastAsiaTheme="majorEastAsia" w:hAnsiTheme="majorHAnsi" w:cstheme="majorBidi"/>
      <w:color w:val="2B4152" w:themeColor="accent1" w:themeShade="BF"/>
      <w:sz w:val="32"/>
      <w:szCs w:val="32"/>
      <w:lang w:eastAsia="en-US"/>
    </w:rPr>
  </w:style>
  <w:style w:type="character" w:customStyle="1" w:styleId="Heading3Char">
    <w:name w:val="Heading 3 Char"/>
    <w:basedOn w:val="DefaultParagraphFont"/>
    <w:link w:val="Heading3"/>
    <w:uiPriority w:val="9"/>
    <w:rsid w:val="00B5753C"/>
    <w:rPr>
      <w:rFonts w:asciiTheme="majorHAnsi" w:eastAsiaTheme="majorEastAsia" w:hAnsiTheme="majorHAnsi" w:cstheme="majorBidi"/>
      <w:color w:val="1D2B36" w:themeColor="accent1" w:themeShade="7F"/>
      <w:sz w:val="24"/>
      <w:szCs w:val="24"/>
      <w:lang w:eastAsia="en-US"/>
    </w:rPr>
  </w:style>
  <w:style w:type="character" w:customStyle="1" w:styleId="Heading4Char">
    <w:name w:val="Heading 4 Char"/>
    <w:basedOn w:val="DefaultParagraphFont"/>
    <w:link w:val="Heading4"/>
    <w:uiPriority w:val="9"/>
    <w:semiHidden/>
    <w:rsid w:val="00B5753C"/>
    <w:rPr>
      <w:rFonts w:asciiTheme="majorHAnsi" w:eastAsiaTheme="majorEastAsia" w:hAnsiTheme="majorHAnsi" w:cstheme="majorBidi"/>
      <w:i/>
      <w:iCs/>
      <w:color w:val="2B4152" w:themeColor="accent1" w:themeShade="BF"/>
      <w:sz w:val="22"/>
      <w:szCs w:val="22"/>
      <w:lang w:eastAsia="en-US"/>
    </w:rPr>
  </w:style>
  <w:style w:type="paragraph" w:styleId="TOC1">
    <w:name w:val="toc 1"/>
    <w:basedOn w:val="Normal"/>
    <w:next w:val="Normal"/>
    <w:autoRedefine/>
    <w:uiPriority w:val="39"/>
    <w:unhideWhenUsed/>
    <w:rsid w:val="00B5753C"/>
    <w:pPr>
      <w:spacing w:after="100"/>
    </w:pPr>
  </w:style>
  <w:style w:type="paragraph" w:styleId="TOC3">
    <w:name w:val="toc 3"/>
    <w:basedOn w:val="Normal"/>
    <w:next w:val="Normal"/>
    <w:autoRedefine/>
    <w:uiPriority w:val="39"/>
    <w:unhideWhenUsed/>
    <w:rsid w:val="00B5753C"/>
    <w:pPr>
      <w:spacing w:after="100"/>
      <w:ind w:left="440"/>
    </w:pPr>
  </w:style>
  <w:style w:type="character" w:styleId="Hyperlink">
    <w:name w:val="Hyperlink"/>
    <w:basedOn w:val="DefaultParagraphFont"/>
    <w:uiPriority w:val="99"/>
    <w:unhideWhenUsed/>
    <w:rsid w:val="00B5753C"/>
    <w:rPr>
      <w:color w:val="014429" w:themeColor="hyperlink"/>
      <w:u w:val="single"/>
    </w:rPr>
  </w:style>
  <w:style w:type="paragraph" w:styleId="TOCHeading">
    <w:name w:val="TOC Heading"/>
    <w:basedOn w:val="H2-Heading2"/>
    <w:next w:val="Normal"/>
    <w:uiPriority w:val="39"/>
    <w:unhideWhenUsed/>
    <w:qFormat/>
    <w:rsid w:val="00B5753C"/>
  </w:style>
  <w:style w:type="paragraph" w:styleId="ListParagraph">
    <w:name w:val="List Paragraph"/>
    <w:aliases w:val="List Paragraph 1,List Paragraph1,Numbered Paragraph,Main numbered paragraph,List Paragraph (numbered (a)),Bullet,Akapit z listą BS,NUMBERED PARAGRAPH,References,Bullets,List_Paragraph,Multilevel para_II,IBL List Paragraph,Bullet1,Liste 1"/>
    <w:basedOn w:val="Normal"/>
    <w:link w:val="ListParagraphChar"/>
    <w:uiPriority w:val="34"/>
    <w:qFormat/>
    <w:rsid w:val="00B5753C"/>
    <w:pPr>
      <w:numPr>
        <w:numId w:val="11"/>
      </w:numPr>
      <w:ind w:left="357" w:hanging="357"/>
      <w:contextualSpacing/>
    </w:pPr>
  </w:style>
  <w:style w:type="table" w:styleId="ListTable3-Accent1">
    <w:name w:val="List Table 3 Accent 1"/>
    <w:basedOn w:val="TableNormal"/>
    <w:uiPriority w:val="48"/>
    <w:rsid w:val="00B5753C"/>
    <w:tblPr>
      <w:tblStyleRowBandSize w:val="1"/>
      <w:tblStyleColBandSize w:val="1"/>
      <w:tblBorders>
        <w:top w:val="single" w:sz="4" w:space="0" w:color="3A586E" w:themeColor="accent1"/>
        <w:left w:val="single" w:sz="4" w:space="0" w:color="3A586E" w:themeColor="accent1"/>
        <w:bottom w:val="single" w:sz="4" w:space="0" w:color="3A586E" w:themeColor="accent1"/>
        <w:right w:val="single" w:sz="4" w:space="0" w:color="3A586E" w:themeColor="accent1"/>
      </w:tblBorders>
    </w:tblPr>
    <w:tblStylePr w:type="firstRow">
      <w:rPr>
        <w:b/>
        <w:bCs/>
        <w:color w:val="FFFFFF" w:themeColor="background1"/>
      </w:rPr>
      <w:tblPr/>
      <w:tcPr>
        <w:shd w:val="clear" w:color="auto" w:fill="3A586E" w:themeFill="accent1"/>
      </w:tcPr>
    </w:tblStylePr>
    <w:tblStylePr w:type="lastRow">
      <w:rPr>
        <w:b/>
        <w:bCs/>
      </w:rPr>
      <w:tblPr/>
      <w:tcPr>
        <w:tcBorders>
          <w:top w:val="double" w:sz="4" w:space="0" w:color="3A58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586E" w:themeColor="accent1"/>
          <w:right w:val="single" w:sz="4" w:space="0" w:color="3A586E" w:themeColor="accent1"/>
        </w:tcBorders>
      </w:tcPr>
    </w:tblStylePr>
    <w:tblStylePr w:type="band1Horz">
      <w:tblPr/>
      <w:tcPr>
        <w:tcBorders>
          <w:top w:val="single" w:sz="4" w:space="0" w:color="3A586E" w:themeColor="accent1"/>
          <w:bottom w:val="single" w:sz="4" w:space="0" w:color="3A58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586E" w:themeColor="accent1"/>
          <w:left w:val="nil"/>
        </w:tcBorders>
      </w:tcPr>
    </w:tblStylePr>
    <w:tblStylePr w:type="swCell">
      <w:tblPr/>
      <w:tcPr>
        <w:tcBorders>
          <w:top w:val="double" w:sz="4" w:space="0" w:color="3A586E" w:themeColor="accent1"/>
          <w:right w:val="nil"/>
        </w:tcBorders>
      </w:tcPr>
    </w:tblStylePr>
  </w:style>
  <w:style w:type="table" w:styleId="GridTable2-Accent1">
    <w:name w:val="Grid Table 2 Accent 1"/>
    <w:basedOn w:val="TableNormal"/>
    <w:uiPriority w:val="47"/>
    <w:rsid w:val="00B5753C"/>
    <w:tblPr>
      <w:tblStyleRowBandSize w:val="1"/>
      <w:tblStyleColBandSize w:val="1"/>
      <w:tblBorders>
        <w:top w:val="single" w:sz="2" w:space="0" w:color="789DB8" w:themeColor="accent1" w:themeTint="99"/>
        <w:bottom w:val="single" w:sz="2" w:space="0" w:color="789DB8" w:themeColor="accent1" w:themeTint="99"/>
        <w:insideH w:val="single" w:sz="2" w:space="0" w:color="789DB8" w:themeColor="accent1" w:themeTint="99"/>
        <w:insideV w:val="single" w:sz="2" w:space="0" w:color="789DB8" w:themeColor="accent1" w:themeTint="99"/>
      </w:tblBorders>
    </w:tblPr>
    <w:tblStylePr w:type="firstRow">
      <w:rPr>
        <w:b/>
        <w:bCs/>
      </w:rPr>
      <w:tblPr/>
      <w:tcPr>
        <w:tcBorders>
          <w:top w:val="nil"/>
          <w:bottom w:val="single" w:sz="12" w:space="0" w:color="789DB8" w:themeColor="accent1" w:themeTint="99"/>
          <w:insideH w:val="nil"/>
          <w:insideV w:val="nil"/>
        </w:tcBorders>
        <w:shd w:val="clear" w:color="auto" w:fill="FFFFFF" w:themeFill="background1"/>
      </w:tcPr>
    </w:tblStylePr>
    <w:tblStylePr w:type="lastRow">
      <w:rPr>
        <w:b/>
        <w:bCs/>
      </w:rPr>
      <w:tblPr/>
      <w:tcPr>
        <w:tcBorders>
          <w:top w:val="double" w:sz="2" w:space="0" w:color="789D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DEE7" w:themeFill="accent1" w:themeFillTint="33"/>
      </w:tcPr>
    </w:tblStylePr>
    <w:tblStylePr w:type="band1Horz">
      <w:tblPr/>
      <w:tcPr>
        <w:shd w:val="clear" w:color="auto" w:fill="D2DEE7" w:themeFill="accent1" w:themeFillTint="33"/>
      </w:tcPr>
    </w:tblStylePr>
  </w:style>
  <w:style w:type="paragraph" w:customStyle="1" w:styleId="Box1Bullet">
    <w:name w:val="Box 1 Bullet"/>
    <w:basedOn w:val="Normal"/>
    <w:qFormat/>
    <w:rsid w:val="00B5753C"/>
    <w:pPr>
      <w:numPr>
        <w:numId w:val="3"/>
      </w:numPr>
      <w:pBdr>
        <w:top w:val="single" w:sz="4" w:space="14" w:color="3A586E" w:themeColor="accent1"/>
        <w:left w:val="single" w:sz="4" w:space="14" w:color="3A586E" w:themeColor="accent1"/>
        <w:bottom w:val="single" w:sz="4" w:space="14" w:color="3A586E" w:themeColor="accent1"/>
        <w:right w:val="single" w:sz="4" w:space="14" w:color="3A586E" w:themeColor="accent1"/>
      </w:pBdr>
      <w:shd w:val="clear" w:color="auto" w:fill="FFFFFF" w:themeFill="background1"/>
      <w:suppressAutoHyphens/>
      <w:spacing w:before="180" w:after="80" w:line="240" w:lineRule="atLeast"/>
      <w:ind w:left="454" w:right="284" w:hanging="170"/>
    </w:pPr>
    <w:rPr>
      <w:rFonts w:asciiTheme="minorHAnsi" w:eastAsiaTheme="minorHAnsi" w:hAnsiTheme="minorHAnsi" w:cstheme="minorBidi"/>
      <w:color w:val="313E48" w:themeColor="text2"/>
      <w:sz w:val="20"/>
    </w:rPr>
  </w:style>
  <w:style w:type="table" w:styleId="TableGridLight">
    <w:name w:val="Grid Table Light"/>
    <w:basedOn w:val="TableNormal"/>
    <w:uiPriority w:val="40"/>
    <w:rsid w:val="00B575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575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5753C"/>
    <w:rPr>
      <w:sz w:val="22"/>
      <w:szCs w:val="22"/>
      <w:lang w:eastAsia="en-US"/>
    </w:rPr>
  </w:style>
  <w:style w:type="character" w:styleId="CommentReference">
    <w:name w:val="annotation reference"/>
    <w:basedOn w:val="DefaultParagraphFont"/>
    <w:uiPriority w:val="99"/>
    <w:semiHidden/>
    <w:unhideWhenUsed/>
    <w:rsid w:val="00B5753C"/>
    <w:rPr>
      <w:sz w:val="16"/>
      <w:szCs w:val="16"/>
    </w:rPr>
  </w:style>
  <w:style w:type="paragraph" w:styleId="CommentText">
    <w:name w:val="annotation text"/>
    <w:basedOn w:val="Normal"/>
    <w:link w:val="CommentTextChar"/>
    <w:uiPriority w:val="99"/>
    <w:unhideWhenUsed/>
    <w:rsid w:val="00B5753C"/>
    <w:pPr>
      <w:spacing w:line="240" w:lineRule="auto"/>
    </w:pPr>
    <w:rPr>
      <w:sz w:val="20"/>
      <w:szCs w:val="20"/>
    </w:rPr>
  </w:style>
  <w:style w:type="character" w:customStyle="1" w:styleId="CommentTextChar">
    <w:name w:val="Comment Text Char"/>
    <w:basedOn w:val="DefaultParagraphFont"/>
    <w:link w:val="CommentText"/>
    <w:uiPriority w:val="99"/>
    <w:rsid w:val="00B5753C"/>
    <w:rPr>
      <w:rFonts w:asciiTheme="majorHAnsi" w:hAnsiTheme="majorHAnsi"/>
      <w:lang w:eastAsia="en-US"/>
    </w:rPr>
  </w:style>
  <w:style w:type="paragraph" w:styleId="CommentSubject">
    <w:name w:val="annotation subject"/>
    <w:basedOn w:val="CommentText"/>
    <w:next w:val="CommentText"/>
    <w:link w:val="CommentSubjectChar"/>
    <w:uiPriority w:val="99"/>
    <w:semiHidden/>
    <w:unhideWhenUsed/>
    <w:rsid w:val="00B5753C"/>
    <w:rPr>
      <w:b/>
      <w:bCs/>
    </w:rPr>
  </w:style>
  <w:style w:type="character" w:customStyle="1" w:styleId="CommentSubjectChar">
    <w:name w:val="Comment Subject Char"/>
    <w:basedOn w:val="CommentTextChar"/>
    <w:link w:val="CommentSubject"/>
    <w:uiPriority w:val="99"/>
    <w:semiHidden/>
    <w:rsid w:val="00B5753C"/>
    <w:rPr>
      <w:rFonts w:asciiTheme="majorHAnsi" w:hAnsiTheme="majorHAnsi"/>
      <w:b/>
      <w:bCs/>
      <w:lang w:eastAsia="en-US"/>
    </w:rPr>
  </w:style>
  <w:style w:type="paragraph" w:styleId="NormalWeb">
    <w:name w:val="Normal (Web)"/>
    <w:basedOn w:val="Normal"/>
    <w:uiPriority w:val="99"/>
    <w:semiHidden/>
    <w:unhideWhenUsed/>
    <w:rsid w:val="00B5753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B5753C"/>
  </w:style>
  <w:style w:type="character" w:styleId="FollowedHyperlink">
    <w:name w:val="FollowedHyperlink"/>
    <w:basedOn w:val="DefaultParagraphFont"/>
    <w:uiPriority w:val="99"/>
    <w:semiHidden/>
    <w:unhideWhenUsed/>
    <w:rsid w:val="00B5753C"/>
    <w:rPr>
      <w:color w:val="3F0D00" w:themeColor="followedHyperlink"/>
      <w:u w:val="single"/>
    </w:rPr>
  </w:style>
  <w:style w:type="character" w:styleId="UnresolvedMention">
    <w:name w:val="Unresolved Mention"/>
    <w:basedOn w:val="DefaultParagraphFont"/>
    <w:uiPriority w:val="99"/>
    <w:semiHidden/>
    <w:unhideWhenUsed/>
    <w:rsid w:val="00B5753C"/>
    <w:rPr>
      <w:color w:val="605E5C"/>
      <w:shd w:val="clear" w:color="auto" w:fill="E1DFDD"/>
    </w:rPr>
  </w:style>
  <w:style w:type="paragraph" w:customStyle="1" w:styleId="NormalBullets-L3">
    <w:name w:val="Normal Bullets - L3"/>
    <w:basedOn w:val="NormalBullets-L2"/>
    <w:qFormat/>
    <w:rsid w:val="00B5753C"/>
    <w:pPr>
      <w:numPr>
        <w:numId w:val="4"/>
      </w:numPr>
      <w:ind w:left="1134" w:hanging="357"/>
    </w:pPr>
  </w:style>
  <w:style w:type="paragraph" w:customStyle="1" w:styleId="NormalBullets-L1">
    <w:name w:val="Normal Bullets - L1"/>
    <w:basedOn w:val="Normal"/>
    <w:qFormat/>
    <w:rsid w:val="00B5753C"/>
    <w:pPr>
      <w:numPr>
        <w:numId w:val="2"/>
      </w:numPr>
      <w:spacing w:before="120" w:after="120" w:line="240" w:lineRule="auto"/>
      <w:textAlignment w:val="baseline"/>
    </w:pPr>
    <w:rPr>
      <w:rFonts w:ascii="Calibri Light" w:hAnsi="Calibri Light" w:cs="Calibri Light"/>
      <w:lang w:eastAsia="en-AU"/>
    </w:rPr>
  </w:style>
  <w:style w:type="table" w:styleId="PlainTable4">
    <w:name w:val="Plain Table 4"/>
    <w:basedOn w:val="TableNormal"/>
    <w:uiPriority w:val="44"/>
    <w:rsid w:val="00B575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ullets">
    <w:name w:val="Table Bullets"/>
    <w:basedOn w:val="NormalBullets-L1"/>
    <w:qFormat/>
    <w:rsid w:val="00B5753C"/>
    <w:pPr>
      <w:spacing w:before="0" w:after="0"/>
    </w:pPr>
  </w:style>
  <w:style w:type="paragraph" w:customStyle="1" w:styleId="Tablebullet">
    <w:name w:val="Table bullet"/>
    <w:basedOn w:val="NormalBullets-L1"/>
    <w:qFormat/>
    <w:rsid w:val="00B5753C"/>
    <w:pPr>
      <w:spacing w:after="0"/>
      <w:ind w:left="360"/>
    </w:pPr>
    <w:rPr>
      <w:sz w:val="20"/>
    </w:rPr>
  </w:style>
  <w:style w:type="table" w:customStyle="1" w:styleId="DFATPaddock">
    <w:name w:val="DFAT Paddock"/>
    <w:basedOn w:val="TableNormal"/>
    <w:uiPriority w:val="99"/>
    <w:rsid w:val="00B57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D6E8D2" w:themeFill="accent3" w:themeFillTint="33"/>
    </w:tcPr>
    <w:tblStylePr w:type="firstRow">
      <w:pPr>
        <w:jc w:val="left"/>
      </w:pPr>
      <w:rPr>
        <w:rFonts w:asciiTheme="minorHAnsi" w:hAnsiTheme="minorHAnsi"/>
        <w:color w:val="FFFFFF" w:themeColor="background1"/>
        <w:sz w:val="20"/>
      </w:rPr>
      <w:tblPr/>
      <w:trPr>
        <w:tblHeader/>
      </w:trPr>
      <w:tcPr>
        <w:shd w:val="clear" w:color="auto" w:fill="3A586E" w:themeFill="accent1"/>
      </w:tcPr>
    </w:tblStylePr>
  </w:style>
  <w:style w:type="table" w:customStyle="1" w:styleId="DFATWattle">
    <w:name w:val="DFAT Wattle"/>
    <w:basedOn w:val="DFATPaddock"/>
    <w:uiPriority w:val="99"/>
    <w:rsid w:val="00B5753C"/>
    <w:tblPr/>
    <w:tcPr>
      <w:shd w:val="clear" w:color="auto" w:fill="FBEED2" w:themeFill="accent4" w:themeFillTint="33"/>
    </w:tcPr>
    <w:tblStylePr w:type="firstRow">
      <w:pPr>
        <w:jc w:val="left"/>
      </w:pPr>
      <w:rPr>
        <w:rFonts w:asciiTheme="minorHAnsi" w:hAnsiTheme="minorHAnsi"/>
        <w:color w:val="FFFFFF" w:themeColor="background1"/>
        <w:sz w:val="20"/>
      </w:rPr>
      <w:tblPr/>
      <w:trPr>
        <w:tblHeader/>
      </w:trPr>
      <w:tcPr>
        <w:shd w:val="clear" w:color="auto" w:fill="3A586E" w:themeFill="accent1"/>
      </w:tcPr>
    </w:tblStylePr>
  </w:style>
  <w:style w:type="table" w:customStyle="1" w:styleId="DFATOchre">
    <w:name w:val="DFAT Ochre"/>
    <w:basedOn w:val="DFATWattle"/>
    <w:uiPriority w:val="99"/>
    <w:rsid w:val="00B5753C"/>
    <w:tblPr/>
    <w:tcPr>
      <w:shd w:val="clear" w:color="auto" w:fill="F0DBD4" w:themeFill="accent5" w:themeFillTint="33"/>
    </w:tcPr>
    <w:tblStylePr w:type="firstRow">
      <w:pPr>
        <w:jc w:val="left"/>
      </w:pPr>
      <w:rPr>
        <w:rFonts w:ascii="Calibri" w:hAnsi="Calibri"/>
        <w:b w:val="0"/>
        <w:color w:val="FFFFFF" w:themeColor="background1"/>
        <w:sz w:val="20"/>
      </w:rPr>
      <w:tblPr/>
      <w:trPr>
        <w:tblHeader/>
      </w:trPr>
      <w:tcPr>
        <w:shd w:val="clear" w:color="auto" w:fill="3A586E" w:themeFill="accent1"/>
      </w:tcPr>
    </w:tblStylePr>
  </w:style>
  <w:style w:type="table" w:customStyle="1" w:styleId="DFATBluegum">
    <w:name w:val="DFAT Bluegum"/>
    <w:basedOn w:val="DFATWattle"/>
    <w:uiPriority w:val="99"/>
    <w:rsid w:val="00B5753C"/>
    <w:tblPr/>
    <w:tcPr>
      <w:shd w:val="clear" w:color="auto" w:fill="D2DEE7" w:themeFill="accent1" w:themeFillTint="33"/>
    </w:tcPr>
    <w:tblStylePr w:type="firstRow">
      <w:pPr>
        <w:jc w:val="left"/>
      </w:pPr>
      <w:rPr>
        <w:rFonts w:asciiTheme="minorHAnsi" w:hAnsiTheme="minorHAnsi"/>
        <w:color w:val="FFFFFF" w:themeColor="background1"/>
        <w:sz w:val="20"/>
      </w:rPr>
      <w:tblPr/>
      <w:trPr>
        <w:tblHeader/>
      </w:trPr>
      <w:tcPr>
        <w:shd w:val="clear" w:color="auto" w:fill="3A586E" w:themeFill="accent1"/>
      </w:tcPr>
    </w:tblStylePr>
  </w:style>
  <w:style w:type="character" w:styleId="EndnoteReference">
    <w:name w:val="endnote reference"/>
    <w:basedOn w:val="DefaultParagraphFont"/>
    <w:uiPriority w:val="99"/>
    <w:semiHidden/>
    <w:unhideWhenUsed/>
    <w:rsid w:val="00B5753C"/>
    <w:rPr>
      <w:vertAlign w:val="superscript"/>
    </w:rPr>
  </w:style>
  <w:style w:type="paragraph" w:customStyle="1" w:styleId="BodyCopyBullets">
    <w:name w:val="Body Copy Bullets"/>
    <w:basedOn w:val="BodyCopy"/>
    <w:qFormat/>
    <w:rsid w:val="006E0B1A"/>
    <w:pPr>
      <w:ind w:left="360" w:hanging="360"/>
    </w:pPr>
  </w:style>
  <w:style w:type="character" w:customStyle="1" w:styleId="ListParagraphChar">
    <w:name w:val="List Paragraph Char"/>
    <w:aliases w:val="List Paragraph 1 Char,List Paragraph1 Char,Numbered Paragraph Char,Main numbered paragraph Char,List Paragraph (numbered (a)) Char,Bullet Char,Akapit z listą BS Char,NUMBERED PARAGRAPH Char,References Char,Bullets Char,Bullet1 Char"/>
    <w:basedOn w:val="DefaultParagraphFont"/>
    <w:link w:val="ListParagraph"/>
    <w:uiPriority w:val="34"/>
    <w:qFormat/>
    <w:rsid w:val="006E0B1A"/>
    <w:rPr>
      <w:rFonts w:asciiTheme="majorHAnsi" w:hAnsiTheme="majorHAnsi"/>
      <w:sz w:val="22"/>
      <w:szCs w:val="22"/>
      <w:lang w:eastAsia="en-US"/>
    </w:rPr>
  </w:style>
  <w:style w:type="paragraph" w:styleId="EndnoteText">
    <w:name w:val="endnote text"/>
    <w:basedOn w:val="Normal"/>
    <w:link w:val="EndnoteTextChar"/>
    <w:uiPriority w:val="99"/>
    <w:unhideWhenUsed/>
    <w:rsid w:val="00B5753C"/>
    <w:pPr>
      <w:spacing w:before="0" w:after="0" w:line="240" w:lineRule="auto"/>
    </w:pPr>
    <w:rPr>
      <w:sz w:val="20"/>
      <w:szCs w:val="20"/>
    </w:rPr>
  </w:style>
  <w:style w:type="character" w:customStyle="1" w:styleId="EndnoteTextChar">
    <w:name w:val="Endnote Text Char"/>
    <w:basedOn w:val="DefaultParagraphFont"/>
    <w:link w:val="EndnoteText"/>
    <w:uiPriority w:val="99"/>
    <w:rsid w:val="00B5753C"/>
    <w:rPr>
      <w:rFonts w:asciiTheme="majorHAnsi" w:hAnsiTheme="majorHAnsi"/>
      <w:lang w:eastAsia="en-US"/>
    </w:rPr>
  </w:style>
  <w:style w:type="character" w:customStyle="1" w:styleId="cf01">
    <w:name w:val="cf01"/>
    <w:basedOn w:val="DefaultParagraphFont"/>
    <w:rsid w:val="00F95B6C"/>
    <w:rPr>
      <w:rFonts w:ascii="Segoe UI" w:hAnsi="Segoe UI" w:cs="Segoe UI" w:hint="default"/>
      <w:sz w:val="18"/>
      <w:szCs w:val="18"/>
    </w:rPr>
  </w:style>
  <w:style w:type="character" w:styleId="Strong">
    <w:name w:val="Strong"/>
    <w:aliases w:val="Introduction"/>
    <w:basedOn w:val="DefaultParagraphFont"/>
    <w:uiPriority w:val="22"/>
    <w:qFormat/>
    <w:rsid w:val="00F81BDD"/>
    <w:rPr>
      <w:rFonts w:asciiTheme="minorHAnsi" w:hAnsiTheme="minorHAnsi"/>
      <w:b/>
      <w:bCs/>
    </w:rPr>
  </w:style>
  <w:style w:type="paragraph" w:customStyle="1" w:styleId="paragraph">
    <w:name w:val="paragraph"/>
    <w:basedOn w:val="Normal"/>
    <w:rsid w:val="00FD6351"/>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476EE8"/>
  </w:style>
  <w:style w:type="paragraph" w:styleId="FootnoteText">
    <w:name w:val="footnote text"/>
    <w:basedOn w:val="Normal"/>
    <w:link w:val="FootnoteTextChar"/>
    <w:uiPriority w:val="99"/>
    <w:semiHidden/>
    <w:unhideWhenUsed/>
    <w:rsid w:val="00B5753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5753C"/>
    <w:rPr>
      <w:rFonts w:asciiTheme="majorHAnsi" w:hAnsiTheme="majorHAnsi"/>
      <w:lang w:eastAsia="en-US"/>
    </w:rPr>
  </w:style>
  <w:style w:type="character" w:styleId="FootnoteReference">
    <w:name w:val="footnote reference"/>
    <w:basedOn w:val="DefaultParagraphFont"/>
    <w:uiPriority w:val="99"/>
    <w:semiHidden/>
    <w:unhideWhenUsed/>
    <w:rsid w:val="00B5753C"/>
    <w:rPr>
      <w:vertAlign w:val="superscript"/>
    </w:rPr>
  </w:style>
  <w:style w:type="paragraph" w:customStyle="1" w:styleId="Tabletitle">
    <w:name w:val="Table title"/>
    <w:basedOn w:val="H4-Heading4"/>
    <w:link w:val="TabletitleChar"/>
    <w:qFormat/>
    <w:rsid w:val="00B5753C"/>
    <w:pPr>
      <w:spacing w:line="240" w:lineRule="auto"/>
      <w:outlineLvl w:val="9"/>
    </w:pPr>
    <w:rPr>
      <w:rFonts w:eastAsia="Times New Roman"/>
      <w:lang w:eastAsia="en-AU"/>
    </w:rPr>
  </w:style>
  <w:style w:type="character" w:customStyle="1" w:styleId="H4-Heading4Char">
    <w:name w:val="H4 - Heading 4 Char"/>
    <w:basedOn w:val="Heading4Char"/>
    <w:link w:val="H4-Heading4"/>
    <w:rsid w:val="00E219CD"/>
    <w:rPr>
      <w:rFonts w:asciiTheme="majorHAnsi" w:eastAsiaTheme="majorEastAsia" w:hAnsiTheme="majorHAnsi" w:cstheme="minorHAnsi"/>
      <w:b/>
      <w:bCs/>
      <w:i w:val="0"/>
      <w:iCs/>
      <w:color w:val="2B4152" w:themeColor="accent1" w:themeShade="BF"/>
      <w:sz w:val="24"/>
      <w:szCs w:val="24"/>
      <w:lang w:eastAsia="en-US"/>
    </w:rPr>
  </w:style>
  <w:style w:type="character" w:customStyle="1" w:styleId="TabletitleChar">
    <w:name w:val="Table title Char"/>
    <w:basedOn w:val="H4-Heading4Char"/>
    <w:link w:val="Tabletitle"/>
    <w:rsid w:val="00567206"/>
    <w:rPr>
      <w:rFonts w:asciiTheme="majorHAnsi" w:eastAsia="Times New Roman" w:hAnsiTheme="majorHAnsi" w:cstheme="minorHAnsi"/>
      <w:b/>
      <w:bCs/>
      <w:i w:val="0"/>
      <w:iCs/>
      <w:color w:val="2B4152" w:themeColor="accent1" w:themeShade="BF"/>
      <w:sz w:val="24"/>
      <w:szCs w:val="24"/>
      <w:lang w:eastAsia="en-US"/>
    </w:rPr>
  </w:style>
  <w:style w:type="paragraph" w:customStyle="1" w:styleId="Tablenote">
    <w:name w:val="Table note"/>
    <w:basedOn w:val="Normal"/>
    <w:qFormat/>
    <w:rsid w:val="00B5753C"/>
    <w:pPr>
      <w:tabs>
        <w:tab w:val="left" w:pos="284"/>
      </w:tabs>
      <w:ind w:left="284" w:hanging="284"/>
    </w:pPr>
    <w:rPr>
      <w:sz w:val="18"/>
      <w:szCs w:val="18"/>
    </w:rPr>
  </w:style>
  <w:style w:type="paragraph" w:customStyle="1" w:styleId="Endnotes">
    <w:name w:val="Endnotes"/>
    <w:basedOn w:val="EndnoteText"/>
    <w:qFormat/>
    <w:rsid w:val="00B5753C"/>
  </w:style>
  <w:style w:type="paragraph" w:customStyle="1" w:styleId="Waysofworkinghead">
    <w:name w:val="Ways of working head"/>
    <w:basedOn w:val="Normal"/>
    <w:qFormat/>
    <w:rsid w:val="00B5753C"/>
    <w:rPr>
      <w:b/>
      <w:bCs/>
      <w:lang w:eastAsia="en-AU"/>
    </w:rPr>
  </w:style>
  <w:style w:type="paragraph" w:customStyle="1" w:styleId="Table1goalhead">
    <w:name w:val="Table 1 goal head"/>
    <w:basedOn w:val="Normal"/>
    <w:qFormat/>
    <w:rsid w:val="00B5753C"/>
    <w:rPr>
      <w:b/>
      <w:bCs/>
      <w:lang w:eastAsia="en-AU"/>
    </w:rPr>
  </w:style>
  <w:style w:type="paragraph" w:customStyle="1" w:styleId="Table1col1head">
    <w:name w:val="Table 1 col 1 head"/>
    <w:basedOn w:val="TableBodyCopy"/>
    <w:qFormat/>
    <w:rsid w:val="00B5753C"/>
    <w:rPr>
      <w:rFonts w:eastAsia="Times New Roman" w:cs="Calibri"/>
      <w:bCs/>
      <w:color w:val="FFFFFF" w:themeColor="background1"/>
      <w:lang w:eastAsia="en-AU"/>
    </w:rPr>
  </w:style>
  <w:style w:type="paragraph" w:customStyle="1" w:styleId="TableBodyCopybold">
    <w:name w:val="Table Body Copy bold"/>
    <w:basedOn w:val="TableBodyCopy"/>
    <w:qFormat/>
    <w:rsid w:val="00B5753C"/>
    <w:rPr>
      <w:b/>
      <w:bCs/>
    </w:rPr>
  </w:style>
  <w:style w:type="paragraph" w:customStyle="1" w:styleId="PAFobjectivehead">
    <w:name w:val="PAF objective head"/>
    <w:basedOn w:val="Normal"/>
    <w:qFormat/>
    <w:rsid w:val="00B5753C"/>
    <w:pPr>
      <w:keepNext/>
    </w:pPr>
    <w:rPr>
      <w:b/>
      <w:bCs/>
      <w:lang w:eastAsia="en-AU"/>
    </w:rPr>
  </w:style>
  <w:style w:type="paragraph" w:customStyle="1" w:styleId="cover-countries">
    <w:name w:val="cover - countries"/>
    <w:basedOn w:val="H1-Heading1"/>
    <w:qFormat/>
    <w:rsid w:val="00B5753C"/>
    <w:pPr>
      <w:spacing w:before="10400"/>
      <w:ind w:left="1701"/>
    </w:pPr>
  </w:style>
  <w:style w:type="paragraph" w:customStyle="1" w:styleId="cover-DPPandyears">
    <w:name w:val="cover - DPP and years"/>
    <w:basedOn w:val="H1-Heading1"/>
    <w:qFormat/>
    <w:rsid w:val="00B5753C"/>
    <w:pPr>
      <w:keepNext w:val="0"/>
      <w:keepLines w:val="0"/>
      <w:ind w:left="1701"/>
    </w:pPr>
    <w:rPr>
      <w:b w:val="0"/>
      <w:bCs w:val="0"/>
    </w:rPr>
  </w:style>
  <w:style w:type="paragraph" w:customStyle="1" w:styleId="endnotespacer">
    <w:name w:val="endnote spacer"/>
    <w:basedOn w:val="Normal"/>
    <w:qFormat/>
    <w:rsid w:val="00B5753C"/>
    <w:pPr>
      <w:spacing w:after="0" w:line="240" w:lineRule="auto"/>
    </w:pPr>
    <w:rPr>
      <w:sz w:val="2"/>
      <w:szCs w:val="2"/>
    </w:rPr>
  </w:style>
  <w:style w:type="paragraph" w:customStyle="1" w:styleId="H3-Heading3inbox">
    <w:name w:val="H3 - Heading 3 in box"/>
    <w:basedOn w:val="H3-Heading3"/>
    <w:qFormat/>
    <w:rsid w:val="00B5753C"/>
    <w:pPr>
      <w:pBdr>
        <w:top w:val="single" w:sz="4" w:space="1" w:color="auto"/>
        <w:left w:val="single" w:sz="4" w:space="1" w:color="auto"/>
        <w:bottom w:val="single" w:sz="4" w:space="1" w:color="auto"/>
        <w:right w:val="single" w:sz="4" w:space="1" w:color="auto"/>
      </w:pBdr>
    </w:pPr>
  </w:style>
  <w:style w:type="paragraph" w:customStyle="1" w:styleId="Normalinbox">
    <w:name w:val="Normal in box"/>
    <w:basedOn w:val="Normal"/>
    <w:qFormat/>
    <w:rsid w:val="00B5753C"/>
    <w:pPr>
      <w:pBdr>
        <w:top w:val="single" w:sz="4" w:space="1" w:color="auto"/>
        <w:left w:val="single" w:sz="4" w:space="1" w:color="auto"/>
        <w:bottom w:val="single" w:sz="4" w:space="1" w:color="auto"/>
        <w:right w:val="single" w:sz="4" w:space="1" w:color="auto"/>
      </w:pBdr>
    </w:pPr>
  </w:style>
  <w:style w:type="paragraph" w:customStyle="1" w:styleId="Coverphotocreditshead">
    <w:name w:val="Cover photo credits head"/>
    <w:basedOn w:val="H2-Heading2"/>
    <w:qFormat/>
    <w:rsid w:val="00B5753C"/>
    <w:pPr>
      <w:pageBreakBefore w:val="0"/>
    </w:pPr>
    <w:rPr>
      <w:lang w:eastAsia="en-AU"/>
    </w:rPr>
  </w:style>
  <w:style w:type="paragraph" w:customStyle="1" w:styleId="blockquote">
    <w:name w:val="block quote"/>
    <w:basedOn w:val="Normal"/>
    <w:qFormat/>
    <w:rsid w:val="00B5753C"/>
    <w:pPr>
      <w:ind w:left="720" w:right="720"/>
    </w:pPr>
    <w:rPr>
      <w:lang w:eastAsia="en-AU"/>
    </w:rPr>
  </w:style>
  <w:style w:type="character" w:customStyle="1" w:styleId="tablehyperlink">
    <w:name w:val="table hyperlink"/>
    <w:basedOn w:val="DefaultParagraphFont"/>
    <w:uiPriority w:val="1"/>
    <w:qFormat/>
    <w:rsid w:val="00B5753C"/>
    <w:rPr>
      <w:color w:val="auto"/>
      <w:u w:val="singl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0571">
      <w:bodyDiv w:val="1"/>
      <w:marLeft w:val="0"/>
      <w:marRight w:val="0"/>
      <w:marTop w:val="0"/>
      <w:marBottom w:val="0"/>
      <w:divBdr>
        <w:top w:val="none" w:sz="0" w:space="0" w:color="auto"/>
        <w:left w:val="none" w:sz="0" w:space="0" w:color="auto"/>
        <w:bottom w:val="none" w:sz="0" w:space="0" w:color="auto"/>
        <w:right w:val="none" w:sz="0" w:space="0" w:color="auto"/>
      </w:divBdr>
    </w:div>
    <w:div w:id="137769577">
      <w:bodyDiv w:val="1"/>
      <w:marLeft w:val="0"/>
      <w:marRight w:val="0"/>
      <w:marTop w:val="0"/>
      <w:marBottom w:val="0"/>
      <w:divBdr>
        <w:top w:val="none" w:sz="0" w:space="0" w:color="auto"/>
        <w:left w:val="none" w:sz="0" w:space="0" w:color="auto"/>
        <w:bottom w:val="none" w:sz="0" w:space="0" w:color="auto"/>
        <w:right w:val="none" w:sz="0" w:space="0" w:color="auto"/>
      </w:divBdr>
    </w:div>
    <w:div w:id="313803886">
      <w:bodyDiv w:val="1"/>
      <w:marLeft w:val="0"/>
      <w:marRight w:val="0"/>
      <w:marTop w:val="0"/>
      <w:marBottom w:val="0"/>
      <w:divBdr>
        <w:top w:val="none" w:sz="0" w:space="0" w:color="auto"/>
        <w:left w:val="none" w:sz="0" w:space="0" w:color="auto"/>
        <w:bottom w:val="none" w:sz="0" w:space="0" w:color="auto"/>
        <w:right w:val="none" w:sz="0" w:space="0" w:color="auto"/>
      </w:divBdr>
    </w:div>
    <w:div w:id="376702119">
      <w:bodyDiv w:val="1"/>
      <w:marLeft w:val="0"/>
      <w:marRight w:val="0"/>
      <w:marTop w:val="0"/>
      <w:marBottom w:val="0"/>
      <w:divBdr>
        <w:top w:val="none" w:sz="0" w:space="0" w:color="auto"/>
        <w:left w:val="none" w:sz="0" w:space="0" w:color="auto"/>
        <w:bottom w:val="none" w:sz="0" w:space="0" w:color="auto"/>
        <w:right w:val="none" w:sz="0" w:space="0" w:color="auto"/>
      </w:divBdr>
    </w:div>
    <w:div w:id="641934577">
      <w:bodyDiv w:val="1"/>
      <w:marLeft w:val="0"/>
      <w:marRight w:val="0"/>
      <w:marTop w:val="0"/>
      <w:marBottom w:val="0"/>
      <w:divBdr>
        <w:top w:val="none" w:sz="0" w:space="0" w:color="auto"/>
        <w:left w:val="none" w:sz="0" w:space="0" w:color="auto"/>
        <w:bottom w:val="none" w:sz="0" w:space="0" w:color="auto"/>
        <w:right w:val="none" w:sz="0" w:space="0" w:color="auto"/>
      </w:divBdr>
    </w:div>
    <w:div w:id="678431080">
      <w:bodyDiv w:val="1"/>
      <w:marLeft w:val="0"/>
      <w:marRight w:val="0"/>
      <w:marTop w:val="0"/>
      <w:marBottom w:val="0"/>
      <w:divBdr>
        <w:top w:val="none" w:sz="0" w:space="0" w:color="auto"/>
        <w:left w:val="none" w:sz="0" w:space="0" w:color="auto"/>
        <w:bottom w:val="none" w:sz="0" w:space="0" w:color="auto"/>
        <w:right w:val="none" w:sz="0" w:space="0" w:color="auto"/>
      </w:divBdr>
    </w:div>
    <w:div w:id="1051660355">
      <w:bodyDiv w:val="1"/>
      <w:marLeft w:val="0"/>
      <w:marRight w:val="0"/>
      <w:marTop w:val="0"/>
      <w:marBottom w:val="0"/>
      <w:divBdr>
        <w:top w:val="none" w:sz="0" w:space="0" w:color="auto"/>
        <w:left w:val="none" w:sz="0" w:space="0" w:color="auto"/>
        <w:bottom w:val="none" w:sz="0" w:space="0" w:color="auto"/>
        <w:right w:val="none" w:sz="0" w:space="0" w:color="auto"/>
      </w:divBdr>
    </w:div>
    <w:div w:id="1070419503">
      <w:bodyDiv w:val="1"/>
      <w:marLeft w:val="0"/>
      <w:marRight w:val="0"/>
      <w:marTop w:val="0"/>
      <w:marBottom w:val="0"/>
      <w:divBdr>
        <w:top w:val="none" w:sz="0" w:space="0" w:color="auto"/>
        <w:left w:val="none" w:sz="0" w:space="0" w:color="auto"/>
        <w:bottom w:val="none" w:sz="0" w:space="0" w:color="auto"/>
        <w:right w:val="none" w:sz="0" w:space="0" w:color="auto"/>
      </w:divBdr>
    </w:div>
    <w:div w:id="1091464313">
      <w:bodyDiv w:val="1"/>
      <w:marLeft w:val="0"/>
      <w:marRight w:val="0"/>
      <w:marTop w:val="0"/>
      <w:marBottom w:val="0"/>
      <w:divBdr>
        <w:top w:val="none" w:sz="0" w:space="0" w:color="auto"/>
        <w:left w:val="none" w:sz="0" w:space="0" w:color="auto"/>
        <w:bottom w:val="none" w:sz="0" w:space="0" w:color="auto"/>
        <w:right w:val="none" w:sz="0" w:space="0" w:color="auto"/>
      </w:divBdr>
    </w:div>
    <w:div w:id="1116874546">
      <w:bodyDiv w:val="1"/>
      <w:marLeft w:val="0"/>
      <w:marRight w:val="0"/>
      <w:marTop w:val="0"/>
      <w:marBottom w:val="0"/>
      <w:divBdr>
        <w:top w:val="none" w:sz="0" w:space="0" w:color="auto"/>
        <w:left w:val="none" w:sz="0" w:space="0" w:color="auto"/>
        <w:bottom w:val="none" w:sz="0" w:space="0" w:color="auto"/>
        <w:right w:val="none" w:sz="0" w:space="0" w:color="auto"/>
      </w:divBdr>
    </w:div>
    <w:div w:id="1120221786">
      <w:bodyDiv w:val="1"/>
      <w:marLeft w:val="0"/>
      <w:marRight w:val="0"/>
      <w:marTop w:val="0"/>
      <w:marBottom w:val="0"/>
      <w:divBdr>
        <w:top w:val="none" w:sz="0" w:space="0" w:color="auto"/>
        <w:left w:val="none" w:sz="0" w:space="0" w:color="auto"/>
        <w:bottom w:val="none" w:sz="0" w:space="0" w:color="auto"/>
        <w:right w:val="none" w:sz="0" w:space="0" w:color="auto"/>
      </w:divBdr>
    </w:div>
    <w:div w:id="165957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logs.worldbank.org/endpovertyinsouthasia/eastern-waterways-grid-benefit-bangladesh-bhutan-india-and-nep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publications/development/australias-international-development-policy" TargetMode="External"/><Relationship Id="rId22" Type="http://schemas.openxmlformats.org/officeDocument/2006/relationships/footer" Target="footer4.xml"/></Relationships>
</file>

<file path=word/_rels/endnotes.xml.rels><?xml version="1.0" encoding="UTF-8" standalone="yes"?>
<Relationships xmlns="http://schemas.openxmlformats.org/package/2006/relationships"><Relationship Id="rId8" Type="http://schemas.openxmlformats.org/officeDocument/2006/relationships/hyperlink" Target="https://www.adb.org/sites/default/files/publication/758581/adbi-brief-women-economic-empowerment.pdf" TargetMode="External"/><Relationship Id="rId3" Type="http://schemas.openxmlformats.org/officeDocument/2006/relationships/hyperlink" Target="https://hdr.undp.org/content/2023-global-multidimensional-poverty-index-mpi" TargetMode="External"/><Relationship Id="rId7" Type="http://schemas.openxmlformats.org/officeDocument/2006/relationships/hyperlink" Target="https://www.ilo.org/sites/default/files/wcmsp5/groups/public/@dgreports/@dcomm/@publ/documents/publication/wcms_650553.pdf" TargetMode="External"/><Relationship Id="rId2" Type="http://schemas.openxmlformats.org/officeDocument/2006/relationships/hyperlink" Target="https://www.undp.org/sites/g/files/zskgke326/files/2023-11/undp_regional_human_development_report_web_final20nov.pdf" TargetMode="External"/><Relationship Id="rId1" Type="http://schemas.openxmlformats.org/officeDocument/2006/relationships/hyperlink" Target="https://www.worldbank.org/en/news/press-release/2023/10/03/world-bank-expects-solid-growth-but-risky-outlook-for-south-asia" TargetMode="External"/><Relationship Id="rId6" Type="http://schemas.openxmlformats.org/officeDocument/2006/relationships/hyperlink" Target="https://openknowledge.worldbank.org/entities/publication/8a6180ce-4e60-5ec2-b869-74cfaad0dbb1" TargetMode="External"/><Relationship Id="rId5" Type="http://schemas.openxmlformats.org/officeDocument/2006/relationships/hyperlink" Target="https://openknowledge.worldbank.org/server/api/core/bitstreams/9f3f97ac-4007-5b30-9b2d-f1d1070c16b7/content" TargetMode="External"/><Relationship Id="rId4" Type="http://schemas.openxmlformats.org/officeDocument/2006/relationships/hyperlink" Target="https://www.unescap.org/kp/2023/asia-and-pacific-sdg-progress-report-2023" TargetMode="External"/><Relationship Id="rId9" Type="http://schemas.openxmlformats.org/officeDocument/2006/relationships/hyperlink" Target="https://blogs.worldbank.org/en/endpovertyinsouthasia/standing-fight-gender-based-violence-south-as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yBrooks\Downloads\DPP%20Template%20(29Oct24).dotx" TargetMode="External"/></Relationships>
</file>

<file path=word/theme/theme1.xml><?xml version="1.0" encoding="utf-8"?>
<a:theme xmlns:a="http://schemas.openxmlformats.org/drawingml/2006/main" name="Office Theme">
  <a:themeElements>
    <a:clrScheme name="DFAT">
      <a:dk1>
        <a:sysClr val="windowText" lastClr="000000"/>
      </a:dk1>
      <a:lt1>
        <a:sysClr val="window" lastClr="FFFFFF"/>
      </a:lt1>
      <a:dk2>
        <a:srgbClr val="313E48"/>
      </a:dk2>
      <a:lt2>
        <a:srgbClr val="CFD3D3"/>
      </a:lt2>
      <a:accent1>
        <a:srgbClr val="3A586E"/>
      </a:accent1>
      <a:accent2>
        <a:srgbClr val="00837C"/>
      </a:accent2>
      <a:accent3>
        <a:srgbClr val="47763B"/>
      </a:accent3>
      <a:accent4>
        <a:srgbClr val="EBAB21"/>
      </a:accent4>
      <a:accent5>
        <a:srgbClr val="AA5739"/>
      </a:accent5>
      <a:accent6>
        <a:srgbClr val="065157"/>
      </a:accent6>
      <a:hlink>
        <a:srgbClr val="014429"/>
      </a:hlink>
      <a:folHlink>
        <a:srgbClr val="3F0D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cb967e-e368-459f-bd3b-2622d980acd3">
      <UserInfo>
        <DisplayName>SharingLinks.8a07a1ad-5033-43e0-851f-67ac5634f29f.Flexible.e36b3f33-0de6-4e56-bba6-5ed7fb39907f</DisplayName>
        <AccountId>19</AccountId>
        <AccountType/>
      </UserInfo>
      <UserInfo>
        <DisplayName>SharingLinks.8a07a1ad-5033-43e0-851f-67ac5634f29f.OrganizationEdit.7120a5b5-3633-40cd-b7e2-4f5f18f2cb01</DisplayName>
        <AccountId>15</AccountId>
        <AccountType/>
      </UserInfo>
      <UserInfo>
        <DisplayName>Limited Access System Group For List 78d0bf03-9cf1-435a-9150-bb1741ef4aca</DisplayName>
        <AccountId>13</AccountId>
        <AccountType/>
      </UserInfo>
      <UserInfo>
        <DisplayName>Sophie Mackinnon</DisplayName>
        <AccountId>16</AccountId>
        <AccountType/>
      </UserInfo>
      <UserInfo>
        <DisplayName>SharingLinks.8a07a1ad-5033-43e0-851f-67ac5634f29f.Flexible.3cb59b23-f527-4274-9e26-c9e7e58a74b3</DisplayName>
        <AccountId>20</AccountId>
        <AccountType/>
      </UserInfo>
      <UserInfo>
        <DisplayName>Sarah Wadley</DisplayName>
        <AccountId>128</AccountId>
        <AccountType/>
      </UserInfo>
      <UserInfo>
        <DisplayName>Jodie Loveridge</DisplayName>
        <AccountId>291</AccountId>
        <AccountType/>
      </UserInfo>
    </SharedWithUsers>
    <lcf76f155ced4ddcb4097134ff3c332f xmlns="75dce9f9-6715-4647-8556-fcd081c642c6">
      <Terms xmlns="http://schemas.microsoft.com/office/infopath/2007/PartnerControls"/>
    </lcf76f155ced4ddcb4097134ff3c332f>
    <Primarycategory xmlns="75dce9f9-6715-4647-8556-fcd081c642c6" xsi:nil="true"/>
    <Notes xmlns="75dce9f9-6715-4647-8556-fcd081c642c6" xsi:nil="true"/>
    <test xmlns="75dce9f9-6715-4647-8556-fcd081c642c6" xsi:nil="true"/>
    <TaxCatchAll xmlns="88cb967e-e368-459f-bd3b-2622d980acd3" xsi:nil="true"/>
    <Status xmlns="75dce9f9-6715-4647-8556-fcd081c642c6" xsi:nil="true"/>
    <preview xmlns="75dce9f9-6715-4647-8556-fcd081c642c6" xsi:nil="true"/>
    <Position xmlns="75dce9f9-6715-4647-8556-fcd081c642c6" xsi:nil="true"/>
    <Thumbnail xmlns="75dce9f9-6715-4647-8556-fcd081c642c6">
      <Url xsi:nil="true"/>
      <Description xsi:nil="true"/>
    </Thumbnail>
    <Secondarycategories xmlns="75dce9f9-6715-4647-8556-fcd081c642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95374828D36A48A96E45ACD382C0A1" ma:contentTypeVersion="26" ma:contentTypeDescription="Create a new document." ma:contentTypeScope="" ma:versionID="95578961abe003ac14e83df829e80adb">
  <xsd:schema xmlns:xsd="http://www.w3.org/2001/XMLSchema" xmlns:xs="http://www.w3.org/2001/XMLSchema" xmlns:p="http://schemas.microsoft.com/office/2006/metadata/properties" xmlns:ns1="75dce9f9-6715-4647-8556-fcd081c642c6" xmlns:ns3="88cb967e-e368-459f-bd3b-2622d980acd3" targetNamespace="http://schemas.microsoft.com/office/2006/metadata/properties" ma:root="true" ma:fieldsID="c59cf04d1b07c8047f852a94dc6aa353" ns1:_="" ns3:_="">
    <xsd:import namespace="75dce9f9-6715-4647-8556-fcd081c642c6"/>
    <xsd:import namespace="88cb967e-e368-459f-bd3b-2622d980acd3"/>
    <xsd:element name="properties">
      <xsd:complexType>
        <xsd:sequence>
          <xsd:element name="documentManagement">
            <xsd:complexType>
              <xsd:all>
                <xsd:element ref="ns1:Position" minOccurs="0"/>
                <xsd:element ref="ns1:Notes" minOccurs="0"/>
                <xsd:element ref="ns1:preview" minOccurs="0"/>
                <xsd:element ref="ns1:Thumbnail" minOccurs="0"/>
                <xsd:element ref="ns1:test" minOccurs="0"/>
                <xsd:element ref="ns1:lcf76f155ced4ddcb4097134ff3c332f" minOccurs="0"/>
                <xsd:element ref="ns3:TaxCatchAll" minOccurs="0"/>
                <xsd:element ref="ns1:MediaServiceMetadata" minOccurs="0"/>
                <xsd:element ref="ns1:MediaServiceFastMetadata" minOccurs="0"/>
                <xsd:element ref="ns1:MediaServiceObjectDetectorVersions" minOccurs="0"/>
                <xsd:element ref="ns1:MediaServiceOCR" minOccurs="0"/>
                <xsd:element ref="ns1:MediaServiceGenerationTime" minOccurs="0"/>
                <xsd:element ref="ns1:MediaServiceEventHashCode" minOccurs="0"/>
                <xsd:element ref="ns1:MediaServiceDateTaken" minOccurs="0"/>
                <xsd:element ref="ns1:MediaLengthInSeconds" minOccurs="0"/>
                <xsd:element ref="ns1:MediaServiceLocation" minOccurs="0"/>
                <xsd:element ref="ns3:SharedWithUsers" minOccurs="0"/>
                <xsd:element ref="ns3:SharedWithDetails" minOccurs="0"/>
                <xsd:element ref="ns1:Status" minOccurs="0"/>
                <xsd:element ref="ns1:Primarycategory" minOccurs="0"/>
                <xsd:element ref="ns1:Secondarycategorie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e9f9-6715-4647-8556-fcd081c642c6" elementFormDefault="qualified">
    <xsd:import namespace="http://schemas.microsoft.com/office/2006/documentManagement/types"/>
    <xsd:import namespace="http://schemas.microsoft.com/office/infopath/2007/PartnerControls"/>
    <xsd:element name="Position" ma:index="0" nillable="true" ma:displayName="Ordered" ma:format="Dropdown" ma:indexed="true" ma:internalName="Position" ma:percentage="FALSE">
      <xsd:simpleType>
        <xsd:restriction base="dms:Number"/>
      </xsd:simpleType>
    </xsd:element>
    <xsd:element name="Notes" ma:index="4" nillable="true" ma:displayName="Notes" ma:description="Add notes on template uses and style revisions" ma:format="Dropdown" ma:internalName="Notes">
      <xsd:simpleType>
        <xsd:restriction base="dms:Note">
          <xsd:maxLength value="255"/>
        </xsd:restriction>
      </xsd:simpleType>
    </xsd:element>
    <xsd:element name="preview" ma:index="5" nillable="true" ma:displayName="preview" ma:format="Thumbnail" ma:internalName="preview">
      <xsd:simpleType>
        <xsd:restriction base="dms:Unknown"/>
      </xsd:simpleType>
    </xsd:element>
    <xsd:element name="Thumbnail" ma:index="6" nillable="true" ma:displayName="Thumbnail" ma:format="Hyperlink"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test" ma:index="7" nillable="true" ma:displayName="test" ma:format="Dropdown" ma:internalName="test">
      <xsd:simpleType>
        <xsd:restriction base="dms:Text">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72de0ef0-cf2a-4193-9bb7-524e096b32cc"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tatus" ma:index="27" nillable="true" ma:displayName="Quote no" ma:format="Dropdown" ma:internalName="Status">
      <xsd:simpleType>
        <xsd:restriction base="dms:Text">
          <xsd:maxLength value="255"/>
        </xsd:restriction>
      </xsd:simpleType>
    </xsd:element>
    <xsd:element name="Primarycategory" ma:index="28" nillable="true" ma:displayName="Primary category" ma:format="Dropdown" ma:internalName="Primarycategory">
      <xsd:simpleType>
        <xsd:restriction base="dms:Choice">
          <xsd:enumeration value="Health"/>
          <xsd:enumeration value="Environment"/>
          <xsd:enumeration value="Other"/>
        </xsd:restriction>
      </xsd:simpleType>
    </xsd:element>
    <xsd:element name="Secondarycategories" ma:index="29" nillable="true" ma:displayName="Secondary categories" ma:format="Dropdown" ma:internalName="Secondarycategories">
      <xsd:complexType>
        <xsd:complexContent>
          <xsd:extension base="dms:MultiChoice">
            <xsd:sequence>
              <xsd:element name="Value" maxOccurs="unbounded" minOccurs="0" nillable="true">
                <xsd:simpleType>
                  <xsd:restriction base="dms:Choice">
                    <xsd:enumeration value="Cancer"/>
                    <xsd:enumeration value="Agriculture"/>
                    <xsd:enumeration value="Climate"/>
                    <xsd:enumeration value="Water"/>
                    <xsd:enumeration value="Policy"/>
                    <xsd:enumeration value="Immunisation"/>
                    <xsd:enumeration value="Other health"/>
                    <xsd:enumeration value="Other environment"/>
                    <xsd:enumeration value="Other science"/>
                  </xsd:restriction>
                </xsd:simpleType>
              </xsd:element>
            </xsd:sequence>
          </xsd:extension>
        </xsd:complexContent>
      </xsd:complex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b967e-e368-459f-bd3b-2622d980acd3"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9bdcca8-ce9c-4d85-bba2-bc3a92d54307}" ma:internalName="TaxCatchAll" ma:showField="CatchAllData" ma:web="88cb967e-e368-459f-bd3b-2622d980ac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E663C-3A3A-40A7-879E-346B571DBDA2}">
  <ds:schemaRefs>
    <ds:schemaRef ds:uri="http://schemas.microsoft.com/office/2006/metadata/properties"/>
    <ds:schemaRef ds:uri="http://schemas.microsoft.com/office/infopath/2007/PartnerControls"/>
    <ds:schemaRef ds:uri="88cb967e-e368-459f-bd3b-2622d980acd3"/>
    <ds:schemaRef ds:uri="75dce9f9-6715-4647-8556-fcd081c642c6"/>
  </ds:schemaRefs>
</ds:datastoreItem>
</file>

<file path=customXml/itemProps2.xml><?xml version="1.0" encoding="utf-8"?>
<ds:datastoreItem xmlns:ds="http://schemas.openxmlformats.org/officeDocument/2006/customXml" ds:itemID="{A2CE415D-6A0E-4DFB-93B9-5F441FB6A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e9f9-6715-4647-8556-fcd081c642c6"/>
    <ds:schemaRef ds:uri="88cb967e-e368-459f-bd3b-2622d980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647C1-08AA-4C19-B41D-191DCACFB0D7}">
  <ds:schemaRefs>
    <ds:schemaRef ds:uri="http://schemas.microsoft.com/sharepoint/v3/contenttype/forms"/>
  </ds:schemaRefs>
</ds:datastoreItem>
</file>

<file path=customXml/itemProps4.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DPP Template (29Oct24).dotx</Template>
  <TotalTime>1</TotalTime>
  <Pages>21</Pages>
  <Words>5850</Words>
  <Characters>36511</Characters>
  <Application>Microsoft Office Word</Application>
  <DocSecurity>0</DocSecurity>
  <Lines>936</Lines>
  <Paragraphs>419</Paragraphs>
  <ScaleCrop>false</ScaleCrop>
  <HeadingPairs>
    <vt:vector size="2" baseType="variant">
      <vt:variant>
        <vt:lpstr>Title</vt:lpstr>
      </vt:variant>
      <vt:variant>
        <vt:i4>1</vt:i4>
      </vt:variant>
    </vt:vector>
  </HeadingPairs>
  <TitlesOfParts>
    <vt:vector size="1" baseType="lpstr">
      <vt:lpstr>Australia – South Asia (Regional) Development Partnership Plan 2024–2029</vt:lpstr>
    </vt:vector>
  </TitlesOfParts>
  <Manager/>
  <Company/>
  <LinksUpToDate>false</LinksUpToDate>
  <CharactersWithSpaces>41942</CharactersWithSpaces>
  <SharedDoc>false</SharedDoc>
  <HLinks>
    <vt:vector size="72" baseType="variant">
      <vt:variant>
        <vt:i4>5242906</vt:i4>
      </vt:variant>
      <vt:variant>
        <vt:i4>15</vt:i4>
      </vt:variant>
      <vt:variant>
        <vt:i4>0</vt:i4>
      </vt:variant>
      <vt:variant>
        <vt:i4>5</vt:i4>
      </vt:variant>
      <vt:variant>
        <vt:lpwstr/>
      </vt:variant>
      <vt:variant>
        <vt:lpwstr>T3nc</vt:lpwstr>
      </vt:variant>
      <vt:variant>
        <vt:i4>5308442</vt:i4>
      </vt:variant>
      <vt:variant>
        <vt:i4>9</vt:i4>
      </vt:variant>
      <vt:variant>
        <vt:i4>0</vt:i4>
      </vt:variant>
      <vt:variant>
        <vt:i4>5</vt:i4>
      </vt:variant>
      <vt:variant>
        <vt:lpwstr/>
      </vt:variant>
      <vt:variant>
        <vt:lpwstr>T3nb</vt:lpwstr>
      </vt:variant>
      <vt:variant>
        <vt:i4>5373978</vt:i4>
      </vt:variant>
      <vt:variant>
        <vt:i4>6</vt:i4>
      </vt:variant>
      <vt:variant>
        <vt:i4>0</vt:i4>
      </vt:variant>
      <vt:variant>
        <vt:i4>5</vt:i4>
      </vt:variant>
      <vt:variant>
        <vt:lpwstr/>
      </vt:variant>
      <vt:variant>
        <vt:lpwstr>T3na</vt:lpwstr>
      </vt:variant>
      <vt:variant>
        <vt:i4>3080306</vt:i4>
      </vt:variant>
      <vt:variant>
        <vt:i4>3</vt:i4>
      </vt:variant>
      <vt:variant>
        <vt:i4>0</vt:i4>
      </vt:variant>
      <vt:variant>
        <vt:i4>5</vt:i4>
      </vt:variant>
      <vt:variant>
        <vt:lpwstr>https://blogs.worldbank.org/endpovertyinsouthasia/eastern-waterways-grid-benefit-bangladesh-bhutan-india-and-nepal</vt:lpwstr>
      </vt:variant>
      <vt:variant>
        <vt:lpwstr/>
      </vt:variant>
      <vt:variant>
        <vt:i4>4456529</vt:i4>
      </vt:variant>
      <vt:variant>
        <vt:i4>0</vt:i4>
      </vt:variant>
      <vt:variant>
        <vt:i4>0</vt:i4>
      </vt:variant>
      <vt:variant>
        <vt:i4>5</vt:i4>
      </vt:variant>
      <vt:variant>
        <vt:lpwstr>https://www.dfat.gov.au/publications/development/australias-international-development-policy</vt:lpwstr>
      </vt:variant>
      <vt:variant>
        <vt:lpwstr/>
      </vt:variant>
      <vt:variant>
        <vt:i4>1769487</vt:i4>
      </vt:variant>
      <vt:variant>
        <vt:i4>0</vt:i4>
      </vt:variant>
      <vt:variant>
        <vt:i4>0</vt:i4>
      </vt:variant>
      <vt:variant>
        <vt:i4>5</vt:i4>
      </vt:variant>
      <vt:variant>
        <vt:lpwstr>https://blogs.worldbank.org/en/endpovertyinsouthasia/standing-fight-gender-based-violence-south-asia</vt:lpwstr>
      </vt:variant>
      <vt:variant>
        <vt:lpwstr>:~:text=In%20South%20Asia%20specifically%2C%20the,norms%20that%20define%20gender%20roles.</vt:lpwstr>
      </vt:variant>
      <vt:variant>
        <vt:i4>4194395</vt:i4>
      </vt:variant>
      <vt:variant>
        <vt:i4>15</vt:i4>
      </vt:variant>
      <vt:variant>
        <vt:i4>0</vt:i4>
      </vt:variant>
      <vt:variant>
        <vt:i4>5</vt:i4>
      </vt:variant>
      <vt:variant>
        <vt:lpwstr>https://www.adb.org/sites/default/files/publication/758581/adbi-brief-women-economic-empowerment.pdf</vt:lpwstr>
      </vt:variant>
      <vt:variant>
        <vt:lpwstr/>
      </vt:variant>
      <vt:variant>
        <vt:i4>5963805</vt:i4>
      </vt:variant>
      <vt:variant>
        <vt:i4>12</vt:i4>
      </vt:variant>
      <vt:variant>
        <vt:i4>0</vt:i4>
      </vt:variant>
      <vt:variant>
        <vt:i4>5</vt:i4>
      </vt:variant>
      <vt:variant>
        <vt:lpwstr>https://www.ilo.org/sites/default/files/wcmsp5/groups/public/@dgreports/@dcomm/@publ/documents/publication/wcms_650553.pdf</vt:lpwstr>
      </vt:variant>
      <vt:variant>
        <vt:lpwstr/>
      </vt:variant>
      <vt:variant>
        <vt:i4>3473455</vt:i4>
      </vt:variant>
      <vt:variant>
        <vt:i4>9</vt:i4>
      </vt:variant>
      <vt:variant>
        <vt:i4>0</vt:i4>
      </vt:variant>
      <vt:variant>
        <vt:i4>5</vt:i4>
      </vt:variant>
      <vt:variant>
        <vt:lpwstr>https://openknowledge.worldbank.org/server/api/core/bitstreams/9f3f97ac-4007-5b30-9b2d-f1d1070c16b7/content</vt:lpwstr>
      </vt:variant>
      <vt:variant>
        <vt:lpwstr/>
      </vt:variant>
      <vt:variant>
        <vt:i4>4194305</vt:i4>
      </vt:variant>
      <vt:variant>
        <vt:i4>6</vt:i4>
      </vt:variant>
      <vt:variant>
        <vt:i4>0</vt:i4>
      </vt:variant>
      <vt:variant>
        <vt:i4>5</vt:i4>
      </vt:variant>
      <vt:variant>
        <vt:lpwstr>https://www.unescap.org/kp/2023/asia-and-pacific-sdg-progress-report-2023</vt:lpwstr>
      </vt:variant>
      <vt:variant>
        <vt:lpwstr/>
      </vt:variant>
      <vt:variant>
        <vt:i4>8061026</vt:i4>
      </vt:variant>
      <vt:variant>
        <vt:i4>3</vt:i4>
      </vt:variant>
      <vt:variant>
        <vt:i4>0</vt:i4>
      </vt:variant>
      <vt:variant>
        <vt:i4>5</vt:i4>
      </vt:variant>
      <vt:variant>
        <vt:lpwstr>https://hdr.undp.org/content/2023-global-multidimensional-poverty-index-mpi</vt:lpwstr>
      </vt:variant>
      <vt:variant>
        <vt:lpwstr>/indicies/MPI</vt:lpwstr>
      </vt:variant>
      <vt:variant>
        <vt:i4>7536675</vt:i4>
      </vt:variant>
      <vt:variant>
        <vt:i4>0</vt:i4>
      </vt:variant>
      <vt:variant>
        <vt:i4>0</vt:i4>
      </vt:variant>
      <vt:variant>
        <vt:i4>5</vt:i4>
      </vt:variant>
      <vt:variant>
        <vt:lpwstr>https://www.worldbank.org/en/news/press-release/2023/10/03/world-bank-expects-solid-growth-but-risky-outlook-for-south-asia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 South Asia (Regional) Development Partnership Plan 2024–2029</dc:title>
  <dc:subject/>
  <dc:creator>Australian Government Department of Foreign Affairs and Trade</dc:creator>
  <cp:keywords>[SEC=OFFICIAL]</cp:keywords>
  <dc:description/>
  <cp:lastModifiedBy>Patrick Baggoley</cp:lastModifiedBy>
  <cp:revision>3</cp:revision>
  <cp:lastPrinted>2024-08-22T05:27:00Z</cp:lastPrinted>
  <dcterms:created xsi:type="dcterms:W3CDTF">2024-11-05T07:03:00Z</dcterms:created>
  <dcterms:modified xsi:type="dcterms:W3CDTF">2024-11-05T07:04:00Z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Note">
    <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ProtectiveMarkingValue_Header">
    <vt:lpwstr>OFFICIAL</vt:lpwstr>
  </property>
  <property fmtid="{D5CDD505-2E9C-101B-9397-08002B2CF9AE}" pid="8" name="PM_OriginationTimeStamp">
    <vt:lpwstr>2024-06-21T08:55:13Z</vt:lpwstr>
  </property>
  <property fmtid="{D5CDD505-2E9C-101B-9397-08002B2CF9AE}" pid="9" name="PM_Markers">
    <vt:lpwstr/>
  </property>
  <property fmtid="{D5CDD505-2E9C-101B-9397-08002B2CF9AE}" pid="10" name="PM_InsertionValue">
    <vt:lpwstr>OFFICIAL</vt:lpwstr>
  </property>
  <property fmtid="{D5CDD505-2E9C-101B-9397-08002B2CF9AE}" pid="11" name="PM_DisplayValueSecClassificationWithQualifier">
    <vt:lpwstr>OFFICIAL</vt:lpwstr>
  </property>
  <property fmtid="{D5CDD505-2E9C-101B-9397-08002B2CF9AE}" pid="12" name="PM_Originating_FileId">
    <vt:lpwstr>57C4CDB39F66493F916F061CA946A661</vt:lpwstr>
  </property>
  <property fmtid="{D5CDD505-2E9C-101B-9397-08002B2CF9AE}" pid="13" name="PM_ProtectiveMarkingValue_Footer">
    <vt:lpwstr>OFFICIAL</vt:lpwstr>
  </property>
  <property fmtid="{D5CDD505-2E9C-101B-9397-08002B2CF9AE}" pid="14" name="PM_ProtectiveMarkingImage_Header">
    <vt:lpwstr>C:\Program Files (x86)\Common Files\janusNET Shared\janusSEAL\Images\DocumentSlashBlue.png</vt:lpwstr>
  </property>
  <property fmtid="{D5CDD505-2E9C-101B-9397-08002B2CF9AE}" pid="15" name="PM_ProtectiveMarkingImage_Footer">
    <vt:lpwstr>C:\Program Files (x86)\Common Files\janusNET Shared\janusSEAL\Images\DocumentSlashBlue.png</vt:lpwstr>
  </property>
  <property fmtid="{D5CDD505-2E9C-101B-9397-08002B2CF9AE}" pid="16" name="PM_Display">
    <vt:lpwstr>OFFICIAL</vt:lpwstr>
  </property>
  <property fmtid="{D5CDD505-2E9C-101B-9397-08002B2CF9AE}" pid="17" name="PM_OriginatorDomainName_SHA256">
    <vt:lpwstr>6F3591835F3B2A8A025B00B5BA6418010DA3A17C9C26EA9C049FFD28039489A2</vt:lpwstr>
  </property>
  <property fmtid="{D5CDD505-2E9C-101B-9397-08002B2CF9AE}" pid="18" name="PMUuid">
    <vt:lpwstr>v=2022.2;d=gov.au;g=46DD6D7C-8107-577B-BC6E-F348953B2E44</vt:lpwstr>
  </property>
  <property fmtid="{D5CDD505-2E9C-101B-9397-08002B2CF9AE}" pid="19" name="PM_Hash_Version">
    <vt:lpwstr>2022.1</vt:lpwstr>
  </property>
  <property fmtid="{D5CDD505-2E9C-101B-9397-08002B2CF9AE}" pid="20" name="PM_Caveats_Count">
    <vt:lpwstr>0</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ContentTypeId">
    <vt:lpwstr>0x010100EB95374828D36A48A96E45ACD382C0A1</vt:lpwstr>
  </property>
  <property fmtid="{D5CDD505-2E9C-101B-9397-08002B2CF9AE}" pid="24" name="MediaServiceImageTags">
    <vt:lpwstr/>
  </property>
  <property fmtid="{D5CDD505-2E9C-101B-9397-08002B2CF9AE}" pid="25" name="PMHMAC">
    <vt:lpwstr>v=2022.1;a=SHA256;h=8879AB4739B44844753B60675E7C10384536C7C8BE5907F02D829E39D3D62679</vt:lpwstr>
  </property>
  <property fmtid="{D5CDD505-2E9C-101B-9397-08002B2CF9AE}" pid="26" name="PM_Originator_Hash_SHA1">
    <vt:lpwstr>E5329D78ADFF18985C404F3A4015F7B7C209C4C5</vt:lpwstr>
  </property>
  <property fmtid="{D5CDD505-2E9C-101B-9397-08002B2CF9AE}" pid="27" name="PM_OriginatorUserAccountName_SHA256">
    <vt:lpwstr>C427463A240001568B1E728057080C091949066E05DD342FA6B5B9F6FF33F8D6</vt:lpwstr>
  </property>
  <property fmtid="{D5CDD505-2E9C-101B-9397-08002B2CF9AE}" pid="28" name="PM_Hash_Salt_Prev">
    <vt:lpwstr>1446A45D02F18FB1B7301D952808A326</vt:lpwstr>
  </property>
  <property fmtid="{D5CDD505-2E9C-101B-9397-08002B2CF9AE}" pid="29" name="PM_Hash_Salt">
    <vt:lpwstr>DE5DBFDD9DBEA79C651ABE2A027AB2AA</vt:lpwstr>
  </property>
  <property fmtid="{D5CDD505-2E9C-101B-9397-08002B2CF9AE}" pid="30" name="PM_Hash_SHA1">
    <vt:lpwstr>3B0FDA5930A5CEE0895BDFABD7F97025408F0EDA</vt:lpwstr>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xd_Signature">
    <vt:bool>false</vt:bool>
  </property>
  <property fmtid="{D5CDD505-2E9C-101B-9397-08002B2CF9AE}" pid="36" name="TriggerFlowInfo">
    <vt:lpwstr/>
  </property>
</Properties>
</file>