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408F2" w14:textId="1E33D026" w:rsidR="00825572" w:rsidRPr="00BB67B8" w:rsidRDefault="00A85F94" w:rsidP="00825572">
      <w:pPr>
        <w:pStyle w:val="Title"/>
        <w:rPr>
          <w:color w:val="294549" w:themeColor="accent2"/>
        </w:rPr>
      </w:pPr>
      <w:bookmarkStart w:id="0" w:name="_Toc46858238"/>
      <w:bookmarkStart w:id="1" w:name="_Hlk46866664"/>
      <w:bookmarkStart w:id="2" w:name="OLE_LINK1"/>
      <w:bookmarkStart w:id="3" w:name="OLE_LINK2"/>
      <w:r w:rsidRPr="00BB67B8">
        <w:rPr>
          <w:noProof/>
          <w:color w:val="294549" w:themeColor="accent2"/>
        </w:rPr>
        <w:drawing>
          <wp:anchor distT="0" distB="0" distL="114300" distR="114300" simplePos="0" relativeHeight="251659264" behindDoc="1" locked="0" layoutInCell="1" allowOverlap="1" wp14:anchorId="4911EA32" wp14:editId="44C510C7">
            <wp:simplePos x="0" y="0"/>
            <wp:positionH relativeFrom="page">
              <wp:align>center</wp:align>
            </wp:positionH>
            <wp:positionV relativeFrom="page">
              <wp:align>center</wp:align>
            </wp:positionV>
            <wp:extent cx="7562850" cy="1069530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7563284" cy="10695600"/>
                    </a:xfrm>
                    <a:prstGeom prst="rect">
                      <a:avLst/>
                    </a:prstGeom>
                  </pic:spPr>
                </pic:pic>
              </a:graphicData>
            </a:graphic>
            <wp14:sizeRelH relativeFrom="margin">
              <wp14:pctWidth>0</wp14:pctWidth>
            </wp14:sizeRelH>
            <wp14:sizeRelV relativeFrom="margin">
              <wp14:pctHeight>0</wp14:pctHeight>
            </wp14:sizeRelV>
          </wp:anchor>
        </w:drawing>
      </w:r>
      <w:r w:rsidR="008E3B44" w:rsidRPr="00BB67B8">
        <w:rPr>
          <w:color w:val="294549" w:themeColor="accent2"/>
        </w:rPr>
        <w:t>END OF FACILITY EVALUATION</w:t>
      </w:r>
    </w:p>
    <w:p w14:paraId="5DD44CD0" w14:textId="276213F3" w:rsidR="00AE2420" w:rsidRPr="00390B6F" w:rsidRDefault="00AE2420" w:rsidP="009C525E">
      <w:pPr>
        <w:pStyle w:val="BodyText"/>
        <w:jc w:val="both"/>
        <w:rPr>
          <w:rFonts w:cstheme="minorHAnsi"/>
        </w:rPr>
        <w:sectPr w:rsidR="00AE2420" w:rsidRPr="00390B6F" w:rsidSect="00B52420">
          <w:headerReference w:type="default" r:id="rId9"/>
          <w:footerReference w:type="default" r:id="rId10"/>
          <w:pgSz w:w="11907" w:h="16840" w:code="9"/>
          <w:pgMar w:top="1134" w:right="1134" w:bottom="1134" w:left="1134" w:header="567" w:footer="567" w:gutter="0"/>
          <w:pgNumType w:start="1"/>
          <w:cols w:space="708"/>
          <w:docGrid w:linePitch="360"/>
        </w:sectPr>
      </w:pPr>
    </w:p>
    <w:p w14:paraId="05B58C41" w14:textId="14F4DE68" w:rsidR="00F26B31" w:rsidRPr="00390B6F" w:rsidRDefault="00BB0493" w:rsidP="009F1464">
      <w:pPr>
        <w:pStyle w:val="BodyText"/>
        <w:rPr>
          <w:rFonts w:cstheme="minorHAnsi"/>
        </w:rPr>
      </w:pPr>
      <w:r w:rsidRPr="00390B6F">
        <w:rPr>
          <w:rFonts w:cstheme="minorHAnsi"/>
        </w:rPr>
        <w:lastRenderedPageBreak/>
        <w:t>Prepared for</w:t>
      </w:r>
    </w:p>
    <w:p w14:paraId="4E49A88C" w14:textId="77777777" w:rsidR="00496E0A" w:rsidRPr="00390B6F" w:rsidRDefault="00F26B31" w:rsidP="009F1464">
      <w:pPr>
        <w:pStyle w:val="BodyText"/>
        <w:rPr>
          <w:rFonts w:cstheme="minorHAnsi"/>
        </w:rPr>
      </w:pPr>
      <w:r w:rsidRPr="00390B6F">
        <w:rPr>
          <w:rFonts w:cstheme="minorHAnsi"/>
        </w:rPr>
        <w:t>Department of Foreign Affairs and Trade</w:t>
      </w:r>
    </w:p>
    <w:bookmarkEnd w:id="0"/>
    <w:p w14:paraId="2D74B611" w14:textId="26DB32A8" w:rsidR="00390EF4" w:rsidRPr="00390B6F" w:rsidRDefault="00390EF4" w:rsidP="009F1464">
      <w:pPr>
        <w:pStyle w:val="BodyText"/>
        <w:rPr>
          <w:rFonts w:cstheme="minorHAnsi"/>
        </w:rPr>
      </w:pPr>
      <w:r w:rsidRPr="00390B6F">
        <w:rPr>
          <w:rFonts w:cstheme="minorHAnsi"/>
        </w:rPr>
        <w:t>A</w:t>
      </w:r>
      <w:r w:rsidR="003113DF" w:rsidRPr="00390B6F">
        <w:rPr>
          <w:rFonts w:cstheme="minorHAnsi"/>
        </w:rPr>
        <w:t xml:space="preserve">ustralia </w:t>
      </w:r>
      <w:r w:rsidRPr="00390B6F">
        <w:rPr>
          <w:rFonts w:cstheme="minorHAnsi"/>
        </w:rPr>
        <w:t>S</w:t>
      </w:r>
      <w:r w:rsidR="003113DF" w:rsidRPr="00390B6F">
        <w:rPr>
          <w:rFonts w:cstheme="minorHAnsi"/>
        </w:rPr>
        <w:t xml:space="preserve">olomon </w:t>
      </w:r>
      <w:r w:rsidRPr="00390B6F">
        <w:rPr>
          <w:rFonts w:cstheme="minorHAnsi"/>
        </w:rPr>
        <w:t>I</w:t>
      </w:r>
      <w:r w:rsidR="003113DF" w:rsidRPr="00390B6F">
        <w:rPr>
          <w:rFonts w:cstheme="minorHAnsi"/>
        </w:rPr>
        <w:t xml:space="preserve">sland </w:t>
      </w:r>
      <w:r w:rsidRPr="00390B6F">
        <w:rPr>
          <w:rFonts w:cstheme="minorHAnsi"/>
        </w:rPr>
        <w:t>R</w:t>
      </w:r>
      <w:r w:rsidR="003113DF" w:rsidRPr="00390B6F">
        <w:rPr>
          <w:rFonts w:cstheme="minorHAnsi"/>
        </w:rPr>
        <w:t xml:space="preserve">esource </w:t>
      </w:r>
      <w:r w:rsidRPr="00390B6F">
        <w:rPr>
          <w:rFonts w:cstheme="minorHAnsi"/>
        </w:rPr>
        <w:t>F</w:t>
      </w:r>
      <w:r w:rsidR="003113DF" w:rsidRPr="00390B6F">
        <w:rPr>
          <w:rFonts w:cstheme="minorHAnsi"/>
        </w:rPr>
        <w:t>acility (ASIRF)</w:t>
      </w:r>
      <w:r w:rsidRPr="00390B6F">
        <w:rPr>
          <w:rFonts w:cstheme="minorHAnsi"/>
        </w:rPr>
        <w:t xml:space="preserve"> </w:t>
      </w:r>
      <w:r w:rsidR="001A209C" w:rsidRPr="00390B6F">
        <w:rPr>
          <w:rFonts w:cstheme="minorHAnsi"/>
        </w:rPr>
        <w:t>Program Completion Report</w:t>
      </w:r>
    </w:p>
    <w:p w14:paraId="7179648B" w14:textId="77777777" w:rsidR="00390EF4" w:rsidRPr="00390B6F" w:rsidRDefault="00390EF4" w:rsidP="009F1464">
      <w:pPr>
        <w:pStyle w:val="BodyText"/>
        <w:rPr>
          <w:rFonts w:cstheme="minorHAnsi"/>
        </w:rPr>
      </w:pPr>
      <w:r w:rsidRPr="00390B6F">
        <w:rPr>
          <w:rFonts w:cstheme="minorHAnsi"/>
        </w:rPr>
        <w:t>For further information about this report, please contact:</w:t>
      </w:r>
    </w:p>
    <w:p w14:paraId="4C2A6E16" w14:textId="545FBD05" w:rsidR="00390EF4" w:rsidRPr="00390B6F" w:rsidRDefault="00A4708F" w:rsidP="00811D33">
      <w:pPr>
        <w:pStyle w:val="BodyText"/>
        <w:spacing w:before="0"/>
        <w:ind w:left="567"/>
        <w:contextualSpacing/>
        <w:rPr>
          <w:rFonts w:cstheme="minorHAnsi"/>
        </w:rPr>
      </w:pPr>
      <w:r w:rsidRPr="00390B6F">
        <w:rPr>
          <w:rFonts w:cstheme="minorHAnsi"/>
        </w:rPr>
        <w:t>Amy Zhuang</w:t>
      </w:r>
      <w:r w:rsidR="00F26B31" w:rsidRPr="00390B6F">
        <w:rPr>
          <w:rFonts w:cstheme="minorHAnsi"/>
        </w:rPr>
        <w:t xml:space="preserve">, </w:t>
      </w:r>
      <w:r w:rsidRPr="00390B6F">
        <w:rPr>
          <w:rFonts w:cstheme="minorHAnsi"/>
        </w:rPr>
        <w:t>Contractor Representative</w:t>
      </w:r>
    </w:p>
    <w:p w14:paraId="12CE1A43" w14:textId="77777777" w:rsidR="00390EF4" w:rsidRPr="00390B6F" w:rsidRDefault="00390EF4" w:rsidP="00811D33">
      <w:pPr>
        <w:pStyle w:val="BodyText"/>
        <w:spacing w:before="0"/>
        <w:ind w:left="567"/>
        <w:contextualSpacing/>
        <w:rPr>
          <w:rFonts w:cstheme="minorHAnsi"/>
        </w:rPr>
      </w:pPr>
      <w:r w:rsidRPr="00390B6F">
        <w:rPr>
          <w:rFonts w:cstheme="minorHAnsi"/>
        </w:rPr>
        <w:t>Australia’s Solomon Islands Resource Facility</w:t>
      </w:r>
    </w:p>
    <w:p w14:paraId="07D22EC5" w14:textId="24E53649" w:rsidR="00390EF4" w:rsidRPr="00390B6F" w:rsidRDefault="00390EF4" w:rsidP="00811D33">
      <w:pPr>
        <w:pStyle w:val="BodyText"/>
        <w:spacing w:before="0"/>
        <w:ind w:left="567"/>
        <w:contextualSpacing/>
        <w:rPr>
          <w:rFonts w:cstheme="minorHAnsi"/>
        </w:rPr>
      </w:pPr>
      <w:r w:rsidRPr="00390B6F">
        <w:rPr>
          <w:rFonts w:cstheme="minorHAnsi"/>
        </w:rPr>
        <w:t>+61 3 8415 7777</w:t>
      </w:r>
    </w:p>
    <w:p w14:paraId="2558F869" w14:textId="28AF0BB0" w:rsidR="00390EF4" w:rsidRPr="00390B6F" w:rsidRDefault="00A4708F" w:rsidP="00811D33">
      <w:pPr>
        <w:pStyle w:val="BodyText"/>
        <w:spacing w:before="0"/>
        <w:ind w:left="567"/>
        <w:contextualSpacing/>
        <w:rPr>
          <w:rFonts w:cstheme="minorHAnsi"/>
        </w:rPr>
      </w:pPr>
      <w:r w:rsidRPr="00390B6F">
        <w:rPr>
          <w:rFonts w:cstheme="minorHAnsi"/>
        </w:rPr>
        <w:t>amy.zhuang</w:t>
      </w:r>
      <w:r w:rsidR="00390EF4" w:rsidRPr="00390B6F">
        <w:rPr>
          <w:rFonts w:cstheme="minorHAnsi"/>
        </w:rPr>
        <w:t>@</w:t>
      </w:r>
      <w:r w:rsidR="008612B8" w:rsidRPr="00390B6F">
        <w:rPr>
          <w:rFonts w:cstheme="minorHAnsi"/>
        </w:rPr>
        <w:t>dt-global.com</w:t>
      </w:r>
    </w:p>
    <w:p w14:paraId="613E9A80" w14:textId="2ABA1D7A" w:rsidR="00390EF4" w:rsidRPr="00390B6F" w:rsidRDefault="00013A41" w:rsidP="00715E27">
      <w:pPr>
        <w:pStyle w:val="BodyText"/>
        <w:spacing w:before="480"/>
        <w:rPr>
          <w:rFonts w:cstheme="minorHAnsi"/>
        </w:rPr>
      </w:pPr>
      <w:r>
        <w:rPr>
          <w:rFonts w:cstheme="minorHAnsi"/>
        </w:rPr>
        <w:t>January</w:t>
      </w:r>
      <w:r w:rsidR="0001198A" w:rsidRPr="00390B6F">
        <w:rPr>
          <w:rFonts w:cstheme="minorHAnsi"/>
        </w:rPr>
        <w:t xml:space="preserve"> 202</w:t>
      </w:r>
      <w:r w:rsidR="00825572">
        <w:rPr>
          <w:rFonts w:cstheme="minorHAnsi"/>
        </w:rPr>
        <w:t>4</w:t>
      </w:r>
    </w:p>
    <w:p w14:paraId="39BA0FD8" w14:textId="64EE33C9" w:rsidR="00390EF4" w:rsidRPr="00390B6F" w:rsidRDefault="00390EF4" w:rsidP="009F1464">
      <w:pPr>
        <w:pStyle w:val="BodyText"/>
        <w:rPr>
          <w:rFonts w:cstheme="minorHAnsi"/>
        </w:rPr>
      </w:pPr>
      <w:r w:rsidRPr="00390B6F">
        <w:rPr>
          <w:rFonts w:cstheme="minorHAnsi"/>
        </w:rPr>
        <w:t>Level 3, Hyundai Mall, PO Box C153, Honiara, Solomon Islands</w:t>
      </w:r>
    </w:p>
    <w:p w14:paraId="3AA00818" w14:textId="0BFB1E84" w:rsidR="00F26B31" w:rsidRPr="00390B6F" w:rsidRDefault="00F26B31" w:rsidP="009F1464">
      <w:pPr>
        <w:pStyle w:val="BodyText"/>
        <w:rPr>
          <w:rFonts w:cstheme="minorHAnsi"/>
        </w:rPr>
      </w:pPr>
      <w:r w:rsidRPr="00390B6F">
        <w:rPr>
          <w:rFonts w:cstheme="minorHAnsi"/>
        </w:rPr>
        <w:t xml:space="preserve">ASIRF is supported by the Australian Government and implemented by </w:t>
      </w:r>
      <w:r w:rsidR="008612B8" w:rsidRPr="00390B6F">
        <w:rPr>
          <w:rFonts w:cstheme="minorHAnsi"/>
        </w:rPr>
        <w:t>DT Global.</w:t>
      </w:r>
    </w:p>
    <w:p w14:paraId="2C5395E0" w14:textId="77777777" w:rsidR="00496E0A" w:rsidRPr="00390B6F" w:rsidRDefault="00390EF4" w:rsidP="009F1464">
      <w:pPr>
        <w:pStyle w:val="BodyText"/>
        <w:rPr>
          <w:rFonts w:cstheme="minorHAnsi"/>
        </w:rPr>
      </w:pPr>
      <w:r w:rsidRPr="00390B6F">
        <w:rPr>
          <w:rFonts w:cstheme="minorHAnsi"/>
        </w:rPr>
        <w:t>This publication has been funded by the Australian Government through the Department of Foreign Affairs and Trade. The views expressed in this publication are the author’s alone and are not necessarily the views of the Australian Government.</w:t>
      </w:r>
    </w:p>
    <w:p w14:paraId="0D544305" w14:textId="7AD3D9B3" w:rsidR="0045267D" w:rsidRPr="00390B6F" w:rsidRDefault="007C6F2F" w:rsidP="00A52AFE">
      <w:pPr>
        <w:pStyle w:val="TOCHeading"/>
        <w:spacing w:after="240"/>
        <w:jc w:val="both"/>
        <w:rPr>
          <w:rFonts w:asciiTheme="minorHAnsi" w:hAnsiTheme="minorHAnsi" w:cstheme="minorHAnsi"/>
        </w:rPr>
      </w:pPr>
      <w:r w:rsidRPr="00390B6F">
        <w:rPr>
          <w:rFonts w:asciiTheme="minorHAnsi" w:hAnsiTheme="minorHAnsi" w:cstheme="minorHAnsi"/>
        </w:rPr>
        <w:br w:type="page"/>
      </w:r>
      <w:bookmarkStart w:id="4" w:name="_Toc47513737"/>
      <w:bookmarkStart w:id="5" w:name="_Toc47864399"/>
      <w:bookmarkStart w:id="6" w:name="_Toc57634667"/>
      <w:bookmarkEnd w:id="1"/>
      <w:r w:rsidRPr="00390B6F">
        <w:rPr>
          <w:rFonts w:asciiTheme="minorHAnsi" w:hAnsiTheme="minorHAnsi" w:cstheme="minorHAnsi"/>
        </w:rPr>
        <w:lastRenderedPageBreak/>
        <w:t>Contents</w:t>
      </w:r>
      <w:bookmarkEnd w:id="4"/>
      <w:bookmarkEnd w:id="5"/>
      <w:bookmarkEnd w:id="6"/>
    </w:p>
    <w:p w14:paraId="024A0784" w14:textId="54131A97" w:rsidR="00611280" w:rsidRPr="00390B6F" w:rsidRDefault="00B67ABA">
      <w:pPr>
        <w:pStyle w:val="TOC1"/>
        <w:rPr>
          <w:b w:val="0"/>
          <w:noProof/>
          <w:color w:val="auto"/>
          <w:kern w:val="2"/>
          <w:sz w:val="22"/>
          <w:lang w:eastAsia="en-AU"/>
          <w14:ligatures w14:val="standardContextual"/>
        </w:rPr>
      </w:pPr>
      <w:r w:rsidRPr="00390B6F">
        <w:rPr>
          <w:rStyle w:val="Strong"/>
          <w:rFonts w:cstheme="minorHAnsi"/>
          <w:b/>
          <w:sz w:val="18"/>
          <w:szCs w:val="18"/>
        </w:rPr>
        <w:fldChar w:fldCharType="begin"/>
      </w:r>
      <w:r w:rsidRPr="00390B6F">
        <w:rPr>
          <w:rStyle w:val="Strong"/>
          <w:rFonts w:cstheme="minorHAnsi"/>
          <w:b/>
          <w:sz w:val="18"/>
          <w:szCs w:val="18"/>
        </w:rPr>
        <w:instrText xml:space="preserve"> TOC \o "1-2" \h \z \u </w:instrText>
      </w:r>
      <w:r w:rsidRPr="00390B6F">
        <w:rPr>
          <w:rStyle w:val="Strong"/>
          <w:rFonts w:cstheme="minorHAnsi"/>
          <w:b/>
          <w:sz w:val="18"/>
          <w:szCs w:val="18"/>
        </w:rPr>
        <w:fldChar w:fldCharType="separate"/>
      </w:r>
      <w:hyperlink w:anchor="_Toc151565419" w:history="1">
        <w:r w:rsidR="00611280" w:rsidRPr="00390B6F">
          <w:rPr>
            <w:rStyle w:val="Hyperlink"/>
            <w:rFonts w:eastAsia="SimHei" w:cs="Arial"/>
            <w:bCs/>
            <w:noProof/>
          </w:rPr>
          <w:t>Executive Summary</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_Toc151565419 \h </w:instrText>
        </w:r>
        <w:r w:rsidR="00611280" w:rsidRPr="00390B6F">
          <w:rPr>
            <w:noProof/>
            <w:webHidden/>
          </w:rPr>
        </w:r>
        <w:r w:rsidR="00611280" w:rsidRPr="00390B6F">
          <w:rPr>
            <w:noProof/>
            <w:webHidden/>
          </w:rPr>
          <w:fldChar w:fldCharType="separate"/>
        </w:r>
        <w:r w:rsidR="005E3564">
          <w:rPr>
            <w:noProof/>
            <w:webHidden/>
          </w:rPr>
          <w:t>iv</w:t>
        </w:r>
        <w:r w:rsidR="00611280" w:rsidRPr="00390B6F">
          <w:rPr>
            <w:noProof/>
            <w:webHidden/>
          </w:rPr>
          <w:fldChar w:fldCharType="end"/>
        </w:r>
      </w:hyperlink>
    </w:p>
    <w:p w14:paraId="6D0F11BE" w14:textId="3F88ECA1" w:rsidR="00611280" w:rsidRPr="00390B6F" w:rsidRDefault="009325D7">
      <w:pPr>
        <w:pStyle w:val="TOC1"/>
        <w:rPr>
          <w:b w:val="0"/>
          <w:noProof/>
          <w:color w:val="auto"/>
          <w:kern w:val="2"/>
          <w:sz w:val="22"/>
          <w:lang w:eastAsia="en-AU"/>
          <w14:ligatures w14:val="standardContextual"/>
        </w:rPr>
      </w:pPr>
      <w:hyperlink w:anchor="_Toc151565420" w:history="1">
        <w:r w:rsidR="00611280" w:rsidRPr="00390B6F">
          <w:rPr>
            <w:rStyle w:val="Hyperlink"/>
            <w:noProof/>
          </w:rPr>
          <w:t>1</w:t>
        </w:r>
        <w:r w:rsidR="00611280" w:rsidRPr="00390B6F">
          <w:rPr>
            <w:b w:val="0"/>
            <w:noProof/>
            <w:color w:val="auto"/>
            <w:kern w:val="2"/>
            <w:sz w:val="22"/>
            <w:lang w:eastAsia="en-AU"/>
            <w14:ligatures w14:val="standardContextual"/>
          </w:rPr>
          <w:tab/>
        </w:r>
        <w:r w:rsidR="00611280" w:rsidRPr="00390B6F">
          <w:rPr>
            <w:rStyle w:val="Hyperlink"/>
            <w:noProof/>
          </w:rPr>
          <w:t>Introduction</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_Toc151565420 \h </w:instrText>
        </w:r>
        <w:r w:rsidR="00611280" w:rsidRPr="00390B6F">
          <w:rPr>
            <w:noProof/>
            <w:webHidden/>
          </w:rPr>
        </w:r>
        <w:r w:rsidR="00611280" w:rsidRPr="00390B6F">
          <w:rPr>
            <w:noProof/>
            <w:webHidden/>
          </w:rPr>
          <w:fldChar w:fldCharType="separate"/>
        </w:r>
        <w:r w:rsidR="005E3564">
          <w:rPr>
            <w:noProof/>
            <w:webHidden/>
          </w:rPr>
          <w:t>1</w:t>
        </w:r>
        <w:r w:rsidR="00611280" w:rsidRPr="00390B6F">
          <w:rPr>
            <w:noProof/>
            <w:webHidden/>
          </w:rPr>
          <w:fldChar w:fldCharType="end"/>
        </w:r>
      </w:hyperlink>
    </w:p>
    <w:p w14:paraId="7628881B" w14:textId="7F172091" w:rsidR="00611280" w:rsidRPr="00390B6F" w:rsidRDefault="009325D7">
      <w:pPr>
        <w:pStyle w:val="TOC1"/>
        <w:rPr>
          <w:b w:val="0"/>
          <w:noProof/>
          <w:color w:val="auto"/>
          <w:kern w:val="2"/>
          <w:sz w:val="22"/>
          <w:lang w:eastAsia="en-AU"/>
          <w14:ligatures w14:val="standardContextual"/>
        </w:rPr>
      </w:pPr>
      <w:hyperlink w:anchor="_Toc151565421" w:history="1">
        <w:r w:rsidR="00611280" w:rsidRPr="00390B6F">
          <w:rPr>
            <w:rStyle w:val="Hyperlink"/>
            <w:noProof/>
          </w:rPr>
          <w:t>2</w:t>
        </w:r>
        <w:r w:rsidR="00611280" w:rsidRPr="00390B6F">
          <w:rPr>
            <w:b w:val="0"/>
            <w:noProof/>
            <w:color w:val="auto"/>
            <w:kern w:val="2"/>
            <w:sz w:val="22"/>
            <w:lang w:eastAsia="en-AU"/>
            <w14:ligatures w14:val="standardContextual"/>
          </w:rPr>
          <w:tab/>
        </w:r>
        <w:r w:rsidR="00611280" w:rsidRPr="00390B6F">
          <w:rPr>
            <w:rStyle w:val="Hyperlink"/>
            <w:noProof/>
          </w:rPr>
          <w:t>ASIRF Background</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_Toc151565421 \h </w:instrText>
        </w:r>
        <w:r w:rsidR="00611280" w:rsidRPr="00390B6F">
          <w:rPr>
            <w:noProof/>
            <w:webHidden/>
          </w:rPr>
        </w:r>
        <w:r w:rsidR="00611280" w:rsidRPr="00390B6F">
          <w:rPr>
            <w:noProof/>
            <w:webHidden/>
          </w:rPr>
          <w:fldChar w:fldCharType="separate"/>
        </w:r>
        <w:r w:rsidR="005E3564">
          <w:rPr>
            <w:noProof/>
            <w:webHidden/>
          </w:rPr>
          <w:t>1</w:t>
        </w:r>
        <w:r w:rsidR="00611280" w:rsidRPr="00390B6F">
          <w:rPr>
            <w:noProof/>
            <w:webHidden/>
          </w:rPr>
          <w:fldChar w:fldCharType="end"/>
        </w:r>
      </w:hyperlink>
    </w:p>
    <w:p w14:paraId="0BFA5BBD" w14:textId="59A098E1" w:rsidR="00611280" w:rsidRPr="00390B6F" w:rsidRDefault="009325D7">
      <w:pPr>
        <w:pStyle w:val="TOC1"/>
        <w:rPr>
          <w:b w:val="0"/>
          <w:noProof/>
          <w:color w:val="auto"/>
          <w:kern w:val="2"/>
          <w:sz w:val="22"/>
          <w:lang w:eastAsia="en-AU"/>
          <w14:ligatures w14:val="standardContextual"/>
        </w:rPr>
      </w:pPr>
      <w:hyperlink w:anchor="_Toc151565422" w:history="1">
        <w:r w:rsidR="00611280" w:rsidRPr="00390B6F">
          <w:rPr>
            <w:rStyle w:val="Hyperlink"/>
            <w:noProof/>
          </w:rPr>
          <w:t>3</w:t>
        </w:r>
        <w:r w:rsidR="00611280" w:rsidRPr="00390B6F">
          <w:rPr>
            <w:b w:val="0"/>
            <w:noProof/>
            <w:color w:val="auto"/>
            <w:kern w:val="2"/>
            <w:sz w:val="22"/>
            <w:lang w:eastAsia="en-AU"/>
            <w14:ligatures w14:val="standardContextual"/>
          </w:rPr>
          <w:tab/>
        </w:r>
        <w:r w:rsidR="00611280" w:rsidRPr="00390B6F">
          <w:rPr>
            <w:rStyle w:val="Hyperlink"/>
            <w:noProof/>
          </w:rPr>
          <w:t>EoFE Objective and Purpose</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_Toc151565422 \h </w:instrText>
        </w:r>
        <w:r w:rsidR="00611280" w:rsidRPr="00390B6F">
          <w:rPr>
            <w:noProof/>
            <w:webHidden/>
          </w:rPr>
        </w:r>
        <w:r w:rsidR="00611280" w:rsidRPr="00390B6F">
          <w:rPr>
            <w:noProof/>
            <w:webHidden/>
          </w:rPr>
          <w:fldChar w:fldCharType="separate"/>
        </w:r>
        <w:r w:rsidR="005E3564">
          <w:rPr>
            <w:noProof/>
            <w:webHidden/>
          </w:rPr>
          <w:t>2</w:t>
        </w:r>
        <w:r w:rsidR="00611280" w:rsidRPr="00390B6F">
          <w:rPr>
            <w:noProof/>
            <w:webHidden/>
          </w:rPr>
          <w:fldChar w:fldCharType="end"/>
        </w:r>
      </w:hyperlink>
    </w:p>
    <w:p w14:paraId="1E9E12BE" w14:textId="3C981C4A" w:rsidR="00611280" w:rsidRPr="00390B6F" w:rsidRDefault="009325D7">
      <w:pPr>
        <w:pStyle w:val="TOC1"/>
        <w:rPr>
          <w:b w:val="0"/>
          <w:noProof/>
          <w:color w:val="auto"/>
          <w:kern w:val="2"/>
          <w:sz w:val="22"/>
          <w:lang w:eastAsia="en-AU"/>
          <w14:ligatures w14:val="standardContextual"/>
        </w:rPr>
      </w:pPr>
      <w:hyperlink w:anchor="_Toc151565423" w:history="1">
        <w:r w:rsidR="00611280" w:rsidRPr="00390B6F">
          <w:rPr>
            <w:rStyle w:val="Hyperlink"/>
            <w:noProof/>
          </w:rPr>
          <w:t>4</w:t>
        </w:r>
        <w:r w:rsidR="00611280" w:rsidRPr="00390B6F">
          <w:rPr>
            <w:b w:val="0"/>
            <w:noProof/>
            <w:color w:val="auto"/>
            <w:kern w:val="2"/>
            <w:sz w:val="22"/>
            <w:lang w:eastAsia="en-AU"/>
            <w14:ligatures w14:val="standardContextual"/>
          </w:rPr>
          <w:tab/>
        </w:r>
        <w:r w:rsidR="00611280" w:rsidRPr="00390B6F">
          <w:rPr>
            <w:rStyle w:val="Hyperlink"/>
            <w:noProof/>
          </w:rPr>
          <w:t>EoFE Approach and Methodology</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_Toc151565423 \h </w:instrText>
        </w:r>
        <w:r w:rsidR="00611280" w:rsidRPr="00390B6F">
          <w:rPr>
            <w:noProof/>
            <w:webHidden/>
          </w:rPr>
        </w:r>
        <w:r w:rsidR="00611280" w:rsidRPr="00390B6F">
          <w:rPr>
            <w:noProof/>
            <w:webHidden/>
          </w:rPr>
          <w:fldChar w:fldCharType="separate"/>
        </w:r>
        <w:r w:rsidR="005E3564">
          <w:rPr>
            <w:noProof/>
            <w:webHidden/>
          </w:rPr>
          <w:t>3</w:t>
        </w:r>
        <w:r w:rsidR="00611280" w:rsidRPr="00390B6F">
          <w:rPr>
            <w:noProof/>
            <w:webHidden/>
          </w:rPr>
          <w:fldChar w:fldCharType="end"/>
        </w:r>
      </w:hyperlink>
    </w:p>
    <w:p w14:paraId="3141B587" w14:textId="45D993BB" w:rsidR="00611280" w:rsidRPr="00390B6F" w:rsidRDefault="009325D7">
      <w:pPr>
        <w:pStyle w:val="TOC2"/>
        <w:rPr>
          <w:noProof/>
          <w:kern w:val="2"/>
          <w:sz w:val="22"/>
          <w:lang w:eastAsia="en-AU"/>
          <w14:ligatures w14:val="standardContextual"/>
        </w:rPr>
      </w:pPr>
      <w:hyperlink w:anchor="_Toc151565424" w:history="1">
        <w:r w:rsidR="00611280" w:rsidRPr="00390B6F">
          <w:rPr>
            <w:rStyle w:val="Hyperlink"/>
            <w:noProof/>
          </w:rPr>
          <w:t>4.1</w:t>
        </w:r>
        <w:r w:rsidR="00611280" w:rsidRPr="00390B6F">
          <w:rPr>
            <w:noProof/>
            <w:kern w:val="2"/>
            <w:sz w:val="22"/>
            <w:lang w:eastAsia="en-AU"/>
            <w14:ligatures w14:val="standardContextual"/>
          </w:rPr>
          <w:tab/>
        </w:r>
        <w:r w:rsidR="00611280" w:rsidRPr="00390B6F">
          <w:rPr>
            <w:rStyle w:val="Hyperlink"/>
            <w:noProof/>
          </w:rPr>
          <w:t>Evaluation Limitations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_Toc151565424 \h </w:instrText>
        </w:r>
        <w:r w:rsidR="00611280" w:rsidRPr="00390B6F">
          <w:rPr>
            <w:noProof/>
            <w:webHidden/>
          </w:rPr>
        </w:r>
        <w:r w:rsidR="00611280" w:rsidRPr="00390B6F">
          <w:rPr>
            <w:noProof/>
            <w:webHidden/>
          </w:rPr>
          <w:fldChar w:fldCharType="separate"/>
        </w:r>
        <w:r w:rsidR="005E3564">
          <w:rPr>
            <w:noProof/>
            <w:webHidden/>
          </w:rPr>
          <w:t>3</w:t>
        </w:r>
        <w:r w:rsidR="00611280" w:rsidRPr="00390B6F">
          <w:rPr>
            <w:noProof/>
            <w:webHidden/>
          </w:rPr>
          <w:fldChar w:fldCharType="end"/>
        </w:r>
      </w:hyperlink>
    </w:p>
    <w:p w14:paraId="40DDBFDA" w14:textId="2E680366" w:rsidR="00611280" w:rsidRPr="00390B6F" w:rsidRDefault="009325D7">
      <w:pPr>
        <w:pStyle w:val="TOC1"/>
        <w:rPr>
          <w:b w:val="0"/>
          <w:noProof/>
          <w:color w:val="auto"/>
          <w:kern w:val="2"/>
          <w:sz w:val="22"/>
          <w:lang w:eastAsia="en-AU"/>
          <w14:ligatures w14:val="standardContextual"/>
        </w:rPr>
      </w:pPr>
      <w:hyperlink w:anchor="_Toc151565425" w:history="1">
        <w:r w:rsidR="00611280" w:rsidRPr="00390B6F">
          <w:rPr>
            <w:rStyle w:val="Hyperlink"/>
            <w:noProof/>
          </w:rPr>
          <w:t>5</w:t>
        </w:r>
        <w:r w:rsidR="00611280" w:rsidRPr="00390B6F">
          <w:rPr>
            <w:b w:val="0"/>
            <w:noProof/>
            <w:color w:val="auto"/>
            <w:kern w:val="2"/>
            <w:sz w:val="22"/>
            <w:lang w:eastAsia="en-AU"/>
            <w14:ligatures w14:val="standardContextual"/>
          </w:rPr>
          <w:tab/>
        </w:r>
        <w:r w:rsidR="00611280" w:rsidRPr="00390B6F">
          <w:rPr>
            <w:rStyle w:val="Hyperlink"/>
            <w:noProof/>
          </w:rPr>
          <w:t>Key Findings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_Toc151565425 \h </w:instrText>
        </w:r>
        <w:r w:rsidR="00611280" w:rsidRPr="00390B6F">
          <w:rPr>
            <w:noProof/>
            <w:webHidden/>
          </w:rPr>
        </w:r>
        <w:r w:rsidR="00611280" w:rsidRPr="00390B6F">
          <w:rPr>
            <w:noProof/>
            <w:webHidden/>
          </w:rPr>
          <w:fldChar w:fldCharType="separate"/>
        </w:r>
        <w:r w:rsidR="005E3564">
          <w:rPr>
            <w:noProof/>
            <w:webHidden/>
          </w:rPr>
          <w:t>3</w:t>
        </w:r>
        <w:r w:rsidR="00611280" w:rsidRPr="00390B6F">
          <w:rPr>
            <w:noProof/>
            <w:webHidden/>
          </w:rPr>
          <w:fldChar w:fldCharType="end"/>
        </w:r>
      </w:hyperlink>
    </w:p>
    <w:p w14:paraId="1615F6CC" w14:textId="16EAA829" w:rsidR="00611280" w:rsidRPr="00390B6F" w:rsidRDefault="009325D7">
      <w:pPr>
        <w:pStyle w:val="TOC2"/>
        <w:rPr>
          <w:noProof/>
          <w:kern w:val="2"/>
          <w:sz w:val="22"/>
          <w:lang w:eastAsia="en-AU"/>
          <w14:ligatures w14:val="standardContextual"/>
        </w:rPr>
      </w:pPr>
      <w:hyperlink w:anchor="_Toc151565426" w:history="1">
        <w:r w:rsidR="00611280" w:rsidRPr="00390B6F">
          <w:rPr>
            <w:rStyle w:val="Hyperlink"/>
            <w:noProof/>
          </w:rPr>
          <w:t>5.1</w:t>
        </w:r>
        <w:r w:rsidR="00611280" w:rsidRPr="00390B6F">
          <w:rPr>
            <w:noProof/>
            <w:kern w:val="2"/>
            <w:sz w:val="22"/>
            <w:lang w:eastAsia="en-AU"/>
            <w14:ligatures w14:val="standardContextual"/>
          </w:rPr>
          <w:tab/>
        </w:r>
        <w:r w:rsidR="00611280" w:rsidRPr="00390B6F">
          <w:rPr>
            <w:rStyle w:val="Hyperlink"/>
            <w:noProof/>
          </w:rPr>
          <w:t>Relevance</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_Toc151565426 \h </w:instrText>
        </w:r>
        <w:r w:rsidR="00611280" w:rsidRPr="00390B6F">
          <w:rPr>
            <w:noProof/>
            <w:webHidden/>
          </w:rPr>
        </w:r>
        <w:r w:rsidR="00611280" w:rsidRPr="00390B6F">
          <w:rPr>
            <w:noProof/>
            <w:webHidden/>
          </w:rPr>
          <w:fldChar w:fldCharType="separate"/>
        </w:r>
        <w:r w:rsidR="005E3564">
          <w:rPr>
            <w:noProof/>
            <w:webHidden/>
          </w:rPr>
          <w:t>3</w:t>
        </w:r>
        <w:r w:rsidR="00611280" w:rsidRPr="00390B6F">
          <w:rPr>
            <w:noProof/>
            <w:webHidden/>
          </w:rPr>
          <w:fldChar w:fldCharType="end"/>
        </w:r>
      </w:hyperlink>
    </w:p>
    <w:p w14:paraId="63A9B976" w14:textId="544BCB86" w:rsidR="00611280" w:rsidRPr="00390B6F" w:rsidRDefault="009325D7">
      <w:pPr>
        <w:pStyle w:val="TOC2"/>
        <w:rPr>
          <w:noProof/>
          <w:kern w:val="2"/>
          <w:sz w:val="22"/>
          <w:lang w:eastAsia="en-AU"/>
          <w14:ligatures w14:val="standardContextual"/>
        </w:rPr>
      </w:pPr>
      <w:hyperlink w:anchor="_Toc151565427" w:history="1">
        <w:r w:rsidR="00611280" w:rsidRPr="00390B6F">
          <w:rPr>
            <w:rStyle w:val="Hyperlink"/>
            <w:noProof/>
          </w:rPr>
          <w:t>5.2</w:t>
        </w:r>
        <w:r w:rsidR="00611280" w:rsidRPr="00390B6F">
          <w:rPr>
            <w:noProof/>
            <w:kern w:val="2"/>
            <w:sz w:val="22"/>
            <w:lang w:eastAsia="en-AU"/>
            <w14:ligatures w14:val="standardContextual"/>
          </w:rPr>
          <w:tab/>
        </w:r>
        <w:r w:rsidR="00611280" w:rsidRPr="00390B6F">
          <w:rPr>
            <w:rStyle w:val="Hyperlink"/>
            <w:noProof/>
          </w:rPr>
          <w:t>Effectiveness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_Toc151565427 \h </w:instrText>
        </w:r>
        <w:r w:rsidR="00611280" w:rsidRPr="00390B6F">
          <w:rPr>
            <w:noProof/>
            <w:webHidden/>
          </w:rPr>
        </w:r>
        <w:r w:rsidR="00611280" w:rsidRPr="00390B6F">
          <w:rPr>
            <w:noProof/>
            <w:webHidden/>
          </w:rPr>
          <w:fldChar w:fldCharType="separate"/>
        </w:r>
        <w:r w:rsidR="005E3564">
          <w:rPr>
            <w:noProof/>
            <w:webHidden/>
          </w:rPr>
          <w:t>4</w:t>
        </w:r>
        <w:r w:rsidR="00611280" w:rsidRPr="00390B6F">
          <w:rPr>
            <w:noProof/>
            <w:webHidden/>
          </w:rPr>
          <w:fldChar w:fldCharType="end"/>
        </w:r>
      </w:hyperlink>
    </w:p>
    <w:p w14:paraId="013CDD68" w14:textId="73F1CBCB" w:rsidR="00611280" w:rsidRPr="00390B6F" w:rsidRDefault="009325D7">
      <w:pPr>
        <w:pStyle w:val="TOC2"/>
        <w:rPr>
          <w:noProof/>
          <w:kern w:val="2"/>
          <w:sz w:val="22"/>
          <w:lang w:eastAsia="en-AU"/>
          <w14:ligatures w14:val="standardContextual"/>
        </w:rPr>
      </w:pPr>
      <w:hyperlink w:anchor="_Toc151565428" w:history="1">
        <w:r w:rsidR="00611280" w:rsidRPr="00390B6F">
          <w:rPr>
            <w:rStyle w:val="Hyperlink"/>
            <w:noProof/>
          </w:rPr>
          <w:t>5.3</w:t>
        </w:r>
        <w:r w:rsidR="00611280" w:rsidRPr="00390B6F">
          <w:rPr>
            <w:noProof/>
            <w:kern w:val="2"/>
            <w:sz w:val="22"/>
            <w:lang w:eastAsia="en-AU"/>
            <w14:ligatures w14:val="standardContextual"/>
          </w:rPr>
          <w:tab/>
        </w:r>
        <w:r w:rsidR="00611280" w:rsidRPr="00390B6F">
          <w:rPr>
            <w:rStyle w:val="Hyperlink"/>
            <w:noProof/>
          </w:rPr>
          <w:t>Efficiency and Management</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_Toc151565428 \h </w:instrText>
        </w:r>
        <w:r w:rsidR="00611280" w:rsidRPr="00390B6F">
          <w:rPr>
            <w:noProof/>
            <w:webHidden/>
          </w:rPr>
        </w:r>
        <w:r w:rsidR="00611280" w:rsidRPr="00390B6F">
          <w:rPr>
            <w:noProof/>
            <w:webHidden/>
          </w:rPr>
          <w:fldChar w:fldCharType="separate"/>
        </w:r>
        <w:r w:rsidR="005E3564">
          <w:rPr>
            <w:noProof/>
            <w:webHidden/>
          </w:rPr>
          <w:t>7</w:t>
        </w:r>
        <w:r w:rsidR="00611280" w:rsidRPr="00390B6F">
          <w:rPr>
            <w:noProof/>
            <w:webHidden/>
          </w:rPr>
          <w:fldChar w:fldCharType="end"/>
        </w:r>
      </w:hyperlink>
    </w:p>
    <w:p w14:paraId="170683B9" w14:textId="6CBE7BF4" w:rsidR="00611280" w:rsidRPr="00390B6F" w:rsidRDefault="009325D7">
      <w:pPr>
        <w:pStyle w:val="TOC2"/>
        <w:rPr>
          <w:noProof/>
          <w:kern w:val="2"/>
          <w:sz w:val="22"/>
          <w:lang w:eastAsia="en-AU"/>
          <w14:ligatures w14:val="standardContextual"/>
        </w:rPr>
      </w:pPr>
      <w:hyperlink w:anchor="_Toc151565429" w:history="1">
        <w:r w:rsidR="00611280" w:rsidRPr="00390B6F">
          <w:rPr>
            <w:rStyle w:val="Hyperlink"/>
            <w:noProof/>
          </w:rPr>
          <w:t>5.4</w:t>
        </w:r>
        <w:r w:rsidR="00611280" w:rsidRPr="00390B6F">
          <w:rPr>
            <w:noProof/>
            <w:kern w:val="2"/>
            <w:sz w:val="22"/>
            <w:lang w:eastAsia="en-AU"/>
            <w14:ligatures w14:val="standardContextual"/>
          </w:rPr>
          <w:tab/>
        </w:r>
        <w:r w:rsidR="00611280" w:rsidRPr="00390B6F">
          <w:rPr>
            <w:rStyle w:val="Hyperlink"/>
            <w:noProof/>
          </w:rPr>
          <w:t>MEL and GEDSI</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_Toc151565429 \h </w:instrText>
        </w:r>
        <w:r w:rsidR="00611280" w:rsidRPr="00390B6F">
          <w:rPr>
            <w:noProof/>
            <w:webHidden/>
          </w:rPr>
        </w:r>
        <w:r w:rsidR="00611280" w:rsidRPr="00390B6F">
          <w:rPr>
            <w:noProof/>
            <w:webHidden/>
          </w:rPr>
          <w:fldChar w:fldCharType="separate"/>
        </w:r>
        <w:r w:rsidR="005E3564">
          <w:rPr>
            <w:noProof/>
            <w:webHidden/>
          </w:rPr>
          <w:t>9</w:t>
        </w:r>
        <w:r w:rsidR="00611280" w:rsidRPr="00390B6F">
          <w:rPr>
            <w:noProof/>
            <w:webHidden/>
          </w:rPr>
          <w:fldChar w:fldCharType="end"/>
        </w:r>
      </w:hyperlink>
    </w:p>
    <w:p w14:paraId="6FF818BC" w14:textId="1BC457A2" w:rsidR="00611280" w:rsidRPr="00390B6F" w:rsidRDefault="009325D7">
      <w:pPr>
        <w:pStyle w:val="TOC2"/>
        <w:rPr>
          <w:noProof/>
          <w:kern w:val="2"/>
          <w:sz w:val="22"/>
          <w:lang w:eastAsia="en-AU"/>
          <w14:ligatures w14:val="standardContextual"/>
        </w:rPr>
      </w:pPr>
      <w:hyperlink w:anchor="_Toc151565430" w:history="1">
        <w:r w:rsidR="00611280" w:rsidRPr="00390B6F">
          <w:rPr>
            <w:rStyle w:val="Hyperlink"/>
            <w:noProof/>
          </w:rPr>
          <w:t>5.5</w:t>
        </w:r>
        <w:r w:rsidR="00611280" w:rsidRPr="00390B6F">
          <w:rPr>
            <w:noProof/>
            <w:kern w:val="2"/>
            <w:sz w:val="22"/>
            <w:lang w:eastAsia="en-AU"/>
            <w14:ligatures w14:val="standardContextual"/>
          </w:rPr>
          <w:tab/>
        </w:r>
        <w:r w:rsidR="00611280" w:rsidRPr="00390B6F">
          <w:rPr>
            <w:rStyle w:val="Hyperlink"/>
            <w:noProof/>
          </w:rPr>
          <w:t>Agility, Adaptability, Lessons Learned</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_Toc151565430 \h </w:instrText>
        </w:r>
        <w:r w:rsidR="00611280" w:rsidRPr="00390B6F">
          <w:rPr>
            <w:noProof/>
            <w:webHidden/>
          </w:rPr>
        </w:r>
        <w:r w:rsidR="00611280" w:rsidRPr="00390B6F">
          <w:rPr>
            <w:noProof/>
            <w:webHidden/>
          </w:rPr>
          <w:fldChar w:fldCharType="separate"/>
        </w:r>
        <w:r w:rsidR="005E3564">
          <w:rPr>
            <w:noProof/>
            <w:webHidden/>
          </w:rPr>
          <w:t>10</w:t>
        </w:r>
        <w:r w:rsidR="00611280" w:rsidRPr="00390B6F">
          <w:rPr>
            <w:noProof/>
            <w:webHidden/>
          </w:rPr>
          <w:fldChar w:fldCharType="end"/>
        </w:r>
      </w:hyperlink>
    </w:p>
    <w:p w14:paraId="1BD9E969" w14:textId="221E05A0" w:rsidR="00611280" w:rsidRPr="00390B6F" w:rsidRDefault="009325D7">
      <w:pPr>
        <w:pStyle w:val="TOC2"/>
        <w:rPr>
          <w:noProof/>
          <w:kern w:val="2"/>
          <w:sz w:val="22"/>
          <w:lang w:eastAsia="en-AU"/>
          <w14:ligatures w14:val="standardContextual"/>
        </w:rPr>
      </w:pPr>
      <w:hyperlink w:anchor="_Toc151565431" w:history="1">
        <w:r w:rsidR="00611280" w:rsidRPr="00390B6F">
          <w:rPr>
            <w:rStyle w:val="Hyperlink"/>
            <w:noProof/>
          </w:rPr>
          <w:t>5.6</w:t>
        </w:r>
        <w:r w:rsidR="00611280" w:rsidRPr="00390B6F">
          <w:rPr>
            <w:noProof/>
            <w:kern w:val="2"/>
            <w:sz w:val="22"/>
            <w:lang w:eastAsia="en-AU"/>
            <w14:ligatures w14:val="standardContextual"/>
          </w:rPr>
          <w:tab/>
        </w:r>
        <w:r w:rsidR="00611280" w:rsidRPr="00390B6F">
          <w:rPr>
            <w:rStyle w:val="Hyperlink"/>
            <w:noProof/>
          </w:rPr>
          <w:t>Future directions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_Toc151565431 \h </w:instrText>
        </w:r>
        <w:r w:rsidR="00611280" w:rsidRPr="00390B6F">
          <w:rPr>
            <w:noProof/>
            <w:webHidden/>
          </w:rPr>
        </w:r>
        <w:r w:rsidR="00611280" w:rsidRPr="00390B6F">
          <w:rPr>
            <w:noProof/>
            <w:webHidden/>
          </w:rPr>
          <w:fldChar w:fldCharType="separate"/>
        </w:r>
        <w:r w:rsidR="005E3564">
          <w:rPr>
            <w:noProof/>
            <w:webHidden/>
          </w:rPr>
          <w:t>11</w:t>
        </w:r>
        <w:r w:rsidR="00611280" w:rsidRPr="00390B6F">
          <w:rPr>
            <w:noProof/>
            <w:webHidden/>
          </w:rPr>
          <w:fldChar w:fldCharType="end"/>
        </w:r>
      </w:hyperlink>
    </w:p>
    <w:p w14:paraId="11DC1BD1" w14:textId="19F9EE01" w:rsidR="00611280" w:rsidRPr="00390B6F" w:rsidRDefault="009325D7">
      <w:pPr>
        <w:pStyle w:val="TOC1"/>
        <w:rPr>
          <w:b w:val="0"/>
          <w:noProof/>
          <w:color w:val="auto"/>
          <w:kern w:val="2"/>
          <w:sz w:val="22"/>
          <w:lang w:eastAsia="en-AU"/>
          <w14:ligatures w14:val="standardContextual"/>
        </w:rPr>
      </w:pPr>
      <w:hyperlink w:anchor="_Toc151565432" w:history="1">
        <w:r w:rsidR="00611280" w:rsidRPr="00390B6F">
          <w:rPr>
            <w:rStyle w:val="Hyperlink"/>
            <w:noProof/>
          </w:rPr>
          <w:t>6</w:t>
        </w:r>
        <w:r w:rsidR="00611280" w:rsidRPr="00390B6F">
          <w:rPr>
            <w:b w:val="0"/>
            <w:noProof/>
            <w:color w:val="auto"/>
            <w:kern w:val="2"/>
            <w:sz w:val="22"/>
            <w:lang w:eastAsia="en-AU"/>
            <w14:ligatures w14:val="standardContextual"/>
          </w:rPr>
          <w:tab/>
        </w:r>
        <w:r w:rsidR="00611280" w:rsidRPr="00390B6F">
          <w:rPr>
            <w:rStyle w:val="Hyperlink"/>
            <w:noProof/>
          </w:rPr>
          <w:t>Key Recommendations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_Toc151565432 \h </w:instrText>
        </w:r>
        <w:r w:rsidR="00611280" w:rsidRPr="00390B6F">
          <w:rPr>
            <w:noProof/>
            <w:webHidden/>
          </w:rPr>
        </w:r>
        <w:r w:rsidR="00611280" w:rsidRPr="00390B6F">
          <w:rPr>
            <w:noProof/>
            <w:webHidden/>
          </w:rPr>
          <w:fldChar w:fldCharType="separate"/>
        </w:r>
        <w:r w:rsidR="005E3564">
          <w:rPr>
            <w:noProof/>
            <w:webHidden/>
          </w:rPr>
          <w:t>13</w:t>
        </w:r>
        <w:r w:rsidR="00611280" w:rsidRPr="00390B6F">
          <w:rPr>
            <w:noProof/>
            <w:webHidden/>
          </w:rPr>
          <w:fldChar w:fldCharType="end"/>
        </w:r>
      </w:hyperlink>
    </w:p>
    <w:p w14:paraId="4423DD05" w14:textId="553EA2E9" w:rsidR="00611280" w:rsidRPr="00390B6F" w:rsidRDefault="009325D7">
      <w:pPr>
        <w:pStyle w:val="TOC1"/>
        <w:rPr>
          <w:b w:val="0"/>
          <w:noProof/>
          <w:color w:val="auto"/>
          <w:kern w:val="2"/>
          <w:sz w:val="22"/>
          <w:lang w:eastAsia="en-AU"/>
          <w14:ligatures w14:val="standardContextual"/>
        </w:rPr>
      </w:pPr>
      <w:hyperlink w:anchor="_Toc151565433" w:history="1">
        <w:r w:rsidR="00611280" w:rsidRPr="00390B6F">
          <w:rPr>
            <w:rStyle w:val="Hyperlink"/>
            <w:noProof/>
          </w:rPr>
          <w:t>Annex 1</w:t>
        </w:r>
        <w:r w:rsidR="00611280" w:rsidRPr="00390B6F">
          <w:rPr>
            <w:b w:val="0"/>
            <w:noProof/>
            <w:color w:val="auto"/>
            <w:kern w:val="2"/>
            <w:sz w:val="22"/>
            <w:lang w:eastAsia="en-AU"/>
            <w14:ligatures w14:val="standardContextual"/>
          </w:rPr>
          <w:tab/>
        </w:r>
        <w:r w:rsidR="00611280" w:rsidRPr="00390B6F">
          <w:rPr>
            <w:rStyle w:val="Hyperlink"/>
            <w:noProof/>
          </w:rPr>
          <w:t>Terms of Reference</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_Toc151565433 \h </w:instrText>
        </w:r>
        <w:r w:rsidR="00611280" w:rsidRPr="00390B6F">
          <w:rPr>
            <w:noProof/>
            <w:webHidden/>
          </w:rPr>
        </w:r>
        <w:r w:rsidR="00611280" w:rsidRPr="00390B6F">
          <w:rPr>
            <w:noProof/>
            <w:webHidden/>
          </w:rPr>
          <w:fldChar w:fldCharType="separate"/>
        </w:r>
        <w:r w:rsidR="005E3564">
          <w:rPr>
            <w:noProof/>
            <w:webHidden/>
          </w:rPr>
          <w:t>14</w:t>
        </w:r>
        <w:r w:rsidR="00611280" w:rsidRPr="00390B6F">
          <w:rPr>
            <w:noProof/>
            <w:webHidden/>
          </w:rPr>
          <w:fldChar w:fldCharType="end"/>
        </w:r>
      </w:hyperlink>
    </w:p>
    <w:p w14:paraId="2EE2D638" w14:textId="1F3E6B5B" w:rsidR="00611280" w:rsidRPr="00390B6F" w:rsidRDefault="009325D7">
      <w:pPr>
        <w:pStyle w:val="TOC1"/>
        <w:rPr>
          <w:b w:val="0"/>
          <w:noProof/>
          <w:color w:val="auto"/>
          <w:kern w:val="2"/>
          <w:sz w:val="22"/>
          <w:lang w:eastAsia="en-AU"/>
          <w14:ligatures w14:val="standardContextual"/>
        </w:rPr>
      </w:pPr>
      <w:hyperlink w:anchor="_Toc151565434" w:history="1">
        <w:r w:rsidR="00611280" w:rsidRPr="00390B6F">
          <w:rPr>
            <w:rStyle w:val="Hyperlink"/>
            <w:noProof/>
          </w:rPr>
          <w:t>Annex 2</w:t>
        </w:r>
        <w:r w:rsidR="00611280" w:rsidRPr="00390B6F">
          <w:rPr>
            <w:b w:val="0"/>
            <w:noProof/>
            <w:color w:val="auto"/>
            <w:kern w:val="2"/>
            <w:sz w:val="22"/>
            <w:lang w:eastAsia="en-AU"/>
            <w14:ligatures w14:val="standardContextual"/>
          </w:rPr>
          <w:tab/>
        </w:r>
        <w:r w:rsidR="00611280" w:rsidRPr="00390B6F">
          <w:rPr>
            <w:rStyle w:val="Hyperlink"/>
            <w:noProof/>
          </w:rPr>
          <w:t>PAF Results</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_Toc151565434 \h </w:instrText>
        </w:r>
        <w:r w:rsidR="00611280" w:rsidRPr="00390B6F">
          <w:rPr>
            <w:noProof/>
            <w:webHidden/>
          </w:rPr>
        </w:r>
        <w:r w:rsidR="00611280" w:rsidRPr="00390B6F">
          <w:rPr>
            <w:noProof/>
            <w:webHidden/>
          </w:rPr>
          <w:fldChar w:fldCharType="separate"/>
        </w:r>
        <w:r w:rsidR="005E3564">
          <w:rPr>
            <w:noProof/>
            <w:webHidden/>
          </w:rPr>
          <w:t>18</w:t>
        </w:r>
        <w:r w:rsidR="00611280" w:rsidRPr="00390B6F">
          <w:rPr>
            <w:noProof/>
            <w:webHidden/>
          </w:rPr>
          <w:fldChar w:fldCharType="end"/>
        </w:r>
      </w:hyperlink>
    </w:p>
    <w:p w14:paraId="4F40EE2C" w14:textId="500A0856" w:rsidR="00611280" w:rsidRPr="00390B6F" w:rsidRDefault="009325D7">
      <w:pPr>
        <w:pStyle w:val="TOC1"/>
        <w:rPr>
          <w:b w:val="0"/>
          <w:noProof/>
          <w:color w:val="auto"/>
          <w:kern w:val="2"/>
          <w:sz w:val="22"/>
          <w:lang w:eastAsia="en-AU"/>
          <w14:ligatures w14:val="standardContextual"/>
        </w:rPr>
      </w:pPr>
      <w:hyperlink w:anchor="_Toc151565435" w:history="1">
        <w:r w:rsidR="00611280" w:rsidRPr="00390B6F">
          <w:rPr>
            <w:rStyle w:val="Hyperlink"/>
            <w:noProof/>
          </w:rPr>
          <w:t>Annex 3</w:t>
        </w:r>
        <w:r w:rsidR="00611280" w:rsidRPr="00390B6F">
          <w:rPr>
            <w:b w:val="0"/>
            <w:noProof/>
            <w:color w:val="auto"/>
            <w:kern w:val="2"/>
            <w:sz w:val="22"/>
            <w:lang w:eastAsia="en-AU"/>
            <w14:ligatures w14:val="standardContextual"/>
          </w:rPr>
          <w:tab/>
        </w:r>
        <w:r w:rsidR="00611280" w:rsidRPr="00390B6F">
          <w:rPr>
            <w:rStyle w:val="Hyperlink"/>
            <w:noProof/>
          </w:rPr>
          <w:t>Lessons Learned</w:t>
        </w:r>
        <w:r w:rsidR="00611280" w:rsidRPr="00390B6F">
          <w:rPr>
            <w:noProof/>
            <w:webHidden/>
          </w:rPr>
          <w:tab/>
        </w:r>
        <w:r w:rsidR="00611280" w:rsidRPr="00390B6F">
          <w:rPr>
            <w:noProof/>
            <w:webHidden/>
          </w:rPr>
          <w:fldChar w:fldCharType="begin"/>
        </w:r>
        <w:r w:rsidR="00611280" w:rsidRPr="00390B6F">
          <w:rPr>
            <w:noProof/>
            <w:webHidden/>
          </w:rPr>
          <w:instrText xml:space="preserve"> PAGEREF _Toc151565435 \h </w:instrText>
        </w:r>
        <w:r w:rsidR="00611280" w:rsidRPr="00390B6F">
          <w:rPr>
            <w:noProof/>
            <w:webHidden/>
          </w:rPr>
        </w:r>
        <w:r w:rsidR="00611280" w:rsidRPr="00390B6F">
          <w:rPr>
            <w:noProof/>
            <w:webHidden/>
          </w:rPr>
          <w:fldChar w:fldCharType="separate"/>
        </w:r>
        <w:r w:rsidR="005E3564">
          <w:rPr>
            <w:noProof/>
            <w:webHidden/>
          </w:rPr>
          <w:t>24</w:t>
        </w:r>
        <w:r w:rsidR="00611280" w:rsidRPr="00390B6F">
          <w:rPr>
            <w:noProof/>
            <w:webHidden/>
          </w:rPr>
          <w:fldChar w:fldCharType="end"/>
        </w:r>
      </w:hyperlink>
    </w:p>
    <w:p w14:paraId="0A6EE31A" w14:textId="08FDE0EF" w:rsidR="009F1464" w:rsidRPr="00390B6F" w:rsidRDefault="00B67ABA" w:rsidP="009C525E">
      <w:pPr>
        <w:pStyle w:val="TOCHeading"/>
        <w:jc w:val="both"/>
        <w:rPr>
          <w:rStyle w:val="Strong"/>
          <w:rFonts w:cstheme="minorHAnsi"/>
          <w:b w:val="0"/>
          <w:sz w:val="18"/>
          <w:szCs w:val="18"/>
        </w:rPr>
      </w:pPr>
      <w:r w:rsidRPr="00390B6F">
        <w:rPr>
          <w:rStyle w:val="Strong"/>
          <w:rFonts w:cstheme="minorHAnsi"/>
          <w:b w:val="0"/>
          <w:sz w:val="18"/>
          <w:szCs w:val="18"/>
        </w:rPr>
        <w:fldChar w:fldCharType="end"/>
      </w:r>
      <w:bookmarkStart w:id="7" w:name="_Toc21461240"/>
      <w:bookmarkStart w:id="8" w:name="_Toc21517203"/>
    </w:p>
    <w:p w14:paraId="1684EF70" w14:textId="44B16058" w:rsidR="00825572" w:rsidRDefault="0030217E" w:rsidP="00A52AFE">
      <w:pPr>
        <w:pStyle w:val="TOCHeading"/>
        <w:spacing w:after="240"/>
        <w:jc w:val="both"/>
        <w:rPr>
          <w:rFonts w:asciiTheme="minorHAnsi" w:hAnsiTheme="minorHAnsi" w:cstheme="minorHAnsi"/>
        </w:rPr>
      </w:pPr>
      <w:r w:rsidRPr="00390B6F">
        <w:rPr>
          <w:rFonts w:asciiTheme="minorHAnsi" w:hAnsiTheme="minorHAnsi" w:cstheme="minorHAnsi"/>
        </w:rPr>
        <w:t>Tables</w:t>
      </w:r>
      <w:r w:rsidR="00EF588B">
        <w:rPr>
          <w:rFonts w:asciiTheme="minorHAnsi" w:hAnsiTheme="minorHAnsi" w:cstheme="minorHAnsi"/>
        </w:rPr>
        <w:t xml:space="preserve"> and Figures</w:t>
      </w:r>
    </w:p>
    <w:p w14:paraId="30756646" w14:textId="5641E894" w:rsidR="00EF588B" w:rsidRDefault="00EF588B">
      <w:pPr>
        <w:pStyle w:val="TableofFigures"/>
        <w:tabs>
          <w:tab w:val="left" w:pos="1000"/>
          <w:tab w:val="right" w:leader="dot" w:pos="9629"/>
        </w:tabs>
        <w:rPr>
          <w:noProof/>
          <w:kern w:val="2"/>
          <w:sz w:val="22"/>
          <w:lang w:eastAsia="en-AU"/>
          <w14:ligatures w14:val="standardContextual"/>
        </w:rPr>
      </w:pPr>
      <w:r>
        <w:fldChar w:fldCharType="begin"/>
      </w:r>
      <w:r>
        <w:instrText xml:space="preserve"> TOC \h \z \c "Table" </w:instrText>
      </w:r>
      <w:r>
        <w:fldChar w:fldCharType="separate"/>
      </w:r>
      <w:hyperlink w:anchor="_Toc155353030" w:history="1">
        <w:r w:rsidRPr="00D43FD1">
          <w:rPr>
            <w:rStyle w:val="Hyperlink"/>
            <w:noProof/>
          </w:rPr>
          <w:t>Table 1</w:t>
        </w:r>
        <w:r>
          <w:rPr>
            <w:noProof/>
            <w:kern w:val="2"/>
            <w:sz w:val="22"/>
            <w:lang w:eastAsia="en-AU"/>
            <w14:ligatures w14:val="standardContextual"/>
          </w:rPr>
          <w:tab/>
        </w:r>
        <w:r w:rsidRPr="00D43FD1">
          <w:rPr>
            <w:rStyle w:val="Hyperlink"/>
            <w:noProof/>
          </w:rPr>
          <w:t>Summary of VfM Assessment Results</w:t>
        </w:r>
        <w:r>
          <w:rPr>
            <w:noProof/>
            <w:webHidden/>
          </w:rPr>
          <w:tab/>
        </w:r>
        <w:r>
          <w:rPr>
            <w:noProof/>
            <w:webHidden/>
          </w:rPr>
          <w:fldChar w:fldCharType="begin"/>
        </w:r>
        <w:r>
          <w:rPr>
            <w:noProof/>
            <w:webHidden/>
          </w:rPr>
          <w:instrText xml:space="preserve"> PAGEREF _Toc155353030 \h </w:instrText>
        </w:r>
        <w:r>
          <w:rPr>
            <w:noProof/>
            <w:webHidden/>
          </w:rPr>
        </w:r>
        <w:r>
          <w:rPr>
            <w:noProof/>
            <w:webHidden/>
          </w:rPr>
          <w:fldChar w:fldCharType="separate"/>
        </w:r>
        <w:r>
          <w:rPr>
            <w:noProof/>
            <w:webHidden/>
          </w:rPr>
          <w:t>8</w:t>
        </w:r>
        <w:r>
          <w:rPr>
            <w:noProof/>
            <w:webHidden/>
          </w:rPr>
          <w:fldChar w:fldCharType="end"/>
        </w:r>
      </w:hyperlink>
    </w:p>
    <w:p w14:paraId="40B8422C" w14:textId="22E16652" w:rsidR="00EF588B" w:rsidRPr="00EF588B" w:rsidRDefault="00EF588B" w:rsidP="00EF588B">
      <w:r>
        <w:fldChar w:fldCharType="end"/>
      </w:r>
    </w:p>
    <w:bookmarkStart w:id="9" w:name="_Hlk70673572"/>
    <w:bookmarkStart w:id="10" w:name="_Hlk109489024"/>
    <w:p w14:paraId="6A93056A" w14:textId="057DB2BB" w:rsidR="00EF588B" w:rsidRDefault="00EF588B">
      <w:pPr>
        <w:pStyle w:val="TableofFigures"/>
        <w:tabs>
          <w:tab w:val="left" w:pos="1000"/>
          <w:tab w:val="right" w:leader="dot" w:pos="9629"/>
        </w:tabs>
        <w:rPr>
          <w:noProof/>
          <w:kern w:val="2"/>
          <w:sz w:val="22"/>
          <w:lang w:eastAsia="en-AU"/>
          <w14:ligatures w14:val="standardContextual"/>
        </w:rPr>
      </w:pPr>
      <w:r>
        <w:rPr>
          <w:rFonts w:cstheme="minorHAnsi"/>
        </w:rPr>
        <w:fldChar w:fldCharType="begin"/>
      </w:r>
      <w:r>
        <w:rPr>
          <w:rFonts w:cstheme="minorHAnsi"/>
        </w:rPr>
        <w:instrText xml:space="preserve"> TOC \h \z \c "Figure" </w:instrText>
      </w:r>
      <w:r>
        <w:rPr>
          <w:rFonts w:cstheme="minorHAnsi"/>
        </w:rPr>
        <w:fldChar w:fldCharType="separate"/>
      </w:r>
      <w:hyperlink w:anchor="_Toc155353020" w:history="1">
        <w:r w:rsidRPr="00363112">
          <w:rPr>
            <w:rStyle w:val="Hyperlink"/>
            <w:noProof/>
          </w:rPr>
          <w:t xml:space="preserve">Figure 1 </w:t>
        </w:r>
        <w:r>
          <w:rPr>
            <w:noProof/>
            <w:kern w:val="2"/>
            <w:sz w:val="22"/>
            <w:lang w:eastAsia="en-AU"/>
            <w14:ligatures w14:val="standardContextual"/>
          </w:rPr>
          <w:tab/>
        </w:r>
        <w:r w:rsidRPr="00363112">
          <w:rPr>
            <w:rStyle w:val="Hyperlink"/>
            <w:noProof/>
          </w:rPr>
          <w:t>End of Facility Outcomes and Intermediate Outcomes</w:t>
        </w:r>
        <w:r>
          <w:rPr>
            <w:noProof/>
            <w:webHidden/>
          </w:rPr>
          <w:tab/>
        </w:r>
        <w:r>
          <w:rPr>
            <w:noProof/>
            <w:webHidden/>
          </w:rPr>
          <w:fldChar w:fldCharType="begin"/>
        </w:r>
        <w:r>
          <w:rPr>
            <w:noProof/>
            <w:webHidden/>
          </w:rPr>
          <w:instrText xml:space="preserve"> PAGEREF _Toc155353020 \h </w:instrText>
        </w:r>
        <w:r>
          <w:rPr>
            <w:noProof/>
            <w:webHidden/>
          </w:rPr>
        </w:r>
        <w:r>
          <w:rPr>
            <w:noProof/>
            <w:webHidden/>
          </w:rPr>
          <w:fldChar w:fldCharType="separate"/>
        </w:r>
        <w:r>
          <w:rPr>
            <w:noProof/>
            <w:webHidden/>
          </w:rPr>
          <w:t>2</w:t>
        </w:r>
        <w:r>
          <w:rPr>
            <w:noProof/>
            <w:webHidden/>
          </w:rPr>
          <w:fldChar w:fldCharType="end"/>
        </w:r>
      </w:hyperlink>
    </w:p>
    <w:p w14:paraId="2B001181" w14:textId="2543A879" w:rsidR="00825572" w:rsidRDefault="00EF588B">
      <w:pPr>
        <w:spacing w:before="40" w:after="120"/>
        <w:rPr>
          <w:rFonts w:asciiTheme="minorHAnsi" w:eastAsiaTheme="majorEastAsia" w:hAnsiTheme="minorHAnsi" w:cstheme="minorHAnsi"/>
          <w:bCs/>
          <w:color w:val="35615E" w:themeColor="accent1" w:themeShade="BF"/>
          <w:sz w:val="36"/>
          <w:szCs w:val="32"/>
        </w:rPr>
      </w:pPr>
      <w:r>
        <w:rPr>
          <w:rFonts w:asciiTheme="minorHAnsi" w:hAnsiTheme="minorHAnsi" w:cstheme="minorHAnsi"/>
        </w:rPr>
        <w:fldChar w:fldCharType="end"/>
      </w:r>
      <w:r w:rsidR="00825572">
        <w:rPr>
          <w:rFonts w:asciiTheme="minorHAnsi" w:hAnsiTheme="minorHAnsi" w:cstheme="minorHAnsi"/>
        </w:rPr>
        <w:br w:type="page"/>
      </w:r>
    </w:p>
    <w:p w14:paraId="7B8AB6B3" w14:textId="5BBE34E5" w:rsidR="006946DD" w:rsidRPr="00390B6F" w:rsidRDefault="006946DD" w:rsidP="00A52AFE">
      <w:pPr>
        <w:pStyle w:val="TOCHeading"/>
        <w:spacing w:before="0" w:after="240"/>
        <w:jc w:val="both"/>
        <w:rPr>
          <w:rFonts w:asciiTheme="minorHAnsi" w:hAnsiTheme="minorHAnsi" w:cstheme="minorHAnsi"/>
        </w:rPr>
      </w:pPr>
      <w:r w:rsidRPr="00390B6F">
        <w:rPr>
          <w:rFonts w:asciiTheme="minorHAnsi" w:hAnsiTheme="minorHAnsi" w:cstheme="minorHAnsi"/>
        </w:rPr>
        <w:lastRenderedPageBreak/>
        <w:t>Acronyms</w:t>
      </w:r>
    </w:p>
    <w:p w14:paraId="6409BB51" w14:textId="77777777" w:rsidR="008E3B44" w:rsidRPr="00390B6F" w:rsidRDefault="008E3B44" w:rsidP="005E3564">
      <w:pPr>
        <w:tabs>
          <w:tab w:val="left" w:pos="1134"/>
        </w:tabs>
        <w:spacing w:before="40" w:after="240"/>
        <w:rPr>
          <w:rFonts w:cstheme="minorHAnsi"/>
        </w:rPr>
      </w:pPr>
      <w:bookmarkStart w:id="11" w:name="_Hlk45286655"/>
      <w:bookmarkStart w:id="12" w:name="_Hlk32159323"/>
      <w:bookmarkEnd w:id="7"/>
      <w:bookmarkEnd w:id="9"/>
      <w:r w:rsidRPr="00390B6F">
        <w:rPr>
          <w:rFonts w:cstheme="minorHAnsi"/>
        </w:rPr>
        <w:t>AHC</w:t>
      </w:r>
      <w:r w:rsidRPr="00390B6F">
        <w:rPr>
          <w:rFonts w:cstheme="minorHAnsi"/>
        </w:rPr>
        <w:tab/>
        <w:t>Australian High Commission</w:t>
      </w:r>
    </w:p>
    <w:p w14:paraId="6463F03C" w14:textId="77777777" w:rsidR="008E3B44" w:rsidRPr="00390B6F" w:rsidRDefault="008E3B44" w:rsidP="005E3564">
      <w:pPr>
        <w:tabs>
          <w:tab w:val="left" w:pos="1134"/>
        </w:tabs>
        <w:spacing w:before="40" w:after="240"/>
        <w:rPr>
          <w:rFonts w:cstheme="minorHAnsi"/>
        </w:rPr>
      </w:pPr>
      <w:r w:rsidRPr="00390B6F">
        <w:rPr>
          <w:rFonts w:cstheme="minorHAnsi"/>
        </w:rPr>
        <w:t>ASIRF</w:t>
      </w:r>
      <w:r w:rsidRPr="00390B6F">
        <w:rPr>
          <w:rFonts w:cstheme="minorHAnsi"/>
        </w:rPr>
        <w:tab/>
        <w:t>Australia’s Solomon Islands Resource Facility</w:t>
      </w:r>
    </w:p>
    <w:p w14:paraId="69041785" w14:textId="77777777" w:rsidR="008E3B44" w:rsidRPr="00390B6F" w:rsidRDefault="008E3B44" w:rsidP="005E3564">
      <w:pPr>
        <w:tabs>
          <w:tab w:val="left" w:pos="1134"/>
        </w:tabs>
        <w:spacing w:before="40" w:after="240"/>
        <w:rPr>
          <w:rFonts w:cstheme="minorHAnsi"/>
        </w:rPr>
      </w:pPr>
      <w:r w:rsidRPr="00390B6F">
        <w:rPr>
          <w:rFonts w:cstheme="minorHAnsi"/>
        </w:rPr>
        <w:t>AWP</w:t>
      </w:r>
      <w:r w:rsidRPr="00390B6F">
        <w:rPr>
          <w:rFonts w:cstheme="minorHAnsi"/>
        </w:rPr>
        <w:tab/>
        <w:t>Annual Work Plan</w:t>
      </w:r>
    </w:p>
    <w:p w14:paraId="5D072E78" w14:textId="77777777" w:rsidR="008E3B44" w:rsidRPr="00390B6F" w:rsidRDefault="008E3B44" w:rsidP="005E3564">
      <w:pPr>
        <w:tabs>
          <w:tab w:val="left" w:pos="1134"/>
        </w:tabs>
        <w:spacing w:before="40" w:after="240"/>
        <w:rPr>
          <w:rFonts w:cstheme="minorHAnsi"/>
        </w:rPr>
      </w:pPr>
      <w:r w:rsidRPr="00390B6F">
        <w:rPr>
          <w:rFonts w:cstheme="minorHAnsi"/>
        </w:rPr>
        <w:t>DFAT</w:t>
      </w:r>
      <w:r w:rsidRPr="00390B6F">
        <w:rPr>
          <w:rFonts w:cstheme="minorHAnsi"/>
        </w:rPr>
        <w:tab/>
        <w:t>Department of Foreign Affairs and Trade</w:t>
      </w:r>
    </w:p>
    <w:p w14:paraId="778E93AC" w14:textId="77777777" w:rsidR="008E3B44" w:rsidRPr="00390B6F" w:rsidRDefault="008E3B44" w:rsidP="005E3564">
      <w:pPr>
        <w:tabs>
          <w:tab w:val="left" w:pos="1134"/>
        </w:tabs>
        <w:spacing w:before="40" w:after="240"/>
        <w:rPr>
          <w:rFonts w:cstheme="minorHAnsi"/>
        </w:rPr>
      </w:pPr>
      <w:r w:rsidRPr="00390B6F">
        <w:rPr>
          <w:rFonts w:cstheme="minorHAnsi"/>
        </w:rPr>
        <w:t>DSS</w:t>
      </w:r>
      <w:r w:rsidRPr="00390B6F">
        <w:rPr>
          <w:rFonts w:cstheme="minorHAnsi"/>
        </w:rPr>
        <w:tab/>
        <w:t>Deployee Support Services</w:t>
      </w:r>
    </w:p>
    <w:p w14:paraId="33C424C5" w14:textId="77777777" w:rsidR="008E3B44" w:rsidRPr="00390B6F" w:rsidRDefault="008E3B44" w:rsidP="005E3564">
      <w:pPr>
        <w:tabs>
          <w:tab w:val="left" w:pos="1134"/>
        </w:tabs>
        <w:spacing w:before="40" w:after="240"/>
        <w:rPr>
          <w:rFonts w:cstheme="minorHAnsi"/>
        </w:rPr>
      </w:pPr>
      <w:proofErr w:type="spellStart"/>
      <w:r w:rsidRPr="00390B6F">
        <w:rPr>
          <w:rFonts w:cstheme="minorHAnsi"/>
        </w:rPr>
        <w:t>EoFE</w:t>
      </w:r>
      <w:proofErr w:type="spellEnd"/>
      <w:r w:rsidRPr="00390B6F">
        <w:rPr>
          <w:rFonts w:cstheme="minorHAnsi"/>
        </w:rPr>
        <w:tab/>
        <w:t>End of Facility Evaluation</w:t>
      </w:r>
    </w:p>
    <w:p w14:paraId="06C37A01" w14:textId="77777777" w:rsidR="008E3B44" w:rsidRPr="00390B6F" w:rsidRDefault="008E3B44" w:rsidP="005E3564">
      <w:pPr>
        <w:tabs>
          <w:tab w:val="left" w:pos="1134"/>
        </w:tabs>
        <w:spacing w:before="40" w:after="240"/>
        <w:rPr>
          <w:rFonts w:cstheme="minorHAnsi"/>
        </w:rPr>
      </w:pPr>
      <w:r w:rsidRPr="00390B6F">
        <w:rPr>
          <w:rFonts w:cstheme="minorHAnsi"/>
        </w:rPr>
        <w:t>EOFO</w:t>
      </w:r>
      <w:r w:rsidRPr="00390B6F">
        <w:rPr>
          <w:rFonts w:cstheme="minorHAnsi"/>
        </w:rPr>
        <w:tab/>
        <w:t>End of Facility Outcome</w:t>
      </w:r>
    </w:p>
    <w:p w14:paraId="7C4A57E8" w14:textId="77777777" w:rsidR="008E3B44" w:rsidRPr="00390B6F" w:rsidRDefault="008E3B44" w:rsidP="005E3564">
      <w:pPr>
        <w:tabs>
          <w:tab w:val="left" w:pos="1134"/>
        </w:tabs>
        <w:spacing w:before="40" w:after="240"/>
        <w:rPr>
          <w:rFonts w:cstheme="minorHAnsi"/>
        </w:rPr>
      </w:pPr>
      <w:r w:rsidRPr="00390B6F">
        <w:rPr>
          <w:rFonts w:cstheme="minorHAnsi"/>
        </w:rPr>
        <w:t>FMT</w:t>
      </w:r>
      <w:r w:rsidRPr="00390B6F">
        <w:rPr>
          <w:rFonts w:cstheme="minorHAnsi"/>
        </w:rPr>
        <w:tab/>
        <w:t>Facility Management Team</w:t>
      </w:r>
    </w:p>
    <w:p w14:paraId="4B1B4E79" w14:textId="77777777" w:rsidR="008E3B44" w:rsidRPr="00390B6F" w:rsidRDefault="008E3B44" w:rsidP="005E3564">
      <w:pPr>
        <w:tabs>
          <w:tab w:val="left" w:pos="1134"/>
        </w:tabs>
        <w:spacing w:before="40" w:after="240"/>
        <w:rPr>
          <w:rFonts w:cstheme="minorHAnsi"/>
        </w:rPr>
      </w:pPr>
      <w:r w:rsidRPr="00390B6F">
        <w:rPr>
          <w:rFonts w:cstheme="minorHAnsi"/>
        </w:rPr>
        <w:t>GEDSI</w:t>
      </w:r>
      <w:r w:rsidRPr="00390B6F">
        <w:rPr>
          <w:rFonts w:cstheme="minorHAnsi"/>
        </w:rPr>
        <w:tab/>
        <w:t>Gender Equality, Disability, and Social Inclusion</w:t>
      </w:r>
    </w:p>
    <w:p w14:paraId="719E6713" w14:textId="77777777" w:rsidR="008E3B44" w:rsidRPr="00390B6F" w:rsidRDefault="008E3B44" w:rsidP="005E3564">
      <w:pPr>
        <w:tabs>
          <w:tab w:val="left" w:pos="1134"/>
        </w:tabs>
        <w:spacing w:before="40" w:after="240"/>
        <w:rPr>
          <w:rFonts w:cstheme="minorHAnsi"/>
        </w:rPr>
      </w:pPr>
      <w:proofErr w:type="spellStart"/>
      <w:r w:rsidRPr="00390B6F">
        <w:rPr>
          <w:rFonts w:cstheme="minorHAnsi"/>
        </w:rPr>
        <w:t>HoP</w:t>
      </w:r>
      <w:proofErr w:type="spellEnd"/>
      <w:r w:rsidRPr="00390B6F">
        <w:rPr>
          <w:rFonts w:cstheme="minorHAnsi"/>
        </w:rPr>
        <w:tab/>
        <w:t>Heads of Program</w:t>
      </w:r>
    </w:p>
    <w:p w14:paraId="64E52C0D" w14:textId="77777777" w:rsidR="008E3B44" w:rsidRPr="00390B6F" w:rsidRDefault="008E3B44" w:rsidP="005E3564">
      <w:pPr>
        <w:tabs>
          <w:tab w:val="left" w:pos="1134"/>
        </w:tabs>
        <w:spacing w:before="40" w:after="240"/>
        <w:rPr>
          <w:rFonts w:cstheme="minorHAnsi"/>
        </w:rPr>
      </w:pPr>
      <w:r w:rsidRPr="00390B6F">
        <w:rPr>
          <w:rFonts w:cstheme="minorHAnsi"/>
        </w:rPr>
        <w:t>HR</w:t>
      </w:r>
      <w:r w:rsidRPr="00390B6F">
        <w:rPr>
          <w:rFonts w:cstheme="minorHAnsi"/>
        </w:rPr>
        <w:tab/>
        <w:t>Human Resources</w:t>
      </w:r>
    </w:p>
    <w:p w14:paraId="46D7DB25" w14:textId="77777777" w:rsidR="008E3B44" w:rsidRPr="00390B6F" w:rsidRDefault="008E3B44" w:rsidP="005E3564">
      <w:pPr>
        <w:tabs>
          <w:tab w:val="left" w:pos="1134"/>
        </w:tabs>
        <w:spacing w:before="40" w:after="240"/>
        <w:rPr>
          <w:rFonts w:cstheme="minorHAnsi"/>
        </w:rPr>
      </w:pPr>
      <w:r w:rsidRPr="00390B6F">
        <w:rPr>
          <w:rFonts w:cstheme="minorHAnsi"/>
        </w:rPr>
        <w:t>IO</w:t>
      </w:r>
      <w:r w:rsidRPr="00390B6F">
        <w:rPr>
          <w:rFonts w:cstheme="minorHAnsi"/>
        </w:rPr>
        <w:tab/>
        <w:t>Intermediate Outcome</w:t>
      </w:r>
    </w:p>
    <w:p w14:paraId="61FEEDE9" w14:textId="77777777" w:rsidR="008E3B44" w:rsidRPr="00390B6F" w:rsidRDefault="008E3B44" w:rsidP="005E3564">
      <w:pPr>
        <w:tabs>
          <w:tab w:val="left" w:pos="1134"/>
        </w:tabs>
        <w:spacing w:before="40" w:after="240"/>
        <w:rPr>
          <w:rFonts w:cstheme="minorHAnsi"/>
        </w:rPr>
      </w:pPr>
      <w:r w:rsidRPr="00390B6F">
        <w:rPr>
          <w:rFonts w:cstheme="minorHAnsi"/>
        </w:rPr>
        <w:t>LES</w:t>
      </w:r>
      <w:r w:rsidRPr="00390B6F">
        <w:rPr>
          <w:rFonts w:cstheme="minorHAnsi"/>
        </w:rPr>
        <w:tab/>
        <w:t>Locally Engaged Staff</w:t>
      </w:r>
    </w:p>
    <w:p w14:paraId="0DB258B4" w14:textId="77777777" w:rsidR="008E3B44" w:rsidRPr="00390B6F" w:rsidRDefault="008E3B44" w:rsidP="005E3564">
      <w:pPr>
        <w:tabs>
          <w:tab w:val="left" w:pos="1134"/>
        </w:tabs>
        <w:spacing w:before="40" w:after="240"/>
        <w:rPr>
          <w:rFonts w:cstheme="minorHAnsi"/>
        </w:rPr>
      </w:pPr>
      <w:r w:rsidRPr="00390B6F">
        <w:rPr>
          <w:rFonts w:cstheme="minorHAnsi"/>
        </w:rPr>
        <w:t>M&amp;E</w:t>
      </w:r>
      <w:r w:rsidRPr="00390B6F">
        <w:rPr>
          <w:rFonts w:cstheme="minorHAnsi"/>
        </w:rPr>
        <w:tab/>
        <w:t>Monitoring and Evaluation</w:t>
      </w:r>
    </w:p>
    <w:p w14:paraId="0E019FC6" w14:textId="77777777" w:rsidR="008E3B44" w:rsidRPr="00390B6F" w:rsidRDefault="008E3B44" w:rsidP="005E3564">
      <w:pPr>
        <w:tabs>
          <w:tab w:val="left" w:pos="1134"/>
        </w:tabs>
        <w:spacing w:before="40" w:after="240"/>
        <w:rPr>
          <w:rFonts w:cstheme="minorHAnsi"/>
        </w:rPr>
      </w:pPr>
      <w:r w:rsidRPr="00390B6F">
        <w:rPr>
          <w:rFonts w:cstheme="minorHAnsi"/>
        </w:rPr>
        <w:t>MEL</w:t>
      </w:r>
      <w:r w:rsidRPr="00390B6F">
        <w:rPr>
          <w:rFonts w:cstheme="minorHAnsi"/>
        </w:rPr>
        <w:tab/>
        <w:t>Monitoring, Evaluation and Learning</w:t>
      </w:r>
    </w:p>
    <w:p w14:paraId="6F5B331D" w14:textId="77777777" w:rsidR="008E3B44" w:rsidRPr="00390B6F" w:rsidRDefault="008E3B44" w:rsidP="005E3564">
      <w:pPr>
        <w:tabs>
          <w:tab w:val="left" w:pos="1134"/>
        </w:tabs>
        <w:spacing w:before="40" w:after="240"/>
        <w:rPr>
          <w:rFonts w:cstheme="minorHAnsi"/>
        </w:rPr>
      </w:pPr>
      <w:r w:rsidRPr="00390B6F">
        <w:rPr>
          <w:rFonts w:cstheme="minorHAnsi"/>
        </w:rPr>
        <w:t>MIS</w:t>
      </w:r>
      <w:r w:rsidRPr="00390B6F">
        <w:rPr>
          <w:rFonts w:cstheme="minorHAnsi"/>
        </w:rPr>
        <w:tab/>
        <w:t>Management Information System</w:t>
      </w:r>
    </w:p>
    <w:p w14:paraId="18C4C49E" w14:textId="77777777" w:rsidR="008E3B44" w:rsidRPr="00390B6F" w:rsidRDefault="008E3B44" w:rsidP="005E3564">
      <w:pPr>
        <w:tabs>
          <w:tab w:val="left" w:pos="1134"/>
        </w:tabs>
        <w:spacing w:before="40" w:after="240"/>
        <w:rPr>
          <w:rFonts w:cstheme="minorHAnsi"/>
        </w:rPr>
      </w:pPr>
      <w:r w:rsidRPr="00390B6F">
        <w:rPr>
          <w:rFonts w:cstheme="minorHAnsi"/>
        </w:rPr>
        <w:t>PAF</w:t>
      </w:r>
      <w:r w:rsidRPr="00390B6F">
        <w:rPr>
          <w:rFonts w:cstheme="minorHAnsi"/>
        </w:rPr>
        <w:tab/>
        <w:t>Performance Assessment Framework</w:t>
      </w:r>
    </w:p>
    <w:p w14:paraId="29F542C8" w14:textId="77777777" w:rsidR="008E3B44" w:rsidRPr="00390B6F" w:rsidRDefault="008E3B44" w:rsidP="005E3564">
      <w:pPr>
        <w:tabs>
          <w:tab w:val="left" w:pos="1134"/>
        </w:tabs>
        <w:spacing w:before="40" w:after="240"/>
        <w:rPr>
          <w:rFonts w:cstheme="minorHAnsi"/>
        </w:rPr>
      </w:pPr>
      <w:r w:rsidRPr="00390B6F">
        <w:rPr>
          <w:rFonts w:cstheme="minorHAnsi"/>
        </w:rPr>
        <w:t>SIG</w:t>
      </w:r>
      <w:r w:rsidRPr="00390B6F">
        <w:rPr>
          <w:rFonts w:cstheme="minorHAnsi"/>
        </w:rPr>
        <w:tab/>
        <w:t>Solomon Islands Government</w:t>
      </w:r>
    </w:p>
    <w:p w14:paraId="2315FCB3" w14:textId="7BCD3E8D" w:rsidR="008E3B44" w:rsidRPr="00390B6F" w:rsidRDefault="008E3B44" w:rsidP="005E3564">
      <w:pPr>
        <w:tabs>
          <w:tab w:val="left" w:pos="1134"/>
        </w:tabs>
        <w:spacing w:before="40" w:after="240"/>
        <w:rPr>
          <w:rFonts w:cstheme="minorHAnsi"/>
        </w:rPr>
      </w:pPr>
      <w:r w:rsidRPr="00390B6F">
        <w:rPr>
          <w:rFonts w:cstheme="minorHAnsi"/>
        </w:rPr>
        <w:t xml:space="preserve">SO </w:t>
      </w:r>
      <w:r w:rsidRPr="00390B6F">
        <w:rPr>
          <w:rFonts w:cstheme="minorHAnsi"/>
        </w:rPr>
        <w:tab/>
        <w:t>Service Order</w:t>
      </w:r>
    </w:p>
    <w:p w14:paraId="1D8C14E7" w14:textId="77777777" w:rsidR="008E3B44" w:rsidRPr="00390B6F" w:rsidRDefault="008E3B44" w:rsidP="005E3564">
      <w:pPr>
        <w:tabs>
          <w:tab w:val="left" w:pos="1134"/>
        </w:tabs>
        <w:spacing w:before="40" w:after="240"/>
        <w:rPr>
          <w:rFonts w:cstheme="minorHAnsi"/>
        </w:rPr>
      </w:pPr>
      <w:r w:rsidRPr="00390B6F">
        <w:rPr>
          <w:rFonts w:cstheme="minorHAnsi"/>
        </w:rPr>
        <w:t>VfM</w:t>
      </w:r>
      <w:r w:rsidRPr="00390B6F">
        <w:rPr>
          <w:rFonts w:cstheme="minorHAnsi"/>
        </w:rPr>
        <w:tab/>
        <w:t>Value for Money</w:t>
      </w:r>
    </w:p>
    <w:p w14:paraId="06638774" w14:textId="77777777" w:rsidR="00992CF6" w:rsidRDefault="008E3B44" w:rsidP="005E3564">
      <w:pPr>
        <w:tabs>
          <w:tab w:val="left" w:pos="1134"/>
        </w:tabs>
        <w:spacing w:before="40" w:after="240"/>
        <w:rPr>
          <w:rFonts w:cstheme="minorHAnsi"/>
        </w:rPr>
      </w:pPr>
      <w:r w:rsidRPr="00390B6F">
        <w:rPr>
          <w:rFonts w:cstheme="minorHAnsi"/>
        </w:rPr>
        <w:t>WoW</w:t>
      </w:r>
      <w:r w:rsidRPr="00390B6F">
        <w:rPr>
          <w:rFonts w:cstheme="minorHAnsi"/>
        </w:rPr>
        <w:tab/>
        <w:t>Ways of Working</w:t>
      </w:r>
    </w:p>
    <w:p w14:paraId="4CA3EB1D" w14:textId="216DA519" w:rsidR="009F1464" w:rsidRPr="00390B6F" w:rsidRDefault="009F1464" w:rsidP="008E3B44">
      <w:pPr>
        <w:tabs>
          <w:tab w:val="left" w:pos="1134"/>
        </w:tabs>
        <w:spacing w:before="40" w:after="120"/>
        <w:rPr>
          <w:rFonts w:asciiTheme="minorHAnsi" w:eastAsiaTheme="minorEastAsia" w:hAnsiTheme="minorHAnsi" w:cstheme="minorHAnsi"/>
          <w:szCs w:val="22"/>
        </w:rPr>
      </w:pPr>
      <w:r w:rsidRPr="00390B6F">
        <w:rPr>
          <w:rFonts w:cstheme="minorHAnsi"/>
        </w:rPr>
        <w:br w:type="page"/>
      </w:r>
    </w:p>
    <w:p w14:paraId="62C6CBD2" w14:textId="72664E54" w:rsidR="002E493B" w:rsidRPr="00390B6F" w:rsidRDefault="002E493B" w:rsidP="002E493B">
      <w:pPr>
        <w:keepNext/>
        <w:keepLines/>
        <w:tabs>
          <w:tab w:val="left" w:pos="4187"/>
        </w:tabs>
        <w:spacing w:after="120"/>
        <w:ind w:left="851" w:hanging="851"/>
        <w:jc w:val="both"/>
        <w:outlineLvl w:val="0"/>
        <w:rPr>
          <w:rFonts w:eastAsia="SimHei" w:cs="Arial"/>
          <w:bCs/>
          <w:color w:val="47827E"/>
          <w:sz w:val="32"/>
          <w:szCs w:val="32"/>
        </w:rPr>
      </w:pPr>
      <w:bookmarkStart w:id="13" w:name="_Toc151565419"/>
      <w:bookmarkStart w:id="14" w:name="_Toc75360695"/>
      <w:bookmarkEnd w:id="8"/>
      <w:bookmarkEnd w:id="10"/>
      <w:bookmarkEnd w:id="11"/>
      <w:bookmarkEnd w:id="12"/>
      <w:r w:rsidRPr="00390B6F">
        <w:rPr>
          <w:rFonts w:eastAsia="SimHei" w:cs="Arial"/>
          <w:bCs/>
          <w:color w:val="35615E" w:themeColor="accent1" w:themeShade="BF"/>
          <w:sz w:val="32"/>
          <w:szCs w:val="32"/>
        </w:rPr>
        <w:lastRenderedPageBreak/>
        <w:t>Executive Summary</w:t>
      </w:r>
      <w:bookmarkEnd w:id="13"/>
    </w:p>
    <w:p w14:paraId="2682D42B" w14:textId="65D491E4" w:rsidR="008E3B44" w:rsidRPr="00390B6F" w:rsidRDefault="008E3B44" w:rsidP="005E3564">
      <w:pPr>
        <w:pStyle w:val="BodyText"/>
        <w:spacing w:after="0"/>
      </w:pPr>
      <w:r w:rsidRPr="00390B6F">
        <w:rPr>
          <w:lang w:eastAsia="en-AU"/>
        </w:rPr>
        <w:t>The Australia Solomon Islands Resource Facility (ASIRF) is a multi-sectoral investment managed by DT</w:t>
      </w:r>
      <w:r w:rsidR="00715E27">
        <w:rPr>
          <w:lang w:eastAsia="en-AU"/>
        </w:rPr>
        <w:t> </w:t>
      </w:r>
      <w:r w:rsidRPr="00390B6F">
        <w:rPr>
          <w:lang w:eastAsia="en-AU"/>
        </w:rPr>
        <w:t>Global</w:t>
      </w:r>
      <w:r w:rsidRPr="00390B6F">
        <w:rPr>
          <w:rStyle w:val="FootnoteReference"/>
          <w:sz w:val="22"/>
          <w:lang w:eastAsia="en-AU"/>
        </w:rPr>
        <w:footnoteReference w:id="2"/>
      </w:r>
      <w:r w:rsidRPr="00390B6F">
        <w:rPr>
          <w:lang w:eastAsia="en-AU"/>
        </w:rPr>
        <w:t>, that supports the Government of Australia’s development assistance to Solomon Islands. Established in January 2021 and running until 30 June 2023, ASIRF builds on the work of the previous facility, Solomon Islands Resource Facility, which ran from 2015 to 2020</w:t>
      </w:r>
      <w:r w:rsidRPr="00390B6F">
        <w:t>.</w:t>
      </w:r>
      <w:r w:rsidR="00207D5A" w:rsidRPr="00390B6F">
        <w:t xml:space="preserve"> </w:t>
      </w:r>
      <w:r w:rsidRPr="00390B6F">
        <w:t>The goal of the ASIRF is to support the work of the Australian High Commission (AHC) in meeting the objectives of the GoA in Solomon Islands, in an effective and efficient manner. ASIRF has two high level End of Facility Outcomes (EOFOs), which together contribute to this objective:</w:t>
      </w:r>
    </w:p>
    <w:p w14:paraId="04123384" w14:textId="77777777" w:rsidR="008E3B44" w:rsidRPr="00390B6F" w:rsidRDefault="008E3B44" w:rsidP="008E3B44">
      <w:pPr>
        <w:pStyle w:val="ListBullet"/>
      </w:pPr>
      <w:r w:rsidRPr="00390B6F">
        <w:t>ASIRF advisors demonstrably add value to SIG and DFAT development agendas and policy dialogue.</w:t>
      </w:r>
    </w:p>
    <w:p w14:paraId="494F03C7" w14:textId="77777777" w:rsidR="008E3B44" w:rsidRPr="00390B6F" w:rsidRDefault="008E3B44" w:rsidP="008E3B44">
      <w:pPr>
        <w:pStyle w:val="ListBullet"/>
      </w:pPr>
      <w:r w:rsidRPr="00390B6F">
        <w:t>ASIRF consistently provides DFAT with flexible, responsive, and high-quality advice.</w:t>
      </w:r>
    </w:p>
    <w:p w14:paraId="4A762E0A" w14:textId="77777777" w:rsidR="00825572" w:rsidRPr="00825572" w:rsidRDefault="008E3B44" w:rsidP="00825572">
      <w:pPr>
        <w:pStyle w:val="CROSSHEADl2"/>
        <w:rPr>
          <w:rStyle w:val="Strong"/>
          <w:rFonts w:asciiTheme="majorHAnsi" w:hAnsiTheme="majorHAnsi"/>
          <w:b/>
          <w:bCs w:val="0"/>
          <w:color w:val="35615E" w:themeColor="accent1" w:themeShade="BF"/>
        </w:rPr>
      </w:pPr>
      <w:r w:rsidRPr="00825572">
        <w:rPr>
          <w:rStyle w:val="Strong"/>
          <w:rFonts w:asciiTheme="majorHAnsi" w:hAnsiTheme="majorHAnsi"/>
          <w:b/>
          <w:bCs w:val="0"/>
          <w:color w:val="35615E" w:themeColor="accent1" w:themeShade="BF"/>
        </w:rPr>
        <w:t>Objective and Approach</w:t>
      </w:r>
    </w:p>
    <w:p w14:paraId="70AE1D45" w14:textId="59D7E4ED" w:rsidR="008E3B44" w:rsidRPr="00390B6F" w:rsidRDefault="008E3B44" w:rsidP="008E3B44">
      <w:pPr>
        <w:pStyle w:val="BodyText"/>
      </w:pPr>
      <w:r w:rsidRPr="00390B6F">
        <w:t xml:space="preserve">The objective of the final evaluation was to assess: </w:t>
      </w:r>
      <w:r w:rsidR="00636C53" w:rsidRPr="00390B6F">
        <w:t>‘</w:t>
      </w:r>
      <w:r w:rsidRPr="00390B6F">
        <w:t>the extent to which ASIRF was an effective and efficient model to support DFAT’s development portfolio and associated programs in Solomon Islands.</w:t>
      </w:r>
      <w:r w:rsidR="00636C53" w:rsidRPr="00390B6F">
        <w:t>’</w:t>
      </w:r>
    </w:p>
    <w:p w14:paraId="62A5DB79" w14:textId="174D4C7B" w:rsidR="008E3B44" w:rsidRPr="00390B6F" w:rsidRDefault="008E3B44" w:rsidP="008E3B44">
      <w:pPr>
        <w:pStyle w:val="BodyText"/>
      </w:pPr>
      <w:r w:rsidRPr="00390B6F">
        <w:t xml:space="preserve">The </w:t>
      </w:r>
      <w:r w:rsidR="00013A41">
        <w:t>End of Facility Evaluation</w:t>
      </w:r>
      <w:r w:rsidRPr="00390B6F">
        <w:t xml:space="preserve"> applied a primarily qualitative approach involving Key Informant interviews (KIIs) and group discussions and interviews. Secondary data available through six-monthly reports and other program deliverables were also utilised and assessed as part of the evaluation.</w:t>
      </w:r>
    </w:p>
    <w:p w14:paraId="0FE19118" w14:textId="77777777" w:rsidR="008E3B44" w:rsidRPr="00825572" w:rsidRDefault="008E3B44" w:rsidP="00825572">
      <w:pPr>
        <w:pStyle w:val="CROSSHEADl2"/>
        <w:rPr>
          <w:rStyle w:val="Strong"/>
          <w:rFonts w:asciiTheme="majorHAnsi" w:hAnsiTheme="majorHAnsi"/>
          <w:b/>
          <w:bCs w:val="0"/>
          <w:color w:val="35615E" w:themeColor="accent1" w:themeShade="BF"/>
        </w:rPr>
      </w:pPr>
      <w:r w:rsidRPr="00825572">
        <w:rPr>
          <w:rStyle w:val="Strong"/>
          <w:rFonts w:asciiTheme="majorHAnsi" w:hAnsiTheme="majorHAnsi"/>
          <w:b/>
          <w:bCs w:val="0"/>
          <w:color w:val="35615E" w:themeColor="accent1" w:themeShade="BF"/>
        </w:rPr>
        <w:t>Key Findings</w:t>
      </w:r>
    </w:p>
    <w:p w14:paraId="1B427000" w14:textId="58F427F1" w:rsidR="00825572"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t>Relevance</w:t>
      </w:r>
    </w:p>
    <w:p w14:paraId="0AB1E1DD" w14:textId="32D11C96" w:rsidR="008E3B44" w:rsidRPr="00390B6F" w:rsidRDefault="008E3B44" w:rsidP="008E3B44">
      <w:pPr>
        <w:pStyle w:val="BodyText"/>
      </w:pPr>
      <w:r w:rsidRPr="00390B6F">
        <w:t xml:space="preserve">ASIRF is a highly relevant program that continues to support and underpin DFAT investment and engagement with the Solomon Island Government (SIG) ministries and counterparts through Service Orders (SOs). A key feature of relevance is the </w:t>
      </w:r>
      <w:r w:rsidR="00636C53" w:rsidRPr="00390B6F">
        <w:t>‘</w:t>
      </w:r>
      <w:r w:rsidRPr="00390B6F">
        <w:t>economies of scale</w:t>
      </w:r>
      <w:r w:rsidR="00636C53" w:rsidRPr="00390B6F">
        <w:t>’</w:t>
      </w:r>
      <w:r w:rsidRPr="00390B6F">
        <w:t xml:space="preserve"> that ASIRF brings to supporting DFAT and SOs. Relevance is enhanced as ASIRF continually reviews and refines its approaches, based on emerging needs and priorities. This shift in focus has reaffirmed ASIRF’s primary role as a support function to SOs.</w:t>
      </w:r>
    </w:p>
    <w:p w14:paraId="6532A29D" w14:textId="29AD2324" w:rsidR="008E3B44"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t>Effectiveness</w:t>
      </w:r>
    </w:p>
    <w:p w14:paraId="563EE472" w14:textId="0F99684D" w:rsidR="00825572" w:rsidRDefault="008E3B44" w:rsidP="008E3B44">
      <w:pPr>
        <w:pStyle w:val="BodyText"/>
      </w:pPr>
      <w:r w:rsidRPr="00390B6F">
        <w:t xml:space="preserve">Overall, ASIRF is effective in delivering its mandate and contributing to the Intermediate Outcomes (IOs) and associated </w:t>
      </w:r>
      <w:proofErr w:type="spellStart"/>
      <w:r w:rsidRPr="00390B6F">
        <w:t>EoFOs</w:t>
      </w:r>
      <w:proofErr w:type="spellEnd"/>
      <w:r w:rsidRPr="00390B6F">
        <w:t xml:space="preserve">. A key learning to date has been the need for ASIRF to ensure it maintains its focus as an ‘enabling’ delivery model. This is also supported by the </w:t>
      </w:r>
      <w:r w:rsidR="00636C53" w:rsidRPr="00390B6F">
        <w:t>‘</w:t>
      </w:r>
      <w:r w:rsidRPr="00390B6F">
        <w:t>grouping of support</w:t>
      </w:r>
      <w:r w:rsidR="00636C53" w:rsidRPr="00390B6F">
        <w:t>’</w:t>
      </w:r>
      <w:r w:rsidRPr="00390B6F">
        <w:t xml:space="preserve"> to SOs. It was demonstrated that for this ‘enabling’ model to be most impactful and influential, effective management and clear communication across ASIRF is critical. The restructured Facility Management Team (FMT) contributed to this, with its focus on fostering a positive, proactive, and engaging work culture.</w:t>
      </w:r>
    </w:p>
    <w:p w14:paraId="174D3802" w14:textId="5ECF6ABE" w:rsidR="008E3B44" w:rsidRPr="005E3564" w:rsidRDefault="008E3B44" w:rsidP="008E3B44">
      <w:pPr>
        <w:pStyle w:val="BodyText"/>
        <w:rPr>
          <w:spacing w:val="-2"/>
        </w:rPr>
      </w:pPr>
      <w:r w:rsidRPr="005E3564">
        <w:rPr>
          <w:spacing w:val="-2"/>
        </w:rPr>
        <w:t xml:space="preserve">The application of multiple information systems (legacy and new systems) across the Facility, does to a degree, limit effectiveness. Effectiveness is also influenced by the ability of advisers and teams to work consistently and coherently. Most functions within ASIRF performing are well, however there were some imbalances in resourcing levels. Procurement is quite under-resourced and given the importance of procurement and its scale up, it is vital that appropriate and adequate resources are devoted to this function. </w:t>
      </w:r>
      <w:bookmarkStart w:id="15" w:name="_Hlk151471497"/>
      <w:r w:rsidRPr="005E3564">
        <w:rPr>
          <w:spacing w:val="-2"/>
        </w:rPr>
        <w:t xml:space="preserve">Two areas recognised for their </w:t>
      </w:r>
      <w:bookmarkEnd w:id="15"/>
      <w:r w:rsidRPr="005E3564">
        <w:rPr>
          <w:spacing w:val="-2"/>
        </w:rPr>
        <w:t>positive engagement and support were Deployee Support Services (DSS) and Security. Significant synergies have been realised and the application of the two streams of work, coupled with dedicated and experienced teams has meant that a high-quality level of service and support has been provided.</w:t>
      </w:r>
    </w:p>
    <w:p w14:paraId="2B69E0A7" w14:textId="7229E6B4" w:rsidR="00825572"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t>Efficiency</w:t>
      </w:r>
    </w:p>
    <w:p w14:paraId="198B524C" w14:textId="45CED90F" w:rsidR="008E3B44" w:rsidRPr="00390B6F" w:rsidRDefault="008E3B44" w:rsidP="008E3B44">
      <w:pPr>
        <w:pStyle w:val="BodyText"/>
      </w:pPr>
      <w:r w:rsidRPr="00390B6F">
        <w:t>ASIRF management arrangements are appropriate and fit-for purpose. In reviewing ASIRF through an efficiency lens, it is evident that ASIRF operates efficiently and delivers services in a cost-effective manner when compared to alternative models. The findings have been supported by a Value for Money (VfM) assessment completed in July-September 2022.</w:t>
      </w:r>
    </w:p>
    <w:p w14:paraId="7613FEDF" w14:textId="4C84844C" w:rsidR="00825572"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lastRenderedPageBreak/>
        <w:t>Monitoring, Evaluation and Learning (MEL)</w:t>
      </w:r>
    </w:p>
    <w:p w14:paraId="20865F61" w14:textId="73FBBA2B" w:rsidR="008E3B44" w:rsidRPr="00390B6F" w:rsidRDefault="008E3B44" w:rsidP="008E3B44">
      <w:pPr>
        <w:pStyle w:val="BodyText"/>
      </w:pPr>
      <w:r w:rsidRPr="00390B6F">
        <w:t xml:space="preserve">Monitoring and evaluation on ASIRF </w:t>
      </w:r>
      <w:r w:rsidR="00207D5A" w:rsidRPr="00390B6F">
        <w:t>have</w:t>
      </w:r>
      <w:r w:rsidRPr="00390B6F">
        <w:t xml:space="preserve"> generally been quite weak and has not been an effective support mechanism for implementation and management decision-making. This is an area for improvement going forward. At present monitoring, MEL and gender equality, </w:t>
      </w:r>
      <w:r w:rsidR="00207D5A" w:rsidRPr="00390B6F">
        <w:t>disability,</w:t>
      </w:r>
      <w:r w:rsidRPr="00390B6F">
        <w:t xml:space="preserve"> and social inclusion (GEDSI) tend to only report on operational aspects of ASIRF through the Performance Assessment Framework (PAF). There is scope to increase the role of MEL and GEDSI to provide more technical support and guidance to SOs.</w:t>
      </w:r>
    </w:p>
    <w:p w14:paraId="5896821A" w14:textId="12D429A9" w:rsidR="00825572"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t>Agility, Adaptability and Lessons Learned</w:t>
      </w:r>
    </w:p>
    <w:p w14:paraId="1F72EBD1" w14:textId="7825AE24" w:rsidR="008E3B44" w:rsidRPr="00390B6F" w:rsidRDefault="008E3B44" w:rsidP="008E3B44">
      <w:pPr>
        <w:pStyle w:val="BodyText"/>
      </w:pPr>
      <w:r w:rsidRPr="00390B6F">
        <w:t>In assessing the agility and adaptability of ASIRF during the current implementation period, it is clear that ASIRF has responded well to changing and challenging contexts. COVID-19 provided a significant testing ground for ASIRF. Evidence from initial surveys and feedback sessions revealed a mixed response about how ASIRF handled the impact of COVID-19 and the decision to de-mobilise staff and advisers. Follow-up surveys and interviews revealed greater appreciation of the efforts of ASIRF, as advisers and staff reviewed and reflected on the period.</w:t>
      </w:r>
    </w:p>
    <w:p w14:paraId="16CD6E85" w14:textId="704EE7E5" w:rsidR="008E3B44" w:rsidRPr="00825572" w:rsidRDefault="008E3B44" w:rsidP="005E3564">
      <w:pPr>
        <w:pStyle w:val="CROSSHEADL3"/>
        <w:rPr>
          <w:rStyle w:val="Strong"/>
          <w:rFonts w:asciiTheme="majorHAnsi" w:hAnsiTheme="majorHAnsi"/>
          <w:b/>
          <w:bCs w:val="0"/>
          <w:color w:val="auto"/>
        </w:rPr>
      </w:pPr>
      <w:r w:rsidRPr="00825572">
        <w:rPr>
          <w:rStyle w:val="Strong"/>
          <w:rFonts w:asciiTheme="majorHAnsi" w:hAnsiTheme="majorHAnsi"/>
          <w:b/>
          <w:bCs w:val="0"/>
          <w:color w:val="auto"/>
        </w:rPr>
        <w:t>Future Directions</w:t>
      </w:r>
    </w:p>
    <w:p w14:paraId="6215A3A1" w14:textId="292A95CB" w:rsidR="008E3B44" w:rsidRPr="00390B6F" w:rsidRDefault="008E3B44" w:rsidP="005E3564">
      <w:pPr>
        <w:pStyle w:val="BodyText"/>
        <w:spacing w:after="0"/>
      </w:pPr>
      <w:r w:rsidRPr="00390B6F">
        <w:t>Based on these findings, ASIRF will continue to play a significant role in supporting DFAT and SOs going forward. Key guidance is summarised below:</w:t>
      </w:r>
    </w:p>
    <w:p w14:paraId="733343FB" w14:textId="77777777" w:rsidR="008E3B44" w:rsidRPr="00390B6F" w:rsidRDefault="008E3B44" w:rsidP="008E3B44">
      <w:pPr>
        <w:pStyle w:val="ListBullet"/>
        <w:rPr>
          <w:i/>
          <w:iCs/>
          <w:u w:val="single"/>
        </w:rPr>
      </w:pPr>
      <w:r w:rsidRPr="00390B6F">
        <w:rPr>
          <w:b/>
          <w:bCs/>
        </w:rPr>
        <w:t>Guidance 1:</w:t>
      </w:r>
      <w:r w:rsidRPr="00390B6F">
        <w:t xml:space="preserve"> ASIRF should continue to maintain its current focus of corporate support in the areas of finance, recruitment, and procurement.</w:t>
      </w:r>
    </w:p>
    <w:p w14:paraId="10C3F4FD" w14:textId="77777777" w:rsidR="008E3B44" w:rsidRPr="00390B6F" w:rsidRDefault="008E3B44" w:rsidP="008E3B44">
      <w:pPr>
        <w:pStyle w:val="ListBullet"/>
        <w:rPr>
          <w:i/>
          <w:iCs/>
          <w:u w:val="single"/>
        </w:rPr>
      </w:pPr>
      <w:r w:rsidRPr="00390B6F">
        <w:rPr>
          <w:b/>
          <w:bCs/>
        </w:rPr>
        <w:t>Guidance 2:</w:t>
      </w:r>
      <w:r w:rsidRPr="00390B6F">
        <w:t xml:space="preserve"> ASIRF should progress its efforts to provide more strategic advice and guidance to SOs and not only rely on the responsive efforts across finance, recruitment, and procurement.</w:t>
      </w:r>
    </w:p>
    <w:p w14:paraId="1B088504" w14:textId="77777777" w:rsidR="00825572" w:rsidRDefault="008E3B44" w:rsidP="008E3B44">
      <w:pPr>
        <w:pStyle w:val="ListBullet"/>
      </w:pPr>
      <w:r w:rsidRPr="00390B6F">
        <w:rPr>
          <w:b/>
          <w:bCs/>
        </w:rPr>
        <w:t>Guidance 3:</w:t>
      </w:r>
      <w:r w:rsidRPr="00390B6F">
        <w:t xml:space="preserve"> ASIRF should shift efforts towards the formation and use of technical advisory panels to manage challenges related to recruiting and mobilising suitable applicants.</w:t>
      </w:r>
    </w:p>
    <w:p w14:paraId="622FB499" w14:textId="210A165C" w:rsidR="008E3B44" w:rsidRPr="00390B6F" w:rsidRDefault="008E3B44" w:rsidP="008E3B44">
      <w:pPr>
        <w:pStyle w:val="ListBullet"/>
        <w:rPr>
          <w:i/>
          <w:iCs/>
          <w:u w:val="single"/>
        </w:rPr>
      </w:pPr>
      <w:r w:rsidRPr="00390B6F">
        <w:rPr>
          <w:b/>
          <w:bCs/>
        </w:rPr>
        <w:t>Guidance 4:</w:t>
      </w:r>
      <w:r w:rsidRPr="00390B6F">
        <w:t xml:space="preserve"> Separate grant management from procurement.</w:t>
      </w:r>
    </w:p>
    <w:p w14:paraId="5B30450C" w14:textId="77777777" w:rsidR="008E3B44" w:rsidRPr="00390B6F" w:rsidRDefault="008E3B44" w:rsidP="008E3B44">
      <w:pPr>
        <w:pStyle w:val="ListBullet"/>
        <w:rPr>
          <w:i/>
          <w:iCs/>
          <w:u w:val="single"/>
        </w:rPr>
      </w:pPr>
      <w:r w:rsidRPr="00390B6F">
        <w:rPr>
          <w:b/>
          <w:bCs/>
        </w:rPr>
        <w:t>Guidance 5:</w:t>
      </w:r>
      <w:r w:rsidRPr="00390B6F">
        <w:t xml:space="preserve"> As part of overall systems improvements, ASIRF needs to consider developing more robust, transparent, and accountable management information systems.</w:t>
      </w:r>
    </w:p>
    <w:p w14:paraId="65D5B3AD" w14:textId="77777777" w:rsidR="008E3B44" w:rsidRPr="00390B6F" w:rsidRDefault="008E3B44" w:rsidP="008E3B44">
      <w:pPr>
        <w:pStyle w:val="ListBullet"/>
        <w:rPr>
          <w:i/>
          <w:iCs/>
          <w:u w:val="single"/>
        </w:rPr>
      </w:pPr>
      <w:r w:rsidRPr="00390B6F">
        <w:rPr>
          <w:b/>
          <w:bCs/>
        </w:rPr>
        <w:t>Guidance 6:</w:t>
      </w:r>
      <w:r w:rsidRPr="00390B6F">
        <w:t xml:space="preserve"> DSS and Security to remain important components of ASIRF. In addition to these core functions, ASIRF to take proactive steps to increase the role of risk assessment and management.</w:t>
      </w:r>
    </w:p>
    <w:p w14:paraId="525AD747" w14:textId="3313AF28" w:rsidR="008E3B44" w:rsidRPr="005E3564" w:rsidRDefault="008E3B44" w:rsidP="008E3B44">
      <w:pPr>
        <w:pStyle w:val="ListBullet"/>
        <w:rPr>
          <w:i/>
          <w:iCs/>
          <w:spacing w:val="-2"/>
          <w:u w:val="single"/>
        </w:rPr>
      </w:pPr>
      <w:r w:rsidRPr="005E3564">
        <w:rPr>
          <w:b/>
          <w:bCs/>
          <w:spacing w:val="-2"/>
        </w:rPr>
        <w:t>Guidance 7:</w:t>
      </w:r>
      <w:r w:rsidRPr="005E3564">
        <w:rPr>
          <w:spacing w:val="-2"/>
        </w:rPr>
        <w:t xml:space="preserve"> Adopt a more performance-based approach to assessing advisers and locally engaged staff.</w:t>
      </w:r>
    </w:p>
    <w:p w14:paraId="02019A0F" w14:textId="77777777" w:rsidR="008E3B44" w:rsidRPr="00825572" w:rsidRDefault="008E3B44" w:rsidP="00825572">
      <w:pPr>
        <w:pStyle w:val="CROSSHEADl2"/>
        <w:rPr>
          <w:rStyle w:val="Strong"/>
          <w:rFonts w:asciiTheme="majorHAnsi" w:hAnsiTheme="majorHAnsi"/>
          <w:b/>
          <w:bCs w:val="0"/>
          <w:color w:val="35615E" w:themeColor="accent1" w:themeShade="BF"/>
        </w:rPr>
      </w:pPr>
      <w:r w:rsidRPr="00825572">
        <w:rPr>
          <w:rStyle w:val="Strong"/>
          <w:rFonts w:asciiTheme="majorHAnsi" w:hAnsiTheme="majorHAnsi"/>
          <w:b/>
          <w:bCs w:val="0"/>
          <w:color w:val="35615E" w:themeColor="accent1" w:themeShade="BF"/>
        </w:rPr>
        <w:t>Key Recommendations</w:t>
      </w:r>
    </w:p>
    <w:p w14:paraId="127FEE12" w14:textId="77777777" w:rsidR="008E3B44" w:rsidRPr="00390B6F" w:rsidRDefault="008E3B44" w:rsidP="005E3564">
      <w:pPr>
        <w:pStyle w:val="BodyText"/>
        <w:spacing w:before="80" w:after="0"/>
      </w:pPr>
      <w:r w:rsidRPr="00992CF6">
        <w:rPr>
          <w:rStyle w:val="Strong"/>
        </w:rPr>
        <w:t>Recommendation 1:</w:t>
      </w:r>
      <w:r w:rsidRPr="00390B6F">
        <w:t xml:space="preserve"> DFAT to continue the process for the design and tender for the next phase of ASIRF implementation. Where possible, DFAT should engage with the current ASIRF team to employ a smooth transition and to discuss and confirm agreed priorities as part of a proposed new phase of implementation and management.</w:t>
      </w:r>
    </w:p>
    <w:p w14:paraId="50DCD9FE" w14:textId="77777777" w:rsidR="008E3B44" w:rsidRPr="00390B6F" w:rsidRDefault="008E3B44" w:rsidP="005E3564">
      <w:pPr>
        <w:pStyle w:val="BodyText"/>
        <w:spacing w:before="80" w:after="0"/>
      </w:pPr>
      <w:r w:rsidRPr="00992CF6">
        <w:rPr>
          <w:rStyle w:val="Strong"/>
        </w:rPr>
        <w:t>Recommendation 2:</w:t>
      </w:r>
      <w:r w:rsidRPr="00390B6F">
        <w:t xml:space="preserve"> As part of the new phase, DFAT to consider including a fourth pillar of support (MEL, GEDSI, Communications) to complement existing pillars of corporate support (finance, recruitment, and procurement).</w:t>
      </w:r>
    </w:p>
    <w:p w14:paraId="43A3D19F" w14:textId="77777777" w:rsidR="008E3B44" w:rsidRPr="00390B6F" w:rsidRDefault="008E3B44" w:rsidP="005E3564">
      <w:pPr>
        <w:pStyle w:val="BodyText"/>
        <w:spacing w:before="80" w:after="0"/>
      </w:pPr>
      <w:r w:rsidRPr="00992CF6">
        <w:rPr>
          <w:rStyle w:val="Strong"/>
        </w:rPr>
        <w:t>Recommendation 3:</w:t>
      </w:r>
      <w:r w:rsidRPr="00390B6F">
        <w:t xml:space="preserve"> ASIRF and DFAT to discuss and agree a slightly revised role for ASIRF that sees it take a more proactive and strategic role to support SOs. This includes a series of consultations around developing more standardised templates and formats to help with planning, forecasting, budgeting, and reporting. As part of the revised approach, DFAT and ASIRF to consider engaging a short-term strategic engagement adviser for the next phase of implementation to continue this work.</w:t>
      </w:r>
    </w:p>
    <w:p w14:paraId="7EAD8D43" w14:textId="77777777" w:rsidR="008E3B44" w:rsidRPr="00390B6F" w:rsidRDefault="008E3B44" w:rsidP="005E3564">
      <w:pPr>
        <w:pStyle w:val="BodyText"/>
        <w:spacing w:before="80" w:after="0"/>
      </w:pPr>
      <w:r w:rsidRPr="00992CF6">
        <w:rPr>
          <w:rStyle w:val="Strong"/>
        </w:rPr>
        <w:t>Recommendation 4:</w:t>
      </w:r>
      <w:r w:rsidRPr="00390B6F">
        <w:t xml:space="preserve"> ASIRF and DFAT to consider the separation of grants from procurement and to establish a separate grant management unit under ASIRF that assumes responsibility for design, screening, contracting, and overall management reporting. This approach minimises exposure to risks.</w:t>
      </w:r>
    </w:p>
    <w:p w14:paraId="28F4B0B3" w14:textId="77777777" w:rsidR="00825572" w:rsidRPr="005E3564" w:rsidRDefault="008E3B44" w:rsidP="005E3564">
      <w:pPr>
        <w:pStyle w:val="BodyText"/>
        <w:spacing w:before="80" w:after="0"/>
        <w:rPr>
          <w:spacing w:val="-2"/>
        </w:rPr>
      </w:pPr>
      <w:r w:rsidRPr="005E3564">
        <w:rPr>
          <w:rStyle w:val="Strong"/>
          <w:spacing w:val="-2"/>
        </w:rPr>
        <w:t>Recommendation 5:</w:t>
      </w:r>
      <w:r w:rsidRPr="005E3564">
        <w:rPr>
          <w:spacing w:val="-2"/>
        </w:rPr>
        <w:t xml:space="preserve"> ASIRF and DFAT to consider broader approaches to monitoring and evaluation (M&amp;E) that move away from assessing operational metrics of ASIRF, to consider and develop a broader MEL strategy that engages with SOs and looks to provide a </w:t>
      </w:r>
      <w:r w:rsidR="00636C53" w:rsidRPr="005E3564">
        <w:rPr>
          <w:spacing w:val="-2"/>
        </w:rPr>
        <w:t>‘</w:t>
      </w:r>
      <w:r w:rsidRPr="005E3564">
        <w:rPr>
          <w:spacing w:val="-2"/>
        </w:rPr>
        <w:t>whole of facility M&amp;E</w:t>
      </w:r>
      <w:r w:rsidR="00636C53" w:rsidRPr="005E3564">
        <w:rPr>
          <w:spacing w:val="-2"/>
        </w:rPr>
        <w:t>’</w:t>
      </w:r>
      <w:r w:rsidRPr="005E3564">
        <w:rPr>
          <w:spacing w:val="-2"/>
        </w:rPr>
        <w:t xml:space="preserve"> type approach that measures not only operational metrics but broader considerations around engagement, </w:t>
      </w:r>
      <w:r w:rsidR="00636C53" w:rsidRPr="005E3564">
        <w:rPr>
          <w:spacing w:val="-2"/>
        </w:rPr>
        <w:t>partnership,</w:t>
      </w:r>
      <w:r w:rsidRPr="005E3564">
        <w:rPr>
          <w:spacing w:val="-2"/>
        </w:rPr>
        <w:t xml:space="preserve"> and technical support.</w:t>
      </w:r>
    </w:p>
    <w:p w14:paraId="64E04470" w14:textId="30E3A9C5" w:rsidR="00992CF6" w:rsidRDefault="008E3B44" w:rsidP="005E3564">
      <w:pPr>
        <w:pStyle w:val="BodyText"/>
        <w:spacing w:before="80" w:after="0"/>
      </w:pPr>
      <w:r w:rsidRPr="00992CF6">
        <w:rPr>
          <w:rStyle w:val="Strong"/>
        </w:rPr>
        <w:t>Recommendation 6:</w:t>
      </w:r>
      <w:r w:rsidRPr="00390B6F">
        <w:t xml:space="preserve"> DFAT and ASIRF to agree on a formalised transition strategy during the course of the next phase to ultimately transition DSS roles and responsibilities back under DFAT.</w:t>
      </w:r>
    </w:p>
    <w:p w14:paraId="1D841118" w14:textId="4DDE5143" w:rsidR="00811D33" w:rsidRPr="00390B6F" w:rsidRDefault="00811D33" w:rsidP="00811D33">
      <w:pPr>
        <w:pStyle w:val="ListBullet"/>
        <w:sectPr w:rsidR="00811D33" w:rsidRPr="00390B6F" w:rsidSect="00207D5A">
          <w:headerReference w:type="default" r:id="rId11"/>
          <w:footerReference w:type="default" r:id="rId12"/>
          <w:pgSz w:w="11907" w:h="16840" w:code="9"/>
          <w:pgMar w:top="1134" w:right="1134" w:bottom="1134" w:left="1134" w:header="567" w:footer="567" w:gutter="0"/>
          <w:pgNumType w:fmt="lowerRoman" w:start="1"/>
          <w:cols w:space="708"/>
          <w:docGrid w:linePitch="360"/>
        </w:sectPr>
      </w:pPr>
    </w:p>
    <w:p w14:paraId="6B7280B6" w14:textId="5A42802D" w:rsidR="008143A2" w:rsidRPr="00390B6F" w:rsidRDefault="008143A2" w:rsidP="00DB3937">
      <w:pPr>
        <w:pStyle w:val="Heading1"/>
        <w:spacing w:before="0"/>
      </w:pPr>
      <w:bookmarkStart w:id="16" w:name="_Toc96667258"/>
      <w:bookmarkStart w:id="17" w:name="_Toc151565420"/>
      <w:r w:rsidRPr="00390B6F">
        <w:lastRenderedPageBreak/>
        <w:t>Introduction</w:t>
      </w:r>
      <w:bookmarkEnd w:id="14"/>
      <w:bookmarkEnd w:id="16"/>
      <w:bookmarkEnd w:id="17"/>
    </w:p>
    <w:p w14:paraId="4A65054E" w14:textId="77777777" w:rsidR="00825572" w:rsidRDefault="008E3B44" w:rsidP="008E3B44">
      <w:pPr>
        <w:pStyle w:val="BodyText"/>
        <w:rPr>
          <w:lang w:eastAsia="en-AU"/>
        </w:rPr>
      </w:pPr>
      <w:bookmarkStart w:id="18" w:name="_Toc96667259"/>
      <w:r w:rsidRPr="00390B6F">
        <w:rPr>
          <w:lang w:eastAsia="en-AU"/>
        </w:rPr>
        <w:t>The Australia Solomon Islands Resource Facility (ASIRF) is a multi-sectoral investment managed by DT</w:t>
      </w:r>
      <w:r w:rsidR="00054CFE" w:rsidRPr="00390B6F">
        <w:rPr>
          <w:lang w:eastAsia="en-AU"/>
        </w:rPr>
        <w:t> </w:t>
      </w:r>
      <w:r w:rsidRPr="00390B6F">
        <w:rPr>
          <w:lang w:eastAsia="en-AU"/>
        </w:rPr>
        <w:t>Global</w:t>
      </w:r>
      <w:r w:rsidRPr="00390B6F">
        <w:rPr>
          <w:rStyle w:val="FootnoteReference"/>
          <w:b/>
          <w:bCs/>
          <w:szCs w:val="20"/>
          <w:lang w:eastAsia="en-AU"/>
        </w:rPr>
        <w:footnoteReference w:id="3"/>
      </w:r>
      <w:r w:rsidRPr="00390B6F">
        <w:rPr>
          <w:lang w:eastAsia="en-AU"/>
        </w:rPr>
        <w:t xml:space="preserve">, that supports the Government of Australia’s (GoA) development assistance to Solomon Islands. Established in January 2021 and </w:t>
      </w:r>
      <w:r w:rsidRPr="00390B6F">
        <w:t>running</w:t>
      </w:r>
      <w:r w:rsidRPr="00390B6F">
        <w:rPr>
          <w:lang w:eastAsia="en-AU"/>
        </w:rPr>
        <w:t xml:space="preserve"> until 30 June 2023, ASIRF builds on the work of the previous facility, Solomon Islands Resource Facility, which ran from 2015 to 2020.</w:t>
      </w:r>
    </w:p>
    <w:p w14:paraId="4FA9C876" w14:textId="77777777" w:rsidR="00825572" w:rsidRDefault="008E3B44" w:rsidP="008E3B44">
      <w:pPr>
        <w:pStyle w:val="BodyText"/>
      </w:pPr>
      <w:r w:rsidRPr="00390B6F">
        <w:t>This End of Facility Evaluation (</w:t>
      </w:r>
      <w:proofErr w:type="spellStart"/>
      <w:r w:rsidRPr="00390B6F">
        <w:t>EoFE</w:t>
      </w:r>
      <w:proofErr w:type="spellEnd"/>
      <w:r w:rsidRPr="00390B6F">
        <w:t xml:space="preserve">) covers the period January 2021 to 30 November 2022. The </w:t>
      </w:r>
      <w:proofErr w:type="spellStart"/>
      <w:r w:rsidRPr="00390B6F">
        <w:t>EoFE</w:t>
      </w:r>
      <w:proofErr w:type="spellEnd"/>
      <w:r w:rsidRPr="00390B6F">
        <w:t xml:space="preserve"> assesses overall progress towards defined outcomes and offers guidance as to the structure and focus of work as the facility completes its current phase in June 2023.</w:t>
      </w:r>
    </w:p>
    <w:p w14:paraId="30EEAA87" w14:textId="208955B5" w:rsidR="008E3B44" w:rsidRPr="00390B6F" w:rsidRDefault="008E3B44" w:rsidP="00636C53">
      <w:pPr>
        <w:pStyle w:val="Heading1"/>
      </w:pPr>
      <w:bookmarkStart w:id="19" w:name="_Toc119930944"/>
      <w:bookmarkStart w:id="20" w:name="_Toc151565421"/>
      <w:r w:rsidRPr="00390B6F">
        <w:t>ASIRF Background</w:t>
      </w:r>
      <w:bookmarkEnd w:id="19"/>
      <w:bookmarkEnd w:id="20"/>
    </w:p>
    <w:p w14:paraId="4F10B923" w14:textId="209DFC22" w:rsidR="008E3B44" w:rsidRPr="00390B6F" w:rsidRDefault="008E3B44" w:rsidP="008E3B44">
      <w:pPr>
        <w:pStyle w:val="BodyText"/>
      </w:pPr>
      <w:bookmarkStart w:id="21" w:name="_Toc111726854"/>
      <w:bookmarkStart w:id="22" w:name="_Ref79055447"/>
      <w:bookmarkEnd w:id="18"/>
      <w:bookmarkEnd w:id="21"/>
      <w:r w:rsidRPr="00390B6F">
        <w:t xml:space="preserve">Australia has an enduring interest in a stable and secure Solomon Islands. ASIRF, or ‘the Facility’, is a new, multi-sectoral Facility managed by DT Global that supports the Department of Foreign Affairs and Trade (DFAT) to achieve the objectives of the </w:t>
      </w:r>
      <w:proofErr w:type="spellStart"/>
      <w:r w:rsidRPr="00390B6F">
        <w:t>GoA’s</w:t>
      </w:r>
      <w:proofErr w:type="spellEnd"/>
      <w:r w:rsidRPr="00390B6F">
        <w:t xml:space="preserve"> development assistance to Solomon Islands. ASIRF builds on support provided under the Solomon Island Resource Facility </w:t>
      </w:r>
      <w:r w:rsidR="00054CFE" w:rsidRPr="00390B6F">
        <w:t>–</w:t>
      </w:r>
      <w:r w:rsidRPr="00390B6F">
        <w:t xml:space="preserve"> SIRF (Nov</w:t>
      </w:r>
      <w:r w:rsidR="00054CFE" w:rsidRPr="00390B6F">
        <w:t>ember</w:t>
      </w:r>
      <w:r w:rsidRPr="00390B6F">
        <w:t xml:space="preserve"> 2015 </w:t>
      </w:r>
      <w:r w:rsidR="00054CFE" w:rsidRPr="00390B6F">
        <w:t>–</w:t>
      </w:r>
      <w:r w:rsidRPr="00390B6F">
        <w:t xml:space="preserve"> Jun</w:t>
      </w:r>
      <w:r w:rsidR="00054CFE" w:rsidRPr="00390B6F">
        <w:t>e</w:t>
      </w:r>
      <w:r w:rsidRPr="00390B6F">
        <w:t xml:space="preserve"> 2021) and was contracted for an initial 12-month term from January to December 2021, and extended for a further 18-months, up to Jun</w:t>
      </w:r>
      <w:r w:rsidR="00390B6F" w:rsidRPr="00390B6F">
        <w:t>e</w:t>
      </w:r>
      <w:r w:rsidRPr="00390B6F">
        <w:t xml:space="preserve"> 2023</w:t>
      </w:r>
      <w:r w:rsidR="00207D5A" w:rsidRPr="00390B6F">
        <w:t>.</w:t>
      </w:r>
      <w:r w:rsidRPr="00390B6F">
        <w:rPr>
          <w:rStyle w:val="FootnoteReference"/>
          <w:color w:val="000000" w:themeColor="text1"/>
          <w:sz w:val="22"/>
        </w:rPr>
        <w:footnoteReference w:id="4"/>
      </w:r>
    </w:p>
    <w:p w14:paraId="4F9B411D" w14:textId="77777777" w:rsidR="008E3B44" w:rsidRPr="00390B6F" w:rsidRDefault="008E3B44" w:rsidP="008E3B44">
      <w:pPr>
        <w:pStyle w:val="BodyText"/>
      </w:pPr>
      <w:r w:rsidRPr="00390B6F">
        <w:t>The goal of ASIRF is to support the work of the Australian High Commission (AHC) in meeting the objectives of the GoA in Solomon Islands, in an effective and efficient manner.</w:t>
      </w:r>
    </w:p>
    <w:p w14:paraId="121DE7BB" w14:textId="5B8267A8" w:rsidR="008E3B44" w:rsidRPr="00390B6F" w:rsidRDefault="008E3B44" w:rsidP="008E3B44">
      <w:pPr>
        <w:pStyle w:val="BodyText"/>
      </w:pPr>
      <w:r w:rsidRPr="00390B6F">
        <w:t>ASIRF has two high</w:t>
      </w:r>
      <w:r w:rsidR="00390B6F" w:rsidRPr="00390B6F">
        <w:t>-</w:t>
      </w:r>
      <w:r w:rsidRPr="00390B6F">
        <w:t>level End of Facility Outcomes (EOFOs), which together contribute to this objective:</w:t>
      </w:r>
    </w:p>
    <w:p w14:paraId="204F9D85" w14:textId="77777777" w:rsidR="008E3B44" w:rsidRPr="00390B6F" w:rsidRDefault="008E3B44" w:rsidP="00636C53">
      <w:pPr>
        <w:pStyle w:val="ListBullet"/>
      </w:pPr>
      <w:r w:rsidRPr="00390B6F">
        <w:t>ASIRF advisors demonstrably add value to SIG and DFAT development agendas and policy dialogue.</w:t>
      </w:r>
    </w:p>
    <w:p w14:paraId="295AADB7" w14:textId="77777777" w:rsidR="008E3B44" w:rsidRPr="00390B6F" w:rsidRDefault="008E3B44" w:rsidP="00636C53">
      <w:pPr>
        <w:pStyle w:val="ListBullet"/>
      </w:pPr>
      <w:r w:rsidRPr="00390B6F">
        <w:t>ASIRF consistently provides DFAT with flexible, responsive, and high-quality advice.</w:t>
      </w:r>
    </w:p>
    <w:p w14:paraId="16C71A61" w14:textId="77777777" w:rsidR="008E3B44" w:rsidRPr="00390B6F" w:rsidRDefault="008E3B44" w:rsidP="008E3B44">
      <w:pPr>
        <w:pStyle w:val="BodyText"/>
      </w:pPr>
      <w:r w:rsidRPr="00390B6F">
        <w:t>These objectives are agreed strategically between the GoA and SIG, as set out within the relevant sectoral program documentation. ASIRF supports the achievement of these objectives through delivery of management and support services across sector programs to agreed performance standards.</w:t>
      </w:r>
    </w:p>
    <w:p w14:paraId="6F4BA6FE" w14:textId="0D091C8F" w:rsidR="008E3B44" w:rsidRPr="00390B6F" w:rsidRDefault="008E3B44" w:rsidP="008E3B44">
      <w:pPr>
        <w:pStyle w:val="BodyText"/>
      </w:pPr>
      <w:r w:rsidRPr="00390B6F">
        <w:t xml:space="preserve">The focus of ASIRF is to continue the delivery of critical functions from the previous SIRF contract while also incorporating more learning and adaptation to both deal with COVID-19 impacts and improve development outcomes. The intent is for ASIRF to transition from being an </w:t>
      </w:r>
      <w:r w:rsidR="00636C53" w:rsidRPr="00390B6F">
        <w:t>‘</w:t>
      </w:r>
      <w:r w:rsidRPr="00390B6F">
        <w:t>enabling facility</w:t>
      </w:r>
      <w:r w:rsidR="00636C53" w:rsidRPr="00390B6F">
        <w:t>’</w:t>
      </w:r>
      <w:r w:rsidRPr="00390B6F">
        <w:t xml:space="preserve"> with a focus on delivering disparate outputs, to a development facility with a focus on enhanced effectiveness of development outcomes.</w:t>
      </w:r>
    </w:p>
    <w:p w14:paraId="196B4CAE" w14:textId="77777777" w:rsidR="00825572" w:rsidRDefault="008E3B44" w:rsidP="008E3B44">
      <w:pPr>
        <w:pStyle w:val="BodyText"/>
      </w:pPr>
      <w:r w:rsidRPr="00390B6F">
        <w:t>This necessitates a change to a model where DFAT and ASIRF work together to achieve common goals, with the stated requirement for ASIRF to make decisions independently, allowing DFAT to step back from low-level decision-making and engaging more at a collaborative, policy level to manage for results.</w:t>
      </w:r>
      <w:r w:rsidR="00207D5A" w:rsidRPr="00390B6F">
        <w:t xml:space="preserve"> </w:t>
      </w:r>
      <w:r w:rsidRPr="00390B6F">
        <w:t>Figure 1 below provides an overall summary of ASIRF’s EOFOs and IOs.</w:t>
      </w:r>
    </w:p>
    <w:p w14:paraId="27723AE5" w14:textId="051F241F" w:rsidR="008E3B44" w:rsidRPr="00390B6F" w:rsidRDefault="00EF588B" w:rsidP="00EF588B">
      <w:pPr>
        <w:pStyle w:val="Caption"/>
      </w:pPr>
      <w:bookmarkStart w:id="23" w:name="_Toc96523290"/>
      <w:bookmarkStart w:id="24" w:name="_Toc119067008"/>
      <w:bookmarkStart w:id="25" w:name="_Toc155353020"/>
      <w:bookmarkEnd w:id="22"/>
      <w:r>
        <w:lastRenderedPageBreak/>
        <w:t xml:space="preserve">Figure </w:t>
      </w:r>
      <w:fldSimple w:instr=" SEQ Figure \* ARABIC ">
        <w:r>
          <w:rPr>
            <w:noProof/>
          </w:rPr>
          <w:t>1</w:t>
        </w:r>
      </w:fldSimple>
      <w:r w:rsidR="008E3B44" w:rsidRPr="00390B6F">
        <w:t xml:space="preserve"> </w:t>
      </w:r>
      <w:r w:rsidR="008E3B44" w:rsidRPr="00390B6F">
        <w:tab/>
        <w:t>End of Facility Outcomes and Intermediate Outcomes</w:t>
      </w:r>
      <w:bookmarkEnd w:id="23"/>
      <w:bookmarkEnd w:id="24"/>
      <w:bookmarkEnd w:id="25"/>
    </w:p>
    <w:p w14:paraId="17A3CD86" w14:textId="77777777" w:rsidR="00715E27" w:rsidRDefault="00087082" w:rsidP="00715E27">
      <w:r w:rsidRPr="00715E27">
        <w:rPr>
          <w:noProof/>
        </w:rPr>
        <w:drawing>
          <wp:inline distT="0" distB="0" distL="0" distR="0" wp14:anchorId="3ECF5464" wp14:editId="3040FFCE">
            <wp:extent cx="6120765" cy="2962910"/>
            <wp:effectExtent l="0" t="0" r="0" b="8890"/>
            <wp:docPr id="445105249" name="Picture 1" descr="Four intermediate outcomes feed into two end of facility outcomes resulting in the goal of effective and efficient delivery of the Australian Aid program in the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05249" name="Picture 1" descr="Four intermediate outcomes feed into two end of facility outcomes resulting in the goal of effective and efficient delivery of the Australian Aid program in the Solomon Isl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962910"/>
                    </a:xfrm>
                    <a:prstGeom prst="rect">
                      <a:avLst/>
                    </a:prstGeom>
                    <a:noFill/>
                  </pic:spPr>
                </pic:pic>
              </a:graphicData>
            </a:graphic>
          </wp:inline>
        </w:drawing>
      </w:r>
      <w:bookmarkStart w:id="26" w:name="_Toc119930945"/>
      <w:bookmarkStart w:id="27" w:name="_Toc151565422"/>
    </w:p>
    <w:p w14:paraId="0E5955FD" w14:textId="48A25BAD" w:rsidR="008E3B44" w:rsidRPr="00390B6F" w:rsidRDefault="008E3B44" w:rsidP="00715E27">
      <w:pPr>
        <w:pStyle w:val="Heading1"/>
      </w:pPr>
      <w:proofErr w:type="spellStart"/>
      <w:r w:rsidRPr="00390B6F">
        <w:t>EoFE</w:t>
      </w:r>
      <w:proofErr w:type="spellEnd"/>
      <w:r w:rsidRPr="00390B6F">
        <w:t xml:space="preserve"> Objective and Purpose</w:t>
      </w:r>
      <w:bookmarkEnd w:id="26"/>
      <w:bookmarkEnd w:id="27"/>
    </w:p>
    <w:p w14:paraId="14447D44" w14:textId="77777777" w:rsidR="008E3B44" w:rsidRPr="00390B6F" w:rsidRDefault="008E3B44" w:rsidP="00636C53">
      <w:pPr>
        <w:pStyle w:val="BodyText"/>
        <w:rPr>
          <w:rFonts w:eastAsia="Times New Roman"/>
        </w:rPr>
      </w:pPr>
      <w:r w:rsidRPr="00390B6F">
        <w:t>As part of good and effective practice, DFAT commissions end-of-program reviews and evaluations for all development initiatives. Evaluations play an important role within the development performance framework to support a high-quality development assistance program. Evaluations support:</w:t>
      </w:r>
    </w:p>
    <w:p w14:paraId="22864F94" w14:textId="6EDB03AA" w:rsidR="008E3B44" w:rsidRPr="00390B6F" w:rsidRDefault="008E3B44" w:rsidP="00636C53">
      <w:pPr>
        <w:pStyle w:val="ListBullet"/>
      </w:pPr>
      <w:r w:rsidRPr="00390B6F">
        <w:rPr>
          <w:b/>
          <w:bCs/>
        </w:rPr>
        <w:t>Management</w:t>
      </w:r>
      <w:r w:rsidR="00636C53" w:rsidRPr="00390B6F">
        <w:rPr>
          <w:b/>
          <w:bCs/>
        </w:rPr>
        <w:t>:</w:t>
      </w:r>
      <w:r w:rsidRPr="00390B6F">
        <w:t xml:space="preserve"> presenting evidence and analysis to guide decisions about new and existing investments and development policies.</w:t>
      </w:r>
    </w:p>
    <w:p w14:paraId="15A7AB3F" w14:textId="5463647F" w:rsidR="008E3B44" w:rsidRPr="00390B6F" w:rsidRDefault="008E3B44" w:rsidP="00636C53">
      <w:pPr>
        <w:pStyle w:val="ListBullet"/>
      </w:pPr>
      <w:r w:rsidRPr="00390B6F">
        <w:rPr>
          <w:b/>
          <w:bCs/>
        </w:rPr>
        <w:t>Accountability</w:t>
      </w:r>
      <w:r w:rsidR="00636C53" w:rsidRPr="00390B6F">
        <w:rPr>
          <w:b/>
          <w:bCs/>
        </w:rPr>
        <w:t>:</w:t>
      </w:r>
      <w:r w:rsidRPr="00390B6F">
        <w:t xml:space="preserve"> demonstrating the effectiveness of the development assistance program to stakeholders, including the Australian public, the Australian government, partner governments, implementing partners and the beneficiaries DFAT works with.</w:t>
      </w:r>
    </w:p>
    <w:p w14:paraId="5C61587E" w14:textId="6CD7F6D2" w:rsidR="008E3B44" w:rsidRPr="00390B6F" w:rsidRDefault="008E3B44" w:rsidP="00636C53">
      <w:pPr>
        <w:pStyle w:val="ListBullet"/>
      </w:pPr>
      <w:r w:rsidRPr="00390B6F">
        <w:rPr>
          <w:b/>
          <w:bCs/>
        </w:rPr>
        <w:t>Learning</w:t>
      </w:r>
      <w:r w:rsidR="00636C53" w:rsidRPr="00390B6F">
        <w:rPr>
          <w:b/>
          <w:bCs/>
        </w:rPr>
        <w:t>:</w:t>
      </w:r>
      <w:r w:rsidRPr="00390B6F">
        <w:t xml:space="preserve"> contributing to knowledge about what does or does not work in a particular context and why.</w:t>
      </w:r>
    </w:p>
    <w:p w14:paraId="1D8CB3FD" w14:textId="77777777" w:rsidR="008E3B44" w:rsidRPr="00390B6F" w:rsidRDefault="008E3B44" w:rsidP="00611280">
      <w:pPr>
        <w:pStyle w:val="BodyText"/>
      </w:pPr>
      <w:r w:rsidRPr="00390B6F">
        <w:t xml:space="preserve">ASIRF is scheduled to complete its current implementation in June 2023. An </w:t>
      </w:r>
      <w:proofErr w:type="spellStart"/>
      <w:r w:rsidRPr="00390B6F">
        <w:t>EoFE</w:t>
      </w:r>
      <w:proofErr w:type="spellEnd"/>
      <w:r w:rsidRPr="00390B6F">
        <w:t xml:space="preserve"> is required to assess overall effectiveness and quality to date. The </w:t>
      </w:r>
      <w:proofErr w:type="spellStart"/>
      <w:r w:rsidRPr="00390B6F">
        <w:t>EoFE</w:t>
      </w:r>
      <w:proofErr w:type="spellEnd"/>
      <w:r w:rsidRPr="00390B6F">
        <w:t xml:space="preserve"> documents the evolution of the facility’s objectives, assess its achievements, and more broadly investigate the extent to which the facility has contributed to the objectives of </w:t>
      </w:r>
      <w:proofErr w:type="spellStart"/>
      <w:r w:rsidRPr="00390B6F">
        <w:t>GoA’s</w:t>
      </w:r>
      <w:proofErr w:type="spellEnd"/>
      <w:r w:rsidRPr="00390B6F">
        <w:t xml:space="preserve"> development assistance to Solomon Islands. It also provides guidance, based on the evidence to inform future programming.</w:t>
      </w:r>
    </w:p>
    <w:p w14:paraId="39E1BF10" w14:textId="505B50CC" w:rsidR="008E3B44" w:rsidRPr="00390B6F" w:rsidRDefault="008E3B44" w:rsidP="00636C53">
      <w:pPr>
        <w:pStyle w:val="BodyText"/>
      </w:pPr>
      <w:r w:rsidRPr="00390B6F">
        <w:t xml:space="preserve">The objective of the final evaluation was to assess: </w:t>
      </w:r>
      <w:r w:rsidR="00636C53" w:rsidRPr="00390B6F">
        <w:t>‘</w:t>
      </w:r>
      <w:r w:rsidRPr="00390B6F">
        <w:t>the extent to which ASIRF was an effective and efficient model to support DFAT’s development portfolio and associated programs in Solomon Islands.</w:t>
      </w:r>
      <w:r w:rsidR="00636C53" w:rsidRPr="00390B6F">
        <w:t>’</w:t>
      </w:r>
    </w:p>
    <w:p w14:paraId="246B8D99" w14:textId="77777777" w:rsidR="008E3B44" w:rsidRPr="00390B6F" w:rsidRDefault="008E3B44" w:rsidP="00636C53">
      <w:pPr>
        <w:pStyle w:val="BodyText"/>
      </w:pPr>
      <w:r w:rsidRPr="00390B6F">
        <w:t>Underpinning the objective, the following evaluation questions guided the structure of the evaluation and associated approach and methodology. Overall key guiding questions included:</w:t>
      </w:r>
    </w:p>
    <w:p w14:paraId="4D23F6AE" w14:textId="77777777" w:rsidR="008E3B44" w:rsidRPr="00390B6F" w:rsidRDefault="008E3B44" w:rsidP="00636C53">
      <w:pPr>
        <w:pStyle w:val="ListBullet"/>
      </w:pPr>
      <w:r w:rsidRPr="00390B6F">
        <w:t xml:space="preserve">The extent to which ASIRF has progressed towards achieving its </w:t>
      </w:r>
      <w:proofErr w:type="spellStart"/>
      <w:r w:rsidRPr="00390B6F">
        <w:t>EoFOs</w:t>
      </w:r>
      <w:proofErr w:type="spellEnd"/>
      <w:r w:rsidRPr="00390B6F">
        <w:t>?</w:t>
      </w:r>
    </w:p>
    <w:p w14:paraId="77BB51B7" w14:textId="77777777" w:rsidR="008E3B44" w:rsidRPr="00390B6F" w:rsidRDefault="008E3B44" w:rsidP="00636C53">
      <w:pPr>
        <w:pStyle w:val="ListBullet"/>
      </w:pPr>
      <w:r w:rsidRPr="00390B6F">
        <w:t>To what extent has ASIRF demonstrated effectiveness and efficiency in delivering services to program leads, advisers, and programs?</w:t>
      </w:r>
    </w:p>
    <w:p w14:paraId="683AD7E2" w14:textId="77777777" w:rsidR="008E3B44" w:rsidRPr="00390B6F" w:rsidRDefault="008E3B44" w:rsidP="00636C53">
      <w:pPr>
        <w:pStyle w:val="ListBullet"/>
      </w:pPr>
      <w:r w:rsidRPr="00390B6F">
        <w:t>To support continued engagement within the Solomon Islands, what model would best serve programs and what lessons can be applied from the existing model to inform future directions?</w:t>
      </w:r>
    </w:p>
    <w:p w14:paraId="3478E36D" w14:textId="77777777" w:rsidR="008E3B44" w:rsidRPr="00390B6F" w:rsidRDefault="008E3B44" w:rsidP="00636C53">
      <w:pPr>
        <w:pStyle w:val="BodyText"/>
      </w:pPr>
      <w:r w:rsidRPr="00390B6F">
        <w:t xml:space="preserve">A copy of the </w:t>
      </w:r>
      <w:proofErr w:type="spellStart"/>
      <w:r w:rsidRPr="00390B6F">
        <w:t>EoFE’s</w:t>
      </w:r>
      <w:proofErr w:type="spellEnd"/>
      <w:r w:rsidRPr="00390B6F">
        <w:t xml:space="preserve"> Terms of Reference (ToR) is included as Annex 1. The following section documents the approach and methodology applied to completing the </w:t>
      </w:r>
      <w:proofErr w:type="spellStart"/>
      <w:r w:rsidRPr="00390B6F">
        <w:t>EoFE</w:t>
      </w:r>
      <w:proofErr w:type="spellEnd"/>
      <w:r w:rsidRPr="00390B6F">
        <w:t>.</w:t>
      </w:r>
    </w:p>
    <w:p w14:paraId="1CB99CC6" w14:textId="77777777" w:rsidR="008E3B44" w:rsidRPr="00390B6F" w:rsidRDefault="008E3B44" w:rsidP="00636C53">
      <w:pPr>
        <w:pStyle w:val="Heading1"/>
      </w:pPr>
      <w:bookmarkStart w:id="28" w:name="_Toc119930946"/>
      <w:bookmarkStart w:id="29" w:name="_Toc151565423"/>
      <w:proofErr w:type="spellStart"/>
      <w:r w:rsidRPr="00390B6F">
        <w:lastRenderedPageBreak/>
        <w:t>EoFE</w:t>
      </w:r>
      <w:proofErr w:type="spellEnd"/>
      <w:r w:rsidRPr="00390B6F">
        <w:t xml:space="preserve"> Approach and Methodology</w:t>
      </w:r>
      <w:bookmarkEnd w:id="28"/>
      <w:bookmarkEnd w:id="29"/>
    </w:p>
    <w:p w14:paraId="7FE361D4" w14:textId="77777777" w:rsidR="00825572" w:rsidRDefault="008E3B44" w:rsidP="00636C53">
      <w:pPr>
        <w:pStyle w:val="BodyText"/>
      </w:pPr>
      <w:r w:rsidRPr="00390B6F">
        <w:t xml:space="preserve">The </w:t>
      </w:r>
      <w:proofErr w:type="spellStart"/>
      <w:r w:rsidRPr="00390B6F">
        <w:t>EoFE</w:t>
      </w:r>
      <w:proofErr w:type="spellEnd"/>
      <w:r w:rsidRPr="00390B6F">
        <w:t xml:space="preserve"> applied a primarily qualitative approach involving Key Informant Interviews (KIIs) and group discussions and interviews. Secondary data available through six-monthly reports and other program deliverables were also utilised and assessed as part of the evaluation. DFAT’s M&amp;E Standards were applied to guide the design and implementation of the </w:t>
      </w:r>
      <w:proofErr w:type="spellStart"/>
      <w:r w:rsidRPr="00390B6F">
        <w:t>EoFE</w:t>
      </w:r>
      <w:proofErr w:type="spellEnd"/>
      <w:r w:rsidRPr="00390B6F">
        <w:t>.</w:t>
      </w:r>
    </w:p>
    <w:p w14:paraId="4847B52C" w14:textId="77777777" w:rsidR="00825572" w:rsidRDefault="008E3B44" w:rsidP="00636C53">
      <w:pPr>
        <w:pStyle w:val="BodyText"/>
      </w:pPr>
      <w:r w:rsidRPr="00390B6F">
        <w:t>KIIs and group interviews were held with ASIRF representatives, Heads of Programs (HoPs), Locally Engaged Staff (LES), and DFAT representatives, including S</w:t>
      </w:r>
      <w:r w:rsidR="00013A41">
        <w:t xml:space="preserve">ervice </w:t>
      </w:r>
      <w:r w:rsidRPr="00390B6F">
        <w:t>O</w:t>
      </w:r>
      <w:r w:rsidR="00013A41">
        <w:t>rder (SO)</w:t>
      </w:r>
      <w:r w:rsidRPr="00390B6F">
        <w:t xml:space="preserve"> managers. A total of 38 people were involved in individual and group interviews (14 men and 24 women).</w:t>
      </w:r>
    </w:p>
    <w:p w14:paraId="0F863F1D" w14:textId="77777777" w:rsidR="00825572" w:rsidRDefault="008E3B44" w:rsidP="00636C53">
      <w:pPr>
        <w:pStyle w:val="BodyText"/>
      </w:pPr>
      <w:r w:rsidRPr="00390B6F">
        <w:t xml:space="preserve">The </w:t>
      </w:r>
      <w:proofErr w:type="spellStart"/>
      <w:r w:rsidRPr="00390B6F">
        <w:t>EoFE</w:t>
      </w:r>
      <w:proofErr w:type="spellEnd"/>
      <w:r w:rsidRPr="00390B6F">
        <w:t xml:space="preserve"> was guided by the guiding questions detailed in the previous section and a set of Key Evaluation Questions (KEQ) outlined below.</w:t>
      </w:r>
    </w:p>
    <w:p w14:paraId="605B573D" w14:textId="01FE300E" w:rsidR="0083435D" w:rsidRPr="0083435D" w:rsidRDefault="0083435D" w:rsidP="0083435D">
      <w:pPr>
        <w:spacing w:after="120"/>
        <w:ind w:left="2268" w:hanging="2268"/>
      </w:pPr>
      <w:r w:rsidRPr="0083435D">
        <w:rPr>
          <w:rStyle w:val="Strong"/>
        </w:rPr>
        <w:t>Relevance</w:t>
      </w:r>
      <w:r w:rsidRPr="0083435D">
        <w:tab/>
        <w:t>How well has ASIRF adapted to the changing strategic context?</w:t>
      </w:r>
    </w:p>
    <w:p w14:paraId="2B2EB46D" w14:textId="77777777" w:rsidR="0083435D" w:rsidRPr="0083435D" w:rsidRDefault="0083435D" w:rsidP="0083435D">
      <w:pPr>
        <w:spacing w:after="120"/>
        <w:ind w:left="2268" w:hanging="2268"/>
      </w:pPr>
      <w:r w:rsidRPr="0083435D">
        <w:rPr>
          <w:rStyle w:val="Strong"/>
        </w:rPr>
        <w:t>Effectiveness</w:t>
      </w:r>
      <w:r w:rsidRPr="0083435D">
        <w:tab/>
        <w:t>How effective was ASIRF in achieving its expected outcomes?</w:t>
      </w:r>
    </w:p>
    <w:p w14:paraId="39CC7757" w14:textId="77777777" w:rsidR="0083435D" w:rsidRPr="0083435D" w:rsidRDefault="0083435D" w:rsidP="0083435D">
      <w:pPr>
        <w:spacing w:after="120"/>
        <w:ind w:left="2268" w:hanging="2268"/>
      </w:pPr>
      <w:r w:rsidRPr="0083435D">
        <w:rPr>
          <w:rStyle w:val="Strong"/>
        </w:rPr>
        <w:t>Efficiency</w:t>
      </w:r>
      <w:r w:rsidRPr="0083435D">
        <w:tab/>
        <w:t>How adequate were ASIRF governance, management, delivery approach and resourcing arrangements?</w:t>
      </w:r>
    </w:p>
    <w:p w14:paraId="740B11DB" w14:textId="549C4A94" w:rsidR="0083435D" w:rsidRPr="0083435D" w:rsidRDefault="0083435D" w:rsidP="0083435D">
      <w:pPr>
        <w:spacing w:after="120"/>
        <w:ind w:left="2268" w:hanging="2268"/>
      </w:pPr>
      <w:r w:rsidRPr="0083435D">
        <w:rPr>
          <w:rStyle w:val="Strong"/>
        </w:rPr>
        <w:t>MEL</w:t>
      </w:r>
      <w:r w:rsidRPr="0083435D">
        <w:tab/>
        <w:t>How and how well does ASIRF assess and learn from its performance?</w:t>
      </w:r>
    </w:p>
    <w:p w14:paraId="67B8E2D0" w14:textId="77777777" w:rsidR="0083435D" w:rsidRPr="0083435D" w:rsidRDefault="0083435D" w:rsidP="0083435D">
      <w:pPr>
        <w:spacing w:after="120"/>
        <w:ind w:left="2268" w:hanging="2268"/>
      </w:pPr>
      <w:r w:rsidRPr="0083435D">
        <w:rPr>
          <w:rStyle w:val="Strong"/>
        </w:rPr>
        <w:t>GEDSI</w:t>
      </w:r>
      <w:r w:rsidRPr="0083435D">
        <w:tab/>
        <w:t>To what extent has ASIRF implementation integrated gender equality, disability, and social inclusion?</w:t>
      </w:r>
    </w:p>
    <w:p w14:paraId="3AE220E7" w14:textId="77777777" w:rsidR="0083435D" w:rsidRPr="0083435D" w:rsidRDefault="0083435D" w:rsidP="0083435D">
      <w:pPr>
        <w:spacing w:after="120"/>
        <w:ind w:left="2268" w:hanging="2268"/>
      </w:pPr>
      <w:r w:rsidRPr="0083435D">
        <w:rPr>
          <w:rStyle w:val="Strong"/>
        </w:rPr>
        <w:t>Agility and adaptation</w:t>
      </w:r>
      <w:r w:rsidRPr="0083435D">
        <w:tab/>
        <w:t xml:space="preserve">How and how well </w:t>
      </w:r>
      <w:proofErr w:type="gramStart"/>
      <w:r w:rsidRPr="0083435D">
        <w:t>has</w:t>
      </w:r>
      <w:proofErr w:type="gramEnd"/>
      <w:r w:rsidRPr="0083435D">
        <w:t xml:space="preserve"> ASIRF pivoted to respond to the COVID-19 pandemic?</w:t>
      </w:r>
    </w:p>
    <w:p w14:paraId="10150182" w14:textId="77777777" w:rsidR="0083435D" w:rsidRPr="0083435D" w:rsidRDefault="0083435D" w:rsidP="0083435D">
      <w:pPr>
        <w:spacing w:after="120"/>
        <w:ind w:left="2268" w:hanging="2268"/>
      </w:pPr>
      <w:r w:rsidRPr="0083435D">
        <w:rPr>
          <w:rStyle w:val="Strong"/>
        </w:rPr>
        <w:t>Lessons Learned</w:t>
      </w:r>
      <w:r w:rsidRPr="0083435D">
        <w:tab/>
        <w:t>What are the recommendations for policy, practice, and implementation for future funding?</w:t>
      </w:r>
    </w:p>
    <w:p w14:paraId="23B60EDC" w14:textId="77777777" w:rsidR="008E3B44" w:rsidRPr="00390B6F" w:rsidRDefault="008E3B44" w:rsidP="00636C53">
      <w:pPr>
        <w:pStyle w:val="Heading2"/>
      </w:pPr>
      <w:bookmarkStart w:id="30" w:name="_Toc119930947"/>
      <w:bookmarkStart w:id="31" w:name="_Toc151565424"/>
      <w:r w:rsidRPr="00390B6F">
        <w:t>Evaluation Limitations</w:t>
      </w:r>
      <w:bookmarkEnd w:id="30"/>
      <w:bookmarkEnd w:id="31"/>
    </w:p>
    <w:p w14:paraId="45BA9139" w14:textId="77777777" w:rsidR="00825572" w:rsidRDefault="008E3B44" w:rsidP="008E3B44">
      <w:pPr>
        <w:pStyle w:val="BodyText"/>
        <w:spacing w:before="0" w:after="120" w:line="240" w:lineRule="auto"/>
        <w:jc w:val="both"/>
        <w:rPr>
          <w:szCs w:val="20"/>
        </w:rPr>
      </w:pPr>
      <w:r w:rsidRPr="00390B6F">
        <w:rPr>
          <w:szCs w:val="20"/>
        </w:rPr>
        <w:t>All evaluations and reviews are limited by scope and resources. Specific limitations pertaining to this evaluation included:</w:t>
      </w:r>
    </w:p>
    <w:p w14:paraId="27FD04FA" w14:textId="2C2FED97" w:rsidR="008E3B44" w:rsidRPr="00390B6F" w:rsidRDefault="008E3B44" w:rsidP="008E3B44">
      <w:pPr>
        <w:pStyle w:val="BodyText"/>
        <w:spacing w:before="0" w:after="120" w:line="240" w:lineRule="auto"/>
        <w:jc w:val="both"/>
        <w:rPr>
          <w:szCs w:val="20"/>
        </w:rPr>
      </w:pPr>
      <w:r w:rsidRPr="00992CF6">
        <w:rPr>
          <w:rStyle w:val="Strong"/>
        </w:rPr>
        <w:t>Time and Resources:</w:t>
      </w:r>
      <w:r w:rsidRPr="00390B6F">
        <w:rPr>
          <w:szCs w:val="20"/>
        </w:rPr>
        <w:t xml:space="preserve"> The rigour of the data gathering analysis was constrained to some degree by the time available and the availability of program heads, advisers, and associated counterparts during the </w:t>
      </w:r>
      <w:proofErr w:type="spellStart"/>
      <w:r w:rsidRPr="00390B6F">
        <w:rPr>
          <w:szCs w:val="20"/>
        </w:rPr>
        <w:t>EoFE</w:t>
      </w:r>
      <w:proofErr w:type="spellEnd"/>
      <w:r w:rsidRPr="00390B6F">
        <w:rPr>
          <w:szCs w:val="20"/>
        </w:rPr>
        <w:t>. Effort was made to broaden the scope of engagement which enabled the reviewer to reach most stakeholders. The limitation was mitigated through careful planning and scheduling of interviews and consultations.</w:t>
      </w:r>
    </w:p>
    <w:p w14:paraId="4917473D" w14:textId="77777777" w:rsidR="00825572" w:rsidRDefault="008E3B44" w:rsidP="008E3B44">
      <w:pPr>
        <w:pStyle w:val="BodyText"/>
        <w:spacing w:before="0" w:after="120" w:line="240" w:lineRule="auto"/>
        <w:jc w:val="both"/>
        <w:rPr>
          <w:rFonts w:cs="Arial"/>
          <w:szCs w:val="20"/>
        </w:rPr>
      </w:pPr>
      <w:r w:rsidRPr="00992CF6">
        <w:rPr>
          <w:rStyle w:val="Strong"/>
        </w:rPr>
        <w:t>Judgements:</w:t>
      </w:r>
      <w:r w:rsidRPr="00390B6F">
        <w:rPr>
          <w:rFonts w:cs="Arial"/>
          <w:szCs w:val="20"/>
        </w:rPr>
        <w:t xml:space="preserve"> The time limitations mean that professional judgements will need to be employed to interpret stakeholder perspectives.</w:t>
      </w:r>
    </w:p>
    <w:p w14:paraId="1E881FFF" w14:textId="2162099B" w:rsidR="008E3B44" w:rsidRPr="00390B6F" w:rsidRDefault="008E3B44" w:rsidP="00636C53">
      <w:pPr>
        <w:pStyle w:val="BodyText"/>
        <w:rPr>
          <w:szCs w:val="20"/>
        </w:rPr>
      </w:pPr>
      <w:r w:rsidRPr="00992CF6">
        <w:rPr>
          <w:rStyle w:val="Strong"/>
        </w:rPr>
        <w:t>Attribution</w:t>
      </w:r>
      <w:r w:rsidRPr="00390B6F">
        <w:rPr>
          <w:szCs w:val="20"/>
        </w:rPr>
        <w:t>: The programme operates in a fluid and dynamic environment and many factors influence performance and operational efficiency. Defining and identifying specific areas of attribution remain challenging. This issue was mitigated using various data collection methods and accessing a variety of documents and sources to align evidence to KEQs.</w:t>
      </w:r>
    </w:p>
    <w:p w14:paraId="67403979" w14:textId="77777777" w:rsidR="008E3B44" w:rsidRPr="00390B6F" w:rsidRDefault="008E3B44" w:rsidP="00636C53">
      <w:pPr>
        <w:pStyle w:val="Heading1"/>
      </w:pPr>
      <w:bookmarkStart w:id="32" w:name="_Toc119930948"/>
      <w:bookmarkStart w:id="33" w:name="_Toc151565425"/>
      <w:r w:rsidRPr="00390B6F">
        <w:t>Key Findings</w:t>
      </w:r>
      <w:bookmarkEnd w:id="32"/>
      <w:bookmarkEnd w:id="33"/>
    </w:p>
    <w:p w14:paraId="4397BDD7" w14:textId="68066375" w:rsidR="00825572" w:rsidRDefault="008E3B44" w:rsidP="00611280">
      <w:pPr>
        <w:pStyle w:val="BodyText"/>
      </w:pPr>
      <w:r w:rsidRPr="00390B6F">
        <w:t xml:space="preserve">The following sections highlight key findings against the KEQs detailed </w:t>
      </w:r>
      <w:r w:rsidR="005E3564">
        <w:t>above</w:t>
      </w:r>
      <w:r w:rsidRPr="00390B6F">
        <w:t>. The ASIRF Performance Assessment Framework (</w:t>
      </w:r>
      <w:r w:rsidR="005E3564">
        <w:fldChar w:fldCharType="begin"/>
      </w:r>
      <w:r w:rsidR="005E3564">
        <w:instrText xml:space="preserve"> REF _Ref155350716 \r \h </w:instrText>
      </w:r>
      <w:r w:rsidR="005E3564">
        <w:fldChar w:fldCharType="separate"/>
      </w:r>
      <w:r w:rsidR="005E3564">
        <w:t>Annex 2</w:t>
      </w:r>
      <w:r w:rsidR="005E3564">
        <w:fldChar w:fldCharType="end"/>
      </w:r>
      <w:r w:rsidRPr="00390B6F">
        <w:t>) has also been included to highlight other key performance metrics and achievements in the period to date</w:t>
      </w:r>
      <w:r w:rsidR="00FB6D66">
        <w:t>.</w:t>
      </w:r>
    </w:p>
    <w:p w14:paraId="48D94F88" w14:textId="77777777" w:rsidR="00825572" w:rsidRDefault="008E3B44" w:rsidP="00611280">
      <w:pPr>
        <w:pStyle w:val="BodyText"/>
      </w:pPr>
      <w:r w:rsidRPr="00390B6F">
        <w:t>The section below also provides suggested guidance for the future of ASIRF.</w:t>
      </w:r>
    </w:p>
    <w:p w14:paraId="28C376A0" w14:textId="2F5AC8E2" w:rsidR="008E3B44" w:rsidRPr="00390B6F" w:rsidRDefault="008E3B44" w:rsidP="008E3B44">
      <w:pPr>
        <w:pStyle w:val="Heading2"/>
      </w:pPr>
      <w:bookmarkStart w:id="34" w:name="_Toc119930949"/>
      <w:bookmarkStart w:id="35" w:name="_Toc151565426"/>
      <w:r w:rsidRPr="00390B6F">
        <w:t>Relevance</w:t>
      </w:r>
      <w:bookmarkEnd w:id="34"/>
      <w:bookmarkEnd w:id="35"/>
    </w:p>
    <w:p w14:paraId="59922AE8" w14:textId="77777777" w:rsidR="00825572" w:rsidRDefault="008E3B44" w:rsidP="00611280">
      <w:pPr>
        <w:pStyle w:val="BodyText"/>
      </w:pPr>
      <w:r w:rsidRPr="00390B6F">
        <w:t>ASIRF is a highly relevant program that continues to support and underpin SOs and underpin DFAT investment and engagement with the Solomon Island Government (SIG) ministries and counterparts. ASIRF has continued to refine and adapt approaches, systems, and processes to maintain relevance despite key challenges including COVID-19 and subsequent lockdowns.</w:t>
      </w:r>
    </w:p>
    <w:p w14:paraId="20600DE2" w14:textId="77777777" w:rsidR="00825572" w:rsidRDefault="008E3B44" w:rsidP="00611280">
      <w:pPr>
        <w:pStyle w:val="BodyText"/>
      </w:pPr>
      <w:r w:rsidRPr="00390B6F">
        <w:lastRenderedPageBreak/>
        <w:t xml:space="preserve">A key feature of relevance is the </w:t>
      </w:r>
      <w:r w:rsidR="00636C53" w:rsidRPr="00390B6F">
        <w:t>‘</w:t>
      </w:r>
      <w:r w:rsidRPr="00390B6F">
        <w:t>economies of scale</w:t>
      </w:r>
      <w:r w:rsidR="00636C53" w:rsidRPr="00390B6F">
        <w:t>’</w:t>
      </w:r>
      <w:r w:rsidRPr="00390B6F">
        <w:t xml:space="preserve"> that ASIRF brings to supporting DFAT and SOs. ASIRF does differ slightly from other facilities given the support function nature that ASIRF provides but it has adapted as required. ASIRF provides a cost-effective mechanism that enables programs and SOs to maintain their own relevance and to maintain a focus on technical delivery and support.</w:t>
      </w:r>
    </w:p>
    <w:p w14:paraId="6F48C266" w14:textId="77777777" w:rsidR="00825572" w:rsidRDefault="008E3B44" w:rsidP="00611280">
      <w:pPr>
        <w:pStyle w:val="BodyText"/>
      </w:pPr>
      <w:r w:rsidRPr="00390B6F">
        <w:t xml:space="preserve">Relevance continues to be enhanced as ASIRF seeks to review and refine approaches based on emerging needs and priorities. Evidence of this is a recent shift in focus away from a traditional top-down approach whereby SOs need to </w:t>
      </w:r>
      <w:r w:rsidR="00636C53" w:rsidRPr="00390B6F">
        <w:t>‘</w:t>
      </w:r>
      <w:r w:rsidRPr="00390B6F">
        <w:t>comply</w:t>
      </w:r>
      <w:r w:rsidR="00636C53" w:rsidRPr="00390B6F">
        <w:t>’</w:t>
      </w:r>
      <w:r w:rsidRPr="00390B6F">
        <w:t xml:space="preserve"> and </w:t>
      </w:r>
      <w:r w:rsidR="00636C53" w:rsidRPr="00390B6F">
        <w:t>‘</w:t>
      </w:r>
      <w:r w:rsidRPr="00390B6F">
        <w:t>work within ASIRF systems</w:t>
      </w:r>
      <w:r w:rsidR="00636C53" w:rsidRPr="00390B6F">
        <w:t>’</w:t>
      </w:r>
      <w:r w:rsidRPr="00390B6F">
        <w:t xml:space="preserve"> towards a more facilitating and supporting role which sees greater coordination and communication between ASIRF advisers and relevant heads of program. This shift in focus has softened the narrative against ASIRF and promoted a more conducive and collegiate approach.</w:t>
      </w:r>
    </w:p>
    <w:p w14:paraId="34BD27F8" w14:textId="20015C90" w:rsidR="008E3B44" w:rsidRPr="00390B6F" w:rsidRDefault="008E3B44" w:rsidP="00611280">
      <w:pPr>
        <w:pStyle w:val="BodyText"/>
      </w:pPr>
      <w:r w:rsidRPr="00390B6F">
        <w:t>This shift in focus has reaffirmed ASIRF primary role as a support function to SOs. This is an area of work that should continue. The Facility Management Team (FMT) needs to continually monitor the external environment and anticipate events and issues that have an impact on DFAT, and the work undertaken by SOs. This is discussed in greater detail later in the report.</w:t>
      </w:r>
    </w:p>
    <w:p w14:paraId="57B32232" w14:textId="77777777" w:rsidR="008E3B44" w:rsidRPr="00390B6F" w:rsidRDefault="008E3B44" w:rsidP="00611280">
      <w:pPr>
        <w:pStyle w:val="BodyText"/>
      </w:pPr>
      <w:r w:rsidRPr="00390B6F">
        <w:t>The influence and impact of COVID-19 and security concerns in late 2021, reaffirmed the importance and relevance of ASIRF in supporting and coordinating with DFAT and SOs. Surveys and interviews indicated a general approval of the performance of ASIRF in supporting demobilisation and associated changes because of COVID-19. While the feedback indicated a general positive assessment, there were some examples whereby ASIRF’s communication and engagement were not seen as adequate. Again, this refers to the importance of effective communication and associated Ways of Working (WoW). The importance of security has also been elevated and ASIRFs support with regards to security is well acknowledged by all.</w:t>
      </w:r>
    </w:p>
    <w:p w14:paraId="77FE813A" w14:textId="77777777" w:rsidR="00825572" w:rsidRDefault="008E3B44" w:rsidP="00611280">
      <w:pPr>
        <w:pStyle w:val="BodyText"/>
      </w:pPr>
      <w:r w:rsidRPr="00390B6F">
        <w:t>In addition to the challenges outlined above, there were some challenges around engagements with SOs and DFAT which tend to be more communication based rather than any systemic issue or lack of overall relevance. It is important to remember the need to ensure clear communication and to ensure shared visions and outcomes are articulated and shared and communication occurs on a regular basis.</w:t>
      </w:r>
    </w:p>
    <w:p w14:paraId="6FB9881C" w14:textId="5556A4D6" w:rsidR="008E3B44" w:rsidRPr="00390B6F" w:rsidRDefault="008E3B44" w:rsidP="00611280">
      <w:pPr>
        <w:pStyle w:val="BodyText"/>
      </w:pPr>
      <w:r w:rsidRPr="00390B6F">
        <w:t>To maintain relevance, ASIRF needs to continually look for ways to improve systems and processes and to strengthen and build on existing systems. There is scope for ASIRF to take on a more proactive and advisory role to SOs, particularly around important areas of security, communications, MEL and gender equity, disability, and social inclusion (GEDSI). Details on this proposed approach are discussed later in the report.</w:t>
      </w:r>
    </w:p>
    <w:p w14:paraId="3BA79BCC" w14:textId="77777777" w:rsidR="008E3B44" w:rsidRPr="00390B6F" w:rsidRDefault="008E3B44" w:rsidP="008E3B44">
      <w:pPr>
        <w:pStyle w:val="Heading2"/>
      </w:pPr>
      <w:bookmarkStart w:id="36" w:name="_Toc119930950"/>
      <w:bookmarkStart w:id="37" w:name="_Toc151565427"/>
      <w:r w:rsidRPr="00390B6F">
        <w:t>Effectiveness</w:t>
      </w:r>
      <w:bookmarkEnd w:id="36"/>
      <w:bookmarkEnd w:id="37"/>
    </w:p>
    <w:p w14:paraId="2810C43E" w14:textId="77777777" w:rsidR="008E3B44" w:rsidRPr="00390B6F" w:rsidRDefault="008E3B44" w:rsidP="00636C53">
      <w:pPr>
        <w:pStyle w:val="BodyText"/>
      </w:pPr>
      <w:r w:rsidRPr="00390B6F">
        <w:t xml:space="preserve">Overall, ASIRF has been effective in delivering its mandate and contributing to its Intermediate Outcomes (IOs) and associated </w:t>
      </w:r>
      <w:proofErr w:type="spellStart"/>
      <w:r w:rsidRPr="00390B6F">
        <w:t>EoFOs</w:t>
      </w:r>
      <w:proofErr w:type="spellEnd"/>
      <w:r w:rsidRPr="00390B6F">
        <w:t>. A review of previous six-monthly reports and other key deliverables indicate that the Facility has made steady progress in the achievement of results and has accelerated improvements in delivery in the past 12 months. A review of PAF information and data suggests that key performance metrics are being met across the various service functions of the Facility.</w:t>
      </w:r>
    </w:p>
    <w:p w14:paraId="26453DEA" w14:textId="77777777" w:rsidR="008E3B44" w:rsidRPr="00390B6F" w:rsidRDefault="008E3B44" w:rsidP="00636C53">
      <w:pPr>
        <w:pStyle w:val="BodyText"/>
      </w:pPr>
      <w:r w:rsidRPr="00390B6F">
        <w:t>It is acknowledged by the evaluation that effectiveness suffered during the COVID-19 lockdowns as demand for technical services and work slowed due to work from home arrangements and international border closures. Communication issues tended to dominate the feedback and consistency in messaging was raised as a concern through various reviews and assessments of ASIRF’s response.</w:t>
      </w:r>
      <w:r w:rsidRPr="00390B6F">
        <w:rPr>
          <w:rStyle w:val="FootnoteReference"/>
        </w:rPr>
        <w:footnoteReference w:id="5"/>
      </w:r>
      <w:r w:rsidRPr="00390B6F">
        <w:t xml:space="preserve"> Relationships have improved markedly since 2022, with the installation of new Facility Management Team and adjustments to approach and engagement with DFAT and SOs.</w:t>
      </w:r>
    </w:p>
    <w:p w14:paraId="4965071C" w14:textId="007B4290" w:rsidR="008E3B44" w:rsidRPr="00390B6F" w:rsidRDefault="008E3B44" w:rsidP="00636C53">
      <w:pPr>
        <w:pStyle w:val="BodyText"/>
      </w:pPr>
      <w:r w:rsidRPr="00390B6F">
        <w:t xml:space="preserve">A key learning from the process has been the need for ASIRF to ensure it maintains its focus as an ‘enabling’ delivery model. This requires consistency in management and clear messaging. COVID-19 did impact ASIRF, as key advisory and management positions operated remotely. This created significant challenges for LES as they did not have direct supervision or engagement. LES shouldered significant responsibility and performed well during this period. Feedback from key LES representatives did reveal the </w:t>
      </w:r>
      <w:r w:rsidRPr="00390B6F">
        <w:lastRenderedPageBreak/>
        <w:t>mental and physical strain of operating in this work environment. Working from Home arrangements, while manageable for international advisers and management, were not entirely helpful or productive for LES, particularly for critical functions such as finance and procurement.</w:t>
      </w:r>
    </w:p>
    <w:p w14:paraId="43CE937D" w14:textId="17C9A47E" w:rsidR="008E3B44" w:rsidRPr="00390B6F" w:rsidRDefault="008E3B44" w:rsidP="00636C53">
      <w:pPr>
        <w:pStyle w:val="BodyText"/>
      </w:pPr>
      <w:r w:rsidRPr="00390B6F">
        <w:t xml:space="preserve">Another key factor influencing effectiveness has been the application of standardised approaches and </w:t>
      </w:r>
      <w:r w:rsidR="00636C53" w:rsidRPr="00390B6F">
        <w:t>‘</w:t>
      </w:r>
      <w:r w:rsidRPr="00390B6F">
        <w:t>grouping of support</w:t>
      </w:r>
      <w:r w:rsidR="00636C53" w:rsidRPr="00390B6F">
        <w:t>’</w:t>
      </w:r>
      <w:r w:rsidRPr="00390B6F">
        <w:t xml:space="preserve"> to SOs. This approach commenced with the arrival of a new FMT from January 2022, which identified some weaknesses and challenges from earlier responses and sought to adopt a more conducive, supporting and enabling approach that listened to the needs of SOs and adjusted systems and processes while at the same time maintaining quality, transparency, and accountability. The revised approach has been acknowledged and welcomed by HoPs and other key counterparts such as DFAT.</w:t>
      </w:r>
    </w:p>
    <w:p w14:paraId="66FD05D7" w14:textId="77777777" w:rsidR="008E3B44" w:rsidRPr="00390B6F" w:rsidRDefault="008E3B44" w:rsidP="00636C53">
      <w:pPr>
        <w:pStyle w:val="BodyText"/>
      </w:pPr>
      <w:r w:rsidRPr="00390B6F">
        <w:t>For ASRIF’s ‘enabling’ model to be most impactful and influential, effective management, clear communication and decision making across the Facility is critical. Consultations with staff and DFAT indicated perceptions that previous management styles and DFAT systems and structures contributed to challenges, and that action should be taken early to address these in the future.</w:t>
      </w:r>
    </w:p>
    <w:p w14:paraId="13D5E45F" w14:textId="67E80567" w:rsidR="008E3B44" w:rsidRPr="00390B6F" w:rsidRDefault="008E3B44" w:rsidP="00636C53">
      <w:pPr>
        <w:pStyle w:val="BodyText"/>
      </w:pPr>
      <w:r w:rsidRPr="00390B6F">
        <w:t>This leads to the importance of an effective work culture. ASIRF, as an ‘enabling’ facility can</w:t>
      </w:r>
      <w:r w:rsidR="00207D5A" w:rsidRPr="00390B6F">
        <w:t xml:space="preserve"> </w:t>
      </w:r>
      <w:r w:rsidRPr="00390B6F">
        <w:t xml:space="preserve">potentially be viewed only as a mechanism through which support is provided. This minimises the effectiveness of ASIRF and often limits its work to a series of functions to achieve a desired end. However, it is important to acknowledge that an effective work culture and a culture of performance have significant bearings upon the Facility and the type and quality of support provided to SOs. Currently management is defining and embedding a positive </w:t>
      </w:r>
      <w:r w:rsidR="00636C53" w:rsidRPr="00390B6F">
        <w:t>‘</w:t>
      </w:r>
      <w:r w:rsidRPr="00390B6F">
        <w:t>work culture</w:t>
      </w:r>
      <w:r w:rsidR="00636C53" w:rsidRPr="00390B6F">
        <w:t>’</w:t>
      </w:r>
      <w:r w:rsidRPr="00390B6F">
        <w:t xml:space="preserve"> for ASIRF and this is something to support and encourage, particularly as ASIRF progresses to a new phase.</w:t>
      </w:r>
    </w:p>
    <w:p w14:paraId="0FA6CD22" w14:textId="17477F1D" w:rsidR="008E3B44" w:rsidRPr="00390B6F" w:rsidRDefault="008E3B44" w:rsidP="00636C53">
      <w:pPr>
        <w:pStyle w:val="BodyText"/>
      </w:pPr>
      <w:r w:rsidRPr="00390B6F">
        <w:t xml:space="preserve">The following provides a summary of progress towards ASIRF’s IOs, based on previous </w:t>
      </w:r>
      <w:r w:rsidR="00013A41">
        <w:t>six-monthly</w:t>
      </w:r>
      <w:r w:rsidRPr="00390B6F">
        <w:t xml:space="preserve"> reports, MEL deliverables and interviews.</w:t>
      </w:r>
    </w:p>
    <w:p w14:paraId="2892D613" w14:textId="77777777" w:rsidR="00566A21" w:rsidRPr="00390B6F" w:rsidRDefault="00566A21" w:rsidP="00566A21">
      <w:pPr>
        <w:pStyle w:val="BodyText"/>
      </w:pPr>
      <w:r w:rsidRPr="00566A21">
        <w:rPr>
          <w:rStyle w:val="Strong"/>
        </w:rPr>
        <w:t>IO 1:</w:t>
      </w:r>
      <w:r>
        <w:t xml:space="preserve"> </w:t>
      </w:r>
      <w:r w:rsidRPr="00390B6F">
        <w:t>Deployee</w:t>
      </w:r>
      <w:r>
        <w:t xml:space="preserve"> </w:t>
      </w:r>
      <w:r w:rsidRPr="00390B6F">
        <w:t>/</w:t>
      </w:r>
      <w:r>
        <w:t xml:space="preserve"> </w:t>
      </w:r>
      <w:r w:rsidRPr="00390B6F">
        <w:t>advisers and staff are effectively supported and managed to provide high quality technical advice and management of ASIRF and supported programs.</w:t>
      </w:r>
    </w:p>
    <w:p w14:paraId="242B66DA" w14:textId="3F34D7B8" w:rsidR="00566A21" w:rsidRPr="00390B6F" w:rsidRDefault="00566A21" w:rsidP="00566A21">
      <w:pPr>
        <w:pStyle w:val="ListBullet"/>
      </w:pPr>
      <w:r w:rsidRPr="00390B6F">
        <w:t xml:space="preserve">ASIRF continues to provide targeted and appropriate support to deployees and advisers across the Facility as evidenced by the Performance Assessment Framework. Please refer to </w:t>
      </w:r>
      <w:r w:rsidR="005E3564">
        <w:fldChar w:fldCharType="begin"/>
      </w:r>
      <w:r w:rsidR="005E3564">
        <w:instrText xml:space="preserve"> REF _Ref155350647 \r \h </w:instrText>
      </w:r>
      <w:r w:rsidR="005E3564">
        <w:fldChar w:fldCharType="separate"/>
      </w:r>
      <w:r w:rsidR="005E3564">
        <w:t>Annex 2</w:t>
      </w:r>
      <w:r w:rsidR="005E3564">
        <w:fldChar w:fldCharType="end"/>
      </w:r>
      <w:r w:rsidRPr="00390B6F">
        <w:t xml:space="preserve"> for a summary of key performance metric achievement.</w:t>
      </w:r>
    </w:p>
    <w:p w14:paraId="30158BC5" w14:textId="77777777" w:rsidR="00566A21" w:rsidRPr="00390B6F" w:rsidRDefault="00566A21" w:rsidP="00566A21">
      <w:pPr>
        <w:pStyle w:val="BodyText"/>
      </w:pPr>
      <w:r w:rsidRPr="00566A21">
        <w:rPr>
          <w:rStyle w:val="Strong"/>
        </w:rPr>
        <w:t>IO 2:</w:t>
      </w:r>
      <w:r>
        <w:t xml:space="preserve"> </w:t>
      </w:r>
      <w:r w:rsidRPr="00390B6F">
        <w:t>Programs effectively coordinate with partners to design and implement quality and timely technical advice.</w:t>
      </w:r>
    </w:p>
    <w:p w14:paraId="040FD376" w14:textId="77777777" w:rsidR="00825572" w:rsidRDefault="00566A21" w:rsidP="00566A21">
      <w:pPr>
        <w:pStyle w:val="ListBullet"/>
      </w:pPr>
      <w:r w:rsidRPr="00390B6F">
        <w:t>ASIRF saw improvements in collaboration between programs with improved information and resource sharing through the HoPs fortnightly catchup.</w:t>
      </w:r>
    </w:p>
    <w:p w14:paraId="4364CC55" w14:textId="77777777" w:rsidR="00825572" w:rsidRDefault="00566A21" w:rsidP="00566A21">
      <w:pPr>
        <w:pStyle w:val="ListBullet"/>
      </w:pPr>
      <w:r w:rsidRPr="00390B6F">
        <w:t>ASIRF engagement ensured COVID-19 responses were coherent and supportive of ASIRF partners’ ability to implement quality and timely technical advice.</w:t>
      </w:r>
    </w:p>
    <w:p w14:paraId="7DF8BF1B" w14:textId="6E30060B" w:rsidR="00566A21" w:rsidRPr="00390B6F" w:rsidRDefault="00566A21" w:rsidP="00566A21">
      <w:pPr>
        <w:pStyle w:val="BodyText"/>
      </w:pPr>
      <w:r w:rsidRPr="00566A21">
        <w:rPr>
          <w:rStyle w:val="Strong"/>
        </w:rPr>
        <w:t>IO 3:</w:t>
      </w:r>
      <w:r>
        <w:t xml:space="preserve"> </w:t>
      </w:r>
      <w:r w:rsidRPr="00390B6F">
        <w:t>Flexible, timely and good quality responses to requests, that demonstrate Value for Money (VfM) and innovation</w:t>
      </w:r>
    </w:p>
    <w:p w14:paraId="4AC85D41" w14:textId="77777777" w:rsidR="00566A21" w:rsidRPr="00390B6F" w:rsidRDefault="00566A21" w:rsidP="00566A21">
      <w:pPr>
        <w:pStyle w:val="ListBullet"/>
      </w:pPr>
      <w:r w:rsidRPr="00390B6F">
        <w:t>ASIRF is currently managing five grants and has worked proactively to develop revised work plans and budgets as required. It is likely that grant programs will expand and increase in the future.</w:t>
      </w:r>
    </w:p>
    <w:p w14:paraId="46DA2123" w14:textId="77777777" w:rsidR="00825572" w:rsidRDefault="00566A21" w:rsidP="00566A21">
      <w:pPr>
        <w:pStyle w:val="ListBullet"/>
      </w:pPr>
      <w:r w:rsidRPr="00390B6F">
        <w:t>Marked increase in the number of procurement requests during 2022. A total of 191 requests were made since January 2022.</w:t>
      </w:r>
    </w:p>
    <w:p w14:paraId="6D865BFE" w14:textId="77777777" w:rsidR="00825572" w:rsidRDefault="00566A21" w:rsidP="00566A21">
      <w:pPr>
        <w:pStyle w:val="ListBullet"/>
      </w:pPr>
      <w:r w:rsidRPr="00390B6F">
        <w:t>ASIRF completed a VfM assessment, a COVID-19 impact follow-up study and presentation, and an Effective Adviser Practices study to identify and document adviser practices that support development effectiveness, capacity development and innovative practices to support SIG counterparts and institutions.</w:t>
      </w:r>
    </w:p>
    <w:p w14:paraId="55315262" w14:textId="39362716" w:rsidR="00566A21" w:rsidRPr="00390B6F" w:rsidRDefault="00566A21" w:rsidP="00566A21">
      <w:pPr>
        <w:pStyle w:val="BodyText"/>
      </w:pPr>
      <w:r w:rsidRPr="00566A21">
        <w:rPr>
          <w:rStyle w:val="Strong"/>
        </w:rPr>
        <w:t>IO 4:</w:t>
      </w:r>
      <w:r>
        <w:t xml:space="preserve"> </w:t>
      </w:r>
      <w:r w:rsidRPr="00390B6F">
        <w:t>Facility learning, and management processes provide insights on strategic programming, including cross-cutting issues (child protection, fraud management, climate change)</w:t>
      </w:r>
    </w:p>
    <w:p w14:paraId="24DDE6E6" w14:textId="77777777" w:rsidR="00825572" w:rsidRDefault="00566A21" w:rsidP="00566A21">
      <w:pPr>
        <w:pStyle w:val="ListBullet"/>
      </w:pPr>
      <w:r w:rsidRPr="00390B6F">
        <w:t>An internal team reflection and learning event was facilitated in October 2022, with a follow-up survey with LES completed shortly after.</w:t>
      </w:r>
    </w:p>
    <w:p w14:paraId="0810ACB2" w14:textId="568419C8" w:rsidR="00566A21" w:rsidRPr="00390B6F" w:rsidRDefault="00566A21" w:rsidP="00566A21">
      <w:pPr>
        <w:pStyle w:val="ListBullet"/>
      </w:pPr>
      <w:r w:rsidRPr="00390B6F">
        <w:t>ASIRF has also facilitated other learning and awareness events aimed at increasing engagement and involvement (GEDSI, safeguarding, etc).</w:t>
      </w:r>
    </w:p>
    <w:p w14:paraId="555A1F4C" w14:textId="3AA43041" w:rsidR="008E3B44" w:rsidRPr="00390B6F" w:rsidRDefault="008E3B44" w:rsidP="00636C53">
      <w:pPr>
        <w:pStyle w:val="BodyText"/>
      </w:pPr>
      <w:r w:rsidRPr="00715E27">
        <w:rPr>
          <w:rStyle w:val="Strong"/>
        </w:rPr>
        <w:lastRenderedPageBreak/>
        <w:t>While ASIRF demonstrates effectiveness overall, it does face current headwinds and challenges.</w:t>
      </w:r>
      <w:r w:rsidRPr="00390B6F">
        <w:t xml:space="preserve"> The application of multiple information systems (legacy and new systems) across the Facility is acknowledged internally and externally as problematic. The risk is the application of siloed approaches that have the potential to promote uncoordinated responses leading to poor decision-making. Of greater concern, is the risk of a system failing whereby key data is either lost or not updated which in turn leads to questions around accountability and transparency. Multiple systems also lead to inconsistencies and inefficiencies, particularly for SOs. ASIRF still relies on considerable manual operations including paper approvals. The evaluation notes that steps are being taken to reduce this burden with a 20</w:t>
      </w:r>
      <w:r w:rsidR="00054CFE" w:rsidRPr="00390B6F">
        <w:t> per cent</w:t>
      </w:r>
      <w:r w:rsidRPr="00390B6F">
        <w:t xml:space="preserve"> reduction in paper usage being applied.</w:t>
      </w:r>
    </w:p>
    <w:p w14:paraId="7D6F810B" w14:textId="77777777" w:rsidR="008E3B44" w:rsidRPr="00390B6F" w:rsidRDefault="008E3B44" w:rsidP="00636C53">
      <w:pPr>
        <w:pStyle w:val="BodyText"/>
      </w:pPr>
      <w:r w:rsidRPr="00715E27">
        <w:rPr>
          <w:rStyle w:val="Strong"/>
        </w:rPr>
        <w:t>Effectiveness is also influenced by the ability of advisers and teams to work consistently and coherently.</w:t>
      </w:r>
      <w:r w:rsidRPr="00992CF6">
        <w:rPr>
          <w:rStyle w:val="Strong"/>
        </w:rPr>
        <w:t xml:space="preserve"> </w:t>
      </w:r>
      <w:r w:rsidRPr="00390B6F">
        <w:t>Most functions with ASIRF are performing well, however there are some imbalances in resourcing levels. Procurement is quite under-resourced and given the importance of procurement and its scale up, it is vital that appropriate and adequate resources are devoted to this function. Any failing in procurement systems would have significant impacts across the entire Facility. Engagement with HoPs has improved in the current year (2022). Having most of the programs work together in a shared office environment enables greater opportunities to work together and collaborate on key elements of support. Two areas recognised for their positive engagement and support have been in Deployee Support Services (DSS) and Security. Significant synergies have been realised and the application of the two streams of work, coupled with dedicated and experienced teams has meant that a high-quality level of service and support has been provided.</w:t>
      </w:r>
    </w:p>
    <w:p w14:paraId="39B68C6A" w14:textId="77777777" w:rsidR="008E3B44" w:rsidRPr="00390B6F" w:rsidRDefault="008E3B44" w:rsidP="00636C53">
      <w:pPr>
        <w:pStyle w:val="BodyText"/>
      </w:pPr>
      <w:r w:rsidRPr="00715E27">
        <w:rPr>
          <w:rStyle w:val="Strong"/>
        </w:rPr>
        <w:t xml:space="preserve">Despite the benefits and achievements of DSS and Security, one significant influence on effectiveness has been the perception that ASIRF tended to work in silos. </w:t>
      </w:r>
      <w:r w:rsidRPr="00390B6F">
        <w:t>This meant that various components within ASIRF often worked independently and directly with program heads rather than as a coordinated and structured operation. Policies and procedures are in place but often these were not followed or adhered to. This led to uncoordinated responses and also raised the risk profile of ASIRF, particularly around finance and procurement, two areas that need to maintain adherence to strong systems and approaches.</w:t>
      </w:r>
    </w:p>
    <w:p w14:paraId="2B359D72" w14:textId="61A22981" w:rsidR="008E3B44" w:rsidRPr="00390B6F" w:rsidRDefault="008E3B44" w:rsidP="00636C53">
      <w:pPr>
        <w:pStyle w:val="BodyText"/>
      </w:pPr>
      <w:r w:rsidRPr="00715E27">
        <w:rPr>
          <w:rStyle w:val="Strong"/>
        </w:rPr>
        <w:t>Monitoring and Evaluation on ASIRF has generally been quite weak and has not been an effective support mechanism for implementation and management decision-making.</w:t>
      </w:r>
      <w:r w:rsidRPr="00390B6F">
        <w:t xml:space="preserve"> This is an area for improvement going forward. Steps have been taken since 2019 to develop a PAF and also a VfM assessment framework which are now being applied. Prior to the current implementation phase, no formal M&amp;E system was implemented. A critical area of support is to work with SO’s and HoPs to </w:t>
      </w:r>
      <w:r w:rsidR="00636C53" w:rsidRPr="00390B6F">
        <w:rPr>
          <w:i/>
          <w:iCs/>
        </w:rPr>
        <w:t>‘</w:t>
      </w:r>
      <w:r w:rsidRPr="00390B6F">
        <w:rPr>
          <w:i/>
          <w:iCs/>
        </w:rPr>
        <w:t>inform a story</w:t>
      </w:r>
      <w:r w:rsidR="00636C53" w:rsidRPr="00390B6F">
        <w:rPr>
          <w:i/>
          <w:iCs/>
        </w:rPr>
        <w:t>’</w:t>
      </w:r>
      <w:r w:rsidRPr="00390B6F">
        <w:rPr>
          <w:i/>
          <w:iCs/>
        </w:rPr>
        <w:t xml:space="preserve"> </w:t>
      </w:r>
      <w:r w:rsidRPr="00390B6F">
        <w:t>about ASIRF and SOs as a whole. There is scope to employ a mix of methods including case studies, short communication pieces and public diplomacy efforts to promote work and generate a body of evidence to complement existing reporting functions.</w:t>
      </w:r>
    </w:p>
    <w:p w14:paraId="42E5D736" w14:textId="77777777" w:rsidR="008E3B44" w:rsidRPr="00390B6F" w:rsidRDefault="008E3B44" w:rsidP="00636C53">
      <w:pPr>
        <w:pStyle w:val="BodyText"/>
      </w:pPr>
      <w:r w:rsidRPr="00715E27">
        <w:rPr>
          <w:rStyle w:val="Strong"/>
        </w:rPr>
        <w:t>The development of a localisation strategy to guide ASIRF operations is a significant achievement and a welcomed strategy to underpin future effectiveness and delivery.</w:t>
      </w:r>
      <w:r w:rsidRPr="00390B6F">
        <w:t xml:space="preserve"> While the strategy has only recently been developed and approved it provides a strong foundation upon which to progress work into a possible new phase. Feedback from LES indicate that while the strategy is welcomed, there is a need to ensure it is socialised and operationalised in a manner that generates results and demonstrates a commitment to promoting better localisation across not only staffing and technical roles but in supporting private sector engagement through grants and procurement.</w:t>
      </w:r>
    </w:p>
    <w:p w14:paraId="067E0052" w14:textId="69640C72" w:rsidR="008E3B44" w:rsidRPr="00390B6F" w:rsidRDefault="008E3B44" w:rsidP="00636C53">
      <w:pPr>
        <w:pStyle w:val="BodyText"/>
      </w:pPr>
      <w:r w:rsidRPr="00715E27">
        <w:rPr>
          <w:rStyle w:val="Strong"/>
        </w:rPr>
        <w:t>Flowing on from the localisation strategy is a need to develop a more formalised approach to capacity development.</w:t>
      </w:r>
      <w:r w:rsidRPr="00390B6F">
        <w:t xml:space="preserve"> Many LES have worked in respective roles for extended periods of time but have often not received adequate standards of support and capacity development. This is a challenging situation as often workloads mean that there is limited time to engage but there is a need for ASIRF advisers to structure approaches that provide innovative approaches to supporting capacity. ASIRF has recently implemented its Professional Development Plans with the aim of steering staff on a career path, which includes opportunities for further education. On the job and mentoring components could be employed at relatively low cost. To support the process, capacity development should ideally be included as a formal component in all international adviser ToRs.</w:t>
      </w:r>
    </w:p>
    <w:p w14:paraId="2ADF0B21" w14:textId="77777777" w:rsidR="008E3B44" w:rsidRPr="00390B6F" w:rsidRDefault="008E3B44" w:rsidP="00636C53">
      <w:pPr>
        <w:pStyle w:val="BodyText"/>
      </w:pPr>
      <w:r w:rsidRPr="00715E27">
        <w:rPr>
          <w:rStyle w:val="Strong"/>
        </w:rPr>
        <w:lastRenderedPageBreak/>
        <w:t>For effectiveness to continue, there should be regular check-ins and feedback loops established that allow for internal review and reflection.</w:t>
      </w:r>
      <w:r w:rsidRPr="00992CF6">
        <w:rPr>
          <w:rStyle w:val="Strong"/>
        </w:rPr>
        <w:t xml:space="preserve"> </w:t>
      </w:r>
      <w:r w:rsidRPr="00390B6F">
        <w:t>This is important for LES, as it enables them to feel engaged and an opportunity to present ideas and options for consideration by the FMT. Perceptions of inequality do exist within ASIRF and during the evaluation process, a feedback survey generated useful insights that have been accepted by the FMT and strategies employed to address these concerns.</w:t>
      </w:r>
    </w:p>
    <w:p w14:paraId="49BAB373" w14:textId="77777777" w:rsidR="008E3B44" w:rsidRPr="00390B6F" w:rsidRDefault="008E3B44" w:rsidP="00636C53">
      <w:pPr>
        <w:pStyle w:val="BodyText"/>
      </w:pPr>
      <w:r w:rsidRPr="00715E27">
        <w:rPr>
          <w:rStyle w:val="Strong"/>
        </w:rPr>
        <w:t>In addition to improvement M&amp;E and the embedding of localisation strategies, there is also a need to undertake more rigorous assessments of adviser performance.</w:t>
      </w:r>
      <w:r w:rsidRPr="00390B6F">
        <w:t xml:space="preserve"> This has not been done well to date and is an important component in assessing effectiveness overall. Steps have been taken to develop personnel management plans and professional development plans for LES but these need to have some form of assessment criteria to assess if these are being applied and how ASIRF is progressing in supporting these. For international advisers, annual adviser performance reviews are often not completed. An effective adviser practices study has also been completed which provided the following useful insights:</w:t>
      </w:r>
    </w:p>
    <w:p w14:paraId="1A83210A" w14:textId="77777777" w:rsidR="008E3B44" w:rsidRPr="00390B6F" w:rsidRDefault="008E3B44" w:rsidP="00636C53">
      <w:pPr>
        <w:pStyle w:val="ListBullet"/>
      </w:pPr>
      <w:r w:rsidRPr="00390B6F">
        <w:t>The most critical component identified by advisers was the ability to build positive and proactive relationships with counterparts.</w:t>
      </w:r>
    </w:p>
    <w:p w14:paraId="33974371" w14:textId="77777777" w:rsidR="008E3B44" w:rsidRPr="00390B6F" w:rsidRDefault="008E3B44" w:rsidP="00636C53">
      <w:pPr>
        <w:pStyle w:val="ListBullet"/>
      </w:pPr>
      <w:r w:rsidRPr="00390B6F">
        <w:t>Advisers also identified the importance of confidence building as another key skill to promote performance.</w:t>
      </w:r>
    </w:p>
    <w:p w14:paraId="5C85C376" w14:textId="77777777" w:rsidR="00825572" w:rsidRDefault="008E3B44" w:rsidP="00636C53">
      <w:pPr>
        <w:pStyle w:val="ListBullet"/>
      </w:pPr>
      <w:r w:rsidRPr="00390B6F">
        <w:t>In the context of capacity building, there is a need for effective listening, learning and general patience.</w:t>
      </w:r>
    </w:p>
    <w:p w14:paraId="09E8B6A7" w14:textId="6FEFC5D7" w:rsidR="008E3B44" w:rsidRPr="00390B6F" w:rsidRDefault="008E3B44" w:rsidP="00636C53">
      <w:pPr>
        <w:pStyle w:val="ListBullet"/>
      </w:pPr>
      <w:r w:rsidRPr="00390B6F">
        <w:t>Clear and consistent communication is also vital and identified by all advisers as critical to the success of adviser-counterpart relationships.</w:t>
      </w:r>
    </w:p>
    <w:p w14:paraId="3FB3E076" w14:textId="77777777" w:rsidR="008E3B44" w:rsidRPr="00390B6F" w:rsidRDefault="008E3B44" w:rsidP="00636C53">
      <w:pPr>
        <w:pStyle w:val="ListBullet"/>
      </w:pPr>
      <w:r w:rsidRPr="00390B6F">
        <w:t>Capacity building is a core focus of the adviser-counterpart relationship, but it is often how effectively it is delivered which is the most important feature.</w:t>
      </w:r>
    </w:p>
    <w:p w14:paraId="72B6E6C1" w14:textId="77777777" w:rsidR="008E3B44" w:rsidRPr="00390B6F" w:rsidRDefault="008E3B44" w:rsidP="00636C53">
      <w:pPr>
        <w:pStyle w:val="BodyText"/>
      </w:pPr>
      <w:r w:rsidRPr="00390B6F">
        <w:t>Feedback from the interviews and engagements with advisers highlight several key findings that reinforce the importance of promoting soft skills, alongside technical capacity, and experience. Feedback from counterparts also indicated that they respond better to advisers who are respectful, listen and seek to understand and appreciate the context of Solomon Islands.</w:t>
      </w:r>
    </w:p>
    <w:p w14:paraId="6DBF7CC9" w14:textId="77777777" w:rsidR="008E3B44" w:rsidRPr="00390B6F" w:rsidRDefault="008E3B44" w:rsidP="008E3B44">
      <w:pPr>
        <w:pStyle w:val="Heading2"/>
      </w:pPr>
      <w:bookmarkStart w:id="38" w:name="_Toc119930951"/>
      <w:bookmarkStart w:id="39" w:name="_Toc151565428"/>
      <w:r w:rsidRPr="00390B6F">
        <w:t>Efficiency and Management</w:t>
      </w:r>
      <w:bookmarkEnd w:id="38"/>
      <w:bookmarkEnd w:id="39"/>
    </w:p>
    <w:p w14:paraId="662322D4" w14:textId="2B4B3441" w:rsidR="008E3B44" w:rsidRPr="00390B6F" w:rsidRDefault="008E3B44" w:rsidP="00636C53">
      <w:pPr>
        <w:pStyle w:val="BodyText"/>
      </w:pPr>
      <w:r w:rsidRPr="00715E27">
        <w:rPr>
          <w:rStyle w:val="Strong"/>
        </w:rPr>
        <w:t>ASIRF management arrangements are appropriate and fit-for purpose.</w:t>
      </w:r>
      <w:r w:rsidRPr="00390B6F">
        <w:t xml:space="preserve"> Management turnover in 2021, together with COVID-19 created a period of uncertainty, while the introduction of new team members brought an opportunity to review and refresh implementation.</w:t>
      </w:r>
      <w:r w:rsidR="00207D5A" w:rsidRPr="00390B6F">
        <w:t xml:space="preserve"> </w:t>
      </w:r>
      <w:r w:rsidRPr="00390B6F">
        <w:t>An important element of the new FMT mentioned earlier has been to cultivate a shared vision of a positive work and performance culture. The focus on culture is a positive contribution and takes ASIRF away from traditional support functions to a model that is proactive and fosters staff performance and overall morale.</w:t>
      </w:r>
    </w:p>
    <w:p w14:paraId="6CFC09F0" w14:textId="0DD91F27" w:rsidR="008E3B44" w:rsidRPr="00390B6F" w:rsidRDefault="008E3B44" w:rsidP="00636C53">
      <w:pPr>
        <w:pStyle w:val="BodyText"/>
      </w:pPr>
      <w:r w:rsidRPr="00715E27">
        <w:rPr>
          <w:rStyle w:val="Strong"/>
        </w:rPr>
        <w:t>In reviewing ASIRF through an efficiency lens, it is evident that ASIRF operates efficiently and delivers services in a cost-effective manner when compared to alternative models.</w:t>
      </w:r>
      <w:r w:rsidRPr="00390B6F">
        <w:rPr>
          <w:rStyle w:val="FootnoteReference"/>
        </w:rPr>
        <w:footnoteReference w:id="6"/>
      </w:r>
      <w:r w:rsidRPr="00390B6F">
        <w:t xml:space="preserve"> ASIRF also has the ability to further promote efficiencies through the streamlining of systems and processes. Further discussions on this </w:t>
      </w:r>
      <w:r w:rsidR="00390B6F" w:rsidRPr="00390B6F">
        <w:t>are</w:t>
      </w:r>
      <w:r w:rsidRPr="00390B6F">
        <w:t xml:space="preserve"> provided in the future guidance section.</w:t>
      </w:r>
    </w:p>
    <w:p w14:paraId="1C161DBF" w14:textId="099EAC6E" w:rsidR="008E3B44" w:rsidRPr="00390B6F" w:rsidRDefault="008E3B44" w:rsidP="00636C53">
      <w:pPr>
        <w:pStyle w:val="BodyText"/>
      </w:pPr>
      <w:r w:rsidRPr="00715E27">
        <w:rPr>
          <w:rStyle w:val="Strong"/>
        </w:rPr>
        <w:t>ASIRF also completed a VFM assessment in July-September 2022</w:t>
      </w:r>
      <w:r w:rsidR="00207D5A" w:rsidRPr="00715E27">
        <w:rPr>
          <w:rStyle w:val="Strong"/>
        </w:rPr>
        <w:t>.</w:t>
      </w:r>
      <w:r w:rsidRPr="00715E27">
        <w:rPr>
          <w:rStyle w:val="Strong"/>
        </w:rPr>
        <w:footnoteReference w:id="7"/>
      </w:r>
      <w:r w:rsidRPr="00715E27">
        <w:rPr>
          <w:rStyle w:val="Strong"/>
        </w:rPr>
        <w:t xml:space="preserve"> The results of the VFM indicate that ASIRF rates well across key performance metrics and VfM consideration.</w:t>
      </w:r>
      <w:r w:rsidRPr="00390B6F">
        <w:t xml:space="preserve"> The key findings and recommendations of the VfM assessment are presented in the table below, with judgements made against the ‘traffic light’ standards provided as part of the VfM Framework.</w:t>
      </w:r>
    </w:p>
    <w:p w14:paraId="177FEF0C" w14:textId="0C827B7A" w:rsidR="008E3B44" w:rsidRPr="00390B6F" w:rsidRDefault="00EF588B" w:rsidP="00EF588B">
      <w:pPr>
        <w:pStyle w:val="Caption"/>
      </w:pPr>
      <w:bookmarkStart w:id="40" w:name="_Toc155353030"/>
      <w:r>
        <w:lastRenderedPageBreak/>
        <w:t xml:space="preserve">Table </w:t>
      </w:r>
      <w:fldSimple w:instr=" SEQ Table \* ARABIC ">
        <w:r>
          <w:rPr>
            <w:noProof/>
          </w:rPr>
          <w:t>1</w:t>
        </w:r>
      </w:fldSimple>
      <w:r>
        <w:tab/>
      </w:r>
      <w:r w:rsidR="00636C53" w:rsidRPr="00047347">
        <w:t xml:space="preserve">Summary </w:t>
      </w:r>
      <w:r w:rsidR="008E3B44" w:rsidRPr="00047347">
        <w:t>of VfM Assessment Results</w:t>
      </w:r>
      <w:bookmarkEnd w:id="40"/>
    </w:p>
    <w:tbl>
      <w:tblPr>
        <w:tblStyle w:val="BoxGrid-BlackASIRF"/>
        <w:tblW w:w="5000" w:type="pct"/>
        <w:tblBorders>
          <w:top w:val="single" w:sz="4" w:space="0" w:color="BFBFBF" w:themeColor="background1" w:themeShade="BF"/>
          <w:left w:val="single" w:sz="4" w:space="0" w:color="BFBFBF" w:themeColor="background1" w:themeShade="BF"/>
          <w:right w:val="single" w:sz="4" w:space="0" w:color="BFBFBF" w:themeColor="background1" w:themeShade="BF"/>
          <w:insideV w:val="single" w:sz="4" w:space="0" w:color="BFBFBF" w:themeColor="background1" w:themeShade="BF"/>
        </w:tblBorders>
        <w:tblLook w:val="04A0" w:firstRow="1" w:lastRow="0" w:firstColumn="1" w:lastColumn="0" w:noHBand="0" w:noVBand="1"/>
        <w:tblCaption w:val="Summary of VfM Assessment Results"/>
        <w:tblDescription w:val="Each criteria and subcriteria is rated as excellent, good, adequate or challenging with a narrative description"/>
      </w:tblPr>
      <w:tblGrid>
        <w:gridCol w:w="2969"/>
        <w:gridCol w:w="2396"/>
        <w:gridCol w:w="4257"/>
      </w:tblGrid>
      <w:tr w:rsidR="008E3B44" w:rsidRPr="00390B6F" w14:paraId="04241797" w14:textId="77777777" w:rsidTr="00724DD5">
        <w:trPr>
          <w:cnfStyle w:val="100000000000" w:firstRow="1" w:lastRow="0" w:firstColumn="0" w:lastColumn="0" w:oddVBand="0" w:evenVBand="0" w:oddHBand="0" w:evenHBand="0" w:firstRowFirstColumn="0" w:firstRowLastColumn="0" w:lastRowFirstColumn="0" w:lastRowLastColumn="0"/>
          <w:cantSplit/>
          <w:tblHeader/>
        </w:trPr>
        <w:tc>
          <w:tcPr>
            <w:tcW w:w="1543" w:type="pct"/>
            <w:tcBorders>
              <w:bottom w:val="single" w:sz="4" w:space="0" w:color="BFBFBF" w:themeColor="background1" w:themeShade="BF"/>
            </w:tcBorders>
          </w:tcPr>
          <w:p w14:paraId="22025DDA" w14:textId="77777777" w:rsidR="008E3B44" w:rsidRPr="00390B6F" w:rsidRDefault="008E3B44" w:rsidP="00611280">
            <w:pPr>
              <w:keepNext/>
              <w:rPr>
                <w:sz w:val="16"/>
                <w:szCs w:val="16"/>
              </w:rPr>
            </w:pPr>
            <w:r w:rsidRPr="00390B6F">
              <w:rPr>
                <w:sz w:val="16"/>
                <w:szCs w:val="16"/>
              </w:rPr>
              <w:t xml:space="preserve">Criteria and rating </w:t>
            </w:r>
          </w:p>
        </w:tc>
        <w:tc>
          <w:tcPr>
            <w:tcW w:w="1245" w:type="pct"/>
          </w:tcPr>
          <w:p w14:paraId="4FD73A67" w14:textId="77777777" w:rsidR="008E3B44" w:rsidRPr="00390B6F" w:rsidRDefault="008E3B44" w:rsidP="00611280">
            <w:pPr>
              <w:keepNext/>
              <w:rPr>
                <w:sz w:val="16"/>
                <w:szCs w:val="16"/>
              </w:rPr>
            </w:pPr>
            <w:r w:rsidRPr="00390B6F">
              <w:rPr>
                <w:sz w:val="16"/>
                <w:szCs w:val="16"/>
              </w:rPr>
              <w:t xml:space="preserve">Sub-criteria and rating </w:t>
            </w:r>
          </w:p>
        </w:tc>
        <w:tc>
          <w:tcPr>
            <w:tcW w:w="2212" w:type="pct"/>
          </w:tcPr>
          <w:p w14:paraId="0EE862D4" w14:textId="77777777" w:rsidR="008E3B44" w:rsidRPr="00390B6F" w:rsidRDefault="008E3B44" w:rsidP="00611280">
            <w:pPr>
              <w:keepNext/>
              <w:rPr>
                <w:sz w:val="16"/>
                <w:szCs w:val="16"/>
              </w:rPr>
            </w:pPr>
            <w:r w:rsidRPr="00390B6F">
              <w:rPr>
                <w:sz w:val="16"/>
                <w:szCs w:val="16"/>
              </w:rPr>
              <w:t>Description</w:t>
            </w:r>
          </w:p>
        </w:tc>
      </w:tr>
      <w:tr w:rsidR="008E3B44" w:rsidRPr="00390B6F" w14:paraId="366559E2" w14:textId="77777777" w:rsidTr="00724DD5">
        <w:trPr>
          <w:cantSplit/>
        </w:trPr>
        <w:tc>
          <w:tcPr>
            <w:tcW w:w="1543" w:type="pct"/>
            <w:tcBorders>
              <w:bottom w:val="nil"/>
            </w:tcBorders>
          </w:tcPr>
          <w:p w14:paraId="4C883CAE" w14:textId="3B015D60" w:rsidR="00636C53" w:rsidRDefault="008E3B44" w:rsidP="00611280">
            <w:pPr>
              <w:keepNext/>
              <w:spacing w:after="120"/>
              <w:rPr>
                <w:b/>
                <w:bCs/>
                <w:sz w:val="16"/>
                <w:szCs w:val="16"/>
              </w:rPr>
            </w:pPr>
            <w:r w:rsidRPr="00390B6F">
              <w:rPr>
                <w:b/>
                <w:bCs/>
                <w:sz w:val="16"/>
                <w:szCs w:val="16"/>
              </w:rPr>
              <w:t>Economy</w:t>
            </w:r>
          </w:p>
          <w:p w14:paraId="6C2ECFD1" w14:textId="77777777" w:rsidR="00207D5A" w:rsidRPr="00390B6F" w:rsidRDefault="00207D5A" w:rsidP="00611280">
            <w:pPr>
              <w:keepNext/>
              <w:spacing w:after="120"/>
              <w:rPr>
                <w:rStyle w:val="A-EXCELLENT"/>
                <w:sz w:val="16"/>
                <w:szCs w:val="16"/>
              </w:rPr>
            </w:pPr>
            <w:r w:rsidRPr="00390B6F">
              <w:rPr>
                <w:rStyle w:val="A-EXCELLENT"/>
                <w:sz w:val="16"/>
                <w:szCs w:val="16"/>
              </w:rPr>
              <w:t xml:space="preserve">EXELLENT </w:t>
            </w:r>
            <w:r w:rsidRPr="00390B6F">
              <w:rPr>
                <w:rStyle w:val="A-EXCELLENT"/>
                <w:sz w:val="16"/>
                <w:szCs w:val="16"/>
              </w:rPr>
              <w:sym w:font="Wingdings" w:char="F0FC"/>
            </w:r>
          </w:p>
          <w:p w14:paraId="1F7355ED" w14:textId="16984F81" w:rsidR="008E3B44" w:rsidRPr="00390B6F" w:rsidRDefault="008E3B44" w:rsidP="00611280">
            <w:pPr>
              <w:keepNext/>
              <w:spacing w:after="120"/>
              <w:rPr>
                <w:b/>
                <w:bCs/>
                <w:sz w:val="16"/>
                <w:szCs w:val="16"/>
              </w:rPr>
            </w:pPr>
            <w:r w:rsidRPr="00390B6F">
              <w:rPr>
                <w:sz w:val="16"/>
                <w:szCs w:val="16"/>
              </w:rPr>
              <w:t>ASIRF is a good steward of resources; procuring inputs of the appropriate quality, at the right time, for the right price.</w:t>
            </w:r>
          </w:p>
        </w:tc>
        <w:tc>
          <w:tcPr>
            <w:tcW w:w="1245" w:type="pct"/>
          </w:tcPr>
          <w:p w14:paraId="63FE8B4C" w14:textId="77777777" w:rsidR="00825572" w:rsidRDefault="008E3B44" w:rsidP="00611280">
            <w:pPr>
              <w:keepNext/>
              <w:spacing w:after="120"/>
              <w:rPr>
                <w:b/>
                <w:bCs/>
                <w:sz w:val="16"/>
                <w:szCs w:val="16"/>
              </w:rPr>
            </w:pPr>
            <w:r w:rsidRPr="00390B6F">
              <w:rPr>
                <w:b/>
                <w:bCs/>
                <w:sz w:val="16"/>
                <w:szCs w:val="16"/>
              </w:rPr>
              <w:t>Procurement</w:t>
            </w:r>
          </w:p>
          <w:p w14:paraId="6969CB2E" w14:textId="12A87789" w:rsidR="008E3B44" w:rsidRPr="00390B6F" w:rsidRDefault="00207D5A" w:rsidP="00611280">
            <w:pPr>
              <w:keepNext/>
              <w:spacing w:after="120"/>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1AA49142" w14:textId="77777777" w:rsidR="008E3B44" w:rsidRPr="00390B6F" w:rsidRDefault="008E3B44" w:rsidP="00611280">
            <w:pPr>
              <w:keepNext/>
              <w:rPr>
                <w:bCs/>
                <w:sz w:val="16"/>
                <w:szCs w:val="16"/>
              </w:rPr>
            </w:pPr>
            <w:r w:rsidRPr="00390B6F">
              <w:rPr>
                <w:bCs/>
                <w:sz w:val="16"/>
                <w:szCs w:val="16"/>
              </w:rPr>
              <w:t>ASIRF adheres to sound procurement and recruitment policies and practices, ensuring they are of high quality and fit-for-purpose for the operating context.</w:t>
            </w:r>
          </w:p>
        </w:tc>
      </w:tr>
      <w:tr w:rsidR="008E3B44" w:rsidRPr="00390B6F" w14:paraId="747843A2" w14:textId="77777777" w:rsidTr="00724DD5">
        <w:trPr>
          <w:cantSplit/>
        </w:trPr>
        <w:tc>
          <w:tcPr>
            <w:tcW w:w="1543" w:type="pct"/>
            <w:tcBorders>
              <w:top w:val="nil"/>
              <w:bottom w:val="nil"/>
            </w:tcBorders>
          </w:tcPr>
          <w:p w14:paraId="693602D3" w14:textId="39B50B57" w:rsidR="008E3B44" w:rsidRPr="00715E27" w:rsidRDefault="00C67A33" w:rsidP="00611280">
            <w:pPr>
              <w:keepNext/>
              <w:spacing w:after="120"/>
              <w:rPr>
                <w:color w:val="auto"/>
                <w:sz w:val="16"/>
                <w:szCs w:val="16"/>
              </w:rPr>
            </w:pPr>
            <w:r w:rsidRPr="00715E27">
              <w:rPr>
                <w:color w:val="auto"/>
                <w:sz w:val="16"/>
                <w:szCs w:val="16"/>
              </w:rPr>
              <w:t>*</w:t>
            </w:r>
          </w:p>
        </w:tc>
        <w:tc>
          <w:tcPr>
            <w:tcW w:w="1245" w:type="pct"/>
          </w:tcPr>
          <w:p w14:paraId="3537229E" w14:textId="77777777" w:rsidR="00825572" w:rsidRDefault="008E3B44" w:rsidP="00611280">
            <w:pPr>
              <w:keepNext/>
              <w:spacing w:after="120"/>
              <w:rPr>
                <w:b/>
                <w:bCs/>
                <w:sz w:val="16"/>
                <w:szCs w:val="16"/>
              </w:rPr>
            </w:pPr>
            <w:r w:rsidRPr="00390B6F">
              <w:rPr>
                <w:b/>
                <w:bCs/>
                <w:sz w:val="16"/>
                <w:szCs w:val="16"/>
              </w:rPr>
              <w:t>Unit costs for key cost drivers</w:t>
            </w:r>
          </w:p>
          <w:p w14:paraId="0E7FCBDC" w14:textId="3732DC38" w:rsidR="008E3B44" w:rsidRPr="00390B6F" w:rsidRDefault="00207D5A" w:rsidP="00611280">
            <w:pPr>
              <w:keepNext/>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57BC78EF" w14:textId="77777777" w:rsidR="008E3B44" w:rsidRPr="00390B6F" w:rsidRDefault="008E3B44" w:rsidP="00611280">
            <w:pPr>
              <w:keepNext/>
              <w:rPr>
                <w:bCs/>
                <w:sz w:val="16"/>
                <w:szCs w:val="16"/>
              </w:rPr>
            </w:pPr>
            <w:r w:rsidRPr="00390B6F">
              <w:rPr>
                <w:bCs/>
                <w:sz w:val="16"/>
                <w:szCs w:val="16"/>
              </w:rPr>
              <w:t>ASIRF is currently providing reviews of unit costs for ASIRF’s key cost drivers and frequently provides guidance on reasonable rates to ASIRF staff, programs and DFAT.</w:t>
            </w:r>
          </w:p>
        </w:tc>
      </w:tr>
      <w:tr w:rsidR="008E3B44" w:rsidRPr="00390B6F" w14:paraId="2BB03A60" w14:textId="77777777" w:rsidTr="00724DD5">
        <w:trPr>
          <w:cantSplit/>
        </w:trPr>
        <w:tc>
          <w:tcPr>
            <w:tcW w:w="1543" w:type="pct"/>
            <w:tcBorders>
              <w:top w:val="nil"/>
              <w:bottom w:val="single" w:sz="4" w:space="0" w:color="BFBFBF" w:themeColor="background1" w:themeShade="BF"/>
            </w:tcBorders>
          </w:tcPr>
          <w:p w14:paraId="44C7A3C0" w14:textId="7180E30B" w:rsidR="008E3B44" w:rsidRPr="00715E27" w:rsidRDefault="00C67A33" w:rsidP="00611280">
            <w:pPr>
              <w:keepNext/>
              <w:spacing w:after="120"/>
              <w:rPr>
                <w:b/>
                <w:bCs/>
                <w:color w:val="auto"/>
                <w:sz w:val="16"/>
                <w:szCs w:val="16"/>
              </w:rPr>
            </w:pPr>
            <w:r w:rsidRPr="00715E27">
              <w:rPr>
                <w:b/>
                <w:bCs/>
                <w:color w:val="auto"/>
                <w:sz w:val="16"/>
                <w:szCs w:val="16"/>
              </w:rPr>
              <w:t>*</w:t>
            </w:r>
          </w:p>
        </w:tc>
        <w:tc>
          <w:tcPr>
            <w:tcW w:w="1245" w:type="pct"/>
          </w:tcPr>
          <w:p w14:paraId="39E1C701" w14:textId="77777777" w:rsidR="008E3B44" w:rsidRPr="00390B6F" w:rsidRDefault="008E3B44" w:rsidP="00611280">
            <w:pPr>
              <w:keepNext/>
              <w:spacing w:after="120"/>
              <w:rPr>
                <w:b/>
                <w:bCs/>
                <w:sz w:val="16"/>
                <w:szCs w:val="16"/>
              </w:rPr>
            </w:pPr>
            <w:r w:rsidRPr="00390B6F">
              <w:rPr>
                <w:b/>
                <w:bCs/>
                <w:sz w:val="16"/>
                <w:szCs w:val="16"/>
              </w:rPr>
              <w:t>Spend on operational costs</w:t>
            </w:r>
          </w:p>
          <w:p w14:paraId="259C4B6E" w14:textId="1208FB0B" w:rsidR="008E3B44" w:rsidRPr="00390B6F" w:rsidRDefault="00530188" w:rsidP="00611280">
            <w:pPr>
              <w:keepNext/>
              <w:rPr>
                <w:sz w:val="16"/>
                <w:szCs w:val="16"/>
              </w:rPr>
            </w:pPr>
            <w:r w:rsidRPr="00390B6F">
              <w:rPr>
                <w:rStyle w:val="A-EXCELLENT"/>
                <w:sz w:val="16"/>
                <w:szCs w:val="16"/>
              </w:rPr>
              <w:t>EXELLENT</w:t>
            </w:r>
            <w:r w:rsidR="00207D5A" w:rsidRPr="00390B6F">
              <w:rPr>
                <w:rStyle w:val="A-EXCELLENT"/>
                <w:sz w:val="16"/>
                <w:szCs w:val="16"/>
              </w:rPr>
              <w:t xml:space="preserve"> </w:t>
            </w:r>
            <w:r w:rsidR="00207D5A" w:rsidRPr="00390B6F">
              <w:rPr>
                <w:rStyle w:val="A-EXCELLENT"/>
                <w:sz w:val="16"/>
                <w:szCs w:val="16"/>
              </w:rPr>
              <w:sym w:font="Wingdings" w:char="F0FC"/>
            </w:r>
          </w:p>
        </w:tc>
        <w:tc>
          <w:tcPr>
            <w:tcW w:w="2212" w:type="pct"/>
          </w:tcPr>
          <w:p w14:paraId="78067B2C" w14:textId="77777777" w:rsidR="008E3B44" w:rsidRPr="00390B6F" w:rsidRDefault="008E3B44" w:rsidP="00611280">
            <w:pPr>
              <w:keepNext/>
              <w:rPr>
                <w:bCs/>
                <w:sz w:val="16"/>
                <w:szCs w:val="16"/>
              </w:rPr>
            </w:pPr>
            <w:r w:rsidRPr="00390B6F">
              <w:rPr>
                <w:bCs/>
                <w:sz w:val="16"/>
                <w:szCs w:val="16"/>
              </w:rPr>
              <w:t>Spend on ASIRF set up, procurement and operational costs is within the allocated budget, allowing for changes to the budget when agree with DFAT. Processes are also in place for over or underspends on SOs and how it is communicated with DFAT.</w:t>
            </w:r>
          </w:p>
        </w:tc>
      </w:tr>
      <w:tr w:rsidR="008E3B44" w:rsidRPr="00390B6F" w14:paraId="6DA049EC" w14:textId="77777777" w:rsidTr="00724DD5">
        <w:trPr>
          <w:cantSplit/>
        </w:trPr>
        <w:tc>
          <w:tcPr>
            <w:tcW w:w="1543" w:type="pct"/>
            <w:tcBorders>
              <w:bottom w:val="nil"/>
            </w:tcBorders>
          </w:tcPr>
          <w:p w14:paraId="22BC443A" w14:textId="77777777" w:rsidR="008E3B44" w:rsidRPr="00390B6F" w:rsidRDefault="008E3B44" w:rsidP="00207D5A">
            <w:pPr>
              <w:spacing w:after="120"/>
              <w:rPr>
                <w:b/>
                <w:bCs/>
                <w:sz w:val="16"/>
                <w:szCs w:val="16"/>
              </w:rPr>
            </w:pPr>
            <w:r w:rsidRPr="00390B6F">
              <w:rPr>
                <w:b/>
                <w:bCs/>
                <w:sz w:val="16"/>
                <w:szCs w:val="16"/>
              </w:rPr>
              <w:t>Efficiency</w:t>
            </w:r>
          </w:p>
          <w:p w14:paraId="32D05483" w14:textId="77777777" w:rsidR="00207D5A" w:rsidRPr="00390B6F" w:rsidRDefault="00207D5A" w:rsidP="00207D5A">
            <w:pPr>
              <w:spacing w:after="120"/>
              <w:rPr>
                <w:rStyle w:val="A-EXCELLENT"/>
                <w:sz w:val="16"/>
                <w:szCs w:val="16"/>
              </w:rPr>
            </w:pPr>
            <w:r w:rsidRPr="00390B6F">
              <w:rPr>
                <w:rStyle w:val="A-EXCELLENT"/>
                <w:sz w:val="16"/>
                <w:szCs w:val="16"/>
              </w:rPr>
              <w:t xml:space="preserve">EXELLENT </w:t>
            </w:r>
            <w:r w:rsidRPr="00390B6F">
              <w:rPr>
                <w:rStyle w:val="A-EXCELLENT"/>
                <w:sz w:val="16"/>
                <w:szCs w:val="16"/>
              </w:rPr>
              <w:sym w:font="Wingdings" w:char="F0FC"/>
            </w:r>
          </w:p>
          <w:p w14:paraId="20D28CDE" w14:textId="77777777" w:rsidR="008E3B44" w:rsidRPr="00390B6F" w:rsidRDefault="008E3B44" w:rsidP="00207D5A">
            <w:pPr>
              <w:spacing w:after="120"/>
              <w:rPr>
                <w:sz w:val="16"/>
                <w:szCs w:val="16"/>
              </w:rPr>
            </w:pPr>
            <w:r w:rsidRPr="00390B6F">
              <w:rPr>
                <w:sz w:val="16"/>
                <w:szCs w:val="16"/>
              </w:rPr>
              <w:t>ASIRF provides effective, high quality, demand-driven and timely services, working flexibly and within available resources.</w:t>
            </w:r>
          </w:p>
        </w:tc>
        <w:tc>
          <w:tcPr>
            <w:tcW w:w="1245" w:type="pct"/>
          </w:tcPr>
          <w:p w14:paraId="3A9297D2" w14:textId="77777777" w:rsidR="00825572" w:rsidRDefault="008E3B44" w:rsidP="00207D5A">
            <w:pPr>
              <w:spacing w:after="120"/>
              <w:rPr>
                <w:b/>
                <w:bCs/>
                <w:sz w:val="16"/>
                <w:szCs w:val="16"/>
              </w:rPr>
            </w:pPr>
            <w:r w:rsidRPr="00390B6F">
              <w:rPr>
                <w:b/>
                <w:bCs/>
                <w:sz w:val="16"/>
                <w:szCs w:val="16"/>
              </w:rPr>
              <w:t>Maximising productivity</w:t>
            </w:r>
          </w:p>
          <w:p w14:paraId="2EF4A186" w14:textId="1F37CBCF" w:rsidR="008E3B44" w:rsidRPr="00390B6F" w:rsidRDefault="00207D5A" w:rsidP="00611280">
            <w:pPr>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79E552A4" w14:textId="77777777" w:rsidR="008E3B44" w:rsidRPr="00390B6F" w:rsidRDefault="008E3B44" w:rsidP="00207D5A">
            <w:pPr>
              <w:rPr>
                <w:bCs/>
                <w:sz w:val="16"/>
                <w:szCs w:val="16"/>
              </w:rPr>
            </w:pPr>
            <w:r w:rsidRPr="00390B6F">
              <w:rPr>
                <w:bCs/>
                <w:sz w:val="16"/>
                <w:szCs w:val="16"/>
              </w:rPr>
              <w:t xml:space="preserve">ASIRF continues to maximise productivity through demand-driven, responsive, proactive, and timely management, operational and logistic services; delivering key milestones and reports within agreed timeframes and of high quality; and has clear delineated roles and responsibilities within ASIRF and through various stakeholders. </w:t>
            </w:r>
          </w:p>
        </w:tc>
      </w:tr>
      <w:tr w:rsidR="008E3B44" w:rsidRPr="00390B6F" w14:paraId="445463E5" w14:textId="77777777" w:rsidTr="00724DD5">
        <w:trPr>
          <w:cantSplit/>
        </w:trPr>
        <w:tc>
          <w:tcPr>
            <w:tcW w:w="1543" w:type="pct"/>
            <w:tcBorders>
              <w:top w:val="nil"/>
              <w:bottom w:val="single" w:sz="4" w:space="0" w:color="BFBFBF" w:themeColor="background1" w:themeShade="BF"/>
            </w:tcBorders>
          </w:tcPr>
          <w:p w14:paraId="3940D5C0" w14:textId="4C3EE867" w:rsidR="008E3B44" w:rsidRPr="00390B6F" w:rsidRDefault="00C05378" w:rsidP="00207D5A">
            <w:pPr>
              <w:spacing w:after="120"/>
              <w:rPr>
                <w:b/>
                <w:bCs/>
                <w:sz w:val="16"/>
                <w:szCs w:val="16"/>
              </w:rPr>
            </w:pPr>
            <w:r w:rsidRPr="00715E27">
              <w:rPr>
                <w:b/>
                <w:bCs/>
                <w:color w:val="auto"/>
                <w:sz w:val="16"/>
                <w:szCs w:val="16"/>
              </w:rPr>
              <w:t>*</w:t>
            </w:r>
          </w:p>
        </w:tc>
        <w:tc>
          <w:tcPr>
            <w:tcW w:w="1245" w:type="pct"/>
          </w:tcPr>
          <w:p w14:paraId="0754F9B3" w14:textId="77777777" w:rsidR="008E3B44" w:rsidRPr="00390B6F" w:rsidRDefault="008E3B44" w:rsidP="00207D5A">
            <w:pPr>
              <w:spacing w:after="120"/>
              <w:rPr>
                <w:b/>
                <w:bCs/>
                <w:sz w:val="16"/>
                <w:szCs w:val="16"/>
              </w:rPr>
            </w:pPr>
            <w:r w:rsidRPr="00390B6F">
              <w:rPr>
                <w:b/>
                <w:bCs/>
                <w:sz w:val="16"/>
                <w:szCs w:val="16"/>
              </w:rPr>
              <w:t>Adapting and improving</w:t>
            </w:r>
          </w:p>
          <w:p w14:paraId="61FBFE6C" w14:textId="388F8D7B" w:rsidR="008E3B44" w:rsidRPr="00390B6F" w:rsidRDefault="00207D5A" w:rsidP="00611280">
            <w:pPr>
              <w:rPr>
                <w:b/>
                <w:bCs/>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1B5C707E" w14:textId="77777777" w:rsidR="008E3B44" w:rsidRPr="00390B6F" w:rsidRDefault="008E3B44" w:rsidP="00207D5A">
            <w:pPr>
              <w:rPr>
                <w:bCs/>
                <w:sz w:val="16"/>
                <w:szCs w:val="16"/>
              </w:rPr>
            </w:pPr>
            <w:r w:rsidRPr="00390B6F">
              <w:rPr>
                <w:bCs/>
                <w:sz w:val="16"/>
                <w:szCs w:val="16"/>
              </w:rPr>
              <w:t>ASIRF systems and procedures enable flexible, adaptable, and scalable support to be responsive to changes in DFAT priorities, the operating environment, program needs and AHC deployee services and adviser welfare needs.</w:t>
            </w:r>
          </w:p>
        </w:tc>
      </w:tr>
      <w:tr w:rsidR="00715E27" w:rsidRPr="00390B6F" w14:paraId="51EFFAE0" w14:textId="77777777" w:rsidTr="00724DD5">
        <w:trPr>
          <w:cantSplit/>
        </w:trPr>
        <w:tc>
          <w:tcPr>
            <w:tcW w:w="1543" w:type="pct"/>
            <w:tcBorders>
              <w:bottom w:val="nil"/>
            </w:tcBorders>
          </w:tcPr>
          <w:p w14:paraId="74892506" w14:textId="77777777" w:rsidR="00715E27" w:rsidRPr="00390B6F" w:rsidRDefault="00715E27" w:rsidP="00207D5A">
            <w:pPr>
              <w:spacing w:after="120"/>
              <w:rPr>
                <w:b/>
                <w:bCs/>
                <w:sz w:val="16"/>
                <w:szCs w:val="16"/>
              </w:rPr>
            </w:pPr>
            <w:r w:rsidRPr="00390B6F">
              <w:rPr>
                <w:b/>
                <w:bCs/>
                <w:sz w:val="16"/>
                <w:szCs w:val="16"/>
              </w:rPr>
              <w:t>Effectiveness</w:t>
            </w:r>
          </w:p>
          <w:p w14:paraId="5A98B8EE" w14:textId="5A4D7154" w:rsidR="00715E27" w:rsidRPr="00390B6F" w:rsidRDefault="00715E27" w:rsidP="00715E27">
            <w:pPr>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1245" w:type="pct"/>
          </w:tcPr>
          <w:p w14:paraId="2FFB6D9C" w14:textId="77777777" w:rsidR="00715E27" w:rsidRPr="00390B6F" w:rsidRDefault="00715E27" w:rsidP="00207D5A">
            <w:pPr>
              <w:spacing w:after="120"/>
              <w:rPr>
                <w:b/>
                <w:bCs/>
                <w:sz w:val="16"/>
                <w:szCs w:val="16"/>
              </w:rPr>
            </w:pPr>
            <w:r w:rsidRPr="00390B6F">
              <w:rPr>
                <w:b/>
                <w:bCs/>
                <w:sz w:val="16"/>
                <w:szCs w:val="16"/>
              </w:rPr>
              <w:t>Achieving outcomes</w:t>
            </w:r>
          </w:p>
          <w:p w14:paraId="75516B12" w14:textId="505F72A4" w:rsidR="00715E27" w:rsidRPr="00390B6F" w:rsidRDefault="00715E27" w:rsidP="00715E27">
            <w:pPr>
              <w:spacing w:after="100" w:afterAutospacing="1"/>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4F858FF1" w14:textId="77777777" w:rsidR="00715E27" w:rsidRPr="00390B6F" w:rsidRDefault="00715E27" w:rsidP="00207D5A">
            <w:pPr>
              <w:rPr>
                <w:bCs/>
                <w:sz w:val="16"/>
                <w:szCs w:val="16"/>
              </w:rPr>
            </w:pPr>
            <w:r w:rsidRPr="00390B6F">
              <w:rPr>
                <w:bCs/>
                <w:sz w:val="16"/>
                <w:szCs w:val="16"/>
              </w:rPr>
              <w:t>ASIRF is delivering against expected outcomes on the agreed program logic, with progress towards the intermediate and end of Facility outcomes within the agreed budget.</w:t>
            </w:r>
          </w:p>
        </w:tc>
      </w:tr>
      <w:tr w:rsidR="00715E27" w:rsidRPr="00390B6F" w14:paraId="42B94CE4" w14:textId="77777777" w:rsidTr="00724DD5">
        <w:trPr>
          <w:cantSplit/>
        </w:trPr>
        <w:tc>
          <w:tcPr>
            <w:tcW w:w="1543" w:type="pct"/>
            <w:tcBorders>
              <w:top w:val="nil"/>
              <w:bottom w:val="single" w:sz="4" w:space="0" w:color="BFBFBF" w:themeColor="background1" w:themeShade="BF"/>
            </w:tcBorders>
          </w:tcPr>
          <w:p w14:paraId="7E78338B" w14:textId="3C96E929" w:rsidR="00715E27" w:rsidRPr="00390B6F" w:rsidRDefault="00715E27" w:rsidP="00207D5A">
            <w:pPr>
              <w:spacing w:after="120"/>
              <w:rPr>
                <w:b/>
                <w:bCs/>
                <w:sz w:val="16"/>
                <w:szCs w:val="16"/>
              </w:rPr>
            </w:pPr>
            <w:r w:rsidRPr="00390B6F">
              <w:rPr>
                <w:sz w:val="16"/>
                <w:szCs w:val="16"/>
              </w:rPr>
              <w:t>ASIRF is continuing to progress on intermediate and end of Facility outcomes.</w:t>
            </w:r>
          </w:p>
        </w:tc>
        <w:tc>
          <w:tcPr>
            <w:tcW w:w="1245" w:type="pct"/>
          </w:tcPr>
          <w:p w14:paraId="645E6955" w14:textId="77777777" w:rsidR="00715E27" w:rsidRPr="00390B6F" w:rsidRDefault="00715E27" w:rsidP="00207D5A">
            <w:pPr>
              <w:spacing w:after="120"/>
              <w:rPr>
                <w:b/>
                <w:bCs/>
                <w:sz w:val="16"/>
                <w:szCs w:val="16"/>
              </w:rPr>
            </w:pPr>
            <w:r w:rsidRPr="00390B6F">
              <w:rPr>
                <w:b/>
                <w:bCs/>
                <w:sz w:val="16"/>
                <w:szCs w:val="16"/>
              </w:rPr>
              <w:t>Organisational practices to enhance effectiveness</w:t>
            </w:r>
          </w:p>
          <w:p w14:paraId="14FBDC3D" w14:textId="7633795A" w:rsidR="00715E27" w:rsidRPr="00390B6F" w:rsidRDefault="00715E27" w:rsidP="00611280">
            <w:pPr>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1D3CDB64" w14:textId="77777777" w:rsidR="00715E27" w:rsidRPr="00390B6F" w:rsidRDefault="00715E27" w:rsidP="00207D5A">
            <w:pPr>
              <w:rPr>
                <w:bCs/>
                <w:sz w:val="16"/>
                <w:szCs w:val="16"/>
              </w:rPr>
            </w:pPr>
            <w:r w:rsidRPr="00390B6F">
              <w:rPr>
                <w:bCs/>
                <w:sz w:val="16"/>
                <w:szCs w:val="16"/>
              </w:rPr>
              <w:t>ASIRF implements good organisational practices to enhance effectiveness.</w:t>
            </w:r>
          </w:p>
        </w:tc>
      </w:tr>
      <w:tr w:rsidR="008E3B44" w:rsidRPr="00390B6F" w14:paraId="5D5FD5F8" w14:textId="77777777" w:rsidTr="00724DD5">
        <w:trPr>
          <w:cantSplit/>
        </w:trPr>
        <w:tc>
          <w:tcPr>
            <w:tcW w:w="1543" w:type="pct"/>
            <w:tcBorders>
              <w:bottom w:val="nil"/>
            </w:tcBorders>
          </w:tcPr>
          <w:p w14:paraId="59C79E31" w14:textId="77777777" w:rsidR="008E3B44" w:rsidRPr="00390B6F" w:rsidRDefault="008E3B44" w:rsidP="00207D5A">
            <w:pPr>
              <w:spacing w:after="120"/>
              <w:rPr>
                <w:b/>
                <w:bCs/>
                <w:sz w:val="16"/>
                <w:szCs w:val="16"/>
              </w:rPr>
            </w:pPr>
            <w:r w:rsidRPr="00390B6F">
              <w:rPr>
                <w:b/>
                <w:bCs/>
                <w:sz w:val="16"/>
                <w:szCs w:val="16"/>
              </w:rPr>
              <w:t>Equity</w:t>
            </w:r>
          </w:p>
          <w:p w14:paraId="082A06CF" w14:textId="4EB3A634" w:rsidR="00530188" w:rsidRPr="00390B6F" w:rsidRDefault="00530188" w:rsidP="00207D5A">
            <w:pPr>
              <w:spacing w:after="120"/>
              <w:rPr>
                <w:rStyle w:val="A-ADEQUATE"/>
                <w:sz w:val="16"/>
                <w:szCs w:val="16"/>
              </w:rPr>
            </w:pPr>
            <w:r w:rsidRPr="00390B6F">
              <w:rPr>
                <w:rStyle w:val="A-ADEQUATE"/>
                <w:sz w:val="16"/>
                <w:szCs w:val="16"/>
              </w:rPr>
              <w:t>ADEQUATE</w:t>
            </w:r>
            <w:r w:rsidR="00207D5A" w:rsidRPr="00390B6F">
              <w:rPr>
                <w:rStyle w:val="A-ADEQUATE"/>
                <w:sz w:val="16"/>
                <w:szCs w:val="16"/>
              </w:rPr>
              <w:t xml:space="preserve"> </w:t>
            </w:r>
            <w:r w:rsidR="00207D5A" w:rsidRPr="00390B6F">
              <w:rPr>
                <w:rStyle w:val="A-ADEQUATE"/>
                <w:sz w:val="16"/>
                <w:szCs w:val="16"/>
              </w:rPr>
              <w:sym w:font="Wingdings" w:char="F0FC"/>
            </w:r>
          </w:p>
          <w:p w14:paraId="34B14BBF" w14:textId="77777777" w:rsidR="008E3B44" w:rsidRPr="00390B6F" w:rsidRDefault="008E3B44" w:rsidP="00207D5A">
            <w:pPr>
              <w:rPr>
                <w:sz w:val="16"/>
                <w:szCs w:val="16"/>
              </w:rPr>
            </w:pPr>
            <w:r w:rsidRPr="00390B6F">
              <w:rPr>
                <w:sz w:val="16"/>
                <w:szCs w:val="16"/>
              </w:rPr>
              <w:t>ASIRF has been able to proactively support diversity and inclusion within ASIRF’s own workforce, its supply chain, and DFAT programs through the recently developed localisation strategy. However, there are suggested improvements to be made to improve outcomes within ASIRF and across Programs in gender equality, disability, and social inclusion. The newly recruited GEDSI advisor will work to improve these areas within the remainder of ASIRF’s contracting period.</w:t>
            </w:r>
          </w:p>
        </w:tc>
        <w:tc>
          <w:tcPr>
            <w:tcW w:w="1245" w:type="pct"/>
          </w:tcPr>
          <w:p w14:paraId="10B3A040" w14:textId="77777777" w:rsidR="008E3B44" w:rsidRPr="00390B6F" w:rsidRDefault="008E3B44" w:rsidP="00207D5A">
            <w:pPr>
              <w:spacing w:after="120"/>
              <w:rPr>
                <w:b/>
                <w:bCs/>
                <w:sz w:val="16"/>
                <w:szCs w:val="16"/>
              </w:rPr>
            </w:pPr>
            <w:r w:rsidRPr="00390B6F">
              <w:rPr>
                <w:b/>
                <w:bCs/>
                <w:sz w:val="16"/>
                <w:szCs w:val="16"/>
              </w:rPr>
              <w:t>Organisational equity</w:t>
            </w:r>
          </w:p>
          <w:p w14:paraId="5F34A766" w14:textId="5CFBFB7F" w:rsidR="008E3B44" w:rsidRPr="00390B6F" w:rsidRDefault="00530188" w:rsidP="00207D5A">
            <w:pPr>
              <w:spacing w:after="120"/>
              <w:rPr>
                <w:sz w:val="16"/>
                <w:szCs w:val="16"/>
              </w:rPr>
            </w:pPr>
            <w:r w:rsidRPr="00390B6F">
              <w:rPr>
                <w:rStyle w:val="A-ADEQUATE"/>
                <w:sz w:val="16"/>
                <w:szCs w:val="16"/>
              </w:rPr>
              <w:t>ADEQUATE</w:t>
            </w:r>
            <w:r w:rsidR="00207D5A" w:rsidRPr="00390B6F">
              <w:rPr>
                <w:rStyle w:val="A-ADEQUATE"/>
                <w:sz w:val="16"/>
                <w:szCs w:val="16"/>
              </w:rPr>
              <w:sym w:font="Wingdings" w:char="F0FC"/>
            </w:r>
          </w:p>
        </w:tc>
        <w:tc>
          <w:tcPr>
            <w:tcW w:w="2212" w:type="pct"/>
          </w:tcPr>
          <w:p w14:paraId="0206E3DA" w14:textId="77777777" w:rsidR="008E3B44" w:rsidRPr="00390B6F" w:rsidRDefault="008E3B44" w:rsidP="00207D5A">
            <w:pPr>
              <w:rPr>
                <w:bCs/>
                <w:sz w:val="16"/>
                <w:szCs w:val="16"/>
              </w:rPr>
            </w:pPr>
            <w:r w:rsidRPr="00390B6F">
              <w:rPr>
                <w:bCs/>
                <w:sz w:val="16"/>
                <w:szCs w:val="16"/>
              </w:rPr>
              <w:t>ASIRF strongly supports the localisation agenda and gender equality, but there is limited information on inclusion of persons with disabilities, or disaggregated figures around men/women international/local staff in types of roles. A GEDSI advisor has been hired, so it is anticipated this will improve in the next reporting period.</w:t>
            </w:r>
          </w:p>
        </w:tc>
      </w:tr>
      <w:tr w:rsidR="00F84797" w:rsidRPr="00390B6F" w14:paraId="195BED05" w14:textId="77777777" w:rsidTr="00724DD5">
        <w:trPr>
          <w:cantSplit/>
          <w:trHeight w:val="510"/>
        </w:trPr>
        <w:tc>
          <w:tcPr>
            <w:tcW w:w="1543" w:type="pct"/>
            <w:tcBorders>
              <w:top w:val="nil"/>
              <w:bottom w:val="nil"/>
            </w:tcBorders>
          </w:tcPr>
          <w:p w14:paraId="78B6B772" w14:textId="77777777" w:rsidR="00F84797" w:rsidRPr="00715E27" w:rsidRDefault="00F84797" w:rsidP="00207D5A">
            <w:pPr>
              <w:spacing w:after="120"/>
              <w:rPr>
                <w:b/>
                <w:bCs/>
                <w:color w:val="auto"/>
                <w:sz w:val="16"/>
                <w:szCs w:val="16"/>
              </w:rPr>
            </w:pPr>
            <w:r w:rsidRPr="00715E27">
              <w:rPr>
                <w:b/>
                <w:bCs/>
                <w:color w:val="auto"/>
                <w:sz w:val="16"/>
                <w:szCs w:val="16"/>
              </w:rPr>
              <w:t>*</w:t>
            </w:r>
          </w:p>
          <w:p w14:paraId="6FD28348" w14:textId="71BCEF97" w:rsidR="00F84797" w:rsidRPr="00715E27" w:rsidRDefault="00F84797" w:rsidP="00207D5A">
            <w:pPr>
              <w:spacing w:after="120"/>
              <w:rPr>
                <w:b/>
                <w:bCs/>
                <w:color w:val="auto"/>
                <w:sz w:val="16"/>
                <w:szCs w:val="16"/>
              </w:rPr>
            </w:pPr>
          </w:p>
        </w:tc>
        <w:tc>
          <w:tcPr>
            <w:tcW w:w="1245" w:type="pct"/>
          </w:tcPr>
          <w:p w14:paraId="623F9FAD" w14:textId="77777777" w:rsidR="002949CD" w:rsidRDefault="002949CD" w:rsidP="00611280">
            <w:pPr>
              <w:rPr>
                <w:rStyle w:val="A-GOOD"/>
                <w:sz w:val="16"/>
                <w:szCs w:val="16"/>
              </w:rPr>
            </w:pPr>
          </w:p>
          <w:p w14:paraId="0C045239" w14:textId="77777777" w:rsidR="00992CF6" w:rsidRDefault="002949CD" w:rsidP="00611280">
            <w:pPr>
              <w:rPr>
                <w:b/>
                <w:bCs/>
                <w:sz w:val="16"/>
                <w:szCs w:val="16"/>
              </w:rPr>
            </w:pPr>
            <w:r w:rsidRPr="00390B6F">
              <w:rPr>
                <w:b/>
                <w:bCs/>
                <w:sz w:val="16"/>
                <w:szCs w:val="16"/>
              </w:rPr>
              <w:t>Supply chain equity</w:t>
            </w:r>
          </w:p>
          <w:p w14:paraId="662A07CD" w14:textId="352949E3" w:rsidR="002949CD" w:rsidRDefault="002949CD" w:rsidP="00611280">
            <w:pPr>
              <w:rPr>
                <w:b/>
                <w:bCs/>
                <w:sz w:val="16"/>
                <w:szCs w:val="16"/>
              </w:rPr>
            </w:pPr>
            <w:r w:rsidRPr="00715E27">
              <w:rPr>
                <w:rStyle w:val="A-GOOD"/>
                <w:color w:val="000000" w:themeColor="text1"/>
                <w:sz w:val="16"/>
                <w:szCs w:val="16"/>
              </w:rPr>
              <w:t>GOOD</w:t>
            </w:r>
            <w:r w:rsidRPr="00715E27">
              <w:rPr>
                <w:rStyle w:val="A-GOOD"/>
                <w:color w:val="000000" w:themeColor="text1"/>
                <w:sz w:val="16"/>
                <w:szCs w:val="16"/>
              </w:rPr>
              <w:sym w:font="Wingdings" w:char="F0FC"/>
            </w:r>
          </w:p>
          <w:p w14:paraId="405F27B0" w14:textId="757A1DC2" w:rsidR="002949CD" w:rsidRPr="00390B6F" w:rsidRDefault="002949CD" w:rsidP="00611280">
            <w:pPr>
              <w:rPr>
                <w:sz w:val="16"/>
                <w:szCs w:val="16"/>
              </w:rPr>
            </w:pPr>
          </w:p>
        </w:tc>
        <w:tc>
          <w:tcPr>
            <w:tcW w:w="2212" w:type="pct"/>
          </w:tcPr>
          <w:p w14:paraId="2D044F1E" w14:textId="0093C7A8" w:rsidR="00F84797" w:rsidRPr="00390B6F" w:rsidRDefault="00F84797" w:rsidP="00207D5A">
            <w:pPr>
              <w:rPr>
                <w:bCs/>
                <w:sz w:val="16"/>
                <w:szCs w:val="16"/>
              </w:rPr>
            </w:pPr>
            <w:r w:rsidRPr="00390B6F">
              <w:rPr>
                <w:bCs/>
                <w:sz w:val="16"/>
                <w:szCs w:val="16"/>
              </w:rPr>
              <w:t xml:space="preserve">ASIRF takes measures to enhance localisation in ASIRF’s supply chain, including using local expertise, goods, and services where available and suitable. </w:t>
            </w:r>
          </w:p>
        </w:tc>
      </w:tr>
      <w:tr w:rsidR="008E3B44" w:rsidRPr="00390B6F" w14:paraId="6226E160" w14:textId="77777777" w:rsidTr="00724DD5">
        <w:trPr>
          <w:cantSplit/>
        </w:trPr>
        <w:tc>
          <w:tcPr>
            <w:tcW w:w="1543" w:type="pct"/>
            <w:tcBorders>
              <w:top w:val="nil"/>
              <w:bottom w:val="single" w:sz="4" w:space="0" w:color="BFBFBF" w:themeColor="background1" w:themeShade="BF"/>
            </w:tcBorders>
          </w:tcPr>
          <w:p w14:paraId="76A0985A" w14:textId="3A75D1A8" w:rsidR="008E3B44" w:rsidRPr="00715E27" w:rsidRDefault="00C67A33" w:rsidP="00207D5A">
            <w:pPr>
              <w:spacing w:after="120"/>
              <w:rPr>
                <w:b/>
                <w:bCs/>
                <w:color w:val="auto"/>
                <w:sz w:val="16"/>
                <w:szCs w:val="16"/>
              </w:rPr>
            </w:pPr>
            <w:r w:rsidRPr="00715E27">
              <w:rPr>
                <w:b/>
                <w:bCs/>
                <w:color w:val="auto"/>
                <w:sz w:val="16"/>
                <w:szCs w:val="16"/>
              </w:rPr>
              <w:t>*</w:t>
            </w:r>
          </w:p>
        </w:tc>
        <w:tc>
          <w:tcPr>
            <w:tcW w:w="1245" w:type="pct"/>
          </w:tcPr>
          <w:p w14:paraId="0A01B61A" w14:textId="77777777" w:rsidR="008E3B44" w:rsidRPr="00390B6F" w:rsidRDefault="008E3B44" w:rsidP="00207D5A">
            <w:pPr>
              <w:spacing w:after="120"/>
              <w:rPr>
                <w:b/>
                <w:bCs/>
                <w:sz w:val="16"/>
                <w:szCs w:val="16"/>
              </w:rPr>
            </w:pPr>
            <w:r w:rsidRPr="00390B6F">
              <w:rPr>
                <w:b/>
                <w:bCs/>
                <w:sz w:val="16"/>
                <w:szCs w:val="16"/>
              </w:rPr>
              <w:t>Program equity</w:t>
            </w:r>
          </w:p>
          <w:p w14:paraId="7EB3AB3B" w14:textId="58DD086E" w:rsidR="008E3B44" w:rsidRPr="00390B6F" w:rsidRDefault="00390B6F" w:rsidP="00611280">
            <w:pPr>
              <w:rPr>
                <w:sz w:val="16"/>
                <w:szCs w:val="16"/>
              </w:rPr>
            </w:pPr>
            <w:r w:rsidRPr="00390B6F">
              <w:rPr>
                <w:rStyle w:val="A-CHALLENGING"/>
                <w:sz w:val="16"/>
                <w:szCs w:val="16"/>
              </w:rPr>
              <w:t>CHALLENGING!</w:t>
            </w:r>
          </w:p>
        </w:tc>
        <w:tc>
          <w:tcPr>
            <w:tcW w:w="2212" w:type="pct"/>
          </w:tcPr>
          <w:p w14:paraId="4DBCE195" w14:textId="77777777" w:rsidR="008E3B44" w:rsidRPr="00390B6F" w:rsidRDefault="008E3B44" w:rsidP="00207D5A">
            <w:pPr>
              <w:rPr>
                <w:bCs/>
                <w:sz w:val="16"/>
                <w:szCs w:val="16"/>
              </w:rPr>
            </w:pPr>
            <w:r w:rsidRPr="00390B6F">
              <w:rPr>
                <w:bCs/>
                <w:sz w:val="16"/>
                <w:szCs w:val="16"/>
              </w:rPr>
              <w:t>At present, ASIRF is not systematic in providing strategic advice to support programs for diversity in recruitment decisions, other than the localisation strategy. Programs were unclear about ASIRF’s implementation of diversity in recruitment decisions and how the Facility implements GEDSI and climate change strategies.</w:t>
            </w:r>
          </w:p>
        </w:tc>
      </w:tr>
      <w:tr w:rsidR="008E3B44" w:rsidRPr="00390B6F" w14:paraId="15CD8598" w14:textId="77777777" w:rsidTr="00724DD5">
        <w:trPr>
          <w:cantSplit/>
        </w:trPr>
        <w:tc>
          <w:tcPr>
            <w:tcW w:w="1543" w:type="pct"/>
            <w:tcBorders>
              <w:bottom w:val="nil"/>
            </w:tcBorders>
          </w:tcPr>
          <w:p w14:paraId="08A10E53" w14:textId="77777777" w:rsidR="008E3B44" w:rsidRPr="00390B6F" w:rsidRDefault="008E3B44" w:rsidP="00207D5A">
            <w:pPr>
              <w:spacing w:after="120"/>
              <w:rPr>
                <w:b/>
                <w:bCs/>
                <w:sz w:val="16"/>
                <w:szCs w:val="16"/>
              </w:rPr>
            </w:pPr>
            <w:r w:rsidRPr="00390B6F">
              <w:rPr>
                <w:b/>
                <w:bCs/>
                <w:sz w:val="16"/>
                <w:szCs w:val="16"/>
              </w:rPr>
              <w:lastRenderedPageBreak/>
              <w:t>Ethics</w:t>
            </w:r>
          </w:p>
          <w:p w14:paraId="52BCB8FA" w14:textId="77777777" w:rsidR="00207D5A" w:rsidRPr="00390B6F" w:rsidRDefault="00207D5A" w:rsidP="00207D5A">
            <w:pPr>
              <w:spacing w:after="120"/>
              <w:rPr>
                <w:rStyle w:val="A-EXCELLENT"/>
                <w:sz w:val="16"/>
                <w:szCs w:val="16"/>
              </w:rPr>
            </w:pPr>
            <w:r w:rsidRPr="00390B6F">
              <w:rPr>
                <w:rStyle w:val="A-EXCELLENT"/>
                <w:sz w:val="16"/>
                <w:szCs w:val="16"/>
              </w:rPr>
              <w:t xml:space="preserve">EXELLENT </w:t>
            </w:r>
            <w:r w:rsidRPr="00390B6F">
              <w:rPr>
                <w:rStyle w:val="A-EXCELLENT"/>
                <w:sz w:val="16"/>
                <w:szCs w:val="16"/>
              </w:rPr>
              <w:sym w:font="Wingdings" w:char="F0FC"/>
            </w:r>
          </w:p>
          <w:p w14:paraId="4CC1787D" w14:textId="77777777" w:rsidR="008E3B44" w:rsidRPr="00390B6F" w:rsidRDefault="008E3B44" w:rsidP="00207D5A">
            <w:pPr>
              <w:spacing w:after="120"/>
              <w:rPr>
                <w:sz w:val="16"/>
                <w:szCs w:val="16"/>
              </w:rPr>
            </w:pPr>
            <w:r w:rsidRPr="00390B6F">
              <w:rPr>
                <w:sz w:val="16"/>
                <w:szCs w:val="16"/>
              </w:rPr>
              <w:t>ASIRF is accountable to, and transparent with key stakeholder groups.</w:t>
            </w:r>
          </w:p>
        </w:tc>
        <w:tc>
          <w:tcPr>
            <w:tcW w:w="1245" w:type="pct"/>
          </w:tcPr>
          <w:p w14:paraId="35383BF0" w14:textId="77777777" w:rsidR="008E3B44" w:rsidRPr="00390B6F" w:rsidRDefault="008E3B44" w:rsidP="00207D5A">
            <w:pPr>
              <w:spacing w:after="120"/>
              <w:rPr>
                <w:b/>
                <w:bCs/>
                <w:sz w:val="16"/>
                <w:szCs w:val="16"/>
              </w:rPr>
            </w:pPr>
            <w:r w:rsidRPr="00390B6F">
              <w:rPr>
                <w:b/>
                <w:bCs/>
                <w:sz w:val="16"/>
                <w:szCs w:val="16"/>
              </w:rPr>
              <w:t>Transparency and accountability</w:t>
            </w:r>
          </w:p>
          <w:p w14:paraId="49602893" w14:textId="20602967" w:rsidR="008E3B44" w:rsidRPr="00390B6F" w:rsidRDefault="00207D5A" w:rsidP="00611280">
            <w:pPr>
              <w:rPr>
                <w:b/>
                <w:color w:val="FFFFFF" w:themeColor="background1"/>
                <w:sz w:val="16"/>
                <w:szCs w:val="16"/>
                <w:bdr w:val="single" w:sz="24" w:space="0" w:color="232F5D" w:themeColor="accent3"/>
                <w:shd w:val="clear" w:color="auto" w:fill="232F5D" w:themeFill="accent3"/>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090166B3" w14:textId="77777777" w:rsidR="008E3B44" w:rsidRPr="00390B6F" w:rsidRDefault="008E3B44" w:rsidP="00207D5A">
            <w:pPr>
              <w:rPr>
                <w:bCs/>
                <w:sz w:val="16"/>
                <w:szCs w:val="16"/>
              </w:rPr>
            </w:pPr>
            <w:r w:rsidRPr="00390B6F">
              <w:rPr>
                <w:bCs/>
                <w:sz w:val="16"/>
                <w:szCs w:val="16"/>
              </w:rPr>
              <w:t>ASIRF is transparent and accountable in dialogue with and reporting to key stakeholders.</w:t>
            </w:r>
          </w:p>
        </w:tc>
      </w:tr>
      <w:tr w:rsidR="008E3B44" w:rsidRPr="00390B6F" w14:paraId="6EED2A0C" w14:textId="77777777" w:rsidTr="00724DD5">
        <w:trPr>
          <w:cantSplit/>
        </w:trPr>
        <w:tc>
          <w:tcPr>
            <w:tcW w:w="1543" w:type="pct"/>
            <w:tcBorders>
              <w:top w:val="nil"/>
              <w:bottom w:val="nil"/>
            </w:tcBorders>
          </w:tcPr>
          <w:p w14:paraId="088AE446" w14:textId="54F8F944" w:rsidR="008E3B44" w:rsidRPr="00715E27" w:rsidRDefault="00C67A33" w:rsidP="00207D5A">
            <w:pPr>
              <w:spacing w:after="120"/>
              <w:rPr>
                <w:b/>
                <w:bCs/>
                <w:color w:val="FFFFFF" w:themeColor="background1"/>
                <w:sz w:val="16"/>
                <w:szCs w:val="16"/>
              </w:rPr>
            </w:pPr>
            <w:r w:rsidRPr="00715E27">
              <w:rPr>
                <w:b/>
                <w:bCs/>
                <w:color w:val="auto"/>
                <w:sz w:val="16"/>
                <w:szCs w:val="16"/>
              </w:rPr>
              <w:t>*</w:t>
            </w:r>
          </w:p>
        </w:tc>
        <w:tc>
          <w:tcPr>
            <w:tcW w:w="1245" w:type="pct"/>
          </w:tcPr>
          <w:p w14:paraId="536412EB" w14:textId="77777777" w:rsidR="008E3B44" w:rsidRPr="00390B6F" w:rsidRDefault="008E3B44" w:rsidP="00207D5A">
            <w:pPr>
              <w:spacing w:after="120"/>
              <w:rPr>
                <w:b/>
                <w:bCs/>
                <w:sz w:val="16"/>
                <w:szCs w:val="16"/>
              </w:rPr>
            </w:pPr>
            <w:r w:rsidRPr="00390B6F">
              <w:rPr>
                <w:b/>
                <w:bCs/>
                <w:sz w:val="16"/>
                <w:szCs w:val="16"/>
              </w:rPr>
              <w:t>Stakeholder feedback</w:t>
            </w:r>
          </w:p>
          <w:p w14:paraId="413691C5" w14:textId="77E41713" w:rsidR="008E3B44" w:rsidRPr="00390B6F" w:rsidRDefault="00207D5A" w:rsidP="00611280">
            <w:pPr>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65830895" w14:textId="77777777" w:rsidR="008E3B44" w:rsidRPr="00390B6F" w:rsidRDefault="008E3B44" w:rsidP="00207D5A">
            <w:pPr>
              <w:rPr>
                <w:bCs/>
                <w:sz w:val="16"/>
                <w:szCs w:val="16"/>
              </w:rPr>
            </w:pPr>
            <w:r w:rsidRPr="00390B6F">
              <w:rPr>
                <w:bCs/>
                <w:sz w:val="16"/>
                <w:szCs w:val="16"/>
              </w:rPr>
              <w:t>ASIRF collects feedback from key stakeholders regularly through informal mechanisms, with more formal mechanisms (survey) completed annually. ASIRF uses this to inform continuous improvement on managing the Facility.</w:t>
            </w:r>
          </w:p>
        </w:tc>
      </w:tr>
      <w:tr w:rsidR="008E3B44" w:rsidRPr="00390B6F" w14:paraId="633216EE" w14:textId="77777777" w:rsidTr="00724DD5">
        <w:trPr>
          <w:cantSplit/>
        </w:trPr>
        <w:tc>
          <w:tcPr>
            <w:tcW w:w="1543" w:type="pct"/>
            <w:tcBorders>
              <w:top w:val="nil"/>
            </w:tcBorders>
          </w:tcPr>
          <w:p w14:paraId="1B72FA1C" w14:textId="6E7F7A5F" w:rsidR="008E3B44" w:rsidRPr="00715E27" w:rsidRDefault="00C67A33" w:rsidP="00207D5A">
            <w:pPr>
              <w:spacing w:after="120"/>
              <w:rPr>
                <w:b/>
                <w:bCs/>
                <w:color w:val="FFFFFF" w:themeColor="background1"/>
                <w:sz w:val="16"/>
                <w:szCs w:val="16"/>
              </w:rPr>
            </w:pPr>
            <w:r w:rsidRPr="00715E27">
              <w:rPr>
                <w:b/>
                <w:bCs/>
                <w:color w:val="auto"/>
                <w:sz w:val="16"/>
                <w:szCs w:val="16"/>
              </w:rPr>
              <w:t>*</w:t>
            </w:r>
          </w:p>
        </w:tc>
        <w:tc>
          <w:tcPr>
            <w:tcW w:w="1245" w:type="pct"/>
          </w:tcPr>
          <w:p w14:paraId="24F1BF71" w14:textId="77777777" w:rsidR="008E3B44" w:rsidRPr="00390B6F" w:rsidRDefault="008E3B44" w:rsidP="00207D5A">
            <w:pPr>
              <w:spacing w:after="120"/>
              <w:rPr>
                <w:b/>
                <w:bCs/>
                <w:sz w:val="16"/>
                <w:szCs w:val="16"/>
              </w:rPr>
            </w:pPr>
            <w:r w:rsidRPr="00390B6F">
              <w:rPr>
                <w:b/>
                <w:bCs/>
                <w:sz w:val="16"/>
                <w:szCs w:val="16"/>
              </w:rPr>
              <w:t>Safeguarding</w:t>
            </w:r>
          </w:p>
          <w:p w14:paraId="694A1F86" w14:textId="04562CFE" w:rsidR="008E3B44" w:rsidRPr="00390B6F" w:rsidRDefault="00207D5A" w:rsidP="00611280">
            <w:pPr>
              <w:rPr>
                <w:sz w:val="16"/>
                <w:szCs w:val="16"/>
              </w:rPr>
            </w:pPr>
            <w:r w:rsidRPr="00390B6F">
              <w:rPr>
                <w:rStyle w:val="A-EXCELLENT"/>
                <w:sz w:val="16"/>
                <w:szCs w:val="16"/>
              </w:rPr>
              <w:t xml:space="preserve">EXELLENT </w:t>
            </w:r>
            <w:r w:rsidRPr="00390B6F">
              <w:rPr>
                <w:rStyle w:val="A-EXCELLENT"/>
                <w:sz w:val="16"/>
                <w:szCs w:val="16"/>
              </w:rPr>
              <w:sym w:font="Wingdings" w:char="F0FC"/>
            </w:r>
          </w:p>
        </w:tc>
        <w:tc>
          <w:tcPr>
            <w:tcW w:w="2212" w:type="pct"/>
          </w:tcPr>
          <w:p w14:paraId="5BA850D6" w14:textId="77777777" w:rsidR="008E3B44" w:rsidRPr="00390B6F" w:rsidRDefault="008E3B44" w:rsidP="00207D5A">
            <w:pPr>
              <w:rPr>
                <w:bCs/>
                <w:sz w:val="16"/>
                <w:szCs w:val="16"/>
              </w:rPr>
            </w:pPr>
            <w:r w:rsidRPr="00390B6F">
              <w:rPr>
                <w:bCs/>
                <w:sz w:val="16"/>
                <w:szCs w:val="16"/>
              </w:rPr>
              <w:t>ASIRF actively assesses and managed safeguards in line with DFAT Environmental and Social Safeguards policies through the risk register process and ad hoc risks as they arise.</w:t>
            </w:r>
          </w:p>
        </w:tc>
      </w:tr>
    </w:tbl>
    <w:p w14:paraId="76600FF3" w14:textId="085BC643" w:rsidR="008E3B44" w:rsidRPr="00390B6F" w:rsidRDefault="008E3B44" w:rsidP="00535837">
      <w:pPr>
        <w:pStyle w:val="BodyText"/>
      </w:pPr>
      <w:r w:rsidRPr="00992CF6">
        <w:rPr>
          <w:rStyle w:val="Strong"/>
        </w:rPr>
        <w:t xml:space="preserve">For management to function efficiently, there is a need for solid and reliable processes and </w:t>
      </w:r>
      <w:r w:rsidR="00390B6F" w:rsidRPr="00992CF6">
        <w:rPr>
          <w:rStyle w:val="Strong"/>
        </w:rPr>
        <w:t>structures,</w:t>
      </w:r>
      <w:r w:rsidRPr="00390B6F">
        <w:t xml:space="preserve"> and these should be reviewed and updated as required. The Operations Manual was updated in April to June 2022 and has helped in identifying additional systems and processes that could also be reviewed and updated.</w:t>
      </w:r>
      <w:r w:rsidR="00207D5A" w:rsidRPr="00390B6F">
        <w:t xml:space="preserve"> </w:t>
      </w:r>
      <w:r w:rsidRPr="00390B6F">
        <w:t>The Operations Manual should ideally be reviewed and updated annually.</w:t>
      </w:r>
    </w:p>
    <w:p w14:paraId="6C41AFCC" w14:textId="77777777" w:rsidR="00825572" w:rsidRDefault="008E3B44" w:rsidP="00535837">
      <w:pPr>
        <w:pStyle w:val="BodyText"/>
      </w:pPr>
      <w:r w:rsidRPr="00992CF6">
        <w:rPr>
          <w:rStyle w:val="Strong"/>
        </w:rPr>
        <w:t>Engagement with HoPs has been somewhat problematic at the commencement of the current phase but since the start of 2022, more efficient systems have been implemented that underpin stronger working relationships.</w:t>
      </w:r>
      <w:r w:rsidRPr="00390B6F">
        <w:t xml:space="preserve"> Engagement in this period has focused on how best to </w:t>
      </w:r>
      <w:r w:rsidR="00636C53" w:rsidRPr="00390B6F">
        <w:t>‘</w:t>
      </w:r>
      <w:r w:rsidRPr="00390B6F">
        <w:t>support SOs and HoPs</w:t>
      </w:r>
      <w:r w:rsidR="00636C53" w:rsidRPr="00390B6F">
        <w:t>’</w:t>
      </w:r>
      <w:r w:rsidRPr="00390B6F">
        <w:t>. This is a proactive and positive step that promotes shared approaches and joint decisions, thus leading to more efficient outcomes and results.</w:t>
      </w:r>
    </w:p>
    <w:p w14:paraId="7FB7874E" w14:textId="735D8C82" w:rsidR="00825572" w:rsidRDefault="008E3B44" w:rsidP="00535837">
      <w:pPr>
        <w:pStyle w:val="BodyText"/>
      </w:pPr>
      <w:r w:rsidRPr="00992CF6">
        <w:rPr>
          <w:rStyle w:val="Strong"/>
        </w:rPr>
        <w:t>However, interviews and a recent survey indicate more effort is required internally within ASIRF to clarify roles and responsibilities and reinforce approaches.</w:t>
      </w:r>
      <w:r w:rsidRPr="00390B6F">
        <w:t xml:space="preserve"> Most LES in key positions have been with ASIRF for a considerable length of time. All demonstrate strong competencies, skill, and experience in their work. However, it is important to continually remind LES of systems and to inform them of changes in approach and management structures. W</w:t>
      </w:r>
      <w:r w:rsidR="005E3564">
        <w:t>orking from Home</w:t>
      </w:r>
      <w:r w:rsidRPr="00390B6F">
        <w:t xml:space="preserve"> arrangements were deemed generally inefficient for LES as many staff had family responsibilities which meant less time to focus solely on work. Others do not have conducive work environments within private residences to continue work efficiently. LES also raised these points for consideration by FMT as part of a recent team event. FMT responded to the issues raised and strategies are being put in place to address these concerns.</w:t>
      </w:r>
    </w:p>
    <w:p w14:paraId="1E4AB44C" w14:textId="77777777" w:rsidR="00825572" w:rsidRDefault="008E3B44" w:rsidP="00535837">
      <w:pPr>
        <w:pStyle w:val="BodyText"/>
      </w:pPr>
      <w:r w:rsidRPr="00992CF6">
        <w:rPr>
          <w:rStyle w:val="Strong"/>
        </w:rPr>
        <w:t>As indicated earlier, the Facility’s multiple information systems are problematic and leave the facility somewhat exposed to data and information being lost or poor decisions being made due to the absence of current and reliable data and information.</w:t>
      </w:r>
      <w:r w:rsidR="00207D5A" w:rsidRPr="00390B6F">
        <w:t xml:space="preserve"> </w:t>
      </w:r>
      <w:r w:rsidRPr="00390B6F">
        <w:t>The adoption of a single centralised system will take time but the planning for such a system should be occurring in the remain period of time. A single Management Information System (MIS) is improbable but there should potentially be a single system for procurement, finance, and H</w:t>
      </w:r>
      <w:r w:rsidR="00013A41">
        <w:t xml:space="preserve">uman </w:t>
      </w:r>
      <w:r w:rsidRPr="00390B6F">
        <w:t>R</w:t>
      </w:r>
      <w:r w:rsidR="00013A41">
        <w:t>esource (HR)</w:t>
      </w:r>
      <w:r w:rsidRPr="00390B6F">
        <w:t xml:space="preserve">. To bring the three </w:t>
      </w:r>
      <w:r w:rsidR="00636C53" w:rsidRPr="00390B6F">
        <w:t>‘</w:t>
      </w:r>
      <w:r w:rsidRPr="00390B6F">
        <w:t>systems together</w:t>
      </w:r>
      <w:r w:rsidR="00636C53" w:rsidRPr="00390B6F">
        <w:t>’</w:t>
      </w:r>
      <w:r w:rsidRPr="00390B6F">
        <w:t xml:space="preserve"> a simple excel based dashboard could be developed that draws on individual raw data generated through the systems.</w:t>
      </w:r>
    </w:p>
    <w:p w14:paraId="53630C10" w14:textId="3ECECAE6" w:rsidR="008E3B44" w:rsidRPr="00390B6F" w:rsidRDefault="008E3B44" w:rsidP="008E3B44">
      <w:pPr>
        <w:pStyle w:val="Heading2"/>
      </w:pPr>
      <w:bookmarkStart w:id="41" w:name="_Toc119930952"/>
      <w:bookmarkStart w:id="42" w:name="_Toc151565429"/>
      <w:r w:rsidRPr="00390B6F">
        <w:t>MEL and GEDSI</w:t>
      </w:r>
      <w:bookmarkEnd w:id="41"/>
      <w:bookmarkEnd w:id="42"/>
    </w:p>
    <w:p w14:paraId="19D2A8D7" w14:textId="77777777" w:rsidR="008E3B44" w:rsidRPr="00390B6F" w:rsidRDefault="008E3B44" w:rsidP="00535837">
      <w:pPr>
        <w:pStyle w:val="BodyText"/>
      </w:pPr>
      <w:r w:rsidRPr="00992CF6">
        <w:rPr>
          <w:rStyle w:val="Strong"/>
        </w:rPr>
        <w:t>As indicated in the effectiveness section, MEL and GEDSI have under-performed in the evaluation period.</w:t>
      </w:r>
      <w:r w:rsidRPr="00390B6F">
        <w:t xml:space="preserve"> While ASIRF was not setup with GEDSI as a principal objective and budget was initially not allocated for GEDSI activities, attention to GEDSI and MEL functions in the current implementation period is limited. ASIRF had one MEL coordinator role and engaged an external MEL adviser in November 2021. An LES GEDSI adviser was appointed in August 2022. Importantly, ASIRF has designed and implemented a PAF and VfM Framework. However, while the frameworks are robust and useful, they have been implemented relatively late in the current phase of implementation.</w:t>
      </w:r>
    </w:p>
    <w:p w14:paraId="41A41094" w14:textId="77777777" w:rsidR="008E3B44" w:rsidRPr="00390B6F" w:rsidRDefault="008E3B44" w:rsidP="00535837">
      <w:pPr>
        <w:pStyle w:val="BodyText"/>
      </w:pPr>
      <w:r w:rsidRPr="00992CF6">
        <w:rPr>
          <w:rStyle w:val="Strong"/>
        </w:rPr>
        <w:t>There is potential to review and refine the approach for MEL and GEDSI going forward.</w:t>
      </w:r>
      <w:r w:rsidRPr="00390B6F">
        <w:t xml:space="preserve"> The challenge to date has been to define key roles and the level and type of support required. At present GEDSI and MEL tend to only report on operational aspects of ASIRF through the PAF. There is scope to increase the role of MEL and GEDSI to provide more technical support and guidance to SOs. This would strategically align to the </w:t>
      </w:r>
      <w:r w:rsidRPr="00390B6F">
        <w:lastRenderedPageBreak/>
        <w:t>proposed advisory role for ASIRF going forward. It also promotes opportunities for these cross-cutting themes to better engage and support SOs.</w:t>
      </w:r>
    </w:p>
    <w:p w14:paraId="4E1CDAC0" w14:textId="77777777" w:rsidR="008E3B44" w:rsidRPr="00390B6F" w:rsidRDefault="008E3B44" w:rsidP="00535837">
      <w:pPr>
        <w:pStyle w:val="BodyText"/>
      </w:pPr>
      <w:r w:rsidRPr="00390B6F">
        <w:t>This is of particular importance to GEDSI which has an opportunity to align with SO2 (Gender). Clarity is required as to the role and function of both roles and how they can be used to serve not only DFAT but to provide appropriate cross-cutting support to all SOs.</w:t>
      </w:r>
    </w:p>
    <w:p w14:paraId="4400E18C" w14:textId="77777777" w:rsidR="008E3B44" w:rsidRPr="00390B6F" w:rsidRDefault="008E3B44" w:rsidP="00535837">
      <w:pPr>
        <w:pStyle w:val="BodyText"/>
      </w:pPr>
      <w:r w:rsidRPr="00992CF6">
        <w:rPr>
          <w:rStyle w:val="Strong"/>
        </w:rPr>
        <w:t>MEL and GEDSI should be viewed as critical support functions across all SOs.</w:t>
      </w:r>
      <w:r w:rsidRPr="00390B6F">
        <w:t xml:space="preserve"> There is scope to strengthen these approaches to provide a higher degree of consistency and standardisation and to act as a technical resource to support and advise SOs, even those that already have designated MEL and GEDSI functions.</w:t>
      </w:r>
    </w:p>
    <w:p w14:paraId="70D9A3FA" w14:textId="77777777" w:rsidR="008E3B44" w:rsidRPr="00390B6F" w:rsidRDefault="008E3B44" w:rsidP="008E3B44">
      <w:pPr>
        <w:pStyle w:val="Heading2"/>
      </w:pPr>
      <w:bookmarkStart w:id="43" w:name="_Toc119930953"/>
      <w:bookmarkStart w:id="44" w:name="_Toc151565430"/>
      <w:r w:rsidRPr="00390B6F">
        <w:t>Agility, Adaptability, Lessons Learned</w:t>
      </w:r>
      <w:bookmarkEnd w:id="43"/>
      <w:bookmarkEnd w:id="44"/>
    </w:p>
    <w:p w14:paraId="6874B224" w14:textId="179AD8C1" w:rsidR="008E3B44" w:rsidRPr="00390B6F" w:rsidRDefault="008E3B44" w:rsidP="00535837">
      <w:pPr>
        <w:pStyle w:val="BodyText"/>
      </w:pPr>
      <w:r w:rsidRPr="00390B6F">
        <w:t xml:space="preserve">In assessing the agility and adaptability of ASIRF during current implementation period, it is clear that ASIRF has responded well to changing and challenging contexts. Prior to COVID-19, there was a perception that ASIRF was quite rigid and inflexible with SOs. This was particularly evident in finance and procurement components where SOs were viewed to </w:t>
      </w:r>
      <w:r w:rsidR="00636C53" w:rsidRPr="00390B6F">
        <w:t>‘</w:t>
      </w:r>
      <w:r w:rsidRPr="00390B6F">
        <w:t>adhere to systems, policies and procedures</w:t>
      </w:r>
      <w:r w:rsidR="00636C53" w:rsidRPr="00390B6F">
        <w:t>’</w:t>
      </w:r>
      <w:r w:rsidRPr="00390B6F">
        <w:t xml:space="preserve"> without adequate understanding or appreciation of the level and type of support required by SOs.</w:t>
      </w:r>
    </w:p>
    <w:p w14:paraId="7D3E72F2" w14:textId="77777777" w:rsidR="00825572" w:rsidRDefault="008E3B44" w:rsidP="00535837">
      <w:pPr>
        <w:pStyle w:val="BodyText"/>
      </w:pPr>
      <w:r w:rsidRPr="00390B6F">
        <w:t>COVID-19 provided a significant testing ground for ASIRF. Evidence from initial surveys and feedback sessions revealed a mixed response about how ASIRF handled the impact of COVID-19 and the decision to demobilise staff and advisers. It is acknowledged that this was a critically uncertain time and feedback was not always reflective of the reality on the ground. Many advisers were facing uncertainty and dealing with the challenges of having to demobilise and the impacts it would have not only on work but on personal lives as well. Feedback indicated a range of emotions and concerns. The main concern appeared to be around communication (refer to effectiveness section) and the approaches taken by ASIRF at the time to effectively consult and communicate with advisers and staff as to why decisions were being made and who was ultimately responsible for these decisions.</w:t>
      </w:r>
    </w:p>
    <w:p w14:paraId="238C1D51" w14:textId="7D172DA1" w:rsidR="008E3B44" w:rsidRPr="00390B6F" w:rsidRDefault="008E3B44" w:rsidP="00535837">
      <w:pPr>
        <w:pStyle w:val="BodyText"/>
      </w:pPr>
      <w:r w:rsidRPr="00390B6F">
        <w:t>To collect important information and data on ASIRF’s response to COVID-19 and overall support to DFAT and SO, a COVID-19 study</w:t>
      </w:r>
      <w:r w:rsidRPr="00390B6F">
        <w:rPr>
          <w:rStyle w:val="FootnoteReference"/>
        </w:rPr>
        <w:footnoteReference w:id="8"/>
      </w:r>
      <w:r w:rsidRPr="00390B6F">
        <w:t xml:space="preserve"> was undertaken in 2021, with follow-up data collection in March 2022. Key findings from the first data collection round included:</w:t>
      </w:r>
    </w:p>
    <w:p w14:paraId="514D60A6" w14:textId="77777777" w:rsidR="008E3B44" w:rsidRPr="00390B6F" w:rsidRDefault="008E3B44" w:rsidP="00535837">
      <w:pPr>
        <w:pStyle w:val="ListBullet"/>
      </w:pPr>
      <w:r w:rsidRPr="00390B6F">
        <w:t>The development of a Deployment Decision Framework (DDF) to guide COVID-19 processes and provide clarity to advisers and DFAT on rationale for decisions was a positive product.</w:t>
      </w:r>
    </w:p>
    <w:p w14:paraId="2081B14C" w14:textId="6FF77BD6" w:rsidR="008E3B44" w:rsidRPr="00390B6F" w:rsidRDefault="008E3B44" w:rsidP="00535837">
      <w:pPr>
        <w:pStyle w:val="ListBullet"/>
      </w:pPr>
      <w:r w:rsidRPr="00390B6F">
        <w:t>Advisers were almost evenly split in reporting significant stress associated with the combined management response to COVID-19. A total of 45</w:t>
      </w:r>
      <w:r w:rsidR="00611280" w:rsidRPr="00390B6F">
        <w:t xml:space="preserve"> per cent</w:t>
      </w:r>
      <w:r w:rsidRPr="00390B6F">
        <w:t xml:space="preserve"> agreed that relocating from Solomon Islands or remaining there caused them significant stress. Advisers with dependents reported more significant stress than those that did not have dependents.</w:t>
      </w:r>
    </w:p>
    <w:p w14:paraId="2A7B8727" w14:textId="77777777" w:rsidR="008E3B44" w:rsidRPr="00390B6F" w:rsidRDefault="008E3B44" w:rsidP="00535837">
      <w:pPr>
        <w:pStyle w:val="ListBullet"/>
      </w:pPr>
      <w:r w:rsidRPr="00390B6F">
        <w:t>The most frequently cited cause of significant stress related to finances. This included the loss of allowances, the loss of tax-free status, and the costs associated education, childcare, and short-term accommodation.</w:t>
      </w:r>
    </w:p>
    <w:p w14:paraId="470A6BA2" w14:textId="77777777" w:rsidR="00825572" w:rsidRDefault="008E3B44" w:rsidP="00535837">
      <w:pPr>
        <w:pStyle w:val="ListBullet"/>
      </w:pPr>
      <w:r w:rsidRPr="00390B6F">
        <w:t>Advisers who reported significant stress also reported higher levels of dissatisfaction with ASIRF’s communication. Concerns cited included a perceived lack of transparency</w:t>
      </w:r>
      <w:r w:rsidR="00611280" w:rsidRPr="00390B6F">
        <w:t>;</w:t>
      </w:r>
      <w:r w:rsidRPr="00390B6F">
        <w:t xml:space="preserve"> lack of empathy</w:t>
      </w:r>
      <w:r w:rsidR="00611280" w:rsidRPr="00390B6F">
        <w:t>;</w:t>
      </w:r>
      <w:r w:rsidRPr="00390B6F">
        <w:t xml:space="preserve"> lack of timely and complete responses to questions</w:t>
      </w:r>
      <w:r w:rsidR="00611280" w:rsidRPr="00390B6F">
        <w:t>;</w:t>
      </w:r>
      <w:r w:rsidRPr="00390B6F">
        <w:t xml:space="preserve"> and delays in organising adviser communication sessions.</w:t>
      </w:r>
    </w:p>
    <w:p w14:paraId="7CBDF4F9" w14:textId="5FCC98AF" w:rsidR="008E3B44" w:rsidRPr="00390B6F" w:rsidRDefault="008E3B44" w:rsidP="00535837">
      <w:pPr>
        <w:pStyle w:val="ListBullet"/>
      </w:pPr>
      <w:r w:rsidRPr="00390B6F">
        <w:t>Advisers indicated that it was more challenging and demanding, professionally and personally, to perform effectively while working remotely, but noted that, over time, they could adjust and perform effectively within this unavoidable context.</w:t>
      </w:r>
    </w:p>
    <w:p w14:paraId="1E6BFEED" w14:textId="57A0717B" w:rsidR="008E3B44" w:rsidRPr="00390B6F" w:rsidRDefault="008E3B44" w:rsidP="00535837">
      <w:pPr>
        <w:pStyle w:val="ListBullet"/>
      </w:pPr>
      <w:r w:rsidRPr="00390B6F">
        <w:t xml:space="preserve">Advisers working remotely identified a range of factors that together improved performance and effectiveness. These included having strong, pre-existing relationships of trust with counterparts and relationships with important individuals in counterpart agencies; the willingness of counterparts to engage </w:t>
      </w:r>
      <w:r w:rsidRPr="00390B6F">
        <w:lastRenderedPageBreak/>
        <w:t>through online platforms; and the presence of other (in-country advisers) in the counterpart agency who are able to provide support to advisers working remotely with the same counterpart agency.</w:t>
      </w:r>
    </w:p>
    <w:p w14:paraId="301F975A" w14:textId="77777777" w:rsidR="008E3B44" w:rsidRPr="00390B6F" w:rsidRDefault="008E3B44" w:rsidP="00535837">
      <w:pPr>
        <w:pStyle w:val="BodyText"/>
      </w:pPr>
      <w:r w:rsidRPr="00390B6F">
        <w:t>Findings from the second data collection round:</w:t>
      </w:r>
    </w:p>
    <w:p w14:paraId="46FE1596" w14:textId="77777777" w:rsidR="008E3B44" w:rsidRPr="00390B6F" w:rsidRDefault="008E3B44" w:rsidP="00535837">
      <w:pPr>
        <w:pStyle w:val="ListBullet"/>
      </w:pPr>
      <w:r w:rsidRPr="00390B6F">
        <w:rPr>
          <w:rStyle w:val="BodyTextChar"/>
        </w:rPr>
        <w:t>Advisors who are based in Honiara were more than likely to state that the perceived risk of</w:t>
      </w:r>
      <w:r w:rsidRPr="00390B6F">
        <w:t xml:space="preserve"> COVID-19 is high or very high for them and their dependents. This was far more than those advisers in Australia (or in other international locations) given the long-term exposure to travel restrictions and lockdowns. Responses from advisers aged over 40 indicated higher perceived risk of COVID-19.</w:t>
      </w:r>
    </w:p>
    <w:p w14:paraId="1C8EF6AF" w14:textId="2BFDCB8C" w:rsidR="008E3B44" w:rsidRPr="00390B6F" w:rsidRDefault="008E3B44" w:rsidP="00535837">
      <w:pPr>
        <w:pStyle w:val="ListBullet"/>
      </w:pPr>
      <w:r w:rsidRPr="00390B6F">
        <w:t>A total of 96</w:t>
      </w:r>
      <w:r w:rsidR="00611280" w:rsidRPr="00390B6F">
        <w:t> per cent</w:t>
      </w:r>
      <w:r w:rsidRPr="00390B6F">
        <w:t xml:space="preserve"> of advisors surveyed indicated they were currently coping well with the impacts of COVID-19.</w:t>
      </w:r>
    </w:p>
    <w:p w14:paraId="339A4D39" w14:textId="3105BAF2" w:rsidR="008E3B44" w:rsidRPr="00390B6F" w:rsidRDefault="008E3B44" w:rsidP="00535837">
      <w:pPr>
        <w:pStyle w:val="ListBullet"/>
      </w:pPr>
      <w:r w:rsidRPr="00390B6F">
        <w:t>A total of 35</w:t>
      </w:r>
      <w:r w:rsidR="00611280" w:rsidRPr="00390B6F">
        <w:t> per cent</w:t>
      </w:r>
      <w:r w:rsidRPr="00390B6F">
        <w:t xml:space="preserve"> of advisers indicated they were somewhat concerned about their own health while 30</w:t>
      </w:r>
      <w:r w:rsidR="00611280" w:rsidRPr="00390B6F">
        <w:t> per cent</w:t>
      </w:r>
      <w:r w:rsidRPr="00390B6F">
        <w:t xml:space="preserve"> were either very or extremely concerned. Advisors based in Honiara were more than likely to be more concerned about their own health than those working remotely.</w:t>
      </w:r>
    </w:p>
    <w:p w14:paraId="46F2E216" w14:textId="77777777" w:rsidR="00825572" w:rsidRDefault="008E3B44" w:rsidP="00535837">
      <w:pPr>
        <w:pStyle w:val="ListBullet"/>
      </w:pPr>
      <w:r w:rsidRPr="00390B6F">
        <w:t>A total of 50</w:t>
      </w:r>
      <w:r w:rsidR="00611280" w:rsidRPr="00390B6F">
        <w:t> per cent</w:t>
      </w:r>
      <w:r w:rsidRPr="00390B6F">
        <w:t xml:space="preserve"> of advisers were concerned to extremely concerned about maintaining connections with counterparts.</w:t>
      </w:r>
    </w:p>
    <w:p w14:paraId="010F11EA" w14:textId="75CFFB91" w:rsidR="008E3B44" w:rsidRPr="00390B6F" w:rsidRDefault="008E3B44" w:rsidP="00535837">
      <w:pPr>
        <w:pStyle w:val="ListBullet"/>
      </w:pPr>
      <w:r w:rsidRPr="00390B6F">
        <w:t>During the second data collection round, 73</w:t>
      </w:r>
      <w:r w:rsidR="00611280" w:rsidRPr="00390B6F">
        <w:t> per cent</w:t>
      </w:r>
      <w:r w:rsidRPr="00390B6F">
        <w:t xml:space="preserve"> of advisers agreed</w:t>
      </w:r>
      <w:r w:rsidR="00054CFE" w:rsidRPr="00390B6F">
        <w:t xml:space="preserve"> </w:t>
      </w:r>
      <w:r w:rsidRPr="00390B6F">
        <w:t>/</w:t>
      </w:r>
      <w:r w:rsidR="00054CFE" w:rsidRPr="00390B6F">
        <w:t xml:space="preserve"> </w:t>
      </w:r>
      <w:r w:rsidRPr="00390B6F">
        <w:t>strongly agreed that ASIRF’s response to COVID-19 was adequate and appropriate.</w:t>
      </w:r>
    </w:p>
    <w:p w14:paraId="788026C6" w14:textId="77777777" w:rsidR="00825572" w:rsidRDefault="008E3B44" w:rsidP="00535837">
      <w:pPr>
        <w:pStyle w:val="ListBullet"/>
      </w:pPr>
      <w:r w:rsidRPr="00390B6F">
        <w:t>A total of 69</w:t>
      </w:r>
      <w:r w:rsidR="00611280" w:rsidRPr="00390B6F">
        <w:t> per cent</w:t>
      </w:r>
      <w:r w:rsidRPr="00390B6F">
        <w:t xml:space="preserve"> of advisers indicated that support from</w:t>
      </w:r>
      <w:r w:rsidR="00390B6F" w:rsidRPr="00390B6F">
        <w:t xml:space="preserve"> Cardno </w:t>
      </w:r>
      <w:r w:rsidRPr="00390B6F">
        <w:t>was adequate.</w:t>
      </w:r>
    </w:p>
    <w:p w14:paraId="5F595808" w14:textId="77777777" w:rsidR="00825572" w:rsidRDefault="008E3B44" w:rsidP="00535837">
      <w:pPr>
        <w:pStyle w:val="BodyText"/>
      </w:pPr>
      <w:r w:rsidRPr="00390B6F">
        <w:t>Follow-up surveys and interviews have revealed greater appreciation of the efforts of ASIRF as all advisers and staff have had a chance to review and reflect on the period. Advisers and staff have also learned to adapt to new ways of working as well.</w:t>
      </w:r>
    </w:p>
    <w:p w14:paraId="75BC9BCA" w14:textId="675C69F2" w:rsidR="008E3B44" w:rsidRPr="00390B6F" w:rsidRDefault="008E3B44" w:rsidP="00535837">
      <w:pPr>
        <w:pStyle w:val="BodyText"/>
      </w:pPr>
      <w:r w:rsidRPr="00390B6F">
        <w:t xml:space="preserve">In response to COVID-19 and as a direct result of the feedback received, ASIRF has been reviewing its recruitment and employment practices. As indicated earlier, the implementation of a localisation strategy is an important step in the process and demonstrates a commitment to using locally engaged staff and resources as a priority. It also commits ASIRF to promoting more local leadership and strengthening local responses to needs. To complement this approach, ASIRF is also strengthening recruitment processes and assessing the </w:t>
      </w:r>
      <w:r w:rsidR="00636C53" w:rsidRPr="00390B6F">
        <w:t>‘</w:t>
      </w:r>
      <w:r w:rsidRPr="00390B6F">
        <w:t>soft skills</w:t>
      </w:r>
      <w:r w:rsidR="00636C53" w:rsidRPr="00390B6F">
        <w:t>’</w:t>
      </w:r>
      <w:r w:rsidRPr="00390B6F">
        <w:t xml:space="preserve"> of potential advisers to adequately respond and adapt to changes, in support of the proposed work under the localisation strategy.</w:t>
      </w:r>
    </w:p>
    <w:p w14:paraId="024EEC5D" w14:textId="7129AA40" w:rsidR="00825572" w:rsidRDefault="008E3B44" w:rsidP="00535837">
      <w:pPr>
        <w:pStyle w:val="BodyText"/>
      </w:pPr>
      <w:r w:rsidRPr="00390B6F">
        <w:t xml:space="preserve">During the evaluation, ASIRF held a </w:t>
      </w:r>
      <w:r w:rsidR="00636C53" w:rsidRPr="00390B6F">
        <w:t>‘</w:t>
      </w:r>
      <w:r w:rsidRPr="00390B6F">
        <w:t>team retreat</w:t>
      </w:r>
      <w:r w:rsidR="00636C53" w:rsidRPr="00390B6F">
        <w:t>’</w:t>
      </w:r>
      <w:r w:rsidRPr="00390B6F">
        <w:t xml:space="preserve">, which presented an opportunity to review and assess key lessons learned. A copy of the key lessons learned is influenced in </w:t>
      </w:r>
      <w:r w:rsidR="005E3564">
        <w:fldChar w:fldCharType="begin"/>
      </w:r>
      <w:r w:rsidR="005E3564">
        <w:instrText xml:space="preserve"> REF _Ref155350662 \r \h </w:instrText>
      </w:r>
      <w:r w:rsidR="005E3564">
        <w:fldChar w:fldCharType="separate"/>
      </w:r>
      <w:r w:rsidR="005E3564">
        <w:t>Annex 3</w:t>
      </w:r>
      <w:r w:rsidR="005E3564">
        <w:fldChar w:fldCharType="end"/>
      </w:r>
      <w:r w:rsidRPr="00390B6F">
        <w:t xml:space="preserve">. Key learnings </w:t>
      </w:r>
      <w:r w:rsidR="00390B6F" w:rsidRPr="00390B6F">
        <w:t>centred</w:t>
      </w:r>
      <w:r w:rsidRPr="00390B6F">
        <w:t xml:space="preserve"> around ASIRF’s response to COVID-19 and working from home arrangements. Key lessons also focus on the need for clear communication and guidance with regards to strategic intent and direction and to ensure adaptive management and ways of working approaches are clearly discussed and communicated. The ASIRF team also identified key learnings around internal efficiencies due to systems and the need to update systems and processes to respond to these issues. Capacity development, support for LES and the promotion of effective work-life balance arrangements that maintain a focus on healthy lifestyles were also key learning points.</w:t>
      </w:r>
    </w:p>
    <w:p w14:paraId="371D3897" w14:textId="01931310" w:rsidR="008E3B44" w:rsidRPr="00390B6F" w:rsidRDefault="008E3B44" w:rsidP="00535837">
      <w:pPr>
        <w:pStyle w:val="BodyText"/>
      </w:pPr>
      <w:r w:rsidRPr="00390B6F">
        <w:t>Additional points identified through the evaluation and can be classified as key lessons include:</w:t>
      </w:r>
    </w:p>
    <w:p w14:paraId="7710C6A1" w14:textId="77777777" w:rsidR="008E3B44" w:rsidRPr="00390B6F" w:rsidRDefault="008E3B44" w:rsidP="00535837">
      <w:pPr>
        <w:pStyle w:val="ListBullet"/>
      </w:pPr>
      <w:r w:rsidRPr="00390B6F">
        <w:t>The need to promote ASIRF more and to raise the visibility of the Facility as a whole with SIG partners and the broader region, particularly as Australia increases its effort to proactively engage and enhance relationships with the Pacific region.</w:t>
      </w:r>
    </w:p>
    <w:p w14:paraId="59A0FD28" w14:textId="77777777" w:rsidR="008E3B44" w:rsidRPr="00390B6F" w:rsidRDefault="008E3B44" w:rsidP="00535837">
      <w:pPr>
        <w:pStyle w:val="ListBullet"/>
      </w:pPr>
      <w:r w:rsidRPr="00390B6F">
        <w:t>The need for more consistent financial management and strategic management support across all SOs. Evidence suggests that previous approaches were quite ad hoc and focused on SOs following systems rather than ASIRF responding to needs. Consultations with HoPs indicate a need for consistency and standardisation for budgets, reporting, and forecasting.</w:t>
      </w:r>
    </w:p>
    <w:p w14:paraId="101CCC50" w14:textId="77777777" w:rsidR="008E3B44" w:rsidRPr="00390B6F" w:rsidRDefault="008E3B44" w:rsidP="00535837">
      <w:pPr>
        <w:pStyle w:val="ListBullet"/>
      </w:pPr>
      <w:r w:rsidRPr="00390B6F">
        <w:t>Reporting lines between DFAT, SOs and ASIRF need to be consistently reviewed and tested. The WoW arrangements only go so far in providing the broad parameters and framework under which engagement will occur. There is a need for on-going consultations during implementation, review, and adjustment as required.</w:t>
      </w:r>
    </w:p>
    <w:p w14:paraId="3BD6D84D" w14:textId="77777777" w:rsidR="008E3B44" w:rsidRPr="00390B6F" w:rsidRDefault="008E3B44" w:rsidP="008E3B44">
      <w:pPr>
        <w:pStyle w:val="Heading2"/>
      </w:pPr>
      <w:bookmarkStart w:id="45" w:name="_Toc119930954"/>
      <w:bookmarkStart w:id="46" w:name="_Toc151565431"/>
      <w:r w:rsidRPr="00390B6F">
        <w:t>Future directions</w:t>
      </w:r>
      <w:bookmarkEnd w:id="45"/>
      <w:bookmarkEnd w:id="46"/>
    </w:p>
    <w:p w14:paraId="3C34E780" w14:textId="77777777" w:rsidR="008E3B44" w:rsidRPr="00390B6F" w:rsidRDefault="008E3B44" w:rsidP="00535837">
      <w:pPr>
        <w:pStyle w:val="BodyText"/>
      </w:pPr>
      <w:r w:rsidRPr="00992CF6">
        <w:rPr>
          <w:rStyle w:val="Strong"/>
        </w:rPr>
        <w:t>In considering the evidence presented above, ASIRF has a significant role to play in supporting DFAT and SOs going forward.</w:t>
      </w:r>
      <w:r w:rsidRPr="00390B6F">
        <w:t xml:space="preserve"> There is no need to fundamentally change the system or structures it </w:t>
      </w:r>
      <w:r w:rsidRPr="00390B6F">
        <w:lastRenderedPageBreak/>
        <w:t>stands, however, there is scope to tweak components and approaches to ensure ASIRF maintains its relevance and continues to promote effectiveness and efficiency. The following guidance is presented based on consultations with HoPs, ASIRF advisers and LES. The guidance is not definitive but does provide opportunity for further engagement and consultation. Key guidance includes:</w:t>
      </w:r>
    </w:p>
    <w:p w14:paraId="54A1F80F" w14:textId="04F097D7" w:rsidR="008E3B44" w:rsidRPr="00390B6F" w:rsidRDefault="008E3B44" w:rsidP="00535837">
      <w:pPr>
        <w:pStyle w:val="BodyText"/>
      </w:pPr>
      <w:r w:rsidRPr="00992CF6">
        <w:rPr>
          <w:rStyle w:val="Strong"/>
        </w:rPr>
        <w:t>Guidance 1: ASIRF should continue to maintain is current focus of corporate support in the areas of finance, recruitment, and procurement.</w:t>
      </w:r>
      <w:r w:rsidRPr="00390B6F">
        <w:t xml:space="preserve"> One additional consideration is to introduce a </w:t>
      </w:r>
      <w:r w:rsidR="00636C53" w:rsidRPr="00390B6F">
        <w:t>‘</w:t>
      </w:r>
      <w:r w:rsidRPr="00390B6F">
        <w:t>fourth pillar</w:t>
      </w:r>
      <w:r w:rsidR="00636C53" w:rsidRPr="00390B6F">
        <w:t>’</w:t>
      </w:r>
      <w:r w:rsidRPr="00390B6F">
        <w:t xml:space="preserve"> which incorporates MEL, GEDSI and communications under one stream of work. The intention here is not to replace or duplicate resources on other SOs but rather pool resources to provide support services and functions to SOs. For example, the proposed MEL role could provide technical support and guidance to existing M&amp;E advisers. There is also </w:t>
      </w:r>
      <w:r w:rsidR="00054CFE" w:rsidRPr="00390B6F">
        <w:t xml:space="preserve">the </w:t>
      </w:r>
      <w:r w:rsidRPr="00390B6F">
        <w:t>scope to undertake quality assurance of MEL products and deliverables. Finally, there is potential to utilise the MEL support to develop ToRs for reviews, evaluation and conduct internal evaluations.</w:t>
      </w:r>
    </w:p>
    <w:p w14:paraId="64B63A21" w14:textId="77777777" w:rsidR="008E3B44" w:rsidRPr="00390B6F" w:rsidRDefault="008E3B44" w:rsidP="00535837">
      <w:pPr>
        <w:pStyle w:val="BodyText"/>
      </w:pPr>
      <w:r w:rsidRPr="00390B6F">
        <w:t>The same applies to GEDSI whereby support can be provided across SOs to ensure alignment to DFAT policies, priorities, and strategies. There is also an opportunity for technical support and guidance to harmonise SOs efforts. For communications, it is recommended that ASIRF centralise communication support for SOs, including to develop short briefs, public diplomacy, and social media efforts. This would minimise costs and ensures consistent approach and messaging.</w:t>
      </w:r>
    </w:p>
    <w:p w14:paraId="3DE0E64B" w14:textId="77777777" w:rsidR="008E3B44" w:rsidRPr="00390B6F" w:rsidRDefault="008E3B44" w:rsidP="00535837">
      <w:pPr>
        <w:pStyle w:val="BodyText"/>
      </w:pPr>
      <w:r w:rsidRPr="00992CF6">
        <w:rPr>
          <w:rStyle w:val="Strong"/>
        </w:rPr>
        <w:t>Guidance 2: ASIRF should progress its efforts to provide more strategic advice and guidance to SOs rather than rely on the responsive efforts across finance, recruitment, and procurement</w:t>
      </w:r>
      <w:r w:rsidRPr="00390B6F">
        <w:t>. This work has commenced in recent months but should continue under the new phase to enable ASIRF to provide more direct strategic advice to SOs for planning, budgeting, and reporting. To complement this approach, ASIRF can develop and present standardised tools and templates to help SOs prepare plans which can then be monitored and reported against. To support this proposed function, ASIRF should consider the engagement of a short-term strategic management/business planning advisers.</w:t>
      </w:r>
    </w:p>
    <w:p w14:paraId="0D1E6D90" w14:textId="77777777" w:rsidR="00825572" w:rsidRDefault="008E3B44" w:rsidP="00535837">
      <w:pPr>
        <w:pStyle w:val="BodyText"/>
      </w:pPr>
      <w:r w:rsidRPr="00390B6F">
        <w:t>Proposed work as part of the strategic advice provided to SOs could include standardisation of work</w:t>
      </w:r>
      <w:r w:rsidR="00054CFE" w:rsidRPr="00390B6F">
        <w:t xml:space="preserve"> </w:t>
      </w:r>
      <w:r w:rsidRPr="00390B6F">
        <w:t>plans</w:t>
      </w:r>
      <w:r w:rsidR="00054CFE" w:rsidRPr="00390B6F">
        <w:t>;</w:t>
      </w:r>
      <w:r w:rsidRPr="00390B6F">
        <w:t xml:space="preserve"> MEL frameworks and reporting</w:t>
      </w:r>
      <w:r w:rsidR="00054CFE" w:rsidRPr="00390B6F">
        <w:t>;</w:t>
      </w:r>
      <w:r w:rsidRPr="00390B6F">
        <w:t xml:space="preserve"> budgets</w:t>
      </w:r>
      <w:r w:rsidR="00054CFE" w:rsidRPr="00390B6F">
        <w:t>;</w:t>
      </w:r>
      <w:r w:rsidRPr="00390B6F">
        <w:t xml:space="preserve"> and forecasting. Investing time with SOs in these functions will support not only the SOs but ASIRF itself when assessing progress, performance and overall VfM.</w:t>
      </w:r>
    </w:p>
    <w:p w14:paraId="22D78EE2" w14:textId="77777777" w:rsidR="00825572" w:rsidRDefault="008E3B44" w:rsidP="00535837">
      <w:pPr>
        <w:pStyle w:val="BodyText"/>
      </w:pPr>
      <w:r w:rsidRPr="00390B6F">
        <w:t>In addition to these strategic functions, ASIRF needs to take a more proactive role and anticipate changes and requests that will come from SOs and DFAT. Strategic advice and guidance should include advisory support, but it is important for ASIRF not to lose focus of core service functions to SOs.</w:t>
      </w:r>
    </w:p>
    <w:p w14:paraId="55940B57" w14:textId="77777777" w:rsidR="00825572" w:rsidRDefault="008E3B44" w:rsidP="00535837">
      <w:pPr>
        <w:pStyle w:val="BodyText"/>
      </w:pPr>
      <w:r w:rsidRPr="00992CF6">
        <w:rPr>
          <w:rStyle w:val="Strong"/>
        </w:rPr>
        <w:t xml:space="preserve">Guidance 3: ASIRF should shift efforts towards the formation and use of technical advisory panels to manage challenges related to recruiting and mobilising suitable applicants. </w:t>
      </w:r>
      <w:r w:rsidRPr="00390B6F">
        <w:t xml:space="preserve">The recruitment of individual advisers is time consuming and resource intensive. ASIRF should offer a strategic and support function for SOs through providing access to a pool of talent following screening and selection. ASIRF’s recruitment should focus on working with SOs to define their priority needs. Evidence suggests that SOs require a mix of technical and specialised support as well as support and guidance across cross-cutting themes such as M&amp;E, GEDSI, communications and climate change. The thematic panels can be an effective means to access a pool of talent that has been pre-screened and </w:t>
      </w:r>
      <w:r w:rsidR="00636C53" w:rsidRPr="00390B6F">
        <w:t>‘</w:t>
      </w:r>
      <w:r w:rsidRPr="00390B6F">
        <w:t>selected</w:t>
      </w:r>
      <w:r w:rsidR="00636C53" w:rsidRPr="00390B6F">
        <w:t>’</w:t>
      </w:r>
      <w:r w:rsidRPr="00390B6F">
        <w:t xml:space="preserve"> and </w:t>
      </w:r>
      <w:r w:rsidR="00390B6F" w:rsidRPr="00390B6F">
        <w:t>can potentially be</w:t>
      </w:r>
      <w:r w:rsidRPr="00390B6F">
        <w:t xml:space="preserve"> mobilised quickly through service orders and/or tasking notes. Thematic panels also allow for the promotion of diversity in terms of adviser age, gender location and experience. It has a real opportunity to align with the ASIRF localisation strategy.</w:t>
      </w:r>
    </w:p>
    <w:p w14:paraId="0FAE8538" w14:textId="4291270E" w:rsidR="008E3B44" w:rsidRPr="00390B6F" w:rsidRDefault="008E3B44" w:rsidP="00535837">
      <w:pPr>
        <w:pStyle w:val="BodyText"/>
      </w:pPr>
      <w:r w:rsidRPr="00992CF6">
        <w:rPr>
          <w:rStyle w:val="Strong"/>
        </w:rPr>
        <w:t>Guidance 4: Separate grant management from procurement.</w:t>
      </w:r>
      <w:r w:rsidRPr="00390B6F">
        <w:t xml:space="preserve"> Indications from consultations during the evaluation indicated that grants would form a higher proportion of funding and work going forward. While this is positive and proactive and represents a deeper commitment in development assistance, it does present some possible risks for ASIRF. At present the procurement section manages the procurement process and grants. This may work for a small portfolio of grants but given the potential growth in size, scope, and complexity, it is advised that ASIRF look to separate functions out and create a specialised grant unit (potentially as a fourth pillar). This would be a more appropriate approach as the grant component would be managed by a designated team that reports directly to the Facility Director.</w:t>
      </w:r>
    </w:p>
    <w:p w14:paraId="01D47013" w14:textId="77777777" w:rsidR="00825572" w:rsidRDefault="008E3B44" w:rsidP="00535837">
      <w:pPr>
        <w:pStyle w:val="BodyText"/>
      </w:pPr>
      <w:r w:rsidRPr="00992CF6">
        <w:rPr>
          <w:rStyle w:val="Strong"/>
        </w:rPr>
        <w:t>Guidance 5: As part of overall systems improvements, ASIRF needs to consider developing more robust, transparent, and accountable management information systems</w:t>
      </w:r>
      <w:r w:rsidRPr="00390B6F">
        <w:t xml:space="preserve">. As indicated in the report, this </w:t>
      </w:r>
      <w:r w:rsidRPr="00390B6F">
        <w:lastRenderedPageBreak/>
        <w:t>is a potential risk to the Facility going forward. A maximum of three systems should be considered for procurement, finance, and recruitment. Ideally this number should be less, but the evaluation acknowledges the complexity of the system overall and the confidentiality of information. One benefit of a streamlined approach will be the ability to generate information and data for public diplomacy efforts and generate information for short communication pieces. ASIRF should also continue its commitment to reduce paper-based approaches and models and streamline processes to online portals.</w:t>
      </w:r>
    </w:p>
    <w:p w14:paraId="169A74AE" w14:textId="77777777" w:rsidR="00825572" w:rsidRDefault="008E3B44" w:rsidP="00535837">
      <w:pPr>
        <w:pStyle w:val="BodyText"/>
      </w:pPr>
      <w:r w:rsidRPr="00992CF6">
        <w:rPr>
          <w:rStyle w:val="Strong"/>
        </w:rPr>
        <w:t>Guidance 6: DSS and Security to remain important components of ASIRF. In addition to these core functions, ASIRF should take proactive steps to increase the role of risk assessment and management</w:t>
      </w:r>
      <w:r w:rsidRPr="00390B6F">
        <w:t>. DSS and Security are strong contributors to the overall success of ASIRF and are well positioned to continue support to both SOs and DFAT. Both streams of work have proven their value and provide essential services that contribute to overall effectiveness and efficiency. For DSS, it is likely that this function will eventually transfer to DFAT to merge with existing systems and reduce potential duplication. However, the transfer process should be slow, staged and based on a formalised and agreed transition strategy that is agreed between ASIRF and DFAT. There is no immediate rush, but the transition will generate more efficiencies for DFAT and allow ASIRF to focus on other support functions for SOs. One potential area for increased visibility is for DSS and Security to take the lead in driving a greater focus on risk assessment and risk management.</w:t>
      </w:r>
    </w:p>
    <w:p w14:paraId="3B90A2A1" w14:textId="4DDC46F1" w:rsidR="008E3B44" w:rsidRPr="00992CF6" w:rsidRDefault="008E3B44" w:rsidP="00535837">
      <w:pPr>
        <w:pStyle w:val="BodyText"/>
        <w:rPr>
          <w:rStyle w:val="Strong"/>
        </w:rPr>
      </w:pPr>
      <w:r w:rsidRPr="00992CF6">
        <w:rPr>
          <w:rStyle w:val="Strong"/>
        </w:rPr>
        <w:t xml:space="preserve">Guidance 7: Adopt a more performance-based approach to assessing advisers and LES. </w:t>
      </w:r>
      <w:r w:rsidRPr="00390B6F">
        <w:t>As part of a commitment towards streamlining recruitment processes and procedures, ASIRF should adopt a more proactive culture to performance management. This means focusing on using existing DFAT adviser performance mechanisms for international advisers but also establishing criteria and metrics for LES as part of professional development plans.</w:t>
      </w:r>
    </w:p>
    <w:p w14:paraId="36BBBC34" w14:textId="77777777" w:rsidR="008E3B44" w:rsidRPr="00390B6F" w:rsidRDefault="008E3B44" w:rsidP="008E3B44">
      <w:pPr>
        <w:pStyle w:val="Heading1"/>
      </w:pPr>
      <w:bookmarkStart w:id="47" w:name="_Toc119930955"/>
      <w:bookmarkStart w:id="48" w:name="_Toc151565432"/>
      <w:r w:rsidRPr="00390B6F">
        <w:t>Key Recommendations</w:t>
      </w:r>
      <w:bookmarkEnd w:id="47"/>
      <w:bookmarkEnd w:id="48"/>
    </w:p>
    <w:p w14:paraId="5B2FD5D4" w14:textId="77777777" w:rsidR="008E3B44" w:rsidRPr="00390B6F" w:rsidRDefault="008E3B44" w:rsidP="00535837">
      <w:pPr>
        <w:pStyle w:val="BodyText"/>
      </w:pPr>
      <w:r w:rsidRPr="00390B6F">
        <w:t>As part of the evidence and findings derived from the evaluation process and the suggested guidance provided above, the following recommendations are made for the consideration by ASIRF and DFAT. Key recommendations include:</w:t>
      </w:r>
    </w:p>
    <w:p w14:paraId="552B1608" w14:textId="77777777" w:rsidR="008E3B44" w:rsidRPr="00390B6F" w:rsidRDefault="008E3B44" w:rsidP="00535837">
      <w:pPr>
        <w:pStyle w:val="BodyText"/>
      </w:pPr>
      <w:r w:rsidRPr="00992CF6">
        <w:rPr>
          <w:rStyle w:val="Strong"/>
        </w:rPr>
        <w:t>Recommendation 1:</w:t>
      </w:r>
      <w:r w:rsidRPr="00390B6F">
        <w:t xml:space="preserve"> DFAT to continue the process for the design and tender of the next phase of ASIRF implementation. Where possible, DFAT should engage with the current ASIRF team to employ a smooth transition and discuss and confirm agreed priorities as part of the new phase of implementation and management.</w:t>
      </w:r>
    </w:p>
    <w:p w14:paraId="70F91FF3" w14:textId="77777777" w:rsidR="008E3B44" w:rsidRPr="00390B6F" w:rsidRDefault="008E3B44" w:rsidP="00535837">
      <w:pPr>
        <w:pStyle w:val="BodyText"/>
      </w:pPr>
      <w:r w:rsidRPr="00992CF6">
        <w:rPr>
          <w:rStyle w:val="Strong"/>
        </w:rPr>
        <w:t>Recommendation 2:</w:t>
      </w:r>
      <w:r w:rsidRPr="00390B6F">
        <w:t xml:space="preserve"> As part of the new phase, DFAT to consider including a fourth pillar of support (MEL, GEDSI, Communications) to complement existing pillars of support (finance, recruitment, and procurement).</w:t>
      </w:r>
    </w:p>
    <w:p w14:paraId="204B8E76" w14:textId="77777777" w:rsidR="008E3B44" w:rsidRPr="00390B6F" w:rsidRDefault="008E3B44" w:rsidP="00535837">
      <w:pPr>
        <w:pStyle w:val="BodyText"/>
      </w:pPr>
      <w:r w:rsidRPr="00992CF6">
        <w:rPr>
          <w:rStyle w:val="Strong"/>
        </w:rPr>
        <w:t>Recommendation 3:</w:t>
      </w:r>
      <w:r w:rsidRPr="00390B6F">
        <w:t xml:space="preserve"> ASIRF and DFAT to discuss and agree a slightly revised role for ASIRF that sees it take a more proactive and strategic role to support SOs. This includes a series of consultations around developing more standardised templates and formats to help with planning, forecasting, budgeting, and reporting. As part of the revised approach, DFAT and ASIRF to consider engaging a short-term strategic engagement adviser for the next phase of implementation to continue with the work.</w:t>
      </w:r>
    </w:p>
    <w:p w14:paraId="0DA50EFA" w14:textId="77777777" w:rsidR="008E3B44" w:rsidRPr="00390B6F" w:rsidRDefault="008E3B44" w:rsidP="00535837">
      <w:pPr>
        <w:pStyle w:val="BodyText"/>
      </w:pPr>
      <w:r w:rsidRPr="00992CF6">
        <w:rPr>
          <w:rStyle w:val="Strong"/>
        </w:rPr>
        <w:t>Recommendation 4:</w:t>
      </w:r>
      <w:r w:rsidRPr="00390B6F">
        <w:t xml:space="preserve"> ASIRF and DFAT to consider the separation of grants from procurement and to establish a separate grant management unit under ASIRF that assumes responsibility for design, screening, contracting, and overall management reporting. This approach minimises exposure to risk.</w:t>
      </w:r>
    </w:p>
    <w:p w14:paraId="0F13D663" w14:textId="77777777" w:rsidR="00825572" w:rsidRDefault="008E3B44" w:rsidP="00535837">
      <w:pPr>
        <w:pStyle w:val="BodyText"/>
      </w:pPr>
      <w:r w:rsidRPr="00992CF6">
        <w:rPr>
          <w:rStyle w:val="Strong"/>
        </w:rPr>
        <w:t>Recommendation 5:</w:t>
      </w:r>
      <w:r w:rsidRPr="00390B6F">
        <w:t xml:space="preserve"> ASIRF and DFAT to consider broader approaches to M&amp;E that move away from assessing operational metrics of ASIRF to consider and develop a broader MEL strategy that engages with SOs and looks to provide a more </w:t>
      </w:r>
      <w:r w:rsidR="00636C53" w:rsidRPr="00390B6F">
        <w:t>‘</w:t>
      </w:r>
      <w:r w:rsidRPr="00390B6F">
        <w:t>whole of facility M&amp;E</w:t>
      </w:r>
      <w:r w:rsidR="00636C53" w:rsidRPr="00390B6F">
        <w:t>’</w:t>
      </w:r>
      <w:r w:rsidRPr="00390B6F">
        <w:t xml:space="preserve"> type approach that measures not only operational metrics but broader considerations around engagement, </w:t>
      </w:r>
      <w:r w:rsidR="00390B6F" w:rsidRPr="00390B6F">
        <w:t>partnership,</w:t>
      </w:r>
      <w:r w:rsidRPr="00390B6F">
        <w:t xml:space="preserve"> and technical support.</w:t>
      </w:r>
    </w:p>
    <w:p w14:paraId="6912CC0B" w14:textId="3E7AFB9F" w:rsidR="00992CF6" w:rsidRDefault="008E3B44" w:rsidP="00535837">
      <w:pPr>
        <w:pStyle w:val="BodyText"/>
      </w:pPr>
      <w:r w:rsidRPr="00992CF6">
        <w:rPr>
          <w:rStyle w:val="Strong"/>
        </w:rPr>
        <w:t>Recommendation 6:</w:t>
      </w:r>
      <w:r w:rsidRPr="00390B6F">
        <w:t xml:space="preserve"> DFAT and ASIRF to agree on a formalised transition strategy during the course of the next phase to ultimately transition DSS roles and responsibilities back under DFAT.</w:t>
      </w:r>
    </w:p>
    <w:p w14:paraId="31EF2BF6" w14:textId="77777777" w:rsidR="008E3B44" w:rsidRPr="00390B6F" w:rsidRDefault="008E3B44" w:rsidP="00535837">
      <w:pPr>
        <w:pStyle w:val="ANNEXHEADING"/>
      </w:pPr>
      <w:bookmarkStart w:id="49" w:name="_Toc119930956"/>
      <w:bookmarkStart w:id="50" w:name="_Toc151565433"/>
      <w:bookmarkStart w:id="51" w:name="_Ref155350621"/>
      <w:bookmarkStart w:id="52" w:name="_Toc96667277"/>
      <w:bookmarkStart w:id="53" w:name="_Ref97043538"/>
      <w:bookmarkStart w:id="54" w:name="_Toc108017998"/>
      <w:r w:rsidRPr="00390B6F">
        <w:lastRenderedPageBreak/>
        <w:t>Terms of Reference</w:t>
      </w:r>
      <w:bookmarkEnd w:id="49"/>
      <w:bookmarkEnd w:id="50"/>
      <w:bookmarkEnd w:id="51"/>
    </w:p>
    <w:p w14:paraId="5F37320A" w14:textId="77777777" w:rsidR="00535837" w:rsidRPr="00825572" w:rsidRDefault="00535837" w:rsidP="00535837">
      <w:pPr>
        <w:pStyle w:val="TableParagraph"/>
        <w:tabs>
          <w:tab w:val="left" w:pos="2227"/>
        </w:tabs>
        <w:spacing w:before="0" w:after="120"/>
        <w:ind w:left="2268"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Title</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End of Facility Evaluation of ASIRF</w:t>
      </w:r>
    </w:p>
    <w:p w14:paraId="63878A83" w14:textId="3715CA28" w:rsidR="00535837" w:rsidRPr="00825572" w:rsidRDefault="00535837" w:rsidP="00535837">
      <w:pPr>
        <w:pStyle w:val="TableParagraph"/>
        <w:tabs>
          <w:tab w:val="left" w:pos="2227"/>
        </w:tabs>
        <w:spacing w:before="0" w:after="120"/>
        <w:ind w:left="2268"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Purpose</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The objective of the final evaluation is to assess ‘the extent to which ASIRF was an effective and efficient model to support DFAT’s development portfolio and associated programs in the Solomon Islands.’</w:t>
      </w:r>
    </w:p>
    <w:p w14:paraId="61D9BE78" w14:textId="77777777" w:rsidR="00535837" w:rsidRPr="00825572" w:rsidRDefault="00535837" w:rsidP="00535837">
      <w:pPr>
        <w:pStyle w:val="TableParagraph"/>
        <w:tabs>
          <w:tab w:val="left" w:pos="2227"/>
        </w:tabs>
        <w:spacing w:before="0" w:after="120"/>
        <w:ind w:left="2268" w:right="209"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Reporting</w:t>
      </w:r>
      <w:r w:rsidRPr="00825572">
        <w:rPr>
          <w:rFonts w:asciiTheme="minorHAnsi" w:hAnsiTheme="minorHAnsi" w:cstheme="minorHAnsi"/>
          <w:b/>
          <w:spacing w:val="-2"/>
          <w:sz w:val="20"/>
          <w:szCs w:val="20"/>
          <w:lang w:val="en-AU"/>
        </w:rPr>
        <w:t xml:space="preserve"> </w:t>
      </w:r>
      <w:r w:rsidRPr="00825572">
        <w:rPr>
          <w:rFonts w:asciiTheme="minorHAnsi" w:hAnsiTheme="minorHAnsi" w:cstheme="minorHAnsi"/>
          <w:b/>
          <w:sz w:val="20"/>
          <w:szCs w:val="20"/>
          <w:lang w:val="en-AU"/>
        </w:rPr>
        <w:t>To</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DFAT – Kellie Raab</w:t>
      </w:r>
    </w:p>
    <w:p w14:paraId="17678ACD" w14:textId="77777777" w:rsidR="00825572" w:rsidRDefault="00535837" w:rsidP="00535837">
      <w:pPr>
        <w:pStyle w:val="TableParagraph"/>
        <w:tabs>
          <w:tab w:val="left" w:pos="2227"/>
        </w:tabs>
        <w:spacing w:before="0" w:after="120"/>
        <w:ind w:left="2268"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Location</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Home-based with travel to Honiara</w:t>
      </w:r>
    </w:p>
    <w:p w14:paraId="6549C806" w14:textId="1F18D9C8" w:rsidR="00535837" w:rsidRPr="00825572" w:rsidRDefault="00535837" w:rsidP="00C05378">
      <w:pPr>
        <w:pStyle w:val="TableParagraph"/>
        <w:tabs>
          <w:tab w:val="left" w:pos="2227"/>
        </w:tabs>
        <w:spacing w:before="0" w:after="120"/>
        <w:ind w:left="2268"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Commencement</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August 2022</w:t>
      </w:r>
    </w:p>
    <w:p w14:paraId="34486677" w14:textId="77777777" w:rsidR="00825572" w:rsidRDefault="00535837" w:rsidP="00C05378">
      <w:pPr>
        <w:pStyle w:val="TableParagraph"/>
        <w:tabs>
          <w:tab w:val="left" w:pos="2227"/>
        </w:tabs>
        <w:spacing w:before="0" w:after="120"/>
        <w:ind w:left="2268" w:hanging="2268"/>
        <w:rPr>
          <w:rFonts w:asciiTheme="minorHAnsi" w:hAnsiTheme="minorHAnsi" w:cstheme="minorHAnsi"/>
          <w:sz w:val="20"/>
          <w:szCs w:val="20"/>
          <w:lang w:val="en-AU"/>
        </w:rPr>
      </w:pPr>
      <w:r w:rsidRPr="00825572">
        <w:rPr>
          <w:rFonts w:asciiTheme="minorHAnsi" w:hAnsiTheme="minorHAnsi" w:cstheme="minorHAnsi"/>
          <w:b/>
          <w:sz w:val="20"/>
          <w:szCs w:val="20"/>
          <w:lang w:val="en-AU"/>
        </w:rPr>
        <w:t>Completion</w:t>
      </w:r>
      <w:r w:rsidRPr="00825572">
        <w:rPr>
          <w:rFonts w:asciiTheme="minorHAnsi" w:hAnsiTheme="minorHAnsi" w:cstheme="minorHAnsi"/>
          <w:b/>
          <w:sz w:val="20"/>
          <w:szCs w:val="20"/>
          <w:lang w:val="en-AU"/>
        </w:rPr>
        <w:tab/>
      </w:r>
      <w:r w:rsidRPr="00825572">
        <w:rPr>
          <w:rFonts w:asciiTheme="minorHAnsi" w:hAnsiTheme="minorHAnsi" w:cstheme="minorHAnsi"/>
          <w:sz w:val="20"/>
          <w:szCs w:val="20"/>
          <w:lang w:val="en-AU"/>
        </w:rPr>
        <w:t>November 2022</w:t>
      </w:r>
    </w:p>
    <w:p w14:paraId="321139C1" w14:textId="7A449656" w:rsidR="008E3B44" w:rsidRPr="00825572" w:rsidRDefault="008E3B44" w:rsidP="00825572">
      <w:pPr>
        <w:pStyle w:val="CROSSHEADl2"/>
        <w:rPr>
          <w:rStyle w:val="Strong"/>
          <w:rFonts w:asciiTheme="majorHAnsi" w:hAnsiTheme="majorHAnsi"/>
          <w:b/>
          <w:bCs w:val="0"/>
          <w:color w:val="35615E" w:themeColor="accent1" w:themeShade="BF"/>
        </w:rPr>
      </w:pPr>
      <w:r w:rsidRPr="00825572">
        <w:rPr>
          <w:rStyle w:val="Strong"/>
          <w:rFonts w:asciiTheme="majorHAnsi" w:hAnsiTheme="majorHAnsi"/>
          <w:b/>
          <w:bCs w:val="0"/>
          <w:color w:val="35615E" w:themeColor="accent1" w:themeShade="BF"/>
        </w:rPr>
        <w:t>Background</w:t>
      </w:r>
    </w:p>
    <w:p w14:paraId="59E17C26" w14:textId="18E7E424" w:rsidR="008E3B44" w:rsidRPr="00390B6F" w:rsidRDefault="008E3B44" w:rsidP="008E3B44">
      <w:pPr>
        <w:pStyle w:val="BodyText"/>
        <w:rPr>
          <w:rFonts w:cstheme="minorHAnsi"/>
          <w:szCs w:val="20"/>
        </w:rPr>
      </w:pPr>
      <w:bookmarkStart w:id="55" w:name="_Hlk94101337"/>
      <w:r w:rsidRPr="00390B6F">
        <w:rPr>
          <w:rFonts w:cstheme="minorHAnsi"/>
          <w:szCs w:val="20"/>
        </w:rPr>
        <w:t xml:space="preserve">Australia’s Solomon Islands Resource Facility (ASIRF) is a multi-sectoral investment managed by </w:t>
      </w:r>
      <w:r w:rsidR="00054CFE" w:rsidRPr="00390B6F">
        <w:rPr>
          <w:rFonts w:cstheme="minorHAnsi"/>
          <w:szCs w:val="20"/>
        </w:rPr>
        <w:t xml:space="preserve">DT Global Asia Pacific Pty Ltd (new owners of </w:t>
      </w:r>
      <w:r w:rsidRPr="00390B6F">
        <w:rPr>
          <w:rFonts w:cstheme="minorHAnsi"/>
          <w:szCs w:val="20"/>
        </w:rPr>
        <w:t>Cardno International Development</w:t>
      </w:r>
      <w:r w:rsidR="00054CFE" w:rsidRPr="00390B6F">
        <w:rPr>
          <w:rFonts w:cstheme="minorHAnsi"/>
          <w:szCs w:val="20"/>
        </w:rPr>
        <w:t>)</w:t>
      </w:r>
      <w:r w:rsidRPr="00390B6F">
        <w:rPr>
          <w:rFonts w:cstheme="minorHAnsi"/>
          <w:szCs w:val="20"/>
        </w:rPr>
        <w:t xml:space="preserve"> that supports the Department of Foreign Affairs and Trade (DFAT) to achieve the objectives of the Australian Government’s (GoA) development assistance to the Solomon Islands. Established in January 2021, ASIRF is a 30-month investment that builds on the previous facility. The Facility itself is an enabling mechanism that supports sector programs to deliver development outcomes in the Solomon Islands through the provision of corporate support in recruitment, procurement, and financial management support services across all sector programs, as well as core operational support (Deployee Support Services (DSS – management of security services residential properties) to the Australian High Commission (AHC).</w:t>
      </w:r>
    </w:p>
    <w:bookmarkEnd w:id="55"/>
    <w:p w14:paraId="1D1BAFCD" w14:textId="77777777" w:rsidR="00825572" w:rsidRDefault="008E3B44" w:rsidP="008E3B44">
      <w:pPr>
        <w:pStyle w:val="BodyText"/>
        <w:rPr>
          <w:rFonts w:cstheme="minorHAnsi"/>
          <w:szCs w:val="20"/>
        </w:rPr>
      </w:pPr>
      <w:r w:rsidRPr="00390B6F">
        <w:rPr>
          <w:rFonts w:cstheme="minorHAnsi"/>
          <w:szCs w:val="20"/>
        </w:rPr>
        <w:t>ASIRF supports Australia’s 2017 Foreign Policy White Paper commitment to support the Solomon Islands and the Pacific to respond to COVID-19 through the Partnerships for Recovery: Australia’s COVID-19 Development Response. ASIRF’s overarching objective is ‘effective and efficient delivery of the Australian Aid Program in the Solomon Islands. The Facility has two high-level end-of-facility outcomes (EOs), which together contribute to this objective:</w:t>
      </w:r>
    </w:p>
    <w:p w14:paraId="4891B8E5" w14:textId="77777777" w:rsidR="00825572" w:rsidRDefault="008E3B44" w:rsidP="00535837">
      <w:pPr>
        <w:pStyle w:val="ListBullet"/>
      </w:pPr>
      <w:r w:rsidRPr="00390B6F">
        <w:t>ASIRF Advisers demonstrably add value to Solomon Islands Government (SIG) and DFAT development agendas (policy dialogue and sectoral outcomes); and</w:t>
      </w:r>
    </w:p>
    <w:p w14:paraId="5585FC8A" w14:textId="77777777" w:rsidR="00825572" w:rsidRDefault="008E3B44" w:rsidP="00535837">
      <w:pPr>
        <w:pStyle w:val="ListBullet"/>
      </w:pPr>
      <w:r w:rsidRPr="00390B6F">
        <w:t>ASIRF consistently provides AHC with flexible, responsive, and high-quality strategic advice and operational aid management support. Cross-program learning, and VfM assessments to enhance Facility coherence and inform innovations.</w:t>
      </w:r>
    </w:p>
    <w:p w14:paraId="5C6F51CE" w14:textId="196F1504" w:rsidR="008E3B44" w:rsidRPr="00825572" w:rsidRDefault="008E3B44" w:rsidP="00825572">
      <w:pPr>
        <w:pStyle w:val="CROSSHEADl2"/>
        <w:rPr>
          <w:rStyle w:val="Strong"/>
          <w:rFonts w:asciiTheme="majorHAnsi" w:hAnsiTheme="majorHAnsi"/>
          <w:b/>
          <w:bCs w:val="0"/>
          <w:color w:val="35615E" w:themeColor="accent1" w:themeShade="BF"/>
        </w:rPr>
      </w:pPr>
      <w:r w:rsidRPr="00825572">
        <w:rPr>
          <w:rStyle w:val="Strong"/>
          <w:rFonts w:asciiTheme="majorHAnsi" w:hAnsiTheme="majorHAnsi"/>
          <w:b/>
          <w:bCs w:val="0"/>
          <w:color w:val="35615E" w:themeColor="accent1" w:themeShade="BF"/>
        </w:rPr>
        <w:t>Purpose of the Review</w:t>
      </w:r>
    </w:p>
    <w:p w14:paraId="35A22766" w14:textId="77777777" w:rsidR="008E3B44" w:rsidRPr="00390B6F" w:rsidRDefault="008E3B44" w:rsidP="00535837">
      <w:pPr>
        <w:pStyle w:val="BodyText"/>
        <w:rPr>
          <w:rFonts w:eastAsia="Times New Roman"/>
        </w:rPr>
      </w:pPr>
      <w:r w:rsidRPr="00390B6F">
        <w:t>As part of good and effective practice, DFAT commissions end-of-program reviews and evaluations for all development initiatives. Evaluations play an important role within the development performance framework to support a high-quality development assistance program. They support:</w:t>
      </w:r>
    </w:p>
    <w:p w14:paraId="28CE4C8C" w14:textId="51DA5122" w:rsidR="008E3B44" w:rsidRPr="00390B6F" w:rsidRDefault="008E3B44" w:rsidP="00535837">
      <w:pPr>
        <w:pStyle w:val="ListBullet"/>
      </w:pPr>
      <w:r w:rsidRPr="00390B6F">
        <w:rPr>
          <w:b/>
          <w:bCs/>
        </w:rPr>
        <w:t>Management</w:t>
      </w:r>
      <w:r w:rsidR="00535837" w:rsidRPr="00390B6F">
        <w:rPr>
          <w:b/>
          <w:bCs/>
        </w:rPr>
        <w:t>:</w:t>
      </w:r>
      <w:r w:rsidRPr="00390B6F">
        <w:t xml:space="preserve"> presenting evidence and analysis to guide decisions about new and existing investments and development policies.</w:t>
      </w:r>
    </w:p>
    <w:p w14:paraId="0D5B5E32" w14:textId="5FA676BF" w:rsidR="008E3B44" w:rsidRPr="00390B6F" w:rsidRDefault="008E3B44" w:rsidP="00535837">
      <w:pPr>
        <w:pStyle w:val="ListBullet"/>
      </w:pPr>
      <w:r w:rsidRPr="00390B6F">
        <w:rPr>
          <w:b/>
          <w:bCs/>
        </w:rPr>
        <w:t>Accountability</w:t>
      </w:r>
      <w:r w:rsidR="00535837" w:rsidRPr="00390B6F">
        <w:rPr>
          <w:b/>
          <w:bCs/>
        </w:rPr>
        <w:t>:</w:t>
      </w:r>
      <w:r w:rsidRPr="00390B6F">
        <w:t xml:space="preserve"> demonstrating the effectiveness of the development assistance program to stakeholders, including the Australian public, the Australian government, partner governments, implementing partners and the beneficiaries DFAT works with.</w:t>
      </w:r>
    </w:p>
    <w:p w14:paraId="053954A6" w14:textId="62861C7D" w:rsidR="008E3B44" w:rsidRPr="00390B6F" w:rsidRDefault="008E3B44" w:rsidP="00535837">
      <w:pPr>
        <w:pStyle w:val="ListBullet"/>
      </w:pPr>
      <w:r w:rsidRPr="00390B6F">
        <w:rPr>
          <w:b/>
          <w:bCs/>
        </w:rPr>
        <w:t>Learning</w:t>
      </w:r>
      <w:r w:rsidR="00535837" w:rsidRPr="00390B6F">
        <w:rPr>
          <w:b/>
          <w:bCs/>
        </w:rPr>
        <w:t>:</w:t>
      </w:r>
      <w:r w:rsidRPr="00390B6F">
        <w:t xml:space="preserve"> contributing to knowledge about what does or does not work in a particular context and why.</w:t>
      </w:r>
    </w:p>
    <w:p w14:paraId="0371056D" w14:textId="04F5DEB0" w:rsidR="008E3B44" w:rsidRPr="00390B6F" w:rsidRDefault="008E3B44" w:rsidP="008E3B44">
      <w:pPr>
        <w:pStyle w:val="BodyText"/>
        <w:rPr>
          <w:rFonts w:cstheme="minorHAnsi"/>
          <w:szCs w:val="20"/>
          <w:lang w:bidi="lo-LA"/>
        </w:rPr>
      </w:pPr>
      <w:r w:rsidRPr="00390B6F">
        <w:rPr>
          <w:rFonts w:cstheme="minorHAnsi"/>
          <w:szCs w:val="20"/>
        </w:rPr>
        <w:t xml:space="preserve">ASIRF is scheduled to complete its current implementation and support phase in June 2023. </w:t>
      </w:r>
      <w:r w:rsidRPr="00390B6F">
        <w:rPr>
          <w:rFonts w:cstheme="minorHAnsi"/>
          <w:szCs w:val="20"/>
          <w:lang w:bidi="lo-LA"/>
        </w:rPr>
        <w:t>An End of Facility Evaluation (</w:t>
      </w:r>
      <w:proofErr w:type="spellStart"/>
      <w:r w:rsidRPr="00390B6F">
        <w:rPr>
          <w:rFonts w:cstheme="minorHAnsi"/>
          <w:szCs w:val="20"/>
          <w:lang w:bidi="lo-LA"/>
        </w:rPr>
        <w:t>EoFE</w:t>
      </w:r>
      <w:proofErr w:type="spellEnd"/>
      <w:r w:rsidRPr="00390B6F">
        <w:rPr>
          <w:rFonts w:cstheme="minorHAnsi"/>
          <w:szCs w:val="20"/>
          <w:lang w:bidi="lo-LA"/>
        </w:rPr>
        <w:t xml:space="preserve">) is required to assess the Facility’s effectiveness and quality to date. The </w:t>
      </w:r>
      <w:proofErr w:type="spellStart"/>
      <w:r w:rsidRPr="00390B6F">
        <w:rPr>
          <w:rFonts w:cstheme="minorHAnsi"/>
          <w:szCs w:val="20"/>
          <w:lang w:bidi="lo-LA"/>
        </w:rPr>
        <w:t>EoFE</w:t>
      </w:r>
      <w:proofErr w:type="spellEnd"/>
      <w:r w:rsidRPr="00390B6F">
        <w:rPr>
          <w:rFonts w:cstheme="minorHAnsi"/>
          <w:szCs w:val="20"/>
          <w:lang w:bidi="lo-LA"/>
        </w:rPr>
        <w:t xml:space="preserve"> will document the evolution of the program’s objectives, assess its achievements, and more broadly investigate the extent to which the program has contributed to </w:t>
      </w:r>
      <w:r w:rsidRPr="00390B6F">
        <w:rPr>
          <w:rFonts w:cstheme="minorHAnsi"/>
          <w:szCs w:val="20"/>
        </w:rPr>
        <w:t>the objectives of the</w:t>
      </w:r>
      <w:r w:rsidR="00C9722A">
        <w:rPr>
          <w:rFonts w:cstheme="minorHAnsi"/>
          <w:szCs w:val="20"/>
        </w:rPr>
        <w:t xml:space="preserve"> </w:t>
      </w:r>
      <w:proofErr w:type="spellStart"/>
      <w:r w:rsidRPr="00390B6F">
        <w:rPr>
          <w:rFonts w:cstheme="minorHAnsi"/>
          <w:szCs w:val="20"/>
        </w:rPr>
        <w:t>GoA</w:t>
      </w:r>
      <w:r w:rsidR="00C9722A">
        <w:rPr>
          <w:rFonts w:cstheme="minorHAnsi"/>
          <w:szCs w:val="20"/>
        </w:rPr>
        <w:t>’s</w:t>
      </w:r>
      <w:proofErr w:type="spellEnd"/>
      <w:r w:rsidRPr="00390B6F">
        <w:rPr>
          <w:rFonts w:cstheme="minorHAnsi"/>
          <w:szCs w:val="20"/>
        </w:rPr>
        <w:t xml:space="preserve"> development assistance to the Solomon Islands.</w:t>
      </w:r>
      <w:r w:rsidRPr="00390B6F">
        <w:rPr>
          <w:rFonts w:cstheme="minorHAnsi"/>
          <w:szCs w:val="20"/>
          <w:lang w:bidi="lo-LA"/>
        </w:rPr>
        <w:t xml:space="preserve"> It will also synthesise lessons learned from SIRF and ASIRF, identify gaps and priorities, and make recommendations for future programming.</w:t>
      </w:r>
    </w:p>
    <w:p w14:paraId="21E9E504" w14:textId="6280EC61" w:rsidR="008E3B44" w:rsidRPr="00390B6F" w:rsidRDefault="008E3B44" w:rsidP="00535837">
      <w:pPr>
        <w:pStyle w:val="BodyText"/>
      </w:pPr>
      <w:r w:rsidRPr="00390B6F">
        <w:t xml:space="preserve">The objective of the final evaluation is to assess: </w:t>
      </w:r>
      <w:r w:rsidR="00636C53" w:rsidRPr="00390B6F">
        <w:t>‘</w:t>
      </w:r>
      <w:r w:rsidRPr="00390B6F">
        <w:t>the extent to which ASIRF was an effective and efficient model to support DFAT’s development portfolio and associated programs in the Solomon Islands.</w:t>
      </w:r>
      <w:r w:rsidR="00636C53" w:rsidRPr="00390B6F">
        <w:t>’</w:t>
      </w:r>
    </w:p>
    <w:p w14:paraId="250389B2" w14:textId="77777777" w:rsidR="008E3B44" w:rsidRPr="00390B6F" w:rsidRDefault="008E3B44" w:rsidP="00535837">
      <w:pPr>
        <w:pStyle w:val="BodyText"/>
      </w:pPr>
      <w:r w:rsidRPr="00390B6F">
        <w:lastRenderedPageBreak/>
        <w:t>Underpinning the objective, the following evaluation questions will guide the structure of the evaluation and associated approach and methodology. Overall key guiding questions include:</w:t>
      </w:r>
    </w:p>
    <w:p w14:paraId="13C630D5" w14:textId="77777777" w:rsidR="008E3B44" w:rsidRPr="00390B6F" w:rsidRDefault="008E3B44" w:rsidP="00535837">
      <w:pPr>
        <w:pStyle w:val="ListBullet"/>
      </w:pPr>
      <w:r w:rsidRPr="00390B6F">
        <w:t>The extent to which ASIRF has progressed towards achieving its End of Facility Outcomes (EOFOs)?</w:t>
      </w:r>
    </w:p>
    <w:p w14:paraId="354C1393" w14:textId="77777777" w:rsidR="008E3B44" w:rsidRPr="00390B6F" w:rsidRDefault="008E3B44" w:rsidP="00535837">
      <w:pPr>
        <w:pStyle w:val="ListBullet"/>
      </w:pPr>
      <w:r w:rsidRPr="00390B6F">
        <w:t>To what extent has ASIRF demonstrated effectiveness and efficiency in delivering services to program leads, advisers, and programs?</w:t>
      </w:r>
    </w:p>
    <w:p w14:paraId="4297D115" w14:textId="77777777" w:rsidR="008E3B44" w:rsidRPr="00390B6F" w:rsidRDefault="008E3B44" w:rsidP="00535837">
      <w:pPr>
        <w:pStyle w:val="ListBullet"/>
      </w:pPr>
      <w:r w:rsidRPr="00390B6F">
        <w:t>To support continued engagement within the Solomon Islands, what model would best serve programs and was lessons can be applied from the existing model to inform future directions?</w:t>
      </w:r>
    </w:p>
    <w:p w14:paraId="553CF4EF" w14:textId="77777777" w:rsidR="008E3B44" w:rsidRPr="00390B6F" w:rsidRDefault="008E3B44" w:rsidP="008E3B44">
      <w:pPr>
        <w:pStyle w:val="BodyText"/>
        <w:rPr>
          <w:rFonts w:cstheme="minorHAnsi"/>
          <w:szCs w:val="20"/>
          <w:lang w:eastAsia="en-AU" w:bidi="lo-LA"/>
        </w:rPr>
      </w:pPr>
      <w:r w:rsidRPr="00390B6F">
        <w:rPr>
          <w:rFonts w:cstheme="minorHAnsi"/>
          <w:szCs w:val="20"/>
          <w:lang w:eastAsia="en-AU" w:bidi="lo-LA"/>
        </w:rPr>
        <w:t xml:space="preserve">Based on an initial briefing and key document review, 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will unpack these questions, possibly develop sub-questions, and suggest an analytical framework to guide their answer – submitted to DFAT as an Evaluation Plan.</w:t>
      </w:r>
    </w:p>
    <w:p w14:paraId="1E8D5AA7" w14:textId="77777777" w:rsidR="008E3B44" w:rsidRPr="00825572" w:rsidRDefault="008E3B44" w:rsidP="00825572">
      <w:pPr>
        <w:pStyle w:val="CROSSHEADl2"/>
      </w:pPr>
      <w:r w:rsidRPr="00825572">
        <w:t>Approach and Methodology</w:t>
      </w:r>
    </w:p>
    <w:p w14:paraId="06D9BB6D" w14:textId="77777777" w:rsidR="00825572" w:rsidRDefault="008E3B44" w:rsidP="00535837">
      <w:pPr>
        <w:pStyle w:val="BodyText"/>
      </w:pPr>
      <w:r w:rsidRPr="00390B6F">
        <w:t>The evaluation proposed a mixed-method convergent parallel design process incorporating quantitative and qualitative elements. A detailed evaluation plan will be prepared in the lead-up to the evaluation. DFAT’s M&amp;E Standards will be used to guide the design and implementation of the evaluation.</w:t>
      </w:r>
    </w:p>
    <w:p w14:paraId="14B300DC" w14:textId="10361BEB" w:rsidR="008E3B44" w:rsidRPr="00390B6F" w:rsidRDefault="008E3B44" w:rsidP="00535837">
      <w:pPr>
        <w:pStyle w:val="BodyText"/>
      </w:pPr>
      <w:r w:rsidRPr="00390B6F">
        <w:t xml:space="preserve">The intention is to use an online survey form to seek input and feedback on key elements of the ASIRF approach and assess the quality and timeliness of service delivery and support. The survey will be sent to program leads, advisers and DFAT. There will also be scope to include ASIRF representatives as part of a </w:t>
      </w:r>
      <w:r w:rsidR="00636C53" w:rsidRPr="00390B6F">
        <w:t>‘</w:t>
      </w:r>
      <w:r w:rsidRPr="00390B6F">
        <w:t>self-assessment.</w:t>
      </w:r>
      <w:r w:rsidR="00636C53" w:rsidRPr="00390B6F">
        <w:t>’</w:t>
      </w:r>
    </w:p>
    <w:p w14:paraId="3234B55D" w14:textId="77777777" w:rsidR="008E3B44" w:rsidRPr="00390B6F" w:rsidRDefault="008E3B44" w:rsidP="00535837">
      <w:pPr>
        <w:pStyle w:val="BodyText"/>
      </w:pPr>
      <w:r w:rsidRPr="00390B6F">
        <w:t>Complementing the survey will be a series of semi-structured interviews with a sample of participants from the survey process. This will cover ASIR reps, program leads, a sample of advisers, DFAT, and Solomon Island Government (SIG) officials and counterparts.</w:t>
      </w:r>
    </w:p>
    <w:p w14:paraId="2B1E8887" w14:textId="77777777" w:rsidR="008E3B44" w:rsidRPr="00390B6F" w:rsidRDefault="008E3B44" w:rsidP="00535837">
      <w:pPr>
        <w:pStyle w:val="BodyText"/>
      </w:pPr>
      <w:r w:rsidRPr="00390B6F">
        <w:t>The survey and interviews will be analysed in parallel to identify key themes issues and trends that will be consolidated into an evaluation report.</w:t>
      </w:r>
    </w:p>
    <w:p w14:paraId="4D68716B" w14:textId="5417965C" w:rsidR="008E3B44" w:rsidRPr="00390B6F" w:rsidRDefault="008E3B44" w:rsidP="00535837">
      <w:pPr>
        <w:pStyle w:val="BodyText"/>
      </w:pPr>
      <w:r w:rsidRPr="00390B6F">
        <w:t xml:space="preserve">Audiences are described as either primary – those who will make decisions based on the evaluation and so it is designed to meet their information needs – or secondary – those who may have an interest in information generated by the evaluation and so this information could be shared in some form. Key primary audiences include DFAT; ASIRF management; and Program Leads. Secondary audiences include SIG </w:t>
      </w:r>
      <w:r w:rsidR="00390B6F" w:rsidRPr="00390B6F">
        <w:t>representatives,</w:t>
      </w:r>
      <w:r w:rsidRPr="00390B6F">
        <w:t xml:space="preserve"> and</w:t>
      </w:r>
      <w:r w:rsidR="00390B6F" w:rsidRPr="00390B6F">
        <w:t xml:space="preserve"> Cardno</w:t>
      </w:r>
      <w:r w:rsidR="00054CFE" w:rsidRPr="00390B6F">
        <w:t xml:space="preserve"> </w:t>
      </w:r>
      <w:r w:rsidRPr="00390B6F">
        <w:t>corporate.</w:t>
      </w:r>
    </w:p>
    <w:p w14:paraId="3AD3EF90" w14:textId="17757865" w:rsidR="008E3B44" w:rsidRPr="00390B6F" w:rsidRDefault="008E3B44" w:rsidP="008E3B44">
      <w:pPr>
        <w:pStyle w:val="BodyText"/>
        <w:rPr>
          <w:rFonts w:cstheme="minorHAnsi"/>
          <w:szCs w:val="20"/>
          <w:lang w:eastAsia="en-AU" w:bidi="lo-LA"/>
        </w:rPr>
      </w:pPr>
      <w:r w:rsidRPr="00390B6F">
        <w:rPr>
          <w:rFonts w:cstheme="minorHAnsi"/>
          <w:szCs w:val="20"/>
          <w:lang w:eastAsia="en-AU" w:bidi="lo-LA"/>
        </w:rPr>
        <w:t xml:space="preserve">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should answer the following key evaluation questions.</w:t>
      </w:r>
    </w:p>
    <w:p w14:paraId="48F13231" w14:textId="77777777" w:rsidR="0083435D" w:rsidRPr="00992CF6" w:rsidRDefault="0083435D" w:rsidP="0083435D">
      <w:pPr>
        <w:spacing w:after="120"/>
        <w:ind w:left="2268" w:hanging="2268"/>
      </w:pPr>
      <w:r w:rsidRPr="0083435D">
        <w:rPr>
          <w:rStyle w:val="Strong"/>
        </w:rPr>
        <w:t>Relevance</w:t>
      </w:r>
      <w:r w:rsidRPr="00992CF6">
        <w:tab/>
        <w:t>How well has ASIRF adapted to the changing strategic context?</w:t>
      </w:r>
    </w:p>
    <w:p w14:paraId="681F51BF" w14:textId="77777777" w:rsidR="0083435D" w:rsidRPr="00992CF6" w:rsidRDefault="0083435D" w:rsidP="0083435D">
      <w:pPr>
        <w:spacing w:after="120"/>
        <w:ind w:left="2268" w:hanging="2268"/>
      </w:pPr>
      <w:r w:rsidRPr="0083435D">
        <w:rPr>
          <w:rStyle w:val="Strong"/>
        </w:rPr>
        <w:t>Effectiveness</w:t>
      </w:r>
      <w:r w:rsidRPr="00992CF6">
        <w:tab/>
        <w:t>How effective was ASIRF in achieving its expected outcomes?</w:t>
      </w:r>
    </w:p>
    <w:p w14:paraId="14900553" w14:textId="77777777" w:rsidR="0083435D" w:rsidRPr="00992CF6" w:rsidRDefault="0083435D" w:rsidP="0083435D">
      <w:pPr>
        <w:spacing w:after="120"/>
        <w:ind w:left="2268" w:hanging="2268"/>
      </w:pPr>
      <w:r w:rsidRPr="0083435D">
        <w:rPr>
          <w:rStyle w:val="Strong"/>
        </w:rPr>
        <w:t>Efficiency</w:t>
      </w:r>
      <w:r w:rsidRPr="00992CF6">
        <w:tab/>
        <w:t>How adequate were ASIRF governance, management, delivery approach and resourcing arrangements?</w:t>
      </w:r>
    </w:p>
    <w:p w14:paraId="7428FB12" w14:textId="37D38991" w:rsidR="0083435D" w:rsidRPr="00992CF6" w:rsidRDefault="0083435D" w:rsidP="0083435D">
      <w:pPr>
        <w:spacing w:after="120"/>
        <w:ind w:left="2268" w:hanging="2268"/>
      </w:pPr>
      <w:r w:rsidRPr="0083435D">
        <w:rPr>
          <w:rStyle w:val="Strong"/>
        </w:rPr>
        <w:t>MEL</w:t>
      </w:r>
      <w:r w:rsidRPr="00992CF6">
        <w:tab/>
        <w:t>How and how well does ASIRF assess and learn from its performance?</w:t>
      </w:r>
    </w:p>
    <w:p w14:paraId="6334CB09" w14:textId="77777777" w:rsidR="0083435D" w:rsidRPr="00992CF6" w:rsidRDefault="0083435D" w:rsidP="0083435D">
      <w:pPr>
        <w:spacing w:after="120"/>
        <w:ind w:left="2268" w:hanging="2268"/>
      </w:pPr>
      <w:r w:rsidRPr="0083435D">
        <w:rPr>
          <w:rStyle w:val="Strong"/>
        </w:rPr>
        <w:t>GEDSI</w:t>
      </w:r>
      <w:r w:rsidRPr="00992CF6">
        <w:tab/>
        <w:t>To what extent has ASIRF implementation integrated gender equality, disability, and social inclusion?</w:t>
      </w:r>
    </w:p>
    <w:p w14:paraId="7B5E0EE1" w14:textId="77777777" w:rsidR="0083435D" w:rsidRPr="00992CF6" w:rsidRDefault="0083435D" w:rsidP="0083435D">
      <w:pPr>
        <w:spacing w:after="120"/>
        <w:ind w:left="2268" w:hanging="2268"/>
      </w:pPr>
      <w:r w:rsidRPr="0083435D">
        <w:rPr>
          <w:rStyle w:val="Strong"/>
        </w:rPr>
        <w:t>Agility and adaptation</w:t>
      </w:r>
      <w:r w:rsidRPr="00992CF6">
        <w:tab/>
        <w:t xml:space="preserve">How and how well </w:t>
      </w:r>
      <w:proofErr w:type="gramStart"/>
      <w:r w:rsidRPr="00992CF6">
        <w:t>has</w:t>
      </w:r>
      <w:proofErr w:type="gramEnd"/>
      <w:r w:rsidRPr="00992CF6">
        <w:t xml:space="preserve"> ASIRF pivoted to respond to the COVID-19 pandemic?</w:t>
      </w:r>
    </w:p>
    <w:p w14:paraId="626DBC2E" w14:textId="77777777" w:rsidR="0083435D" w:rsidRPr="00992CF6" w:rsidRDefault="0083435D" w:rsidP="0083435D">
      <w:pPr>
        <w:spacing w:after="120"/>
        <w:ind w:left="2268" w:hanging="2268"/>
      </w:pPr>
      <w:r w:rsidRPr="0083435D">
        <w:rPr>
          <w:rStyle w:val="Strong"/>
        </w:rPr>
        <w:t>Lessons Learned</w:t>
      </w:r>
      <w:r w:rsidRPr="00992CF6">
        <w:tab/>
        <w:t>What are the recommendations for policy, practice, and implementation for future funding?</w:t>
      </w:r>
    </w:p>
    <w:p w14:paraId="780C8BB7" w14:textId="0489EFEB" w:rsidR="008E3B44" w:rsidRPr="00390B6F" w:rsidRDefault="008E3B44" w:rsidP="008E3B44">
      <w:pPr>
        <w:pStyle w:val="BodyText"/>
        <w:rPr>
          <w:rFonts w:cstheme="minorHAnsi"/>
          <w:szCs w:val="20"/>
          <w:lang w:eastAsia="en-AU" w:bidi="lo-LA"/>
        </w:rPr>
      </w:pPr>
      <w:r w:rsidRPr="00390B6F">
        <w:rPr>
          <w:rFonts w:cstheme="minorHAnsi"/>
          <w:szCs w:val="20"/>
          <w:lang w:eastAsia="en-AU" w:bidi="lo-LA"/>
        </w:rPr>
        <w:t xml:space="preserve">Based on an initial </w:t>
      </w:r>
      <w:r w:rsidR="00611280" w:rsidRPr="00390B6F">
        <w:rPr>
          <w:rFonts w:cstheme="minorHAnsi"/>
          <w:szCs w:val="20"/>
          <w:lang w:eastAsia="en-AU" w:bidi="lo-LA"/>
        </w:rPr>
        <w:t>questions and</w:t>
      </w:r>
      <w:r w:rsidRPr="00390B6F">
        <w:rPr>
          <w:rFonts w:cstheme="minorHAnsi"/>
          <w:szCs w:val="20"/>
          <w:lang w:eastAsia="en-AU" w:bidi="lo-LA"/>
        </w:rPr>
        <w:t xml:space="preserve"> document review, 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will unpack these questions, possibly develop sub-questions, and suggest an analytical framework to guide their answer – submitted to DFAT as an Evaluation Plan.</w:t>
      </w:r>
    </w:p>
    <w:p w14:paraId="1458EF95" w14:textId="77777777" w:rsidR="008E3B44" w:rsidRPr="00825572" w:rsidRDefault="008E3B44" w:rsidP="00825572">
      <w:pPr>
        <w:pStyle w:val="CROSSHEADl2"/>
      </w:pPr>
      <w:r w:rsidRPr="00825572">
        <w:t>Activities</w:t>
      </w:r>
    </w:p>
    <w:p w14:paraId="32EBE399" w14:textId="77777777" w:rsidR="008E3B44" w:rsidRPr="00390B6F" w:rsidRDefault="008E3B44" w:rsidP="008E3B44">
      <w:pPr>
        <w:pStyle w:val="BodyText"/>
        <w:rPr>
          <w:rFonts w:eastAsia="Calibri" w:cstheme="minorHAnsi"/>
          <w:szCs w:val="20"/>
          <w:lang w:eastAsia="en-AU" w:bidi="lo-LA"/>
        </w:rPr>
      </w:pPr>
      <w:r w:rsidRPr="00390B6F">
        <w:rPr>
          <w:rFonts w:cstheme="minorHAnsi"/>
          <w:szCs w:val="20"/>
          <w:lang w:eastAsia="en-AU" w:bidi="lo-LA"/>
        </w:rPr>
        <w:t xml:space="preserve">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will develop an Evaluation Plan that will describe the methodology to answer the KEQ. This methodology will include the following activities:</w:t>
      </w:r>
    </w:p>
    <w:p w14:paraId="1E872E77" w14:textId="77777777" w:rsidR="008E3B44" w:rsidRPr="00390B6F" w:rsidRDefault="008E3B44" w:rsidP="00535837">
      <w:pPr>
        <w:pStyle w:val="ListBullet"/>
        <w:rPr>
          <w:lang w:bidi="lo-LA"/>
        </w:rPr>
      </w:pPr>
      <w:r w:rsidRPr="00390B6F">
        <w:rPr>
          <w:lang w:bidi="lo-LA"/>
        </w:rPr>
        <w:t>Desk Preparation: Briefing session, document review, preparation of Evaluation Plan (including analytical framework and consultation plan)</w:t>
      </w:r>
    </w:p>
    <w:p w14:paraId="430E4274" w14:textId="77777777" w:rsidR="008E3B44" w:rsidRPr="00390B6F" w:rsidRDefault="008E3B44" w:rsidP="00535837">
      <w:pPr>
        <w:pStyle w:val="ListBullet"/>
        <w:rPr>
          <w:lang w:bidi="lo-LA"/>
        </w:rPr>
      </w:pPr>
      <w:r w:rsidRPr="00390B6F">
        <w:rPr>
          <w:lang w:bidi="lo-LA"/>
        </w:rPr>
        <w:lastRenderedPageBreak/>
        <w:t xml:space="preserve">Data collection and analysis: Consultations with key stakeholders (e.g., key government counterparts, advisers), analytical workshop to synthesise key findings, preparation, and presentation of </w:t>
      </w:r>
      <w:r w:rsidRPr="00390B6F">
        <w:rPr>
          <w:color w:val="000000"/>
          <w:lang w:bidi="lo-LA"/>
        </w:rPr>
        <w:t xml:space="preserve">aide-memoire </w:t>
      </w:r>
      <w:r w:rsidRPr="00390B6F">
        <w:rPr>
          <w:lang w:bidi="lo-LA"/>
        </w:rPr>
        <w:t>or alternatively a briefing presentation to DFAT.</w:t>
      </w:r>
    </w:p>
    <w:p w14:paraId="66AA5CF4" w14:textId="77777777" w:rsidR="00825572" w:rsidRDefault="008E3B44" w:rsidP="00535837">
      <w:pPr>
        <w:pStyle w:val="ListBullet"/>
        <w:rPr>
          <w:lang w:bidi="lo-LA"/>
        </w:rPr>
      </w:pPr>
      <w:r w:rsidRPr="00390B6F">
        <w:rPr>
          <w:lang w:bidi="lo-LA"/>
        </w:rPr>
        <w:t xml:space="preserve">Report Drafting: Draft </w:t>
      </w:r>
      <w:proofErr w:type="spellStart"/>
      <w:r w:rsidRPr="00390B6F">
        <w:rPr>
          <w:lang w:bidi="lo-LA"/>
        </w:rPr>
        <w:t>EoFE</w:t>
      </w:r>
      <w:proofErr w:type="spellEnd"/>
      <w:r w:rsidRPr="00390B6F">
        <w:rPr>
          <w:lang w:bidi="lo-LA"/>
        </w:rPr>
        <w:t xml:space="preserve"> report, reception of feedback, finalisation of </w:t>
      </w:r>
      <w:proofErr w:type="spellStart"/>
      <w:r w:rsidRPr="00390B6F">
        <w:rPr>
          <w:lang w:bidi="lo-LA"/>
        </w:rPr>
        <w:t>EoFE</w:t>
      </w:r>
      <w:proofErr w:type="spellEnd"/>
      <w:r w:rsidRPr="00390B6F">
        <w:rPr>
          <w:lang w:bidi="lo-LA"/>
        </w:rPr>
        <w:t xml:space="preserve"> report</w:t>
      </w:r>
    </w:p>
    <w:p w14:paraId="5CAD029B" w14:textId="77777777" w:rsidR="00825572" w:rsidRDefault="008E3B44" w:rsidP="008E3B44">
      <w:pPr>
        <w:pStyle w:val="BodyText"/>
        <w:rPr>
          <w:rFonts w:cstheme="minorHAnsi"/>
          <w:szCs w:val="20"/>
          <w:lang w:eastAsia="en-AU" w:bidi="lo-LA"/>
        </w:rPr>
      </w:pPr>
      <w:r w:rsidRPr="00390B6F">
        <w:rPr>
          <w:rFonts w:cstheme="minorHAnsi"/>
          <w:szCs w:val="20"/>
          <w:lang w:eastAsia="en-AU" w:bidi="lo-LA"/>
        </w:rPr>
        <w:t>As part of the data collection and analysis phase, it is expected the following sources of information be consulted:</w:t>
      </w:r>
    </w:p>
    <w:p w14:paraId="508741AE" w14:textId="77777777" w:rsidR="00825572" w:rsidRDefault="008E3B44" w:rsidP="00535837">
      <w:pPr>
        <w:pStyle w:val="ListBullet"/>
        <w:rPr>
          <w:lang w:bidi="lo-LA"/>
        </w:rPr>
      </w:pPr>
      <w:r w:rsidRPr="00390B6F">
        <w:rPr>
          <w:lang w:bidi="lo-LA"/>
        </w:rPr>
        <w:t>Relevant Literature: background documents including list</w:t>
      </w:r>
    </w:p>
    <w:p w14:paraId="0EBA63EC" w14:textId="7449DBEE" w:rsidR="008E3B44" w:rsidRPr="00390B6F" w:rsidRDefault="008E3B44" w:rsidP="00535837">
      <w:pPr>
        <w:pStyle w:val="ListBullet"/>
        <w:rPr>
          <w:lang w:bidi="lo-LA"/>
        </w:rPr>
      </w:pPr>
      <w:r w:rsidRPr="00390B6F">
        <w:rPr>
          <w:lang w:bidi="lo-LA"/>
        </w:rPr>
        <w:t>Consultations with key stakeholders in the Solomon Islands (including advisers, program leads and SIG representatives. DFAT Post will also be consulted).</w:t>
      </w:r>
    </w:p>
    <w:p w14:paraId="1F97FFE5" w14:textId="77777777" w:rsidR="008E3B44" w:rsidRPr="00390B6F" w:rsidRDefault="008E3B44" w:rsidP="00535837">
      <w:pPr>
        <w:pStyle w:val="ListBullet"/>
        <w:rPr>
          <w:lang w:bidi="lo-LA"/>
        </w:rPr>
      </w:pPr>
      <w:r w:rsidRPr="00390B6F">
        <w:rPr>
          <w:lang w:bidi="lo-LA"/>
        </w:rPr>
        <w:t>Consultations with stakeholders in Australia</w:t>
      </w:r>
    </w:p>
    <w:p w14:paraId="2540BFA5" w14:textId="77777777" w:rsidR="008E3B44" w:rsidRPr="00825572" w:rsidRDefault="008E3B44" w:rsidP="00C95B23">
      <w:pPr>
        <w:pStyle w:val="CROSSHEADl2"/>
      </w:pPr>
      <w:r w:rsidRPr="00825572">
        <w:t>Deliverables</w:t>
      </w:r>
    </w:p>
    <w:p w14:paraId="4004F369" w14:textId="77777777" w:rsidR="008E3B44" w:rsidRPr="00390B6F" w:rsidRDefault="008E3B44" w:rsidP="008E3B44">
      <w:pPr>
        <w:pStyle w:val="BodyText"/>
        <w:rPr>
          <w:rFonts w:cstheme="minorHAnsi"/>
          <w:szCs w:val="20"/>
          <w:lang w:eastAsia="en-AU" w:bidi="lo-LA"/>
        </w:rPr>
      </w:pPr>
      <w:r w:rsidRPr="00390B6F">
        <w:rPr>
          <w:rFonts w:cstheme="minorHAnsi"/>
          <w:szCs w:val="20"/>
          <w:lang w:eastAsia="en-AU" w:bidi="lo-LA"/>
        </w:rPr>
        <w:t xml:space="preserve">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is expected to produce and submit the following deliverables:</w:t>
      </w:r>
    </w:p>
    <w:p w14:paraId="091A91AC" w14:textId="6B139091" w:rsidR="0083435D" w:rsidRPr="00390B6F" w:rsidRDefault="0083435D" w:rsidP="00566A21">
      <w:pPr>
        <w:pStyle w:val="ListNumber"/>
      </w:pPr>
      <w:r w:rsidRPr="0083435D">
        <w:rPr>
          <w:rStyle w:val="Strong"/>
        </w:rPr>
        <w:t>An Evaluation Plan:</w:t>
      </w:r>
      <w:r>
        <w:t xml:space="preserve"> </w:t>
      </w:r>
      <w:r w:rsidRPr="00390B6F">
        <w:t xml:space="preserve">Before the consultations start, no longer than </w:t>
      </w:r>
      <w:r>
        <w:t>two</w:t>
      </w:r>
      <w:r w:rsidRPr="00390B6F">
        <w:t xml:space="preserve"> weeks after </w:t>
      </w:r>
      <w:proofErr w:type="spellStart"/>
      <w:r w:rsidRPr="00390B6F">
        <w:t>EoFE</w:t>
      </w:r>
      <w:proofErr w:type="spellEnd"/>
      <w:r w:rsidRPr="00390B6F">
        <w:t xml:space="preserve"> commencement.</w:t>
      </w:r>
    </w:p>
    <w:p w14:paraId="5B5329A8" w14:textId="1BD20934" w:rsidR="0083435D" w:rsidRPr="00390B6F" w:rsidRDefault="0083435D" w:rsidP="0083435D">
      <w:pPr>
        <w:pStyle w:val="ListNumber"/>
      </w:pPr>
      <w:r w:rsidRPr="0083435D">
        <w:rPr>
          <w:rStyle w:val="Strong"/>
        </w:rPr>
        <w:t>An Aide Memoire (max five pages) with preliminary findings:</w:t>
      </w:r>
      <w:r>
        <w:t xml:space="preserve"> </w:t>
      </w:r>
      <w:r w:rsidRPr="00390B6F">
        <w:t>At the end of the analytical workshop, to be presented to Post and key stakeholders</w:t>
      </w:r>
    </w:p>
    <w:p w14:paraId="54DD5764" w14:textId="77777777" w:rsidR="00825572" w:rsidRDefault="0083435D" w:rsidP="0083435D">
      <w:pPr>
        <w:pStyle w:val="ListNumber"/>
      </w:pPr>
      <w:r w:rsidRPr="0083435D">
        <w:rPr>
          <w:rStyle w:val="Strong"/>
        </w:rPr>
        <w:t xml:space="preserve">A draft </w:t>
      </w:r>
      <w:proofErr w:type="spellStart"/>
      <w:r w:rsidRPr="0083435D">
        <w:rPr>
          <w:rStyle w:val="Strong"/>
        </w:rPr>
        <w:t>EoFE</w:t>
      </w:r>
      <w:proofErr w:type="spellEnd"/>
      <w:r w:rsidRPr="0083435D">
        <w:rPr>
          <w:rStyle w:val="Strong"/>
        </w:rPr>
        <w:t xml:space="preserve"> report</w:t>
      </w:r>
      <w:r w:rsidRPr="0083435D">
        <w:rPr>
          <w:rStyle w:val="Strong"/>
        </w:rPr>
        <w:footnoteReference w:id="9"/>
      </w:r>
      <w:r w:rsidRPr="0083435D">
        <w:rPr>
          <w:rStyle w:val="Strong"/>
        </w:rPr>
        <w:t>:</w:t>
      </w:r>
      <w:r>
        <w:t xml:space="preserve"> </w:t>
      </w:r>
      <w:r w:rsidRPr="00390B6F">
        <w:t>Within three weeks of the presentation of the Aide Memoire</w:t>
      </w:r>
    </w:p>
    <w:p w14:paraId="4F52A616" w14:textId="6FEF92BD" w:rsidR="0083435D" w:rsidRPr="00390B6F" w:rsidRDefault="0083435D" w:rsidP="0083435D">
      <w:pPr>
        <w:pStyle w:val="ListNumber"/>
      </w:pPr>
      <w:r w:rsidRPr="0083435D">
        <w:rPr>
          <w:rStyle w:val="Strong"/>
        </w:rPr>
        <w:t xml:space="preserve">A final </w:t>
      </w:r>
      <w:proofErr w:type="spellStart"/>
      <w:r w:rsidRPr="0083435D">
        <w:rPr>
          <w:rStyle w:val="Strong"/>
        </w:rPr>
        <w:t>EoFE</w:t>
      </w:r>
      <w:proofErr w:type="spellEnd"/>
      <w:r w:rsidRPr="0083435D">
        <w:rPr>
          <w:rStyle w:val="Strong"/>
        </w:rPr>
        <w:t xml:space="preserve"> report (max 25 pages excl. annexes):</w:t>
      </w:r>
      <w:r>
        <w:t xml:space="preserve"> </w:t>
      </w:r>
      <w:r w:rsidRPr="00390B6F">
        <w:t>Within 15 working days of receipt of DFAT comments on the draft report</w:t>
      </w:r>
    </w:p>
    <w:p w14:paraId="75835E8B" w14:textId="77777777" w:rsidR="008E3B44" w:rsidRPr="00825572" w:rsidRDefault="008E3B44" w:rsidP="00825572">
      <w:pPr>
        <w:pStyle w:val="CROSSHEADl2"/>
      </w:pPr>
      <w:r w:rsidRPr="00825572">
        <w:t>Team and Inputs</w:t>
      </w:r>
    </w:p>
    <w:p w14:paraId="4BCEF6A7" w14:textId="77777777" w:rsidR="008E3B44" w:rsidRPr="00390B6F" w:rsidRDefault="008E3B44" w:rsidP="008E3B44">
      <w:pPr>
        <w:pStyle w:val="BodyText"/>
        <w:rPr>
          <w:rFonts w:cstheme="minorHAnsi"/>
          <w:szCs w:val="20"/>
          <w:lang w:eastAsia="en-AU" w:bidi="lo-LA"/>
        </w:rPr>
      </w:pPr>
      <w:r w:rsidRPr="00390B6F">
        <w:rPr>
          <w:rFonts w:cstheme="minorHAnsi"/>
          <w:szCs w:val="20"/>
          <w:lang w:eastAsia="en-AU" w:bidi="lo-LA"/>
        </w:rPr>
        <w:t xml:space="preserve">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will be led by ASRIF’s Monitoring, Evaluation and Learning (MEL) adviser, with the support of a local national consultant to support the evaluation process and participate in interviews and overall data analysis.</w:t>
      </w:r>
    </w:p>
    <w:p w14:paraId="0D062D1F" w14:textId="77777777" w:rsidR="00825572" w:rsidRDefault="008E3B44" w:rsidP="008E3B44">
      <w:pPr>
        <w:pStyle w:val="BodyText"/>
        <w:rPr>
          <w:rFonts w:cstheme="minorHAnsi"/>
          <w:szCs w:val="20"/>
          <w:lang w:eastAsia="en-AU" w:bidi="lo-LA"/>
        </w:rPr>
      </w:pPr>
      <w:r w:rsidRPr="00390B6F">
        <w:rPr>
          <w:rFonts w:cstheme="minorHAnsi"/>
          <w:szCs w:val="20"/>
          <w:lang w:eastAsia="en-AU" w:bidi="lo-LA"/>
        </w:rPr>
        <w:t xml:space="preserve">The evaluation will provide regular briefings and updates to DFAT on progress. To ensure independence and transparency, a DFAT-nominated representative will be appointed to support the evaluation process and provide oversight. The </w:t>
      </w:r>
      <w:proofErr w:type="spellStart"/>
      <w:r w:rsidRPr="00390B6F">
        <w:rPr>
          <w:rFonts w:cstheme="minorHAnsi"/>
          <w:szCs w:val="20"/>
          <w:lang w:eastAsia="en-AU" w:bidi="lo-LA"/>
        </w:rPr>
        <w:t>EoFE</w:t>
      </w:r>
      <w:proofErr w:type="spellEnd"/>
      <w:r w:rsidRPr="00390B6F">
        <w:rPr>
          <w:rFonts w:cstheme="minorHAnsi"/>
          <w:szCs w:val="20"/>
          <w:lang w:eastAsia="en-AU" w:bidi="lo-LA"/>
        </w:rPr>
        <w:t xml:space="preserve"> team will be responsible for the technical quality of the evaluation and the preparation and writing of all deliverables including the Evaluation Plan and Draft and Final Reports.</w:t>
      </w:r>
    </w:p>
    <w:p w14:paraId="72231430" w14:textId="4A6E858C" w:rsidR="008E3B44" w:rsidRPr="00390B6F" w:rsidRDefault="008E3B44" w:rsidP="00724DD5">
      <w:pPr>
        <w:pStyle w:val="BodyText"/>
        <w:keepNext/>
        <w:rPr>
          <w:rFonts w:cstheme="minorHAnsi"/>
          <w:szCs w:val="20"/>
          <w:lang w:eastAsia="en-AU" w:bidi="lo-LA"/>
        </w:rPr>
      </w:pPr>
      <w:r w:rsidRPr="00390B6F">
        <w:rPr>
          <w:rFonts w:cstheme="minorHAnsi"/>
          <w:szCs w:val="20"/>
          <w:lang w:eastAsia="en-AU" w:bidi="lo-LA"/>
        </w:rPr>
        <w:t xml:space="preserve">The </w:t>
      </w:r>
      <w:r w:rsidR="0083435D" w:rsidRPr="00390B6F">
        <w:rPr>
          <w:rFonts w:cstheme="minorHAnsi"/>
          <w:szCs w:val="20"/>
          <w:lang w:eastAsia="en-AU" w:bidi="lo-LA"/>
        </w:rPr>
        <w:t xml:space="preserve">key responsibilities for each position </w:t>
      </w:r>
      <w:r w:rsidR="0083435D">
        <w:rPr>
          <w:rFonts w:cstheme="minorHAnsi"/>
          <w:szCs w:val="20"/>
          <w:lang w:eastAsia="en-AU" w:bidi="lo-LA"/>
        </w:rPr>
        <w:t>are:</w:t>
      </w:r>
      <w:r w:rsidRPr="00390B6F">
        <w:rPr>
          <w:rFonts w:cstheme="minorHAnsi"/>
          <w:szCs w:val="20"/>
          <w:lang w:eastAsia="en-AU" w:bidi="lo-LA"/>
        </w:rPr>
        <w:t>.</w:t>
      </w:r>
    </w:p>
    <w:p w14:paraId="4910EF91" w14:textId="77777777" w:rsidR="0083435D" w:rsidRPr="00390B6F" w:rsidRDefault="0083435D" w:rsidP="0083435D">
      <w:pPr>
        <w:pStyle w:val="ListBullet"/>
      </w:pPr>
      <w:r w:rsidRPr="00390B6F">
        <w:t>Evaluation Team Leader</w:t>
      </w:r>
    </w:p>
    <w:p w14:paraId="29C37BBF" w14:textId="77777777" w:rsidR="0083435D" w:rsidRPr="00390B6F" w:rsidRDefault="0083435D" w:rsidP="0083435D">
      <w:pPr>
        <w:pStyle w:val="ListBullet"/>
        <w:numPr>
          <w:ilvl w:val="1"/>
          <w:numId w:val="16"/>
        </w:numPr>
        <w:ind w:left="709"/>
      </w:pPr>
      <w:r w:rsidRPr="00390B6F">
        <w:t>Lead and manage the evaluation team, including overseeing the inputs of a national consultant.</w:t>
      </w:r>
    </w:p>
    <w:p w14:paraId="4B6F21B5" w14:textId="77777777" w:rsidR="0083435D" w:rsidRPr="00390B6F" w:rsidRDefault="0083435D" w:rsidP="0083435D">
      <w:pPr>
        <w:pStyle w:val="ListBullet"/>
        <w:numPr>
          <w:ilvl w:val="1"/>
          <w:numId w:val="16"/>
        </w:numPr>
        <w:ind w:left="709"/>
      </w:pPr>
      <w:r w:rsidRPr="00390B6F">
        <w:t>Develop the review plan including the overall approach and evaluation methodology.</w:t>
      </w:r>
    </w:p>
    <w:p w14:paraId="016CF5FF" w14:textId="77777777" w:rsidR="0083435D" w:rsidRPr="00390B6F" w:rsidRDefault="0083435D" w:rsidP="0083435D">
      <w:pPr>
        <w:pStyle w:val="ListBullet"/>
        <w:numPr>
          <w:ilvl w:val="1"/>
          <w:numId w:val="16"/>
        </w:numPr>
        <w:ind w:left="709"/>
      </w:pPr>
      <w:r w:rsidRPr="00390B6F">
        <w:t>Lead and attend meetings with key stakeholders.</w:t>
      </w:r>
    </w:p>
    <w:p w14:paraId="4C25F7ED" w14:textId="77777777" w:rsidR="0083435D" w:rsidRPr="00390B6F" w:rsidRDefault="0083435D" w:rsidP="0083435D">
      <w:pPr>
        <w:pStyle w:val="ListBullet"/>
        <w:numPr>
          <w:ilvl w:val="1"/>
          <w:numId w:val="16"/>
        </w:numPr>
        <w:ind w:left="709"/>
      </w:pPr>
      <w:r w:rsidRPr="00390B6F">
        <w:t>Develop and present an aide-memoire, with input and assistance from national consultant as required.</w:t>
      </w:r>
    </w:p>
    <w:p w14:paraId="67A51317" w14:textId="77777777" w:rsidR="0083435D" w:rsidRPr="00390B6F" w:rsidRDefault="0083435D" w:rsidP="0083435D">
      <w:pPr>
        <w:pStyle w:val="ListBullet"/>
        <w:numPr>
          <w:ilvl w:val="1"/>
          <w:numId w:val="16"/>
        </w:numPr>
        <w:ind w:left="709"/>
      </w:pPr>
      <w:r w:rsidRPr="00390B6F">
        <w:t>Produce a draft and final report in accordance with the agreed Evaluation Plan; and</w:t>
      </w:r>
    </w:p>
    <w:p w14:paraId="42DA5669" w14:textId="77777777" w:rsidR="0083435D" w:rsidRPr="00390B6F" w:rsidRDefault="0083435D" w:rsidP="00566A21">
      <w:pPr>
        <w:pStyle w:val="ListBullet"/>
        <w:numPr>
          <w:ilvl w:val="1"/>
          <w:numId w:val="16"/>
        </w:numPr>
        <w:ind w:left="709" w:hanging="357"/>
        <w:contextualSpacing w:val="0"/>
      </w:pPr>
      <w:r w:rsidRPr="00390B6F">
        <w:t>Ensure overall quality of deliverables and appropriate communication with DFAT.</w:t>
      </w:r>
    </w:p>
    <w:p w14:paraId="5E454097" w14:textId="77777777" w:rsidR="00825572" w:rsidRDefault="0083435D" w:rsidP="00566A21">
      <w:pPr>
        <w:pStyle w:val="ListBullet"/>
        <w:spacing w:before="240" w:after="0"/>
        <w:contextualSpacing w:val="0"/>
      </w:pPr>
      <w:r w:rsidRPr="00390B6F">
        <w:t>National Consultant</w:t>
      </w:r>
    </w:p>
    <w:p w14:paraId="0C8711BF" w14:textId="40FDA8E5" w:rsidR="0083435D" w:rsidRPr="00390B6F" w:rsidRDefault="0083435D" w:rsidP="0083435D">
      <w:pPr>
        <w:pStyle w:val="ListBullet"/>
        <w:numPr>
          <w:ilvl w:val="1"/>
          <w:numId w:val="16"/>
        </w:numPr>
        <w:ind w:left="709"/>
      </w:pPr>
      <w:r w:rsidRPr="00390B6F">
        <w:t>Provide inputs into the development of the Evaluation Plan, including the overall approach and review methodology.</w:t>
      </w:r>
    </w:p>
    <w:p w14:paraId="34C08AE1" w14:textId="77777777" w:rsidR="0083435D" w:rsidRPr="00390B6F" w:rsidRDefault="0083435D" w:rsidP="0083435D">
      <w:pPr>
        <w:pStyle w:val="ListBullet"/>
        <w:numPr>
          <w:ilvl w:val="1"/>
          <w:numId w:val="16"/>
        </w:numPr>
        <w:ind w:left="709"/>
      </w:pPr>
      <w:r w:rsidRPr="00390B6F">
        <w:t>Attend key meetings and/or lead consultations with implementing partners.</w:t>
      </w:r>
    </w:p>
    <w:p w14:paraId="599C9FF2" w14:textId="77777777" w:rsidR="0083435D" w:rsidRPr="00390B6F" w:rsidRDefault="0083435D" w:rsidP="0083435D">
      <w:pPr>
        <w:pStyle w:val="ListBullet"/>
        <w:numPr>
          <w:ilvl w:val="1"/>
          <w:numId w:val="16"/>
        </w:numPr>
        <w:ind w:left="709"/>
      </w:pPr>
      <w:r w:rsidRPr="00390B6F">
        <w:t>Contribute to the analytical workshop and the development and presentation of the aide memoire to DFAT; and</w:t>
      </w:r>
    </w:p>
    <w:p w14:paraId="68B0E852" w14:textId="77777777" w:rsidR="0083435D" w:rsidRPr="00390B6F" w:rsidRDefault="0083435D" w:rsidP="0083435D">
      <w:pPr>
        <w:pStyle w:val="ListBullet"/>
        <w:numPr>
          <w:ilvl w:val="1"/>
          <w:numId w:val="16"/>
        </w:numPr>
        <w:ind w:left="709"/>
      </w:pPr>
      <w:r w:rsidRPr="00390B6F">
        <w:t>Contribute to producing a draft and final report in accordance with the agreed Evaluation Plan.</w:t>
      </w:r>
    </w:p>
    <w:p w14:paraId="60743AFC" w14:textId="77777777" w:rsidR="008E3B44" w:rsidRPr="00390B6F" w:rsidRDefault="008E3B44" w:rsidP="00566A21">
      <w:pPr>
        <w:pStyle w:val="BodyText"/>
        <w:keepNext/>
        <w:rPr>
          <w:rFonts w:cstheme="minorHAnsi"/>
          <w:szCs w:val="20"/>
          <w:lang w:eastAsia="en-AU" w:bidi="lo-LA"/>
        </w:rPr>
      </w:pPr>
      <w:r w:rsidRPr="00390B6F">
        <w:rPr>
          <w:rFonts w:cstheme="minorHAnsi"/>
          <w:szCs w:val="20"/>
          <w:lang w:eastAsia="en-AU" w:bidi="lo-LA"/>
        </w:rPr>
        <w:lastRenderedPageBreak/>
        <w:t>The table below provides an indication of the level of effort for key tasks required for each position.</w:t>
      </w:r>
    </w:p>
    <w:p w14:paraId="6607C44A" w14:textId="77777777" w:rsidR="008E3B44" w:rsidRPr="00825572" w:rsidRDefault="008E3B44" w:rsidP="00825572">
      <w:pPr>
        <w:pStyle w:val="CROSSHEADl2"/>
      </w:pPr>
      <w:r w:rsidRPr="00825572">
        <w:t>Estimated inputs (please indicate time unit)</w:t>
      </w:r>
    </w:p>
    <w:tbl>
      <w:tblPr>
        <w:tblStyle w:val="BoxGrid-BlackASIRF"/>
        <w:tblW w:w="5000" w:type="pct"/>
        <w:tblLook w:val="04A0" w:firstRow="1" w:lastRow="0" w:firstColumn="1" w:lastColumn="0" w:noHBand="0" w:noVBand="1"/>
        <w:tblCaption w:val="Estimated inputs "/>
        <w:tblDescription w:val="Each activity is broken u in time units for the review leader and the national consultant"/>
      </w:tblPr>
      <w:tblGrid>
        <w:gridCol w:w="5246"/>
        <w:gridCol w:w="1743"/>
        <w:gridCol w:w="2643"/>
      </w:tblGrid>
      <w:tr w:rsidR="008E3B44" w:rsidRPr="00390B6F" w14:paraId="23560B79" w14:textId="77777777" w:rsidTr="0083435D">
        <w:trPr>
          <w:cnfStyle w:val="100000000000" w:firstRow="1" w:lastRow="0" w:firstColumn="0" w:lastColumn="0" w:oddVBand="0" w:evenVBand="0" w:oddHBand="0" w:evenHBand="0" w:firstRowFirstColumn="0" w:firstRowLastColumn="0" w:lastRowFirstColumn="0" w:lastRowLastColumn="0"/>
          <w:cantSplit/>
          <w:tblHeader/>
        </w:trPr>
        <w:tc>
          <w:tcPr>
            <w:tcW w:w="2723" w:type="pct"/>
          </w:tcPr>
          <w:p w14:paraId="5302368E" w14:textId="77777777" w:rsidR="008E3B44" w:rsidRPr="00390B6F" w:rsidRDefault="008E3B44" w:rsidP="00535837">
            <w:r w:rsidRPr="00390B6F">
              <w:t>Activity</w:t>
            </w:r>
          </w:p>
        </w:tc>
        <w:tc>
          <w:tcPr>
            <w:tcW w:w="905" w:type="pct"/>
          </w:tcPr>
          <w:p w14:paraId="16F3C01A" w14:textId="77777777" w:rsidR="008E3B44" w:rsidRPr="00390B6F" w:rsidRDefault="008E3B44" w:rsidP="00535837">
            <w:pPr>
              <w:jc w:val="center"/>
            </w:pPr>
            <w:r w:rsidRPr="00390B6F">
              <w:t>Review Leader</w:t>
            </w:r>
          </w:p>
        </w:tc>
        <w:tc>
          <w:tcPr>
            <w:tcW w:w="1372" w:type="pct"/>
          </w:tcPr>
          <w:p w14:paraId="201D691C" w14:textId="77777777" w:rsidR="008E3B44" w:rsidRPr="00390B6F" w:rsidRDefault="008E3B44" w:rsidP="00535837">
            <w:pPr>
              <w:jc w:val="center"/>
            </w:pPr>
            <w:r w:rsidRPr="00390B6F">
              <w:t>National Consultant</w:t>
            </w:r>
          </w:p>
        </w:tc>
      </w:tr>
      <w:tr w:rsidR="008E3B44" w:rsidRPr="00390B6F" w14:paraId="18850B48" w14:textId="77777777" w:rsidTr="0083435D">
        <w:trPr>
          <w:cantSplit/>
        </w:trPr>
        <w:tc>
          <w:tcPr>
            <w:tcW w:w="2723" w:type="pct"/>
          </w:tcPr>
          <w:p w14:paraId="3702F28E" w14:textId="77777777" w:rsidR="008E3B44" w:rsidRPr="00390B6F" w:rsidRDefault="008E3B44" w:rsidP="00535837">
            <w:r w:rsidRPr="00390B6F">
              <w:t xml:space="preserve">Desk preparation </w:t>
            </w:r>
          </w:p>
        </w:tc>
        <w:tc>
          <w:tcPr>
            <w:tcW w:w="905" w:type="pct"/>
          </w:tcPr>
          <w:p w14:paraId="07200403" w14:textId="77777777" w:rsidR="008E3B44" w:rsidRPr="00390B6F" w:rsidRDefault="008E3B44" w:rsidP="00535837">
            <w:pPr>
              <w:jc w:val="center"/>
            </w:pPr>
            <w:r w:rsidRPr="00390B6F">
              <w:t>5</w:t>
            </w:r>
          </w:p>
        </w:tc>
        <w:tc>
          <w:tcPr>
            <w:tcW w:w="1372" w:type="pct"/>
          </w:tcPr>
          <w:p w14:paraId="72469312" w14:textId="77777777" w:rsidR="008E3B44" w:rsidRPr="00390B6F" w:rsidRDefault="008E3B44" w:rsidP="00535837">
            <w:pPr>
              <w:jc w:val="center"/>
            </w:pPr>
            <w:r w:rsidRPr="00390B6F">
              <w:t>2</w:t>
            </w:r>
          </w:p>
        </w:tc>
      </w:tr>
      <w:tr w:rsidR="008E3B44" w:rsidRPr="00390B6F" w14:paraId="20700702" w14:textId="77777777" w:rsidTr="0083435D">
        <w:trPr>
          <w:cantSplit/>
        </w:trPr>
        <w:tc>
          <w:tcPr>
            <w:tcW w:w="2723" w:type="pct"/>
          </w:tcPr>
          <w:p w14:paraId="430E98CE" w14:textId="77777777" w:rsidR="008E3B44" w:rsidRPr="00390B6F" w:rsidRDefault="008E3B44" w:rsidP="00535837">
            <w:r w:rsidRPr="00390B6F">
              <w:t>Data tool development (surveys and interview guides)</w:t>
            </w:r>
          </w:p>
        </w:tc>
        <w:tc>
          <w:tcPr>
            <w:tcW w:w="905" w:type="pct"/>
          </w:tcPr>
          <w:p w14:paraId="2208F3E6" w14:textId="77777777" w:rsidR="008E3B44" w:rsidRPr="00390B6F" w:rsidRDefault="008E3B44" w:rsidP="00535837">
            <w:pPr>
              <w:jc w:val="center"/>
            </w:pPr>
            <w:r w:rsidRPr="00390B6F">
              <w:t>5</w:t>
            </w:r>
          </w:p>
        </w:tc>
        <w:tc>
          <w:tcPr>
            <w:tcW w:w="1372" w:type="pct"/>
          </w:tcPr>
          <w:p w14:paraId="4C8188F5" w14:textId="77777777" w:rsidR="008E3B44" w:rsidRPr="00390B6F" w:rsidRDefault="008E3B44" w:rsidP="00535837">
            <w:pPr>
              <w:jc w:val="center"/>
            </w:pPr>
            <w:r w:rsidRPr="00390B6F">
              <w:t>1</w:t>
            </w:r>
          </w:p>
        </w:tc>
      </w:tr>
      <w:tr w:rsidR="008E3B44" w:rsidRPr="00390B6F" w14:paraId="549C5FC8" w14:textId="77777777" w:rsidTr="0083435D">
        <w:trPr>
          <w:cantSplit/>
        </w:trPr>
        <w:tc>
          <w:tcPr>
            <w:tcW w:w="2723" w:type="pct"/>
          </w:tcPr>
          <w:p w14:paraId="04C98FB4" w14:textId="77777777" w:rsidR="008E3B44" w:rsidRPr="00390B6F" w:rsidRDefault="008E3B44" w:rsidP="00535837">
            <w:r w:rsidRPr="00390B6F">
              <w:t>Data collection and analysis (remote and in-country)</w:t>
            </w:r>
          </w:p>
        </w:tc>
        <w:tc>
          <w:tcPr>
            <w:tcW w:w="905" w:type="pct"/>
          </w:tcPr>
          <w:p w14:paraId="439A93CE" w14:textId="77777777" w:rsidR="008E3B44" w:rsidRPr="00390B6F" w:rsidRDefault="008E3B44" w:rsidP="00535837">
            <w:pPr>
              <w:jc w:val="center"/>
            </w:pPr>
            <w:r w:rsidRPr="00390B6F">
              <w:t>15</w:t>
            </w:r>
          </w:p>
        </w:tc>
        <w:tc>
          <w:tcPr>
            <w:tcW w:w="1372" w:type="pct"/>
          </w:tcPr>
          <w:p w14:paraId="1C250E25" w14:textId="77777777" w:rsidR="008E3B44" w:rsidRPr="00390B6F" w:rsidRDefault="008E3B44" w:rsidP="00535837">
            <w:pPr>
              <w:jc w:val="center"/>
            </w:pPr>
            <w:r w:rsidRPr="00390B6F">
              <w:t>8</w:t>
            </w:r>
          </w:p>
        </w:tc>
      </w:tr>
      <w:tr w:rsidR="008E3B44" w:rsidRPr="00390B6F" w14:paraId="761A2C0E" w14:textId="77777777" w:rsidTr="0083435D">
        <w:trPr>
          <w:cantSplit/>
        </w:trPr>
        <w:tc>
          <w:tcPr>
            <w:tcW w:w="2723" w:type="pct"/>
          </w:tcPr>
          <w:p w14:paraId="0E135A4B" w14:textId="77777777" w:rsidR="008E3B44" w:rsidRPr="00390B6F" w:rsidRDefault="008E3B44" w:rsidP="00535837">
            <w:r w:rsidRPr="00390B6F">
              <w:t>Draft and Final Reporting</w:t>
            </w:r>
          </w:p>
        </w:tc>
        <w:tc>
          <w:tcPr>
            <w:tcW w:w="905" w:type="pct"/>
          </w:tcPr>
          <w:p w14:paraId="177BB289" w14:textId="77777777" w:rsidR="008E3B44" w:rsidRPr="00390B6F" w:rsidRDefault="008E3B44" w:rsidP="00535837">
            <w:pPr>
              <w:jc w:val="center"/>
            </w:pPr>
            <w:r w:rsidRPr="00390B6F">
              <w:t>10</w:t>
            </w:r>
          </w:p>
        </w:tc>
        <w:tc>
          <w:tcPr>
            <w:tcW w:w="1372" w:type="pct"/>
          </w:tcPr>
          <w:p w14:paraId="7F7CE996" w14:textId="77777777" w:rsidR="008E3B44" w:rsidRPr="00390B6F" w:rsidRDefault="008E3B44" w:rsidP="00535837">
            <w:pPr>
              <w:jc w:val="center"/>
            </w:pPr>
            <w:r w:rsidRPr="00390B6F">
              <w:t>4</w:t>
            </w:r>
          </w:p>
        </w:tc>
      </w:tr>
      <w:tr w:rsidR="008E3B44" w:rsidRPr="00825572" w14:paraId="419A06CB" w14:textId="77777777" w:rsidTr="0083435D">
        <w:trPr>
          <w:cantSplit/>
        </w:trPr>
        <w:tc>
          <w:tcPr>
            <w:tcW w:w="2723" w:type="pct"/>
          </w:tcPr>
          <w:p w14:paraId="65190BFF" w14:textId="7BBE2868" w:rsidR="008E3B44" w:rsidRPr="00825572" w:rsidRDefault="008E3B44" w:rsidP="00535837">
            <w:pPr>
              <w:rPr>
                <w:b/>
                <w:bCs/>
              </w:rPr>
            </w:pPr>
            <w:r w:rsidRPr="00825572">
              <w:rPr>
                <w:b/>
                <w:bCs/>
              </w:rPr>
              <w:t>Total</w:t>
            </w:r>
            <w:r w:rsidR="00825572">
              <w:rPr>
                <w:b/>
                <w:bCs/>
              </w:rPr>
              <w:t xml:space="preserve"> number of days</w:t>
            </w:r>
          </w:p>
        </w:tc>
        <w:tc>
          <w:tcPr>
            <w:tcW w:w="905" w:type="pct"/>
          </w:tcPr>
          <w:p w14:paraId="0CEE19AB" w14:textId="77777777" w:rsidR="008E3B44" w:rsidRPr="00825572" w:rsidRDefault="008E3B44" w:rsidP="00535837">
            <w:pPr>
              <w:jc w:val="center"/>
              <w:rPr>
                <w:b/>
                <w:bCs/>
              </w:rPr>
            </w:pPr>
            <w:r w:rsidRPr="00825572">
              <w:rPr>
                <w:b/>
                <w:bCs/>
              </w:rPr>
              <w:t>35</w:t>
            </w:r>
          </w:p>
        </w:tc>
        <w:tc>
          <w:tcPr>
            <w:tcW w:w="1372" w:type="pct"/>
          </w:tcPr>
          <w:p w14:paraId="255B7B68" w14:textId="77777777" w:rsidR="008E3B44" w:rsidRPr="00825572" w:rsidRDefault="008E3B44" w:rsidP="00535837">
            <w:pPr>
              <w:jc w:val="center"/>
              <w:rPr>
                <w:b/>
                <w:bCs/>
              </w:rPr>
            </w:pPr>
            <w:r w:rsidRPr="00825572">
              <w:rPr>
                <w:b/>
                <w:bCs/>
              </w:rPr>
              <w:t>15</w:t>
            </w:r>
          </w:p>
        </w:tc>
      </w:tr>
    </w:tbl>
    <w:p w14:paraId="4D03748F" w14:textId="77777777" w:rsidR="008E3B44" w:rsidRPr="00825572" w:rsidRDefault="008E3B44" w:rsidP="00825572">
      <w:pPr>
        <w:pStyle w:val="CROSSHEADl2"/>
      </w:pPr>
      <w:r w:rsidRPr="00825572">
        <w:t>Timeline</w:t>
      </w:r>
    </w:p>
    <w:p w14:paraId="23D0AF9E" w14:textId="77777777" w:rsidR="00825572" w:rsidRDefault="008E3B44" w:rsidP="008E3B44">
      <w:pPr>
        <w:pStyle w:val="BodyText"/>
        <w:rPr>
          <w:rFonts w:cstheme="minorHAnsi"/>
          <w:szCs w:val="20"/>
          <w:lang w:eastAsia="en-AU" w:bidi="lo-LA"/>
        </w:rPr>
      </w:pPr>
      <w:r w:rsidRPr="00390B6F">
        <w:rPr>
          <w:rFonts w:cstheme="minorHAnsi"/>
          <w:szCs w:val="20"/>
          <w:lang w:eastAsia="en-AU" w:bidi="lo-LA"/>
        </w:rPr>
        <w:t xml:space="preserve">The Evaluation </w:t>
      </w:r>
      <w:r w:rsidR="00084F7B">
        <w:rPr>
          <w:rFonts w:cstheme="minorHAnsi"/>
          <w:szCs w:val="20"/>
          <w:lang w:eastAsia="en-AU" w:bidi="lo-LA"/>
        </w:rPr>
        <w:t xml:space="preserve">will start </w:t>
      </w:r>
      <w:r w:rsidRPr="00390B6F">
        <w:rPr>
          <w:rFonts w:cstheme="minorHAnsi"/>
          <w:szCs w:val="20"/>
          <w:lang w:eastAsia="en-AU" w:bidi="lo-LA"/>
        </w:rPr>
        <w:t>on 1 August 2022 and be finalised at the latest by 30 November 2022.</w:t>
      </w:r>
    </w:p>
    <w:p w14:paraId="48EF651A" w14:textId="6617381D" w:rsidR="008E3B44" w:rsidRPr="00825572" w:rsidRDefault="008E3B44" w:rsidP="00825572">
      <w:pPr>
        <w:pStyle w:val="CROSSHEADl2"/>
      </w:pPr>
      <w:r w:rsidRPr="00825572">
        <w:t>Roles of respective parties</w:t>
      </w:r>
    </w:p>
    <w:p w14:paraId="230677B4" w14:textId="77777777" w:rsidR="008E3B44" w:rsidRPr="00390B6F" w:rsidRDefault="008E3B44" w:rsidP="008E3B44">
      <w:pPr>
        <w:pStyle w:val="BodyText"/>
        <w:rPr>
          <w:rFonts w:cstheme="minorHAnsi"/>
          <w:szCs w:val="20"/>
        </w:rPr>
      </w:pPr>
      <w:r w:rsidRPr="00390B6F">
        <w:rPr>
          <w:rFonts w:cstheme="minorHAnsi"/>
          <w:szCs w:val="20"/>
        </w:rPr>
        <w:t xml:space="preserve">The </w:t>
      </w:r>
      <w:proofErr w:type="spellStart"/>
      <w:r w:rsidRPr="00390B6F">
        <w:rPr>
          <w:rFonts w:cstheme="minorHAnsi"/>
          <w:szCs w:val="20"/>
        </w:rPr>
        <w:t>EoFE</w:t>
      </w:r>
      <w:proofErr w:type="spellEnd"/>
      <w:r w:rsidRPr="00390B6F">
        <w:rPr>
          <w:rFonts w:cstheme="minorHAnsi"/>
          <w:szCs w:val="20"/>
        </w:rPr>
        <w:t xml:space="preserve"> team will be responsible for the proper conduct of the evaluation and meeting all requirements under the contract.</w:t>
      </w:r>
    </w:p>
    <w:p w14:paraId="43137604" w14:textId="77777777" w:rsidR="00825572" w:rsidRDefault="008E3B44" w:rsidP="008E3B44">
      <w:pPr>
        <w:pStyle w:val="BodyText"/>
        <w:rPr>
          <w:rFonts w:cstheme="minorHAnsi"/>
          <w:szCs w:val="20"/>
        </w:rPr>
      </w:pPr>
      <w:r w:rsidRPr="00390B6F">
        <w:rPr>
          <w:rFonts w:cstheme="minorHAnsi"/>
          <w:szCs w:val="20"/>
        </w:rPr>
        <w:t>DFAT will hold regular meetings with the contractor to provide advice and respond to emerging issues.</w:t>
      </w:r>
    </w:p>
    <w:p w14:paraId="6F7A8E5D" w14:textId="01F22F76" w:rsidR="008E3B44" w:rsidRPr="00390B6F" w:rsidRDefault="008E3B44" w:rsidP="008E3B44">
      <w:pPr>
        <w:pStyle w:val="BodyText"/>
        <w:rPr>
          <w:rFonts w:cstheme="minorHAnsi"/>
          <w:szCs w:val="20"/>
        </w:rPr>
      </w:pPr>
      <w:r w:rsidRPr="00390B6F">
        <w:rPr>
          <w:rFonts w:cstheme="minorHAnsi"/>
          <w:szCs w:val="20"/>
        </w:rPr>
        <w:t>ASIRF will support the contractor by providing key documentation; a list of stakeholders and their contact details and provide other contextual information relevant to the evaluation.</w:t>
      </w:r>
    </w:p>
    <w:p w14:paraId="02DF76FE" w14:textId="77777777" w:rsidR="00825572" w:rsidRPr="00825572" w:rsidRDefault="008E3B44" w:rsidP="00825572">
      <w:pPr>
        <w:pStyle w:val="CROSSHEADl2"/>
      </w:pPr>
      <w:r w:rsidRPr="00825572">
        <w:t>Ethical Considerations</w:t>
      </w:r>
    </w:p>
    <w:p w14:paraId="6596A2E6" w14:textId="5CA3617A" w:rsidR="008E3B44" w:rsidRPr="00390B6F" w:rsidRDefault="008E3B44" w:rsidP="00724DD5">
      <w:pPr>
        <w:pStyle w:val="BodyText"/>
        <w:keepNext/>
        <w:rPr>
          <w:rFonts w:cstheme="minorHAnsi"/>
          <w:szCs w:val="20"/>
          <w:lang w:eastAsia="en-AU" w:bidi="lo-LA"/>
        </w:rPr>
      </w:pPr>
      <w:r w:rsidRPr="00390B6F">
        <w:rPr>
          <w:rFonts w:cstheme="minorHAnsi"/>
          <w:szCs w:val="20"/>
          <w:lang w:eastAsia="en-AU" w:bidi="lo-LA"/>
        </w:rPr>
        <w:t xml:space="preserve">In conducting this review, the </w:t>
      </w:r>
      <w:proofErr w:type="spellStart"/>
      <w:r w:rsidRPr="00390B6F">
        <w:rPr>
          <w:rFonts w:cstheme="minorHAnsi"/>
          <w:szCs w:val="20"/>
        </w:rPr>
        <w:t>EoFE</w:t>
      </w:r>
      <w:proofErr w:type="spellEnd"/>
      <w:r w:rsidRPr="00390B6F">
        <w:rPr>
          <w:rFonts w:cstheme="minorHAnsi"/>
          <w:szCs w:val="20"/>
        </w:rPr>
        <w:t xml:space="preserve"> </w:t>
      </w:r>
      <w:r w:rsidRPr="00390B6F">
        <w:rPr>
          <w:rFonts w:cstheme="minorHAnsi"/>
          <w:szCs w:val="20"/>
          <w:lang w:eastAsia="en-AU" w:bidi="lo-LA"/>
        </w:rPr>
        <w:t>team should:</w:t>
      </w:r>
    </w:p>
    <w:p w14:paraId="4886124C" w14:textId="77777777" w:rsidR="00825572" w:rsidRDefault="008E3B44" w:rsidP="00724DD5">
      <w:pPr>
        <w:pStyle w:val="ListBullet"/>
        <w:keepNext/>
        <w:rPr>
          <w:lang w:bidi="lo-LA"/>
        </w:rPr>
      </w:pPr>
      <w:r w:rsidRPr="00390B6F">
        <w:rPr>
          <w:lang w:bidi="lo-LA"/>
        </w:rPr>
        <w:t>Comply with:</w:t>
      </w:r>
    </w:p>
    <w:p w14:paraId="5BE9088E" w14:textId="51E49071" w:rsidR="008E3B44" w:rsidRPr="00390B6F" w:rsidRDefault="008E3B44" w:rsidP="00611280">
      <w:pPr>
        <w:pStyle w:val="ListBullet"/>
        <w:numPr>
          <w:ilvl w:val="1"/>
          <w:numId w:val="16"/>
        </w:numPr>
        <w:ind w:left="567"/>
        <w:rPr>
          <w:color w:val="000000"/>
          <w:lang w:eastAsia="en-AU" w:bidi="lo-LA"/>
        </w:rPr>
      </w:pPr>
      <w:r w:rsidRPr="00390B6F">
        <w:rPr>
          <w:color w:val="000000"/>
          <w:lang w:eastAsia="en-AU" w:bidi="lo-LA"/>
        </w:rPr>
        <w:t xml:space="preserve">the Australasian Evaluation Society code of ethics, available at </w:t>
      </w:r>
      <w:hyperlink r:id="rId14" w:history="1">
        <w:r w:rsidR="00724DD5">
          <w:rPr>
            <w:rStyle w:val="Hyperlink"/>
            <w:rFonts w:cstheme="minorHAnsi"/>
            <w:bCs/>
            <w:szCs w:val="20"/>
            <w:lang w:eastAsia="en-AU" w:bidi="lo-LA"/>
          </w:rPr>
          <w:t>this link</w:t>
        </w:r>
      </w:hyperlink>
      <w:r w:rsidRPr="00390B6F">
        <w:rPr>
          <w:color w:val="000000"/>
          <w:lang w:eastAsia="en-AU" w:bidi="lo-LA"/>
        </w:rPr>
        <w:t>, and</w:t>
      </w:r>
    </w:p>
    <w:p w14:paraId="15FA19FD" w14:textId="77777777" w:rsidR="008E3B44" w:rsidRPr="00390B6F" w:rsidRDefault="008E3B44" w:rsidP="00611280">
      <w:pPr>
        <w:pStyle w:val="ListBullet"/>
        <w:numPr>
          <w:ilvl w:val="1"/>
          <w:numId w:val="16"/>
        </w:numPr>
        <w:ind w:left="567"/>
        <w:rPr>
          <w:color w:val="000000"/>
          <w:lang w:eastAsia="en-AU" w:bidi="lo-LA"/>
        </w:rPr>
      </w:pPr>
      <w:r w:rsidRPr="00390B6F">
        <w:rPr>
          <w:color w:val="000000"/>
          <w:lang w:eastAsia="en-AU" w:bidi="lo-LA"/>
        </w:rPr>
        <w:t>DFAT Aid Evaluation Policies.</w:t>
      </w:r>
    </w:p>
    <w:p w14:paraId="68D87DCE" w14:textId="77777777" w:rsidR="00825572" w:rsidRDefault="008E3B44" w:rsidP="00535837">
      <w:pPr>
        <w:pStyle w:val="ListBullet"/>
        <w:rPr>
          <w:lang w:bidi="lo-LA"/>
        </w:rPr>
      </w:pPr>
      <w:r w:rsidRPr="00390B6F">
        <w:rPr>
          <w:lang w:bidi="lo-LA"/>
        </w:rPr>
        <w:t>Obtain informed consent in writing from review participants after they have been advised of what information will be sought and how the information will be recorded and used.</w:t>
      </w:r>
    </w:p>
    <w:p w14:paraId="658C829D" w14:textId="77777777" w:rsidR="00825572" w:rsidRDefault="008E3B44" w:rsidP="00535837">
      <w:pPr>
        <w:pStyle w:val="ListBullet"/>
        <w:rPr>
          <w:lang w:bidi="lo-LA"/>
        </w:rPr>
      </w:pPr>
      <w:r w:rsidRPr="00390B6F">
        <w:rPr>
          <w:lang w:bidi="lo-LA"/>
        </w:rPr>
        <w:t>Treat all information and findings as confidential.</w:t>
      </w:r>
    </w:p>
    <w:p w14:paraId="5718E532" w14:textId="77777777" w:rsidR="00825572" w:rsidRDefault="008E3B44" w:rsidP="00535837">
      <w:pPr>
        <w:pStyle w:val="ListBullet"/>
        <w:rPr>
          <w:lang w:bidi="lo-LA"/>
        </w:rPr>
      </w:pPr>
      <w:r w:rsidRPr="00390B6F">
        <w:rPr>
          <w:lang w:bidi="lo-LA"/>
        </w:rPr>
        <w:t>Reference appropriately all published or unpublished documents used in the review.</w:t>
      </w:r>
    </w:p>
    <w:p w14:paraId="6A207D3C" w14:textId="5A7BB699" w:rsidR="008E3B44" w:rsidRPr="00390B6F" w:rsidRDefault="008E3B44" w:rsidP="008E3B44">
      <w:pPr>
        <w:sectPr w:rsidR="008E3B44" w:rsidRPr="00390B6F" w:rsidSect="005E3564">
          <w:footerReference w:type="default" r:id="rId15"/>
          <w:pgSz w:w="11900" w:h="16820" w:code="9"/>
          <w:pgMar w:top="1134" w:right="1134" w:bottom="1134" w:left="1134" w:header="567" w:footer="567" w:gutter="0"/>
          <w:pgNumType w:start="1"/>
          <w:cols w:space="708"/>
          <w:docGrid w:linePitch="360"/>
        </w:sectPr>
      </w:pPr>
    </w:p>
    <w:p w14:paraId="7B716606" w14:textId="77777777" w:rsidR="008E3B44" w:rsidRPr="00133741" w:rsidRDefault="008E3B44" w:rsidP="00A074C6">
      <w:pPr>
        <w:pStyle w:val="ANNEXHEADING"/>
      </w:pPr>
      <w:bookmarkStart w:id="56" w:name="_Toc119930960"/>
      <w:bookmarkStart w:id="57" w:name="_Toc151565434"/>
      <w:bookmarkStart w:id="58" w:name="_Ref155350647"/>
      <w:bookmarkStart w:id="59" w:name="_Ref155350716"/>
      <w:r w:rsidRPr="00133741">
        <w:lastRenderedPageBreak/>
        <w:t>PAF Results</w:t>
      </w:r>
      <w:bookmarkEnd w:id="52"/>
      <w:bookmarkEnd w:id="53"/>
      <w:bookmarkEnd w:id="54"/>
      <w:bookmarkEnd w:id="56"/>
      <w:bookmarkEnd w:id="57"/>
      <w:bookmarkEnd w:id="58"/>
      <w:bookmarkEnd w:id="59"/>
      <w:r w:rsidRPr="00133741">
        <w:t xml:space="preserve"> </w:t>
      </w:r>
    </w:p>
    <w:tbl>
      <w:tblPr>
        <w:tblStyle w:val="BoxGrid-BlackASIRF"/>
        <w:tblW w:w="5000" w:type="pct"/>
        <w:tblLook w:val="04A0" w:firstRow="1" w:lastRow="0" w:firstColumn="1" w:lastColumn="0" w:noHBand="0" w:noVBand="1"/>
        <w:tblCaption w:val="Annex 2: PAF Results"/>
        <w:tblDescription w:val="For each performance element: outcomes and expectations, type of indicator, evidence and comments"/>
      </w:tblPr>
      <w:tblGrid>
        <w:gridCol w:w="2203"/>
        <w:gridCol w:w="2795"/>
        <w:gridCol w:w="2209"/>
        <w:gridCol w:w="2431"/>
        <w:gridCol w:w="2189"/>
        <w:gridCol w:w="2745"/>
      </w:tblGrid>
      <w:tr w:rsidR="00133741" w:rsidRPr="001462F2" w14:paraId="4968C52A" w14:textId="77777777" w:rsidTr="0054357E">
        <w:trPr>
          <w:cnfStyle w:val="100000000000" w:firstRow="1" w:lastRow="0" w:firstColumn="0" w:lastColumn="0" w:oddVBand="0" w:evenVBand="0" w:oddHBand="0" w:evenHBand="0" w:firstRowFirstColumn="0" w:firstRowLastColumn="0" w:lastRowFirstColumn="0" w:lastRowLastColumn="0"/>
          <w:cantSplit/>
          <w:tblHeader/>
        </w:trPr>
        <w:tc>
          <w:tcPr>
            <w:tcW w:w="756" w:type="pct"/>
            <w:hideMark/>
          </w:tcPr>
          <w:p w14:paraId="57CA0B7A"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Performance Elements</w:t>
            </w:r>
          </w:p>
        </w:tc>
        <w:tc>
          <w:tcPr>
            <w:tcW w:w="959" w:type="pct"/>
            <w:hideMark/>
          </w:tcPr>
          <w:p w14:paraId="7D272DF8"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Intermediate outcomes/performance expectations</w:t>
            </w:r>
          </w:p>
        </w:tc>
        <w:tc>
          <w:tcPr>
            <w:tcW w:w="758" w:type="pct"/>
            <w:hideMark/>
          </w:tcPr>
          <w:p w14:paraId="631B7D73"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Type of Indicator</w:t>
            </w:r>
          </w:p>
        </w:tc>
        <w:tc>
          <w:tcPr>
            <w:tcW w:w="834" w:type="pct"/>
            <w:hideMark/>
          </w:tcPr>
          <w:p w14:paraId="30A89672"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w:t>
            </w:r>
          </w:p>
        </w:tc>
        <w:tc>
          <w:tcPr>
            <w:tcW w:w="751" w:type="pct"/>
            <w:hideMark/>
          </w:tcPr>
          <w:p w14:paraId="4EA05BF2"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Evidence</w:t>
            </w:r>
          </w:p>
        </w:tc>
        <w:tc>
          <w:tcPr>
            <w:tcW w:w="942" w:type="pct"/>
            <w:hideMark/>
          </w:tcPr>
          <w:p w14:paraId="78F42628" w14:textId="77777777" w:rsidR="00133741" w:rsidRPr="001462F2" w:rsidRDefault="00133741" w:rsidP="00724DD5">
            <w:pPr>
              <w:rPr>
                <w:rFonts w:cs="Arial"/>
                <w:b w:val="0"/>
                <w:bCs/>
                <w:color w:val="35615E"/>
                <w:sz w:val="16"/>
                <w:szCs w:val="16"/>
                <w:lang w:eastAsia="en-AU"/>
              </w:rPr>
            </w:pPr>
            <w:r w:rsidRPr="001462F2">
              <w:rPr>
                <w:rFonts w:cs="Arial"/>
                <w:bCs/>
                <w:sz w:val="16"/>
                <w:szCs w:val="16"/>
                <w:lang w:eastAsia="en-AU"/>
              </w:rPr>
              <w:t>Comments on overall performance/Notes for presentation</w:t>
            </w:r>
          </w:p>
        </w:tc>
      </w:tr>
      <w:tr w:rsidR="00133741" w:rsidRPr="001462F2" w14:paraId="09B143E8" w14:textId="77777777" w:rsidTr="0054357E">
        <w:trPr>
          <w:cantSplit/>
        </w:trPr>
        <w:tc>
          <w:tcPr>
            <w:tcW w:w="756" w:type="pct"/>
            <w:hideMark/>
          </w:tcPr>
          <w:p w14:paraId="5360C72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Stakeholders and Partnership / Collaboration and engagement</w:t>
            </w:r>
          </w:p>
        </w:tc>
        <w:tc>
          <w:tcPr>
            <w:tcW w:w="959" w:type="pct"/>
            <w:hideMark/>
          </w:tcPr>
          <w:p w14:paraId="42C6114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The Facility engages other actors (including ASIRF-supported DFAT programs and private sector suppliers) to build solid relationships, networks and partnerships that advance the Facility’s objectives and/or increase efficiency.</w:t>
            </w:r>
          </w:p>
        </w:tc>
        <w:tc>
          <w:tcPr>
            <w:tcW w:w="758" w:type="pct"/>
            <w:hideMark/>
          </w:tcPr>
          <w:p w14:paraId="43914A9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ASIRF partners by type</w:t>
            </w:r>
          </w:p>
        </w:tc>
        <w:tc>
          <w:tcPr>
            <w:tcW w:w="834" w:type="pct"/>
            <w:hideMark/>
          </w:tcPr>
          <w:p w14:paraId="37E6C05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Donor Agencies 1, ASIRF Programs 12, Grantees Local 3, Grantees INGO 4, Local suppliers 127, Australian Suppliers 13. Total 140</w:t>
            </w:r>
          </w:p>
        </w:tc>
        <w:tc>
          <w:tcPr>
            <w:tcW w:w="751" w:type="pct"/>
            <w:hideMark/>
          </w:tcPr>
          <w:p w14:paraId="2A6CD83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 Grant Summary and Supplier Listing</w:t>
            </w:r>
          </w:p>
        </w:tc>
        <w:tc>
          <w:tcPr>
            <w:tcW w:w="942" w:type="pct"/>
            <w:hideMark/>
          </w:tcPr>
          <w:p w14:paraId="2CB07CD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There has been an increase in the use of local suppliers in accordance with ASIRF localisation initiatives.</w:t>
            </w:r>
          </w:p>
        </w:tc>
      </w:tr>
      <w:tr w:rsidR="00133741" w:rsidRPr="001462F2" w14:paraId="2587D19A" w14:textId="77777777" w:rsidTr="0054357E">
        <w:trPr>
          <w:cantSplit/>
        </w:trPr>
        <w:tc>
          <w:tcPr>
            <w:tcW w:w="756" w:type="pct"/>
            <w:hideMark/>
          </w:tcPr>
          <w:p w14:paraId="7086D6E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w:t>
            </w:r>
          </w:p>
        </w:tc>
        <w:tc>
          <w:tcPr>
            <w:tcW w:w="959" w:type="pct"/>
            <w:hideMark/>
          </w:tcPr>
          <w:p w14:paraId="7FF00C0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70B335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ASIRF partners (programs and private sector partners) report satisfaction with relationship promoting communication and collaboration.</w:t>
            </w:r>
          </w:p>
        </w:tc>
        <w:tc>
          <w:tcPr>
            <w:tcW w:w="834" w:type="pct"/>
            <w:hideMark/>
          </w:tcPr>
          <w:p w14:paraId="43BDDB7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To be assessed at end of 2022 </w:t>
            </w:r>
          </w:p>
        </w:tc>
        <w:tc>
          <w:tcPr>
            <w:tcW w:w="751" w:type="pct"/>
            <w:hideMark/>
          </w:tcPr>
          <w:p w14:paraId="6598260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Performance survey</w:t>
            </w:r>
          </w:p>
        </w:tc>
        <w:tc>
          <w:tcPr>
            <w:tcW w:w="942" w:type="pct"/>
            <w:hideMark/>
          </w:tcPr>
          <w:p w14:paraId="18F90D8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r>
      <w:tr w:rsidR="00133741" w:rsidRPr="001462F2" w14:paraId="10D2C710" w14:textId="77777777" w:rsidTr="0054357E">
        <w:trPr>
          <w:cantSplit/>
        </w:trPr>
        <w:tc>
          <w:tcPr>
            <w:tcW w:w="756" w:type="pct"/>
            <w:hideMark/>
          </w:tcPr>
          <w:p w14:paraId="6680BC3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w:t>
            </w:r>
          </w:p>
        </w:tc>
        <w:tc>
          <w:tcPr>
            <w:tcW w:w="959" w:type="pct"/>
            <w:hideMark/>
          </w:tcPr>
          <w:p w14:paraId="73C1577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The facility makes operational decisions based on a sound understanding of the political economy and local context, effectively communicating operational decisions to stakeholders.</w:t>
            </w:r>
          </w:p>
        </w:tc>
        <w:tc>
          <w:tcPr>
            <w:tcW w:w="758" w:type="pct"/>
            <w:hideMark/>
          </w:tcPr>
          <w:p w14:paraId="5B44F64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Annual plans and six-monthly reports and progress reflections demonstrate context analysis has informed ASIRF operational decisions.</w:t>
            </w:r>
          </w:p>
        </w:tc>
        <w:tc>
          <w:tcPr>
            <w:tcW w:w="834" w:type="pct"/>
            <w:hideMark/>
          </w:tcPr>
          <w:p w14:paraId="05F2E284" w14:textId="77777777" w:rsidR="00992CF6" w:rsidRDefault="00133741" w:rsidP="00724DD5">
            <w:pPr>
              <w:rPr>
                <w:rFonts w:cs="Arial"/>
                <w:sz w:val="16"/>
                <w:szCs w:val="16"/>
                <w:lang w:eastAsia="en-AU"/>
              </w:rPr>
            </w:pPr>
            <w:r w:rsidRPr="001462F2">
              <w:rPr>
                <w:rFonts w:cs="Arial"/>
                <w:sz w:val="16"/>
                <w:szCs w:val="16"/>
                <w:lang w:eastAsia="en-AU"/>
              </w:rPr>
              <w:t>Context included in SMPR and Annual Plan.</w:t>
            </w:r>
          </w:p>
          <w:p w14:paraId="7FA9B6DE" w14:textId="51E8A324" w:rsidR="00133741" w:rsidRPr="001462F2" w:rsidRDefault="00133741" w:rsidP="00724DD5">
            <w:pPr>
              <w:rPr>
                <w:rFonts w:cs="Arial"/>
                <w:color w:val="000000"/>
                <w:sz w:val="16"/>
                <w:szCs w:val="16"/>
                <w:lang w:eastAsia="en-AU"/>
              </w:rPr>
            </w:pPr>
            <w:r w:rsidRPr="001462F2">
              <w:rPr>
                <w:rFonts w:cs="Arial"/>
                <w:sz w:val="16"/>
                <w:szCs w:val="16"/>
                <w:lang w:eastAsia="en-AU"/>
              </w:rPr>
              <w:t xml:space="preserve">COVID-19 impact study </w:t>
            </w:r>
          </w:p>
        </w:tc>
        <w:tc>
          <w:tcPr>
            <w:tcW w:w="751" w:type="pct"/>
            <w:hideMark/>
          </w:tcPr>
          <w:p w14:paraId="2CD96D1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Project reports and key deliverables.</w:t>
            </w:r>
          </w:p>
        </w:tc>
        <w:tc>
          <w:tcPr>
            <w:tcW w:w="942" w:type="pct"/>
            <w:hideMark/>
          </w:tcPr>
          <w:p w14:paraId="2C3BE52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COVID-19 impact study prepared and results presented in February 2022</w:t>
            </w:r>
          </w:p>
        </w:tc>
      </w:tr>
      <w:tr w:rsidR="00133741" w:rsidRPr="001462F2" w14:paraId="43A805AE" w14:textId="77777777" w:rsidTr="0054357E">
        <w:trPr>
          <w:cantSplit/>
        </w:trPr>
        <w:tc>
          <w:tcPr>
            <w:tcW w:w="756" w:type="pct"/>
            <w:hideMark/>
          </w:tcPr>
          <w:p w14:paraId="012B65A4"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78E6FA39"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N/A </w:t>
            </w:r>
          </w:p>
        </w:tc>
        <w:tc>
          <w:tcPr>
            <w:tcW w:w="758" w:type="pct"/>
            <w:hideMark/>
          </w:tcPr>
          <w:p w14:paraId="501A5F0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ASIRF stakeholders (DFAT and Programs) report satisfaction with communication of key operational decisions and understand ASIRF policies/processes related to their engagement with the Facility.</w:t>
            </w:r>
          </w:p>
        </w:tc>
        <w:tc>
          <w:tcPr>
            <w:tcW w:w="834" w:type="pct"/>
            <w:hideMark/>
          </w:tcPr>
          <w:p w14:paraId="1EBBB05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c>
          <w:tcPr>
            <w:tcW w:w="751" w:type="pct"/>
            <w:hideMark/>
          </w:tcPr>
          <w:p w14:paraId="2167A5B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Performance survey</w:t>
            </w:r>
          </w:p>
        </w:tc>
        <w:tc>
          <w:tcPr>
            <w:tcW w:w="942" w:type="pct"/>
            <w:hideMark/>
          </w:tcPr>
          <w:p w14:paraId="204CF6E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r>
      <w:tr w:rsidR="00133741" w:rsidRPr="001462F2" w14:paraId="36B5C4DD" w14:textId="77777777" w:rsidTr="0054357E">
        <w:trPr>
          <w:cantSplit/>
        </w:trPr>
        <w:tc>
          <w:tcPr>
            <w:tcW w:w="756" w:type="pct"/>
            <w:hideMark/>
          </w:tcPr>
          <w:p w14:paraId="1FEECC4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271FF1D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The roles of the facility and DFAT in policy engagement are clear and both regularly review progress and the need for any adjustment to engagement strategies.</w:t>
            </w:r>
          </w:p>
        </w:tc>
        <w:tc>
          <w:tcPr>
            <w:tcW w:w="758" w:type="pct"/>
            <w:hideMark/>
          </w:tcPr>
          <w:p w14:paraId="0F8CF54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Ways of working charter outline roles and responsibilities between program partners that are adhered to and revised as required.</w:t>
            </w:r>
          </w:p>
        </w:tc>
        <w:tc>
          <w:tcPr>
            <w:tcW w:w="834" w:type="pct"/>
            <w:hideMark/>
          </w:tcPr>
          <w:p w14:paraId="2DABA06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w:t>
            </w:r>
          </w:p>
        </w:tc>
        <w:tc>
          <w:tcPr>
            <w:tcW w:w="751" w:type="pct"/>
            <w:hideMark/>
          </w:tcPr>
          <w:p w14:paraId="2C348A6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w:t>
            </w:r>
          </w:p>
        </w:tc>
        <w:tc>
          <w:tcPr>
            <w:tcW w:w="942" w:type="pct"/>
            <w:hideMark/>
          </w:tcPr>
          <w:p w14:paraId="76AF1B4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The Ways of Working Charter has been updated to show the changes in the operating context. It has also taken in lessons learnt from previous years to be more responsive to the needs of the client and programs. WOW health checks will be held in the next reporting period to better reflect the needs of the new DFAT SO Managers and well as the FMT. </w:t>
            </w:r>
          </w:p>
        </w:tc>
      </w:tr>
      <w:tr w:rsidR="00133741" w:rsidRPr="001462F2" w14:paraId="18ECEAED" w14:textId="77777777" w:rsidTr="0054357E">
        <w:trPr>
          <w:cantSplit/>
        </w:trPr>
        <w:tc>
          <w:tcPr>
            <w:tcW w:w="756" w:type="pct"/>
            <w:hideMark/>
          </w:tcPr>
          <w:p w14:paraId="764E1EEF"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lastRenderedPageBreak/>
              <w:t>*</w:t>
            </w:r>
          </w:p>
        </w:tc>
        <w:tc>
          <w:tcPr>
            <w:tcW w:w="959" w:type="pct"/>
            <w:hideMark/>
          </w:tcPr>
          <w:p w14:paraId="2E05B00F" w14:textId="1DDB5B36" w:rsidR="00133741" w:rsidRPr="001462F2" w:rsidRDefault="00133741" w:rsidP="00724DD5">
            <w:pPr>
              <w:rPr>
                <w:rFonts w:cs="Arial"/>
                <w:color w:val="000000"/>
                <w:sz w:val="16"/>
                <w:szCs w:val="16"/>
                <w:lang w:eastAsia="en-AU"/>
              </w:rPr>
            </w:pPr>
            <w:r>
              <w:rPr>
                <w:rFonts w:cs="Arial"/>
                <w:color w:val="000000"/>
                <w:sz w:val="16"/>
                <w:szCs w:val="16"/>
                <w:lang w:eastAsia="en-AU"/>
              </w:rPr>
              <w:t>*</w:t>
            </w:r>
          </w:p>
        </w:tc>
        <w:tc>
          <w:tcPr>
            <w:tcW w:w="758" w:type="pct"/>
            <w:hideMark/>
          </w:tcPr>
          <w:p w14:paraId="2B40056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new contracts/grants</w:t>
            </w:r>
          </w:p>
        </w:tc>
        <w:tc>
          <w:tcPr>
            <w:tcW w:w="834" w:type="pct"/>
            <w:hideMark/>
          </w:tcPr>
          <w:p w14:paraId="521BB44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140</w:t>
            </w:r>
          </w:p>
        </w:tc>
        <w:tc>
          <w:tcPr>
            <w:tcW w:w="751" w:type="pct"/>
            <w:hideMark/>
          </w:tcPr>
          <w:p w14:paraId="0BDFF7A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 total of 140 requests were made compared to 57 in the July-December 2021 period. A total of 114 of the 140 procurements were requested in the January - April 2022 period.</w:t>
            </w:r>
          </w:p>
        </w:tc>
        <w:tc>
          <w:tcPr>
            <w:tcW w:w="942" w:type="pct"/>
            <w:hideMark/>
          </w:tcPr>
          <w:p w14:paraId="2A2CEF81"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None</w:t>
            </w:r>
          </w:p>
        </w:tc>
      </w:tr>
      <w:tr w:rsidR="00133741" w:rsidRPr="001462F2" w14:paraId="144A848D" w14:textId="77777777" w:rsidTr="0054357E">
        <w:trPr>
          <w:cantSplit/>
        </w:trPr>
        <w:tc>
          <w:tcPr>
            <w:tcW w:w="756" w:type="pct"/>
            <w:hideMark/>
          </w:tcPr>
          <w:p w14:paraId="53FD4F60"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37DB0871"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68DFA679"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new contracts/grants that subject to VFM assessment and approvals process</w:t>
            </w:r>
          </w:p>
        </w:tc>
        <w:tc>
          <w:tcPr>
            <w:tcW w:w="834" w:type="pct"/>
            <w:hideMark/>
          </w:tcPr>
          <w:p w14:paraId="67025E79"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100%</w:t>
            </w:r>
          </w:p>
        </w:tc>
        <w:tc>
          <w:tcPr>
            <w:tcW w:w="751" w:type="pct"/>
            <w:hideMark/>
          </w:tcPr>
          <w:p w14:paraId="60EF451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Procurement documents</w:t>
            </w:r>
          </w:p>
        </w:tc>
        <w:tc>
          <w:tcPr>
            <w:tcW w:w="942" w:type="pct"/>
            <w:hideMark/>
          </w:tcPr>
          <w:p w14:paraId="563A43D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All subcontracts are assessed through a VfM lens prior to final approval, even if no formal assessment has been undertaken due to nature or size of the contract. The new MIS and VfM Framework will allow ASIRF to capture more data around this indicator and report on it accordingly in future periods.</w:t>
            </w:r>
          </w:p>
        </w:tc>
      </w:tr>
      <w:tr w:rsidR="00133741" w:rsidRPr="001462F2" w14:paraId="346884DF" w14:textId="77777777" w:rsidTr="0054357E">
        <w:trPr>
          <w:cantSplit/>
        </w:trPr>
        <w:tc>
          <w:tcPr>
            <w:tcW w:w="756" w:type="pct"/>
            <w:hideMark/>
          </w:tcPr>
          <w:p w14:paraId="09CBD417"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6B94390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05D27C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major contracts issued within 45-day limit (from need identification to signature)</w:t>
            </w:r>
          </w:p>
        </w:tc>
        <w:tc>
          <w:tcPr>
            <w:tcW w:w="834" w:type="pct"/>
            <w:hideMark/>
          </w:tcPr>
          <w:p w14:paraId="00CC9DF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60%</w:t>
            </w:r>
          </w:p>
        </w:tc>
        <w:tc>
          <w:tcPr>
            <w:tcW w:w="751" w:type="pct"/>
            <w:hideMark/>
          </w:tcPr>
          <w:p w14:paraId="44D5EDCB"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Procurement documents</w:t>
            </w:r>
          </w:p>
        </w:tc>
        <w:tc>
          <w:tcPr>
            <w:tcW w:w="942" w:type="pct"/>
            <w:hideMark/>
          </w:tcPr>
          <w:p w14:paraId="28C6A960" w14:textId="77777777" w:rsidR="00825572" w:rsidRDefault="00133741" w:rsidP="00724DD5">
            <w:pPr>
              <w:spacing w:after="60"/>
              <w:rPr>
                <w:rFonts w:cs="Arial"/>
                <w:sz w:val="16"/>
                <w:szCs w:val="16"/>
                <w:lang w:eastAsia="en-AU"/>
              </w:rPr>
            </w:pPr>
            <w:r w:rsidRPr="001462F2">
              <w:rPr>
                <w:rFonts w:cs="Arial"/>
                <w:sz w:val="16"/>
                <w:szCs w:val="16"/>
                <w:lang w:eastAsia="en-AU"/>
              </w:rPr>
              <w:t>Of the 134 procurements processed, 6 per cent took longer than 45 days to finalise due to the shortage of supplies and delays in the global supply chain caused by the pandemic.</w:t>
            </w:r>
          </w:p>
          <w:p w14:paraId="5E105A64" w14:textId="3A820355" w:rsidR="00133741" w:rsidRPr="001462F2" w:rsidRDefault="00133741" w:rsidP="00724DD5">
            <w:pPr>
              <w:spacing w:after="60"/>
              <w:rPr>
                <w:rFonts w:cs="Arial"/>
                <w:color w:val="000000"/>
                <w:sz w:val="16"/>
                <w:szCs w:val="16"/>
                <w:lang w:eastAsia="en-AU"/>
              </w:rPr>
            </w:pPr>
            <w:r w:rsidRPr="001462F2">
              <w:rPr>
                <w:rFonts w:cs="Arial"/>
                <w:sz w:val="16"/>
                <w:szCs w:val="16"/>
                <w:lang w:eastAsia="en-AU"/>
              </w:rPr>
              <w:t xml:space="preserve">The average time to turnaround a procurement (from request to the signing of contract) is 13.69 days. Of the 134 procurement requests in this reporting period, two saw significant delays, being </w:t>
            </w:r>
            <w:proofErr w:type="spellStart"/>
            <w:r w:rsidRPr="001462F2">
              <w:rPr>
                <w:rFonts w:cs="Arial"/>
                <w:sz w:val="16"/>
                <w:szCs w:val="16"/>
                <w:lang w:eastAsia="en-AU"/>
              </w:rPr>
              <w:t>SISNet</w:t>
            </w:r>
            <w:proofErr w:type="spellEnd"/>
            <w:r w:rsidRPr="001462F2">
              <w:rPr>
                <w:rFonts w:cs="Arial"/>
                <w:sz w:val="16"/>
                <w:szCs w:val="16"/>
                <w:lang w:eastAsia="en-AU"/>
              </w:rPr>
              <w:t xml:space="preserve"> and the delivery of morgue containers. The </w:t>
            </w:r>
            <w:proofErr w:type="spellStart"/>
            <w:r w:rsidRPr="001462F2">
              <w:rPr>
                <w:rFonts w:cs="Arial"/>
                <w:sz w:val="16"/>
                <w:szCs w:val="16"/>
                <w:lang w:eastAsia="en-AU"/>
              </w:rPr>
              <w:t>SISNet</w:t>
            </w:r>
            <w:proofErr w:type="spellEnd"/>
            <w:r w:rsidRPr="001462F2">
              <w:rPr>
                <w:rFonts w:cs="Arial"/>
                <w:sz w:val="16"/>
                <w:szCs w:val="16"/>
                <w:lang w:eastAsia="en-AU"/>
              </w:rPr>
              <w:t xml:space="preserve"> tender was purposely extended to allow sufficient time for vendors and panels to assess the tender submissions. Several panel meetings and interviews were held during this tender process that were beyond the minimal required under the Commonwealth Procurement Rules. The signing of the delivery of morgue containers was delayed due to complex contracting arrangements enforced by the supplier.</w:t>
            </w:r>
          </w:p>
        </w:tc>
      </w:tr>
      <w:tr w:rsidR="00133741" w:rsidRPr="001462F2" w14:paraId="7A5CA50E" w14:textId="77777777" w:rsidTr="0054357E">
        <w:trPr>
          <w:cantSplit/>
        </w:trPr>
        <w:tc>
          <w:tcPr>
            <w:tcW w:w="756" w:type="pct"/>
            <w:hideMark/>
          </w:tcPr>
          <w:p w14:paraId="28BE30F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lastRenderedPageBreak/>
              <w:t>*</w:t>
            </w:r>
          </w:p>
        </w:tc>
        <w:tc>
          <w:tcPr>
            <w:tcW w:w="959" w:type="pct"/>
            <w:hideMark/>
          </w:tcPr>
          <w:p w14:paraId="236A0273"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4ECB38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international staff mobilised within 60-day limit from appointment</w:t>
            </w:r>
          </w:p>
        </w:tc>
        <w:tc>
          <w:tcPr>
            <w:tcW w:w="834" w:type="pct"/>
            <w:hideMark/>
          </w:tcPr>
          <w:p w14:paraId="77AFC29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100%</w:t>
            </w:r>
          </w:p>
        </w:tc>
        <w:tc>
          <w:tcPr>
            <w:tcW w:w="751" w:type="pct"/>
            <w:hideMark/>
          </w:tcPr>
          <w:p w14:paraId="2CC818E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HR document</w:t>
            </w:r>
          </w:p>
        </w:tc>
        <w:tc>
          <w:tcPr>
            <w:tcW w:w="942" w:type="pct"/>
            <w:hideMark/>
          </w:tcPr>
          <w:p w14:paraId="3F48E7B8" w14:textId="77777777" w:rsidR="00992CF6" w:rsidRDefault="00133741" w:rsidP="00724DD5">
            <w:pPr>
              <w:spacing w:after="60"/>
              <w:rPr>
                <w:rFonts w:cs="Arial"/>
                <w:sz w:val="16"/>
                <w:szCs w:val="16"/>
                <w:lang w:eastAsia="en-AU"/>
              </w:rPr>
            </w:pPr>
            <w:r w:rsidRPr="001462F2">
              <w:rPr>
                <w:rFonts w:cs="Arial"/>
                <w:sz w:val="16"/>
                <w:szCs w:val="16"/>
                <w:lang w:eastAsia="en-AU"/>
              </w:rPr>
              <w:t>In this quarter, ASIRF provided support to a total 22 advisers who were mobilising for the first time into Honiara or returning from Annual Leave. ASIRF processed 7 work permits, 6 visas and 10 visa currently pending with Immigration. ASIRF supported 9 advisers returning from annual leave across the Programs and is currently supporting 2 advisers repatriating to their home locations.</w:t>
            </w:r>
          </w:p>
          <w:p w14:paraId="4067CCAF" w14:textId="77777777" w:rsidR="00825572" w:rsidRDefault="00133741" w:rsidP="00724DD5">
            <w:pPr>
              <w:spacing w:after="60"/>
              <w:rPr>
                <w:rFonts w:cs="Arial"/>
                <w:sz w:val="16"/>
                <w:szCs w:val="16"/>
                <w:lang w:eastAsia="en-AU"/>
              </w:rPr>
            </w:pPr>
            <w:r w:rsidRPr="001462F2">
              <w:rPr>
                <w:rFonts w:cs="Arial"/>
                <w:sz w:val="16"/>
                <w:szCs w:val="16"/>
                <w:lang w:eastAsia="en-AU"/>
              </w:rPr>
              <w:t>A challenge experienced this quarter, is the prolonged delays in getting visa exemption for advisers. This is even more complicated for advisers who are not attached a particular Ministry. An example is the case for the Facility itself, where visas have been pending with Immigration since March. There have been efforts to resolve the matter however now the Dept of Immigration is determined to maintain its stance that Facility staff are not covered under the DFAT SIG MOU which allows for project personnel to be issued an Exemption Visa. We continue to look for options to resolve this.</w:t>
            </w:r>
          </w:p>
          <w:p w14:paraId="2CFC5E84" w14:textId="77777777" w:rsidR="00825572" w:rsidRDefault="00133741" w:rsidP="00724DD5">
            <w:pPr>
              <w:spacing w:after="60"/>
              <w:rPr>
                <w:rFonts w:cs="Arial"/>
                <w:sz w:val="16"/>
                <w:szCs w:val="16"/>
                <w:lang w:eastAsia="en-AU"/>
              </w:rPr>
            </w:pPr>
            <w:r w:rsidRPr="001462F2">
              <w:rPr>
                <w:rFonts w:cs="Arial"/>
                <w:sz w:val="16"/>
                <w:szCs w:val="16"/>
                <w:lang w:eastAsia="en-AU"/>
              </w:rPr>
              <w:t>ASIRF has managed to meet expectations in processing Visa within the 60-day limit where advisers are attached through a Ministry. So far 100 per cent of all new incoming advisers attached to a Ministry has received their exemption visas.</w:t>
            </w:r>
          </w:p>
          <w:p w14:paraId="13713DCD" w14:textId="6924346E" w:rsidR="00133741" w:rsidRPr="001462F2" w:rsidRDefault="00133741" w:rsidP="00724DD5">
            <w:pPr>
              <w:spacing w:after="60"/>
              <w:rPr>
                <w:rFonts w:cs="Arial"/>
                <w:color w:val="000000"/>
                <w:sz w:val="16"/>
                <w:szCs w:val="16"/>
                <w:lang w:eastAsia="en-AU"/>
              </w:rPr>
            </w:pPr>
            <w:r w:rsidRPr="001462F2">
              <w:rPr>
                <w:rFonts w:cs="Arial"/>
                <w:sz w:val="16"/>
                <w:szCs w:val="16"/>
                <w:lang w:eastAsia="en-AU"/>
              </w:rPr>
              <w:t>ASIRF has unable to mobilise the DFD within the 60-day limit.</w:t>
            </w:r>
          </w:p>
        </w:tc>
      </w:tr>
      <w:tr w:rsidR="00133741" w:rsidRPr="001462F2" w14:paraId="1AD6499B" w14:textId="77777777" w:rsidTr="0054357E">
        <w:trPr>
          <w:cantSplit/>
        </w:trPr>
        <w:tc>
          <w:tcPr>
            <w:tcW w:w="756" w:type="pct"/>
            <w:hideMark/>
          </w:tcPr>
          <w:p w14:paraId="4F350425"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3FECD53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7BBD37C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new grants/contracts (by value) in period issued to local organisations/ individuals</w:t>
            </w:r>
          </w:p>
        </w:tc>
        <w:tc>
          <w:tcPr>
            <w:tcW w:w="834" w:type="pct"/>
            <w:hideMark/>
          </w:tcPr>
          <w:p w14:paraId="2512F85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72 per cent of contracts issued in the period to Jun 22 were to local entities</w:t>
            </w:r>
          </w:p>
        </w:tc>
        <w:tc>
          <w:tcPr>
            <w:tcW w:w="751" w:type="pct"/>
            <w:hideMark/>
          </w:tcPr>
          <w:p w14:paraId="63CCCF2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See Grant Summary</w:t>
            </w:r>
          </w:p>
        </w:tc>
        <w:tc>
          <w:tcPr>
            <w:tcW w:w="942" w:type="pct"/>
            <w:hideMark/>
          </w:tcPr>
          <w:p w14:paraId="43331C6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132A79E6" w14:textId="77777777" w:rsidTr="0054357E">
        <w:trPr>
          <w:cantSplit/>
        </w:trPr>
        <w:tc>
          <w:tcPr>
            <w:tcW w:w="756" w:type="pct"/>
            <w:hideMark/>
          </w:tcPr>
          <w:p w14:paraId="29D2882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lastRenderedPageBreak/>
              <w:t>Operations / Financial and Resource Management</w:t>
            </w:r>
          </w:p>
        </w:tc>
        <w:tc>
          <w:tcPr>
            <w:tcW w:w="959" w:type="pct"/>
            <w:hideMark/>
          </w:tcPr>
          <w:p w14:paraId="0CBD95D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Financial systems produce accurate budget forecasts. </w:t>
            </w:r>
          </w:p>
        </w:tc>
        <w:tc>
          <w:tcPr>
            <w:tcW w:w="758" w:type="pct"/>
            <w:hideMark/>
          </w:tcPr>
          <w:p w14:paraId="6029F48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variance of expenditure and budget for each outcome area (or SO) in the period</w:t>
            </w:r>
          </w:p>
        </w:tc>
        <w:tc>
          <w:tcPr>
            <w:tcW w:w="834" w:type="pct"/>
            <w:hideMark/>
          </w:tcPr>
          <w:p w14:paraId="4496CB5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24.4 per cent overall – see attached spreadsheet for breakdown by SO</w:t>
            </w:r>
          </w:p>
        </w:tc>
        <w:tc>
          <w:tcPr>
            <w:tcW w:w="751" w:type="pct"/>
            <w:hideMark/>
          </w:tcPr>
          <w:p w14:paraId="6802A7F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48F2516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0F7B2D0C" w14:textId="77777777" w:rsidTr="0054357E">
        <w:trPr>
          <w:cantSplit/>
        </w:trPr>
        <w:tc>
          <w:tcPr>
            <w:tcW w:w="756" w:type="pct"/>
            <w:hideMark/>
          </w:tcPr>
          <w:p w14:paraId="5F9321F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2A8B6138"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Technical and finance/operations teams coordinate effectively to enable flexible programming and implementation in a controlled and managed manner</w:t>
            </w:r>
          </w:p>
        </w:tc>
        <w:tc>
          <w:tcPr>
            <w:tcW w:w="758" w:type="pct"/>
            <w:hideMark/>
          </w:tcPr>
          <w:p w14:paraId="401D5C5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Examples of budget or staff reallocation to better deliver facility outcomes.</w:t>
            </w:r>
          </w:p>
        </w:tc>
        <w:tc>
          <w:tcPr>
            <w:tcW w:w="834" w:type="pct"/>
            <w:hideMark/>
          </w:tcPr>
          <w:p w14:paraId="416B410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5</w:t>
            </w:r>
          </w:p>
        </w:tc>
        <w:tc>
          <w:tcPr>
            <w:tcW w:w="751" w:type="pct"/>
            <w:hideMark/>
          </w:tcPr>
          <w:p w14:paraId="4AAA8CD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HR records</w:t>
            </w:r>
          </w:p>
        </w:tc>
        <w:tc>
          <w:tcPr>
            <w:tcW w:w="942" w:type="pct"/>
            <w:hideMark/>
          </w:tcPr>
          <w:p w14:paraId="3DE76856" w14:textId="77777777" w:rsidR="00992CF6" w:rsidRDefault="00133741" w:rsidP="00724DD5">
            <w:pPr>
              <w:spacing w:after="60"/>
              <w:rPr>
                <w:rFonts w:cs="Arial"/>
                <w:sz w:val="16"/>
                <w:szCs w:val="16"/>
                <w:lang w:eastAsia="en-AU"/>
              </w:rPr>
            </w:pPr>
            <w:r w:rsidRPr="001462F2">
              <w:rPr>
                <w:rFonts w:cs="Arial"/>
                <w:sz w:val="16"/>
                <w:szCs w:val="16"/>
                <w:lang w:eastAsia="en-AU"/>
              </w:rPr>
              <w:t>S07 amendment 2 signed with budgetary allocation increased to $7,156,054</w:t>
            </w:r>
          </w:p>
          <w:p w14:paraId="51D052B4" w14:textId="77777777" w:rsidR="00992CF6" w:rsidRDefault="00133741" w:rsidP="00724DD5">
            <w:pPr>
              <w:spacing w:after="60"/>
              <w:rPr>
                <w:rFonts w:cs="Arial"/>
                <w:sz w:val="16"/>
                <w:szCs w:val="16"/>
                <w:lang w:eastAsia="en-AU"/>
              </w:rPr>
            </w:pPr>
            <w:r w:rsidRPr="001462F2">
              <w:rPr>
                <w:rFonts w:cs="Arial"/>
                <w:sz w:val="16"/>
                <w:szCs w:val="16"/>
                <w:lang w:eastAsia="en-AU"/>
              </w:rPr>
              <w:t>amendment 2 signed with the budgetary allocation increased to $3,000,000</w:t>
            </w:r>
          </w:p>
          <w:p w14:paraId="19446EBF" w14:textId="77777777" w:rsidR="00992CF6" w:rsidRDefault="00133741" w:rsidP="00724DD5">
            <w:pPr>
              <w:spacing w:after="60"/>
              <w:rPr>
                <w:rFonts w:cs="Arial"/>
                <w:sz w:val="16"/>
                <w:szCs w:val="16"/>
                <w:lang w:eastAsia="en-AU"/>
              </w:rPr>
            </w:pPr>
            <w:r w:rsidRPr="001462F2">
              <w:rPr>
                <w:rFonts w:cs="Arial"/>
                <w:sz w:val="16"/>
                <w:szCs w:val="16"/>
                <w:lang w:eastAsia="en-AU"/>
              </w:rPr>
              <w:t>DSS - D2 Amendment of Service Order (Jim &amp; Brian - DFAT)</w:t>
            </w:r>
          </w:p>
          <w:p w14:paraId="0BE947FB" w14:textId="40019F2E" w:rsidR="00133741" w:rsidRPr="001462F2" w:rsidRDefault="00133741" w:rsidP="00724DD5">
            <w:pPr>
              <w:spacing w:after="60"/>
              <w:rPr>
                <w:rFonts w:cs="Arial"/>
                <w:color w:val="000000"/>
                <w:sz w:val="16"/>
                <w:szCs w:val="16"/>
                <w:lang w:eastAsia="en-AU"/>
              </w:rPr>
            </w:pPr>
            <w:r w:rsidRPr="001462F2">
              <w:rPr>
                <w:rFonts w:cs="Arial"/>
                <w:sz w:val="16"/>
                <w:szCs w:val="16"/>
                <w:lang w:eastAsia="en-AU"/>
              </w:rPr>
              <w:t>Contract Amendments for SO7 Health</w:t>
            </w:r>
          </w:p>
        </w:tc>
      </w:tr>
      <w:tr w:rsidR="00133741" w:rsidRPr="001462F2" w14:paraId="084D0F40" w14:textId="77777777" w:rsidTr="0054357E">
        <w:trPr>
          <w:cantSplit/>
        </w:trPr>
        <w:tc>
          <w:tcPr>
            <w:tcW w:w="756" w:type="pct"/>
            <w:hideMark/>
          </w:tcPr>
          <w:p w14:paraId="037BD611"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40D0003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Budget implications of adaptation / variation from plan (including grantees/sub-contractors) are managed efficiently. </w:t>
            </w:r>
          </w:p>
        </w:tc>
        <w:tc>
          <w:tcPr>
            <w:tcW w:w="758" w:type="pct"/>
            <w:hideMark/>
          </w:tcPr>
          <w:p w14:paraId="06A47CF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and nature of financial updates provided to ASIRF and program teams leading to effective coordination on resource allocation and management.</w:t>
            </w:r>
          </w:p>
        </w:tc>
        <w:tc>
          <w:tcPr>
            <w:tcW w:w="834" w:type="pct"/>
            <w:hideMark/>
          </w:tcPr>
          <w:p w14:paraId="6F5A104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4</w:t>
            </w:r>
          </w:p>
        </w:tc>
        <w:tc>
          <w:tcPr>
            <w:tcW w:w="751" w:type="pct"/>
            <w:hideMark/>
          </w:tcPr>
          <w:p w14:paraId="6D2F4EC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Changes to forecasts in LTB monthly financial reports</w:t>
            </w:r>
          </w:p>
        </w:tc>
        <w:tc>
          <w:tcPr>
            <w:tcW w:w="942" w:type="pct"/>
            <w:hideMark/>
          </w:tcPr>
          <w:p w14:paraId="1243F642" w14:textId="77777777" w:rsidR="00825572" w:rsidRDefault="00133741" w:rsidP="00724DD5">
            <w:pPr>
              <w:spacing w:after="60"/>
              <w:rPr>
                <w:rFonts w:cs="Arial"/>
                <w:sz w:val="16"/>
                <w:szCs w:val="16"/>
                <w:lang w:eastAsia="en-AU"/>
              </w:rPr>
            </w:pPr>
            <w:r w:rsidRPr="001462F2">
              <w:rPr>
                <w:rFonts w:cs="Arial"/>
                <w:sz w:val="16"/>
                <w:szCs w:val="16"/>
                <w:lang w:eastAsia="en-AU"/>
              </w:rPr>
              <w:t>Monthly Financial report</w:t>
            </w:r>
          </w:p>
          <w:p w14:paraId="01D463F0" w14:textId="68C2BFC6" w:rsidR="00992CF6" w:rsidRDefault="00133741" w:rsidP="00724DD5">
            <w:pPr>
              <w:spacing w:after="60"/>
              <w:rPr>
                <w:rFonts w:cs="Arial"/>
                <w:sz w:val="16"/>
                <w:szCs w:val="16"/>
                <w:lang w:eastAsia="en-AU"/>
              </w:rPr>
            </w:pPr>
            <w:r w:rsidRPr="001462F2">
              <w:rPr>
                <w:rFonts w:cs="Arial"/>
                <w:sz w:val="16"/>
                <w:szCs w:val="16"/>
                <w:lang w:eastAsia="en-AU"/>
              </w:rPr>
              <w:t>Forecast estimates</w:t>
            </w:r>
          </w:p>
          <w:p w14:paraId="5D7D34DE" w14:textId="77777777" w:rsidR="00825572" w:rsidRDefault="00133741" w:rsidP="00724DD5">
            <w:pPr>
              <w:spacing w:after="60"/>
              <w:rPr>
                <w:rFonts w:cs="Arial"/>
                <w:sz w:val="16"/>
                <w:szCs w:val="16"/>
                <w:lang w:eastAsia="en-AU"/>
              </w:rPr>
            </w:pPr>
            <w:r w:rsidRPr="001462F2">
              <w:rPr>
                <w:rFonts w:cs="Arial"/>
                <w:sz w:val="16"/>
                <w:szCs w:val="16"/>
                <w:lang w:eastAsia="en-AU"/>
              </w:rPr>
              <w:t>Management Finance Presentation</w:t>
            </w:r>
          </w:p>
          <w:p w14:paraId="4AED2FBC" w14:textId="544B07F5" w:rsidR="00133741" w:rsidRPr="001462F2" w:rsidRDefault="00133741" w:rsidP="00724DD5">
            <w:pPr>
              <w:spacing w:after="60"/>
              <w:rPr>
                <w:rFonts w:cs="Arial"/>
                <w:color w:val="000000"/>
                <w:sz w:val="16"/>
                <w:szCs w:val="16"/>
                <w:lang w:eastAsia="en-AU"/>
              </w:rPr>
            </w:pPr>
            <w:r w:rsidRPr="001462F2">
              <w:rPr>
                <w:rFonts w:cs="Arial"/>
                <w:sz w:val="16"/>
                <w:szCs w:val="16"/>
                <w:lang w:eastAsia="en-AU"/>
              </w:rPr>
              <w:t>Tables and ratio calculations on Utilization and Burn ratio</w:t>
            </w:r>
          </w:p>
        </w:tc>
      </w:tr>
      <w:tr w:rsidR="00133741" w:rsidRPr="001462F2" w14:paraId="4B75A02B" w14:textId="77777777" w:rsidTr="0054357E">
        <w:trPr>
          <w:cantSplit/>
        </w:trPr>
        <w:tc>
          <w:tcPr>
            <w:tcW w:w="756" w:type="pct"/>
            <w:hideMark/>
          </w:tcPr>
          <w:p w14:paraId="0F4EB676"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59BA86C9"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Administration costs (including those of sub-contractors and grantees) are clearly identified and monitored/managed.</w:t>
            </w:r>
          </w:p>
        </w:tc>
        <w:tc>
          <w:tcPr>
            <w:tcW w:w="758" w:type="pct"/>
            <w:hideMark/>
          </w:tcPr>
          <w:p w14:paraId="63D1B68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Cumulative % supply chain costs (direct delivery) </w:t>
            </w:r>
          </w:p>
        </w:tc>
        <w:tc>
          <w:tcPr>
            <w:tcW w:w="834" w:type="pct"/>
            <w:hideMark/>
          </w:tcPr>
          <w:p w14:paraId="7F53DC9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77.70%</w:t>
            </w:r>
          </w:p>
        </w:tc>
        <w:tc>
          <w:tcPr>
            <w:tcW w:w="751" w:type="pct"/>
            <w:hideMark/>
          </w:tcPr>
          <w:p w14:paraId="4F416EC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1C42D86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1051F40E" w14:textId="77777777" w:rsidTr="0054357E">
        <w:trPr>
          <w:cantSplit/>
        </w:trPr>
        <w:tc>
          <w:tcPr>
            <w:tcW w:w="756" w:type="pct"/>
            <w:hideMark/>
          </w:tcPr>
          <w:p w14:paraId="7A8E71E7"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45B4946B"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BAE9D1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Cumulative % supply chain costs (indirect delivery) </w:t>
            </w:r>
          </w:p>
        </w:tc>
        <w:tc>
          <w:tcPr>
            <w:tcW w:w="834" w:type="pct"/>
            <w:hideMark/>
          </w:tcPr>
          <w:p w14:paraId="34CE7658"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9.69%</w:t>
            </w:r>
          </w:p>
        </w:tc>
        <w:tc>
          <w:tcPr>
            <w:tcW w:w="751" w:type="pct"/>
            <w:hideMark/>
          </w:tcPr>
          <w:p w14:paraId="6F9EDDC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3CAE933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4AA8E34D" w14:textId="77777777" w:rsidTr="0054357E">
        <w:trPr>
          <w:cantSplit/>
        </w:trPr>
        <w:tc>
          <w:tcPr>
            <w:tcW w:w="756" w:type="pct"/>
            <w:hideMark/>
          </w:tcPr>
          <w:p w14:paraId="330C7F79"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01831C41"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1DDF8E2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 Cumulative % administration costs</w:t>
            </w:r>
          </w:p>
        </w:tc>
        <w:tc>
          <w:tcPr>
            <w:tcW w:w="834" w:type="pct"/>
            <w:hideMark/>
          </w:tcPr>
          <w:p w14:paraId="245E46C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3.90%</w:t>
            </w:r>
          </w:p>
        </w:tc>
        <w:tc>
          <w:tcPr>
            <w:tcW w:w="751" w:type="pct"/>
            <w:hideMark/>
          </w:tcPr>
          <w:p w14:paraId="4FCD9A3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1DA128D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4938C7FA" w14:textId="77777777" w:rsidTr="0054357E">
        <w:trPr>
          <w:cantSplit/>
        </w:trPr>
        <w:tc>
          <w:tcPr>
            <w:tcW w:w="756" w:type="pct"/>
            <w:hideMark/>
          </w:tcPr>
          <w:p w14:paraId="4C24CBF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3AB208D7"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5B0A03D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Cumulative % spend</w:t>
            </w:r>
          </w:p>
        </w:tc>
        <w:tc>
          <w:tcPr>
            <w:tcW w:w="834" w:type="pct"/>
            <w:hideMark/>
          </w:tcPr>
          <w:p w14:paraId="2A41F98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23.95%</w:t>
            </w:r>
          </w:p>
        </w:tc>
        <w:tc>
          <w:tcPr>
            <w:tcW w:w="751" w:type="pct"/>
            <w:hideMark/>
          </w:tcPr>
          <w:p w14:paraId="400E0F7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7673881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5971775C" w14:textId="77777777" w:rsidTr="0054357E">
        <w:trPr>
          <w:cantSplit/>
        </w:trPr>
        <w:tc>
          <w:tcPr>
            <w:tcW w:w="756" w:type="pct"/>
            <w:hideMark/>
          </w:tcPr>
          <w:p w14:paraId="225C91C5"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54510523"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433EEFF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non-performance-based fee payments to date</w:t>
            </w:r>
          </w:p>
        </w:tc>
        <w:tc>
          <w:tcPr>
            <w:tcW w:w="834" w:type="pct"/>
            <w:hideMark/>
          </w:tcPr>
          <w:p w14:paraId="6089F32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5.27%</w:t>
            </w:r>
          </w:p>
        </w:tc>
        <w:tc>
          <w:tcPr>
            <w:tcW w:w="751" w:type="pct"/>
            <w:hideMark/>
          </w:tcPr>
          <w:p w14:paraId="274155F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108BACD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261AE788" w14:textId="77777777" w:rsidTr="0054357E">
        <w:trPr>
          <w:cantSplit/>
        </w:trPr>
        <w:tc>
          <w:tcPr>
            <w:tcW w:w="756" w:type="pct"/>
            <w:hideMark/>
          </w:tcPr>
          <w:p w14:paraId="70FCEF6B"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3279C466"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04703F8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 % performance-based fee payments to date</w:t>
            </w:r>
          </w:p>
        </w:tc>
        <w:tc>
          <w:tcPr>
            <w:tcW w:w="834" w:type="pct"/>
            <w:hideMark/>
          </w:tcPr>
          <w:p w14:paraId="6141893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0.83%</w:t>
            </w:r>
          </w:p>
        </w:tc>
        <w:tc>
          <w:tcPr>
            <w:tcW w:w="751" w:type="pct"/>
            <w:hideMark/>
          </w:tcPr>
          <w:p w14:paraId="2A39C9C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05FF16D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0EE2CB64" w14:textId="77777777" w:rsidTr="0054357E">
        <w:trPr>
          <w:cantSplit/>
        </w:trPr>
        <w:tc>
          <w:tcPr>
            <w:tcW w:w="756" w:type="pct"/>
            <w:hideMark/>
          </w:tcPr>
          <w:p w14:paraId="71310832"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0114646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065D394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procurement fee payments to date</w:t>
            </w:r>
          </w:p>
        </w:tc>
        <w:tc>
          <w:tcPr>
            <w:tcW w:w="834" w:type="pct"/>
            <w:hideMark/>
          </w:tcPr>
          <w:p w14:paraId="416A716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0%</w:t>
            </w:r>
          </w:p>
        </w:tc>
        <w:tc>
          <w:tcPr>
            <w:tcW w:w="751" w:type="pct"/>
            <w:hideMark/>
          </w:tcPr>
          <w:p w14:paraId="2B8CFB8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5A9B323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443B9073" w14:textId="77777777" w:rsidTr="0054357E">
        <w:trPr>
          <w:cantSplit/>
        </w:trPr>
        <w:tc>
          <w:tcPr>
            <w:tcW w:w="756" w:type="pct"/>
            <w:hideMark/>
          </w:tcPr>
          <w:p w14:paraId="2DA17985"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26BFB404"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2369C8F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management (non-procurement) fee payments to date</w:t>
            </w:r>
          </w:p>
        </w:tc>
        <w:tc>
          <w:tcPr>
            <w:tcW w:w="834" w:type="pct"/>
            <w:hideMark/>
          </w:tcPr>
          <w:p w14:paraId="2C50229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1.46%</w:t>
            </w:r>
          </w:p>
        </w:tc>
        <w:tc>
          <w:tcPr>
            <w:tcW w:w="751" w:type="pct"/>
            <w:hideMark/>
          </w:tcPr>
          <w:p w14:paraId="194CF4A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LTB</w:t>
            </w:r>
          </w:p>
        </w:tc>
        <w:tc>
          <w:tcPr>
            <w:tcW w:w="942" w:type="pct"/>
            <w:hideMark/>
          </w:tcPr>
          <w:p w14:paraId="3852315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262366BE" w14:textId="77777777" w:rsidTr="0054357E">
        <w:trPr>
          <w:cantSplit/>
        </w:trPr>
        <w:tc>
          <w:tcPr>
            <w:tcW w:w="756" w:type="pct"/>
            <w:hideMark/>
          </w:tcPr>
          <w:p w14:paraId="3C216E4F" w14:textId="77777777" w:rsidR="00133741" w:rsidRPr="001462F2" w:rsidRDefault="00133741" w:rsidP="00724DD5">
            <w:pPr>
              <w:rPr>
                <w:rFonts w:cs="Arial"/>
                <w:color w:val="000000"/>
                <w:sz w:val="16"/>
                <w:szCs w:val="16"/>
                <w:lang w:eastAsia="en-AU"/>
              </w:rPr>
            </w:pPr>
            <w:bookmarkStart w:id="60" w:name="RANGE!B25"/>
            <w:bookmarkStart w:id="61" w:name="_Hlk95202446" w:colFirst="1" w:colLast="4"/>
            <w:r w:rsidRPr="001462F2">
              <w:rPr>
                <w:rFonts w:cs="Arial"/>
                <w:sz w:val="16"/>
                <w:szCs w:val="16"/>
                <w:lang w:eastAsia="en-AU"/>
              </w:rPr>
              <w:lastRenderedPageBreak/>
              <w:t>Operations / High Quality Leadership and Teams</w:t>
            </w:r>
            <w:bookmarkEnd w:id="60"/>
          </w:p>
        </w:tc>
        <w:tc>
          <w:tcPr>
            <w:tcW w:w="959" w:type="pct"/>
            <w:hideMark/>
          </w:tcPr>
          <w:p w14:paraId="6991A11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Leadership (DFAT and Facility) promotes an open and cooperative performance culture within the Facility and the programs its supports</w:t>
            </w:r>
          </w:p>
        </w:tc>
        <w:tc>
          <w:tcPr>
            <w:tcW w:w="758" w:type="pct"/>
            <w:hideMark/>
          </w:tcPr>
          <w:p w14:paraId="12DCF74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and nature of regular meetings between DFAT, ASIRF and Programs</w:t>
            </w:r>
          </w:p>
        </w:tc>
        <w:tc>
          <w:tcPr>
            <w:tcW w:w="834" w:type="pct"/>
            <w:hideMark/>
          </w:tcPr>
          <w:p w14:paraId="4205FF35"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w:t>
            </w:r>
          </w:p>
        </w:tc>
        <w:tc>
          <w:tcPr>
            <w:tcW w:w="751" w:type="pct"/>
            <w:hideMark/>
          </w:tcPr>
          <w:p w14:paraId="7B1C6D7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ASIRF Support Management Unit Meeting to be held twice annually July and January prior to IPR submissions. </w:t>
            </w:r>
          </w:p>
        </w:tc>
        <w:tc>
          <w:tcPr>
            <w:tcW w:w="942" w:type="pct"/>
            <w:hideMark/>
          </w:tcPr>
          <w:p w14:paraId="0CA1616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48A74C70" w14:textId="77777777" w:rsidTr="0054357E">
        <w:trPr>
          <w:cantSplit/>
        </w:trPr>
        <w:tc>
          <w:tcPr>
            <w:tcW w:w="756" w:type="pct"/>
            <w:hideMark/>
          </w:tcPr>
          <w:p w14:paraId="37296030"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495BF11F"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673E0A60"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834" w:type="pct"/>
            <w:hideMark/>
          </w:tcPr>
          <w:p w14:paraId="5220F61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13</w:t>
            </w:r>
          </w:p>
        </w:tc>
        <w:tc>
          <w:tcPr>
            <w:tcW w:w="751" w:type="pct"/>
            <w:hideMark/>
          </w:tcPr>
          <w:p w14:paraId="558DBBC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Fortnightly meeting held between DFAT Counsellor and Cardno Regional Manager</w:t>
            </w:r>
          </w:p>
        </w:tc>
        <w:tc>
          <w:tcPr>
            <w:tcW w:w="942" w:type="pct"/>
            <w:hideMark/>
          </w:tcPr>
          <w:p w14:paraId="396A937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13C2D2D0" w14:textId="77777777" w:rsidTr="0054357E">
        <w:trPr>
          <w:cantSplit/>
        </w:trPr>
        <w:tc>
          <w:tcPr>
            <w:tcW w:w="756" w:type="pct"/>
            <w:hideMark/>
          </w:tcPr>
          <w:p w14:paraId="552C3E3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1D5C133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705AA84E"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834" w:type="pct"/>
            <w:hideMark/>
          </w:tcPr>
          <w:p w14:paraId="60F7AB6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11</w:t>
            </w:r>
          </w:p>
        </w:tc>
        <w:tc>
          <w:tcPr>
            <w:tcW w:w="751" w:type="pct"/>
            <w:hideMark/>
          </w:tcPr>
          <w:p w14:paraId="18784E7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Weekly Management Meeting held between Facility Director and DFAT Activity Manager, and between DFAT Contractor rep and Activity Manager</w:t>
            </w:r>
          </w:p>
        </w:tc>
        <w:tc>
          <w:tcPr>
            <w:tcW w:w="942" w:type="pct"/>
            <w:hideMark/>
          </w:tcPr>
          <w:p w14:paraId="5A65F05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323F215D" w14:textId="77777777" w:rsidTr="0054357E">
        <w:trPr>
          <w:cantSplit/>
        </w:trPr>
        <w:tc>
          <w:tcPr>
            <w:tcW w:w="756" w:type="pct"/>
            <w:hideMark/>
          </w:tcPr>
          <w:p w14:paraId="341E43C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081B6824"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1E76D2B2"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834" w:type="pct"/>
            <w:hideMark/>
          </w:tcPr>
          <w:p w14:paraId="4F7DB12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13</w:t>
            </w:r>
          </w:p>
        </w:tc>
        <w:tc>
          <w:tcPr>
            <w:tcW w:w="751" w:type="pct"/>
            <w:hideMark/>
          </w:tcPr>
          <w:p w14:paraId="24032C98"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Fortnightly Program Leads meeting which includes Heads of Programs, Facility Director, Cardno Contractor Reps, Cardno Regional Manager. Meetings facilitate cross program learning, innovation, strategic risk management.</w:t>
            </w:r>
          </w:p>
        </w:tc>
        <w:tc>
          <w:tcPr>
            <w:tcW w:w="942" w:type="pct"/>
            <w:hideMark/>
          </w:tcPr>
          <w:p w14:paraId="28D298D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65E8EE2D" w14:textId="77777777" w:rsidTr="0054357E">
        <w:trPr>
          <w:cantSplit/>
        </w:trPr>
        <w:tc>
          <w:tcPr>
            <w:tcW w:w="756" w:type="pct"/>
            <w:hideMark/>
          </w:tcPr>
          <w:p w14:paraId="3AEFC6C6"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1BA9798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4FA87448"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834" w:type="pct"/>
            <w:hideMark/>
          </w:tcPr>
          <w:p w14:paraId="0C81BD2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31</w:t>
            </w:r>
          </w:p>
        </w:tc>
        <w:tc>
          <w:tcPr>
            <w:tcW w:w="751" w:type="pct"/>
            <w:hideMark/>
          </w:tcPr>
          <w:p w14:paraId="6841860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Monthly or weekly meetings between Facility Director and Heads of Programs -depending on program requirements. Meetings discuss program specific issues and focus on problem solving, planning and operational risk management.</w:t>
            </w:r>
          </w:p>
        </w:tc>
        <w:tc>
          <w:tcPr>
            <w:tcW w:w="942" w:type="pct"/>
            <w:hideMark/>
          </w:tcPr>
          <w:p w14:paraId="34C0DCF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bookmarkEnd w:id="61"/>
      <w:tr w:rsidR="00133741" w:rsidRPr="001462F2" w14:paraId="0307F58A" w14:textId="77777777" w:rsidTr="0054357E">
        <w:trPr>
          <w:cantSplit/>
        </w:trPr>
        <w:tc>
          <w:tcPr>
            <w:tcW w:w="756" w:type="pct"/>
            <w:hideMark/>
          </w:tcPr>
          <w:p w14:paraId="34063261"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6CC77AA4"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BB8E9C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ASIRF and Program staff report satisfaction with cooperation and collaboration between and within teams (including DFAT)</w:t>
            </w:r>
          </w:p>
        </w:tc>
        <w:tc>
          <w:tcPr>
            <w:tcW w:w="834" w:type="pct"/>
            <w:hideMark/>
          </w:tcPr>
          <w:p w14:paraId="3FEC5479"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c>
          <w:tcPr>
            <w:tcW w:w="751" w:type="pct"/>
            <w:hideMark/>
          </w:tcPr>
          <w:p w14:paraId="68718B1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Ways of Working Paper</w:t>
            </w:r>
          </w:p>
        </w:tc>
        <w:tc>
          <w:tcPr>
            <w:tcW w:w="942" w:type="pct"/>
            <w:hideMark/>
          </w:tcPr>
          <w:p w14:paraId="66F2934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6DB6BD5A" w14:textId="77777777" w:rsidTr="0054357E">
        <w:trPr>
          <w:cantSplit/>
        </w:trPr>
        <w:tc>
          <w:tcPr>
            <w:tcW w:w="756" w:type="pct"/>
            <w:hideMark/>
          </w:tcPr>
          <w:p w14:paraId="63636933"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lastRenderedPageBreak/>
              <w:t>*</w:t>
            </w:r>
          </w:p>
        </w:tc>
        <w:tc>
          <w:tcPr>
            <w:tcW w:w="959" w:type="pct"/>
            <w:hideMark/>
          </w:tcPr>
          <w:p w14:paraId="77C7C0F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High-quality facility staff efficiently recruited and mobilised to fill vacancies, with preference to locally engaged personnel and ensuring gender balance (including in leadership).</w:t>
            </w:r>
          </w:p>
        </w:tc>
        <w:tc>
          <w:tcPr>
            <w:tcW w:w="758" w:type="pct"/>
            <w:hideMark/>
          </w:tcPr>
          <w:p w14:paraId="4542A2B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program stakeholders who report ASIRF leadership demonstrates openness, flexibility, and cooperation in managing ASIRF program</w:t>
            </w:r>
          </w:p>
        </w:tc>
        <w:tc>
          <w:tcPr>
            <w:tcW w:w="834" w:type="pct"/>
            <w:hideMark/>
          </w:tcPr>
          <w:p w14:paraId="286A12C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c>
          <w:tcPr>
            <w:tcW w:w="751" w:type="pct"/>
            <w:hideMark/>
          </w:tcPr>
          <w:p w14:paraId="085F98F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Performance survey</w:t>
            </w:r>
          </w:p>
        </w:tc>
        <w:tc>
          <w:tcPr>
            <w:tcW w:w="942" w:type="pct"/>
            <w:hideMark/>
          </w:tcPr>
          <w:p w14:paraId="567BFD7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4A75C78C" w14:textId="77777777" w:rsidTr="0054357E">
        <w:trPr>
          <w:cantSplit/>
        </w:trPr>
        <w:tc>
          <w:tcPr>
            <w:tcW w:w="756" w:type="pct"/>
            <w:hideMark/>
          </w:tcPr>
          <w:p w14:paraId="168B15B7"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70CCD63C"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Facility staff incentivised and empowered to: 1 deliver on intermediate outcomes (not activities/outputs), 2. work closely with counterparts, facility staff and DFAT on iterative problem identification and resolution; 3. Raise and flexibly respond to opportunities and constraints to furthering delivery of outcomes; 4. Proactively share learning.</w:t>
            </w:r>
          </w:p>
        </w:tc>
        <w:tc>
          <w:tcPr>
            <w:tcW w:w="758" w:type="pct"/>
            <w:hideMark/>
          </w:tcPr>
          <w:p w14:paraId="7D43A3F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Average # of days between advertising and onboarding staff.</w:t>
            </w:r>
          </w:p>
        </w:tc>
        <w:tc>
          <w:tcPr>
            <w:tcW w:w="834" w:type="pct"/>
            <w:hideMark/>
          </w:tcPr>
          <w:p w14:paraId="26F5675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54</w:t>
            </w:r>
          </w:p>
        </w:tc>
        <w:tc>
          <w:tcPr>
            <w:tcW w:w="751" w:type="pct"/>
            <w:hideMark/>
          </w:tcPr>
          <w:p w14:paraId="2F8A21C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Locally Engaged Staff – 54 days (total open rec days = 108/2 x open rec process</w:t>
            </w:r>
          </w:p>
        </w:tc>
        <w:tc>
          <w:tcPr>
            <w:tcW w:w="942" w:type="pct"/>
            <w:hideMark/>
          </w:tcPr>
          <w:p w14:paraId="613F0A2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1DE846FF" w14:textId="77777777" w:rsidTr="0054357E">
        <w:trPr>
          <w:cantSplit/>
        </w:trPr>
        <w:tc>
          <w:tcPr>
            <w:tcW w:w="756" w:type="pct"/>
            <w:hideMark/>
          </w:tcPr>
          <w:p w14:paraId="23751AFB"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5E98CFD8"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276A884F" w14:textId="2545BD8B" w:rsidR="00133741" w:rsidRPr="001462F2" w:rsidRDefault="00133741" w:rsidP="00724DD5">
            <w:pPr>
              <w:rPr>
                <w:rFonts w:cs="Arial"/>
                <w:color w:val="000000"/>
                <w:sz w:val="16"/>
                <w:szCs w:val="16"/>
                <w:lang w:eastAsia="en-AU"/>
              </w:rPr>
            </w:pPr>
            <w:r w:rsidRPr="001462F2">
              <w:rPr>
                <w:rFonts w:cs="Arial"/>
                <w:sz w:val="16"/>
                <w:szCs w:val="16"/>
                <w:lang w:eastAsia="en-AU"/>
              </w:rPr>
              <w:t> </w:t>
            </w:r>
            <w:r w:rsidR="00785028">
              <w:rPr>
                <w:rFonts w:cs="Arial"/>
                <w:sz w:val="16"/>
                <w:szCs w:val="16"/>
                <w:lang w:eastAsia="en-AU"/>
              </w:rPr>
              <w:t>*</w:t>
            </w:r>
          </w:p>
        </w:tc>
        <w:tc>
          <w:tcPr>
            <w:tcW w:w="834" w:type="pct"/>
            <w:hideMark/>
          </w:tcPr>
          <w:p w14:paraId="3CFBF553"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41.75</w:t>
            </w:r>
          </w:p>
        </w:tc>
        <w:tc>
          <w:tcPr>
            <w:tcW w:w="751" w:type="pct"/>
            <w:hideMark/>
          </w:tcPr>
          <w:p w14:paraId="28FF349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Advisers (LTA and STA) – 41.75 days (total open rec days =334 /8x open recruitment process</w:t>
            </w:r>
          </w:p>
        </w:tc>
        <w:tc>
          <w:tcPr>
            <w:tcW w:w="942" w:type="pct"/>
            <w:hideMark/>
          </w:tcPr>
          <w:p w14:paraId="61914A9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None</w:t>
            </w:r>
          </w:p>
        </w:tc>
      </w:tr>
      <w:tr w:rsidR="00133741" w:rsidRPr="001462F2" w14:paraId="6AFEF08D" w14:textId="77777777" w:rsidTr="0054357E">
        <w:trPr>
          <w:cantSplit/>
        </w:trPr>
        <w:tc>
          <w:tcPr>
            <w:tcW w:w="756" w:type="pct"/>
            <w:hideMark/>
          </w:tcPr>
          <w:p w14:paraId="72F875EE"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40D12EB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3FAC521"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female staff recruited (by position type)</w:t>
            </w:r>
          </w:p>
        </w:tc>
        <w:tc>
          <w:tcPr>
            <w:tcW w:w="834" w:type="pct"/>
            <w:hideMark/>
          </w:tcPr>
          <w:p w14:paraId="36694CDE"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56.60%</w:t>
            </w:r>
          </w:p>
        </w:tc>
        <w:tc>
          <w:tcPr>
            <w:tcW w:w="751" w:type="pct"/>
            <w:hideMark/>
          </w:tcPr>
          <w:p w14:paraId="00B6BE3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xml:space="preserve">* LTA - 6 x rec process, 3 x female recruited </w:t>
            </w:r>
            <w:r w:rsidRPr="001462F2">
              <w:rPr>
                <w:rFonts w:cs="Arial"/>
                <w:sz w:val="16"/>
                <w:szCs w:val="16"/>
                <w:lang w:eastAsia="en-AU"/>
              </w:rPr>
              <w:br/>
              <w:t xml:space="preserve"> * STA - 23 x rec process, 13 x female recruited </w:t>
            </w:r>
            <w:r w:rsidRPr="001462F2">
              <w:rPr>
                <w:rFonts w:cs="Arial"/>
                <w:sz w:val="16"/>
                <w:szCs w:val="16"/>
                <w:lang w:eastAsia="en-AU"/>
              </w:rPr>
              <w:br/>
              <w:t>* LES - 21 rec process, 7 females recruited - 33.3 per cent</w:t>
            </w:r>
          </w:p>
        </w:tc>
        <w:tc>
          <w:tcPr>
            <w:tcW w:w="942" w:type="pct"/>
            <w:hideMark/>
          </w:tcPr>
          <w:p w14:paraId="7DACD89D"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None</w:t>
            </w:r>
          </w:p>
        </w:tc>
      </w:tr>
      <w:tr w:rsidR="00133741" w:rsidRPr="001462F2" w14:paraId="0B152655" w14:textId="77777777" w:rsidTr="0054357E">
        <w:trPr>
          <w:cantSplit/>
        </w:trPr>
        <w:tc>
          <w:tcPr>
            <w:tcW w:w="756" w:type="pct"/>
            <w:hideMark/>
          </w:tcPr>
          <w:p w14:paraId="515F3DCB"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4DD2763A"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1E0E74F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ASIRF staff report increasing empowerment of locally engaged personnel in management/leadership tasks</w:t>
            </w:r>
          </w:p>
        </w:tc>
        <w:tc>
          <w:tcPr>
            <w:tcW w:w="834" w:type="pct"/>
            <w:hideMark/>
          </w:tcPr>
          <w:p w14:paraId="2BAA4F7F"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To be assessed at end of 2022.</w:t>
            </w:r>
          </w:p>
        </w:tc>
        <w:tc>
          <w:tcPr>
            <w:tcW w:w="751" w:type="pct"/>
            <w:hideMark/>
          </w:tcPr>
          <w:p w14:paraId="3FB88936"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Performance Survey</w:t>
            </w:r>
          </w:p>
        </w:tc>
        <w:tc>
          <w:tcPr>
            <w:tcW w:w="942" w:type="pct"/>
            <w:hideMark/>
          </w:tcPr>
          <w:p w14:paraId="2574C0CC"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None</w:t>
            </w:r>
          </w:p>
        </w:tc>
      </w:tr>
      <w:tr w:rsidR="00133741" w:rsidRPr="001462F2" w14:paraId="322529C3" w14:textId="77777777" w:rsidTr="0054357E">
        <w:trPr>
          <w:cantSplit/>
        </w:trPr>
        <w:tc>
          <w:tcPr>
            <w:tcW w:w="756" w:type="pct"/>
            <w:hideMark/>
          </w:tcPr>
          <w:p w14:paraId="456C44A6"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65926FDD"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3DDA7024"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technical/management (non-PSS) staff locally recruited</w:t>
            </w:r>
          </w:p>
        </w:tc>
        <w:tc>
          <w:tcPr>
            <w:tcW w:w="834" w:type="pct"/>
            <w:hideMark/>
          </w:tcPr>
          <w:p w14:paraId="000CDC6A"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23%</w:t>
            </w:r>
          </w:p>
        </w:tc>
        <w:tc>
          <w:tcPr>
            <w:tcW w:w="751" w:type="pct"/>
            <w:hideMark/>
          </w:tcPr>
          <w:p w14:paraId="08707EFD"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*6 x technical staff (national STA) locally recruited out of 29 recruitment processes.</w:t>
            </w:r>
          </w:p>
        </w:tc>
        <w:tc>
          <w:tcPr>
            <w:tcW w:w="942" w:type="pct"/>
            <w:hideMark/>
          </w:tcPr>
          <w:p w14:paraId="5EC47764"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None</w:t>
            </w:r>
          </w:p>
        </w:tc>
      </w:tr>
      <w:tr w:rsidR="00133741" w:rsidRPr="001462F2" w14:paraId="5FDB24E7" w14:textId="77777777" w:rsidTr="0054357E">
        <w:trPr>
          <w:cantSplit/>
        </w:trPr>
        <w:tc>
          <w:tcPr>
            <w:tcW w:w="756" w:type="pct"/>
            <w:hideMark/>
          </w:tcPr>
          <w:p w14:paraId="56BFFDD2"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959" w:type="pct"/>
            <w:hideMark/>
          </w:tcPr>
          <w:p w14:paraId="1E795548"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w:t>
            </w:r>
          </w:p>
        </w:tc>
        <w:tc>
          <w:tcPr>
            <w:tcW w:w="758" w:type="pct"/>
            <w:hideMark/>
          </w:tcPr>
          <w:p w14:paraId="2FC96587"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 of project support staff for the program are locally recruited</w:t>
            </w:r>
          </w:p>
        </w:tc>
        <w:tc>
          <w:tcPr>
            <w:tcW w:w="834" w:type="pct"/>
            <w:hideMark/>
          </w:tcPr>
          <w:p w14:paraId="5C48B2A0"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100%</w:t>
            </w:r>
          </w:p>
        </w:tc>
        <w:tc>
          <w:tcPr>
            <w:tcW w:w="751" w:type="pct"/>
            <w:hideMark/>
          </w:tcPr>
          <w:p w14:paraId="6BF98202" w14:textId="77777777" w:rsidR="00133741" w:rsidRPr="001462F2" w:rsidRDefault="00133741" w:rsidP="00724DD5">
            <w:pPr>
              <w:rPr>
                <w:rFonts w:cs="Arial"/>
                <w:color w:val="000000"/>
                <w:sz w:val="16"/>
                <w:szCs w:val="16"/>
                <w:lang w:eastAsia="en-AU"/>
              </w:rPr>
            </w:pPr>
            <w:r w:rsidRPr="001462F2">
              <w:rPr>
                <w:rFonts w:cs="Arial"/>
                <w:sz w:val="16"/>
                <w:szCs w:val="16"/>
                <w:lang w:eastAsia="en-AU"/>
              </w:rPr>
              <w:t>100 per cent all LES locally recruited from the 18-recruitment process</w:t>
            </w:r>
          </w:p>
        </w:tc>
        <w:tc>
          <w:tcPr>
            <w:tcW w:w="942" w:type="pct"/>
            <w:hideMark/>
          </w:tcPr>
          <w:p w14:paraId="5DFD776B" w14:textId="77777777" w:rsidR="00133741" w:rsidRPr="001462F2" w:rsidRDefault="00133741" w:rsidP="00724DD5">
            <w:pPr>
              <w:rPr>
                <w:rFonts w:cs="Arial"/>
                <w:color w:val="000000"/>
                <w:sz w:val="16"/>
                <w:szCs w:val="16"/>
                <w:lang w:eastAsia="en-AU"/>
              </w:rPr>
            </w:pPr>
            <w:r w:rsidRPr="001462F2">
              <w:rPr>
                <w:rFonts w:cs="Arial"/>
                <w:color w:val="000000"/>
                <w:sz w:val="16"/>
                <w:szCs w:val="16"/>
                <w:lang w:eastAsia="en-AU"/>
              </w:rPr>
              <w:t>None</w:t>
            </w:r>
          </w:p>
        </w:tc>
      </w:tr>
    </w:tbl>
    <w:p w14:paraId="600F5246" w14:textId="77777777" w:rsidR="00013432" w:rsidRPr="00013432" w:rsidRDefault="00013432" w:rsidP="00013432">
      <w:pPr>
        <w:pStyle w:val="BodyText"/>
        <w:rPr>
          <w:highlight w:val="yellow"/>
        </w:rPr>
      </w:pPr>
    </w:p>
    <w:p w14:paraId="01A9FD58" w14:textId="3706988F" w:rsidR="008E3B44" w:rsidRPr="00390B6F" w:rsidRDefault="008E3B44" w:rsidP="00535837">
      <w:pPr>
        <w:pStyle w:val="ANNEXHEADING"/>
      </w:pPr>
      <w:bookmarkStart w:id="62" w:name="_Toc119930961"/>
      <w:bookmarkStart w:id="63" w:name="_Toc151565435"/>
      <w:bookmarkStart w:id="64" w:name="_Ref155350662"/>
      <w:r w:rsidRPr="00390B6F">
        <w:lastRenderedPageBreak/>
        <w:t>Lessons Learned</w:t>
      </w:r>
      <w:bookmarkEnd w:id="62"/>
      <w:bookmarkEnd w:id="63"/>
      <w:bookmarkEnd w:id="64"/>
    </w:p>
    <w:tbl>
      <w:tblPr>
        <w:tblStyle w:val="BoxGrid-BlackASIRF"/>
        <w:tblW w:w="5000" w:type="pct"/>
        <w:tblLook w:val="04A0" w:firstRow="1" w:lastRow="0" w:firstColumn="1" w:lastColumn="0" w:noHBand="0" w:noVBand="1"/>
        <w:tblCaption w:val="Annex 3: Lessons Learned"/>
        <w:tblDescription w:val="Key lessons and the strategies to mitigate or replicate lesson"/>
      </w:tblPr>
      <w:tblGrid>
        <w:gridCol w:w="8079"/>
        <w:gridCol w:w="6493"/>
      </w:tblGrid>
      <w:tr w:rsidR="008E3B44" w:rsidRPr="00390B6F" w14:paraId="28755834" w14:textId="77777777" w:rsidTr="00724DD5">
        <w:trPr>
          <w:cnfStyle w:val="100000000000" w:firstRow="1" w:lastRow="0" w:firstColumn="0" w:lastColumn="0" w:oddVBand="0" w:evenVBand="0" w:oddHBand="0" w:evenHBand="0" w:firstRowFirstColumn="0" w:firstRowLastColumn="0" w:lastRowFirstColumn="0" w:lastRowLastColumn="0"/>
          <w:cantSplit/>
          <w:tblHeader/>
        </w:trPr>
        <w:tc>
          <w:tcPr>
            <w:tcW w:w="2772" w:type="pct"/>
          </w:tcPr>
          <w:p w14:paraId="7168CEFD" w14:textId="77777777" w:rsidR="008E3B44" w:rsidRPr="00390B6F" w:rsidRDefault="008E3B44" w:rsidP="007845C7">
            <w:pPr>
              <w:rPr>
                <w:b w:val="0"/>
                <w:bCs/>
                <w:sz w:val="16"/>
                <w:szCs w:val="20"/>
              </w:rPr>
            </w:pPr>
            <w:r w:rsidRPr="00390B6F">
              <w:rPr>
                <w:bCs/>
                <w:sz w:val="16"/>
                <w:szCs w:val="20"/>
              </w:rPr>
              <w:t>ASIRF Key Lessons Learned</w:t>
            </w:r>
          </w:p>
        </w:tc>
        <w:tc>
          <w:tcPr>
            <w:tcW w:w="2228" w:type="pct"/>
          </w:tcPr>
          <w:p w14:paraId="5CD9BEB0" w14:textId="77777777" w:rsidR="008E3B44" w:rsidRPr="00390B6F" w:rsidRDefault="008E3B44" w:rsidP="007845C7">
            <w:pPr>
              <w:rPr>
                <w:b w:val="0"/>
                <w:bCs/>
                <w:sz w:val="16"/>
                <w:szCs w:val="20"/>
              </w:rPr>
            </w:pPr>
            <w:r w:rsidRPr="00390B6F">
              <w:rPr>
                <w:bCs/>
                <w:sz w:val="16"/>
                <w:szCs w:val="20"/>
              </w:rPr>
              <w:t>Strategies to Mitigate and/or Replicate Lesson</w:t>
            </w:r>
          </w:p>
        </w:tc>
      </w:tr>
      <w:tr w:rsidR="008E3B44" w:rsidRPr="00390B6F" w14:paraId="527E1497" w14:textId="77777777" w:rsidTr="00724DD5">
        <w:trPr>
          <w:cantSplit/>
        </w:trPr>
        <w:tc>
          <w:tcPr>
            <w:tcW w:w="2772" w:type="pct"/>
          </w:tcPr>
          <w:p w14:paraId="38C59CCE" w14:textId="77777777" w:rsidR="008E3B44" w:rsidRPr="00390B6F" w:rsidRDefault="008E3B44" w:rsidP="007845C7">
            <w:pPr>
              <w:rPr>
                <w:b/>
                <w:bCs/>
                <w:sz w:val="16"/>
                <w:szCs w:val="20"/>
              </w:rPr>
            </w:pPr>
            <w:r w:rsidRPr="00390B6F">
              <w:rPr>
                <w:b/>
                <w:bCs/>
                <w:sz w:val="16"/>
                <w:szCs w:val="20"/>
              </w:rPr>
              <w:t>Strategic</w:t>
            </w:r>
          </w:p>
        </w:tc>
        <w:tc>
          <w:tcPr>
            <w:tcW w:w="2228" w:type="pct"/>
          </w:tcPr>
          <w:p w14:paraId="101D637B" w14:textId="36644FC7" w:rsidR="008E3B44" w:rsidRPr="00390B6F" w:rsidRDefault="000A2DBF" w:rsidP="007845C7">
            <w:pPr>
              <w:rPr>
                <w:sz w:val="16"/>
                <w:szCs w:val="20"/>
              </w:rPr>
            </w:pPr>
            <w:r>
              <w:rPr>
                <w:sz w:val="16"/>
                <w:szCs w:val="20"/>
              </w:rPr>
              <w:t>*</w:t>
            </w:r>
          </w:p>
        </w:tc>
      </w:tr>
      <w:tr w:rsidR="008E3B44" w:rsidRPr="00390B6F" w14:paraId="55E7A508" w14:textId="77777777" w:rsidTr="00724DD5">
        <w:trPr>
          <w:cantSplit/>
        </w:trPr>
        <w:tc>
          <w:tcPr>
            <w:tcW w:w="2772" w:type="pct"/>
          </w:tcPr>
          <w:p w14:paraId="49E8B374" w14:textId="77777777" w:rsidR="008E3B44" w:rsidRPr="00390B6F" w:rsidRDefault="008E3B44" w:rsidP="007845C7">
            <w:pPr>
              <w:rPr>
                <w:sz w:val="16"/>
                <w:szCs w:val="20"/>
              </w:rPr>
            </w:pPr>
            <w:r w:rsidRPr="00390B6F">
              <w:rPr>
                <w:sz w:val="16"/>
                <w:szCs w:val="20"/>
              </w:rPr>
              <w:t>To support implementation and management, ASIRF needs to employ relevant and appropriate strategies to mitigate regular staff turnover and differences of opinion that emerge from DFAT. This requires close consultation and engagement to prioritise and confirm agreements and approaches.</w:t>
            </w:r>
          </w:p>
        </w:tc>
        <w:tc>
          <w:tcPr>
            <w:tcW w:w="2228" w:type="pct"/>
          </w:tcPr>
          <w:p w14:paraId="7F3957BB" w14:textId="77777777" w:rsidR="008E3B44" w:rsidRPr="00390B6F" w:rsidRDefault="008E3B44" w:rsidP="007845C7">
            <w:pPr>
              <w:rPr>
                <w:sz w:val="16"/>
                <w:szCs w:val="20"/>
              </w:rPr>
            </w:pPr>
            <w:r w:rsidRPr="00390B6F">
              <w:rPr>
                <w:sz w:val="16"/>
                <w:szCs w:val="20"/>
              </w:rPr>
              <w:t>Formalised meetings established with DFAT, and clear guidance documented, and support provided to ensure a consistent approach to mobilisation, inductions, and support.</w:t>
            </w:r>
          </w:p>
        </w:tc>
      </w:tr>
      <w:tr w:rsidR="008E3B44" w:rsidRPr="00390B6F" w14:paraId="07366DB9" w14:textId="77777777" w:rsidTr="00724DD5">
        <w:trPr>
          <w:cantSplit/>
        </w:trPr>
        <w:tc>
          <w:tcPr>
            <w:tcW w:w="2772" w:type="pct"/>
          </w:tcPr>
          <w:p w14:paraId="32B306BD" w14:textId="241D17BA" w:rsidR="008E3B44" w:rsidRPr="00390B6F" w:rsidRDefault="008E3B44" w:rsidP="007845C7">
            <w:pPr>
              <w:rPr>
                <w:sz w:val="16"/>
                <w:szCs w:val="20"/>
              </w:rPr>
            </w:pPr>
            <w:r w:rsidRPr="00390B6F">
              <w:rPr>
                <w:sz w:val="16"/>
                <w:szCs w:val="20"/>
              </w:rPr>
              <w:t>Communication is essential amongst program leads (internally) and with DFAT (externally).</w:t>
            </w:r>
            <w:r w:rsidR="00207D5A" w:rsidRPr="00390B6F">
              <w:rPr>
                <w:sz w:val="16"/>
                <w:szCs w:val="20"/>
              </w:rPr>
              <w:t xml:space="preserve"> </w:t>
            </w:r>
            <w:r w:rsidRPr="00390B6F">
              <w:rPr>
                <w:sz w:val="16"/>
                <w:szCs w:val="20"/>
              </w:rPr>
              <w:t>Regular formalised meetings are required to share information and provide regular updates on key emerging issues and priorities.</w:t>
            </w:r>
          </w:p>
        </w:tc>
        <w:tc>
          <w:tcPr>
            <w:tcW w:w="2228" w:type="pct"/>
          </w:tcPr>
          <w:p w14:paraId="19164A8B" w14:textId="7F333437" w:rsidR="008E3B44" w:rsidRPr="00390B6F" w:rsidRDefault="008E3B44" w:rsidP="007845C7">
            <w:pPr>
              <w:rPr>
                <w:sz w:val="16"/>
                <w:szCs w:val="20"/>
              </w:rPr>
            </w:pPr>
            <w:r w:rsidRPr="00390B6F">
              <w:rPr>
                <w:sz w:val="16"/>
                <w:szCs w:val="20"/>
              </w:rPr>
              <w:t>ASIRF to continue bi-weekly meetings that engage programme leads.</w:t>
            </w:r>
            <w:r w:rsidR="00207D5A" w:rsidRPr="00390B6F">
              <w:rPr>
                <w:sz w:val="16"/>
                <w:szCs w:val="20"/>
              </w:rPr>
              <w:t xml:space="preserve"> </w:t>
            </w:r>
            <w:r w:rsidRPr="00390B6F">
              <w:rPr>
                <w:sz w:val="16"/>
                <w:szCs w:val="20"/>
              </w:rPr>
              <w:t>Formal discussions that document approaches and agreements.</w:t>
            </w:r>
          </w:p>
        </w:tc>
      </w:tr>
      <w:tr w:rsidR="008E3B44" w:rsidRPr="00390B6F" w14:paraId="262A7F9B" w14:textId="77777777" w:rsidTr="00724DD5">
        <w:trPr>
          <w:cantSplit/>
        </w:trPr>
        <w:tc>
          <w:tcPr>
            <w:tcW w:w="2772" w:type="pct"/>
          </w:tcPr>
          <w:p w14:paraId="4E1C00A9" w14:textId="77777777" w:rsidR="008E3B44" w:rsidRPr="00390B6F" w:rsidRDefault="008E3B44" w:rsidP="007845C7">
            <w:pPr>
              <w:rPr>
                <w:sz w:val="16"/>
                <w:szCs w:val="20"/>
              </w:rPr>
            </w:pPr>
            <w:r w:rsidRPr="00390B6F">
              <w:rPr>
                <w:sz w:val="16"/>
                <w:szCs w:val="20"/>
              </w:rPr>
              <w:t>Political economy analysis is a critical component of on-going implementation and management and should be implemented jointly as a shared approach to assess emerging issues and trends that influence not only individual programme performance but the aid programme overall.</w:t>
            </w:r>
          </w:p>
        </w:tc>
        <w:tc>
          <w:tcPr>
            <w:tcW w:w="2228" w:type="pct"/>
          </w:tcPr>
          <w:p w14:paraId="235244EA" w14:textId="77777777" w:rsidR="008E3B44" w:rsidRPr="00390B6F" w:rsidRDefault="008E3B44" w:rsidP="007845C7">
            <w:pPr>
              <w:rPr>
                <w:sz w:val="16"/>
                <w:szCs w:val="20"/>
              </w:rPr>
            </w:pPr>
            <w:r w:rsidRPr="00390B6F">
              <w:rPr>
                <w:sz w:val="16"/>
                <w:szCs w:val="20"/>
              </w:rPr>
              <w:t>Consider the option of developing join political economy analysis that covers all programme interventions. This would save time and resources and support a joint approach to analysis (and implementation).</w:t>
            </w:r>
          </w:p>
        </w:tc>
      </w:tr>
      <w:tr w:rsidR="008E3B44" w:rsidRPr="00390B6F" w14:paraId="1AA8394A" w14:textId="77777777" w:rsidTr="00724DD5">
        <w:trPr>
          <w:cantSplit/>
        </w:trPr>
        <w:tc>
          <w:tcPr>
            <w:tcW w:w="2772" w:type="pct"/>
          </w:tcPr>
          <w:p w14:paraId="476E126F" w14:textId="77777777" w:rsidR="008E3B44" w:rsidRPr="00390B6F" w:rsidRDefault="008E3B44" w:rsidP="007845C7">
            <w:pPr>
              <w:rPr>
                <w:sz w:val="16"/>
                <w:szCs w:val="20"/>
              </w:rPr>
            </w:pPr>
            <w:r w:rsidRPr="00390B6F">
              <w:rPr>
                <w:sz w:val="16"/>
                <w:szCs w:val="20"/>
              </w:rPr>
              <w:t>The Ways of Working (WoW) charter is a useful tool but needs to be fully appreciated and implemented. Arrangements need to be established and confirmed with DFAT to ensure a full commitment to the Charter and its key principles.</w:t>
            </w:r>
          </w:p>
        </w:tc>
        <w:tc>
          <w:tcPr>
            <w:tcW w:w="2228" w:type="pct"/>
          </w:tcPr>
          <w:p w14:paraId="64C5FDD8" w14:textId="77777777" w:rsidR="008E3B44" w:rsidRPr="00390B6F" w:rsidRDefault="008E3B44" w:rsidP="007845C7">
            <w:pPr>
              <w:rPr>
                <w:sz w:val="16"/>
                <w:szCs w:val="20"/>
              </w:rPr>
            </w:pPr>
            <w:r w:rsidRPr="00390B6F">
              <w:rPr>
                <w:sz w:val="16"/>
                <w:szCs w:val="20"/>
              </w:rPr>
              <w:t>Renew commitments to WoW and identify shortfalls and address specific issues as they relate to each programme.</w:t>
            </w:r>
          </w:p>
        </w:tc>
      </w:tr>
      <w:tr w:rsidR="008E3B44" w:rsidRPr="00390B6F" w14:paraId="7CFCDB06" w14:textId="77777777" w:rsidTr="00724DD5">
        <w:trPr>
          <w:cantSplit/>
        </w:trPr>
        <w:tc>
          <w:tcPr>
            <w:tcW w:w="2772" w:type="pct"/>
          </w:tcPr>
          <w:p w14:paraId="42AA7BFD" w14:textId="1FFC24FE" w:rsidR="008E3B44" w:rsidRPr="00390B6F" w:rsidRDefault="008E3B44" w:rsidP="007845C7">
            <w:pPr>
              <w:rPr>
                <w:sz w:val="16"/>
                <w:szCs w:val="20"/>
              </w:rPr>
            </w:pPr>
            <w:r w:rsidRPr="00390B6F">
              <w:rPr>
                <w:sz w:val="16"/>
                <w:szCs w:val="20"/>
              </w:rPr>
              <w:t xml:space="preserve">Programme inductions should be streamlined to avoid duplication, confusion and/or mixed messages. An agreed approach should be confirmed with DFAT and communicated to </w:t>
            </w:r>
            <w:r w:rsidR="00390B6F" w:rsidRPr="00390B6F">
              <w:rPr>
                <w:sz w:val="16"/>
                <w:szCs w:val="20"/>
              </w:rPr>
              <w:t>another</w:t>
            </w:r>
            <w:r w:rsidRPr="00390B6F">
              <w:rPr>
                <w:sz w:val="16"/>
                <w:szCs w:val="20"/>
              </w:rPr>
              <w:t xml:space="preserve"> program leads</w:t>
            </w:r>
          </w:p>
        </w:tc>
        <w:tc>
          <w:tcPr>
            <w:tcW w:w="2228" w:type="pct"/>
          </w:tcPr>
          <w:p w14:paraId="216363EA" w14:textId="0F1353CB" w:rsidR="008E3B44" w:rsidRPr="00390B6F" w:rsidRDefault="008E3B44" w:rsidP="007845C7">
            <w:pPr>
              <w:rPr>
                <w:sz w:val="16"/>
                <w:szCs w:val="20"/>
              </w:rPr>
            </w:pPr>
            <w:r w:rsidRPr="00390B6F">
              <w:rPr>
                <w:sz w:val="16"/>
                <w:szCs w:val="20"/>
              </w:rPr>
              <w:t>ASIRF to consider the application of standardised inductions.</w:t>
            </w:r>
            <w:r w:rsidR="00207D5A" w:rsidRPr="00390B6F">
              <w:rPr>
                <w:sz w:val="16"/>
                <w:szCs w:val="20"/>
              </w:rPr>
              <w:t xml:space="preserve"> </w:t>
            </w:r>
            <w:r w:rsidRPr="00390B6F">
              <w:rPr>
                <w:sz w:val="16"/>
                <w:szCs w:val="20"/>
              </w:rPr>
              <w:t>Review existing approaches and strengthen where appropriate.</w:t>
            </w:r>
          </w:p>
        </w:tc>
      </w:tr>
      <w:tr w:rsidR="008E3B44" w:rsidRPr="00390B6F" w14:paraId="7D4C8A41" w14:textId="77777777" w:rsidTr="00724DD5">
        <w:trPr>
          <w:cantSplit/>
        </w:trPr>
        <w:tc>
          <w:tcPr>
            <w:tcW w:w="2772" w:type="pct"/>
          </w:tcPr>
          <w:p w14:paraId="0B6B7F47" w14:textId="77777777" w:rsidR="008E3B44" w:rsidRPr="00390B6F" w:rsidRDefault="008E3B44" w:rsidP="007845C7">
            <w:pPr>
              <w:rPr>
                <w:b/>
                <w:bCs/>
                <w:sz w:val="16"/>
                <w:szCs w:val="20"/>
              </w:rPr>
            </w:pPr>
            <w:r w:rsidRPr="00390B6F">
              <w:rPr>
                <w:b/>
                <w:bCs/>
                <w:sz w:val="16"/>
                <w:szCs w:val="20"/>
              </w:rPr>
              <w:t>Technical</w:t>
            </w:r>
          </w:p>
        </w:tc>
        <w:tc>
          <w:tcPr>
            <w:tcW w:w="2228" w:type="pct"/>
          </w:tcPr>
          <w:p w14:paraId="35FE7147" w14:textId="185CE916" w:rsidR="008E3B44" w:rsidRPr="00390B6F" w:rsidRDefault="00D539D0" w:rsidP="007845C7">
            <w:pPr>
              <w:rPr>
                <w:sz w:val="16"/>
                <w:szCs w:val="20"/>
              </w:rPr>
            </w:pPr>
            <w:r>
              <w:rPr>
                <w:sz w:val="16"/>
                <w:szCs w:val="20"/>
              </w:rPr>
              <w:t>*</w:t>
            </w:r>
          </w:p>
        </w:tc>
      </w:tr>
      <w:tr w:rsidR="008E3B44" w:rsidRPr="00390B6F" w14:paraId="6005CFB2" w14:textId="77777777" w:rsidTr="00724DD5">
        <w:trPr>
          <w:cantSplit/>
        </w:trPr>
        <w:tc>
          <w:tcPr>
            <w:tcW w:w="2772" w:type="pct"/>
          </w:tcPr>
          <w:p w14:paraId="7C60DB2B" w14:textId="77777777" w:rsidR="008E3B44" w:rsidRPr="00390B6F" w:rsidRDefault="008E3B44" w:rsidP="007845C7">
            <w:pPr>
              <w:rPr>
                <w:sz w:val="16"/>
                <w:szCs w:val="20"/>
              </w:rPr>
            </w:pPr>
            <w:r w:rsidRPr="00390B6F">
              <w:rPr>
                <w:sz w:val="16"/>
                <w:szCs w:val="20"/>
              </w:rPr>
              <w:t>To support implementation, programmes need to continue drawing on ASIRF experience and insights for job selections and for other strategic inputs that complement existing technical advisory support.</w:t>
            </w:r>
          </w:p>
        </w:tc>
        <w:tc>
          <w:tcPr>
            <w:tcW w:w="2228" w:type="pct"/>
          </w:tcPr>
          <w:p w14:paraId="2AC4EEB1" w14:textId="77777777" w:rsidR="008E3B44" w:rsidRPr="00390B6F" w:rsidRDefault="008E3B44" w:rsidP="007845C7">
            <w:pPr>
              <w:rPr>
                <w:sz w:val="16"/>
                <w:szCs w:val="20"/>
              </w:rPr>
            </w:pPr>
            <w:r w:rsidRPr="00390B6F">
              <w:rPr>
                <w:sz w:val="16"/>
                <w:szCs w:val="20"/>
              </w:rPr>
              <w:t>Through coordination meetings, identify opportunities for further ASIRF engagement.</w:t>
            </w:r>
          </w:p>
        </w:tc>
      </w:tr>
      <w:tr w:rsidR="008E3B44" w:rsidRPr="00390B6F" w14:paraId="599F98DD" w14:textId="77777777" w:rsidTr="00724DD5">
        <w:trPr>
          <w:cantSplit/>
        </w:trPr>
        <w:tc>
          <w:tcPr>
            <w:tcW w:w="2772" w:type="pct"/>
          </w:tcPr>
          <w:p w14:paraId="59FDBFDF" w14:textId="77777777" w:rsidR="008E3B44" w:rsidRPr="00390B6F" w:rsidRDefault="008E3B44" w:rsidP="007845C7">
            <w:pPr>
              <w:rPr>
                <w:sz w:val="16"/>
                <w:szCs w:val="20"/>
              </w:rPr>
            </w:pPr>
            <w:r w:rsidRPr="00390B6F">
              <w:rPr>
                <w:sz w:val="16"/>
                <w:szCs w:val="20"/>
              </w:rPr>
              <w:t>To support grant management, ASIRF needs to be fully resourced and take a leadership role to coordinate with programmes who may not have the necessary capacity to implement such schemes</w:t>
            </w:r>
          </w:p>
        </w:tc>
        <w:tc>
          <w:tcPr>
            <w:tcW w:w="2228" w:type="pct"/>
          </w:tcPr>
          <w:p w14:paraId="76B6B08A" w14:textId="77777777" w:rsidR="008E3B44" w:rsidRPr="00390B6F" w:rsidRDefault="008E3B44" w:rsidP="007845C7">
            <w:pPr>
              <w:rPr>
                <w:sz w:val="16"/>
                <w:szCs w:val="20"/>
              </w:rPr>
            </w:pPr>
            <w:r w:rsidRPr="00390B6F">
              <w:rPr>
                <w:sz w:val="16"/>
                <w:szCs w:val="20"/>
              </w:rPr>
              <w:t>Grant management functions fully resourced and supported for implementation and management.</w:t>
            </w:r>
          </w:p>
        </w:tc>
      </w:tr>
      <w:tr w:rsidR="008E3B44" w:rsidRPr="00390B6F" w14:paraId="3EAA7842" w14:textId="77777777" w:rsidTr="00724DD5">
        <w:trPr>
          <w:cantSplit/>
        </w:trPr>
        <w:tc>
          <w:tcPr>
            <w:tcW w:w="2772" w:type="pct"/>
          </w:tcPr>
          <w:p w14:paraId="5AB84481" w14:textId="77777777" w:rsidR="008E3B44" w:rsidRPr="00390B6F" w:rsidRDefault="008E3B44" w:rsidP="007845C7">
            <w:pPr>
              <w:rPr>
                <w:sz w:val="16"/>
                <w:szCs w:val="20"/>
              </w:rPr>
            </w:pPr>
            <w:r w:rsidRPr="00390B6F">
              <w:rPr>
                <w:sz w:val="16"/>
                <w:szCs w:val="20"/>
              </w:rPr>
              <w:t>Programs should actively promote cross programme learning in a formal way. This should complement existing internal reviews. There is scope to promote cross-program learning across programmes which can then feed into overall performance updates and assessments.</w:t>
            </w:r>
          </w:p>
        </w:tc>
        <w:tc>
          <w:tcPr>
            <w:tcW w:w="2228" w:type="pct"/>
          </w:tcPr>
          <w:p w14:paraId="6A28EA1E" w14:textId="77777777" w:rsidR="008E3B44" w:rsidRPr="00390B6F" w:rsidRDefault="008E3B44" w:rsidP="007845C7">
            <w:pPr>
              <w:rPr>
                <w:sz w:val="16"/>
                <w:szCs w:val="20"/>
              </w:rPr>
            </w:pPr>
            <w:r w:rsidRPr="00390B6F">
              <w:rPr>
                <w:sz w:val="16"/>
                <w:szCs w:val="20"/>
              </w:rPr>
              <w:t>ASIRF to consider bi-annual learning and reflection events across the portfolio of programmes in addition to internal learnings.</w:t>
            </w:r>
          </w:p>
        </w:tc>
      </w:tr>
      <w:tr w:rsidR="008E3B44" w:rsidRPr="00390B6F" w14:paraId="5F9F192E" w14:textId="77777777" w:rsidTr="00724DD5">
        <w:trPr>
          <w:cantSplit/>
        </w:trPr>
        <w:tc>
          <w:tcPr>
            <w:tcW w:w="2772" w:type="pct"/>
          </w:tcPr>
          <w:p w14:paraId="2CD46361" w14:textId="77777777" w:rsidR="008E3B44" w:rsidRPr="00390B6F" w:rsidRDefault="008E3B44" w:rsidP="007845C7">
            <w:pPr>
              <w:rPr>
                <w:sz w:val="16"/>
                <w:szCs w:val="20"/>
              </w:rPr>
            </w:pPr>
            <w:r w:rsidRPr="00390B6F">
              <w:rPr>
                <w:sz w:val="16"/>
                <w:szCs w:val="20"/>
              </w:rPr>
              <w:t>To strengthen implementation of GEDSI considerations, there is scope to promote joint implementation arrangements and consider joint approaches across programmes to generate efficiencies and consistent approaches.</w:t>
            </w:r>
          </w:p>
        </w:tc>
        <w:tc>
          <w:tcPr>
            <w:tcW w:w="2228" w:type="pct"/>
          </w:tcPr>
          <w:p w14:paraId="6AF54D30" w14:textId="77777777" w:rsidR="008E3B44" w:rsidRPr="00390B6F" w:rsidRDefault="008E3B44" w:rsidP="007845C7">
            <w:pPr>
              <w:rPr>
                <w:sz w:val="16"/>
                <w:szCs w:val="20"/>
              </w:rPr>
            </w:pPr>
            <w:r w:rsidRPr="00390B6F">
              <w:rPr>
                <w:sz w:val="16"/>
                <w:szCs w:val="20"/>
              </w:rPr>
              <w:t>Discussion with DFAT on how best to apply GEDSI across all programmes to support unified and consistent approaches.</w:t>
            </w:r>
          </w:p>
        </w:tc>
      </w:tr>
      <w:tr w:rsidR="008E3B44" w:rsidRPr="00390B6F" w14:paraId="3EDD057E" w14:textId="77777777" w:rsidTr="00724DD5">
        <w:trPr>
          <w:cantSplit/>
        </w:trPr>
        <w:tc>
          <w:tcPr>
            <w:tcW w:w="2772" w:type="pct"/>
          </w:tcPr>
          <w:p w14:paraId="7595E588" w14:textId="77777777" w:rsidR="008E3B44" w:rsidRPr="00390B6F" w:rsidRDefault="008E3B44" w:rsidP="007845C7">
            <w:pPr>
              <w:rPr>
                <w:b/>
                <w:bCs/>
                <w:sz w:val="16"/>
                <w:szCs w:val="20"/>
              </w:rPr>
            </w:pPr>
            <w:r w:rsidRPr="00390B6F">
              <w:rPr>
                <w:b/>
                <w:bCs/>
                <w:sz w:val="16"/>
                <w:szCs w:val="20"/>
              </w:rPr>
              <w:t>Operational</w:t>
            </w:r>
          </w:p>
        </w:tc>
        <w:tc>
          <w:tcPr>
            <w:tcW w:w="2228" w:type="pct"/>
          </w:tcPr>
          <w:p w14:paraId="12937ADC" w14:textId="4686A492" w:rsidR="008E3B44" w:rsidRPr="00390B6F" w:rsidRDefault="000A2DBF" w:rsidP="007845C7">
            <w:pPr>
              <w:rPr>
                <w:b/>
                <w:bCs/>
                <w:sz w:val="16"/>
                <w:szCs w:val="20"/>
              </w:rPr>
            </w:pPr>
            <w:r>
              <w:rPr>
                <w:b/>
                <w:bCs/>
                <w:sz w:val="16"/>
                <w:szCs w:val="20"/>
              </w:rPr>
              <w:t>*</w:t>
            </w:r>
          </w:p>
        </w:tc>
      </w:tr>
      <w:tr w:rsidR="008E3B44" w:rsidRPr="00390B6F" w14:paraId="3DB9B47E" w14:textId="77777777" w:rsidTr="00724DD5">
        <w:trPr>
          <w:cantSplit/>
        </w:trPr>
        <w:tc>
          <w:tcPr>
            <w:tcW w:w="2772" w:type="pct"/>
          </w:tcPr>
          <w:p w14:paraId="402875C2" w14:textId="740C4AB6" w:rsidR="008E3B44" w:rsidRPr="00390B6F" w:rsidRDefault="008E3B44" w:rsidP="007845C7">
            <w:pPr>
              <w:rPr>
                <w:sz w:val="16"/>
                <w:szCs w:val="20"/>
              </w:rPr>
            </w:pPr>
            <w:r w:rsidRPr="00390B6F">
              <w:rPr>
                <w:sz w:val="16"/>
                <w:szCs w:val="20"/>
              </w:rPr>
              <w:t>To support harmonisation and overall efficiency, programs need to meet regularly. Often programmes act as individual entities which results in a non-harmonised approach with differing messages from DFAT.</w:t>
            </w:r>
            <w:r w:rsidR="00207D5A" w:rsidRPr="00390B6F">
              <w:rPr>
                <w:sz w:val="16"/>
                <w:szCs w:val="20"/>
              </w:rPr>
              <w:t xml:space="preserve"> </w:t>
            </w:r>
            <w:r w:rsidRPr="00390B6F">
              <w:rPr>
                <w:sz w:val="16"/>
                <w:szCs w:val="20"/>
              </w:rPr>
              <w:t>Need to harness the synergies of working together for political economy analysis, risk, resource sharing and VfM.</w:t>
            </w:r>
            <w:r w:rsidR="00207D5A" w:rsidRPr="00390B6F">
              <w:rPr>
                <w:sz w:val="16"/>
                <w:szCs w:val="20"/>
              </w:rPr>
              <w:t xml:space="preserve"> </w:t>
            </w:r>
            <w:r w:rsidRPr="00390B6F">
              <w:rPr>
                <w:sz w:val="16"/>
                <w:szCs w:val="20"/>
              </w:rPr>
              <w:t>Structured approaches are required that are documented and agreed before proceeding.</w:t>
            </w:r>
          </w:p>
        </w:tc>
        <w:tc>
          <w:tcPr>
            <w:tcW w:w="2228" w:type="pct"/>
          </w:tcPr>
          <w:p w14:paraId="6B3A7C26" w14:textId="77777777" w:rsidR="008E3B44" w:rsidRPr="00390B6F" w:rsidRDefault="008E3B44" w:rsidP="007845C7">
            <w:pPr>
              <w:rPr>
                <w:sz w:val="16"/>
                <w:szCs w:val="20"/>
              </w:rPr>
            </w:pPr>
            <w:r w:rsidRPr="00390B6F">
              <w:rPr>
                <w:sz w:val="16"/>
                <w:szCs w:val="20"/>
              </w:rPr>
              <w:t xml:space="preserve">Continue bi-weekly meetings with programme leads. </w:t>
            </w:r>
          </w:p>
        </w:tc>
      </w:tr>
      <w:tr w:rsidR="008E3B44" w:rsidRPr="00390B6F" w14:paraId="3809B7E4" w14:textId="77777777" w:rsidTr="00724DD5">
        <w:trPr>
          <w:cantSplit/>
        </w:trPr>
        <w:tc>
          <w:tcPr>
            <w:tcW w:w="2772" w:type="pct"/>
          </w:tcPr>
          <w:p w14:paraId="184E14D3" w14:textId="77777777" w:rsidR="008E3B44" w:rsidRPr="00390B6F" w:rsidRDefault="008E3B44" w:rsidP="007845C7">
            <w:pPr>
              <w:rPr>
                <w:sz w:val="16"/>
                <w:szCs w:val="20"/>
              </w:rPr>
            </w:pPr>
            <w:r w:rsidRPr="00390B6F">
              <w:rPr>
                <w:sz w:val="16"/>
                <w:szCs w:val="20"/>
              </w:rPr>
              <w:t>To remain flexible and responsive, ASIRF needs to seek on-going opportunities with programme through formal and informal means to identify areas of support, gaps in implementation and management and recommend suggested approaches to harmonise efforts.</w:t>
            </w:r>
          </w:p>
        </w:tc>
        <w:tc>
          <w:tcPr>
            <w:tcW w:w="2228" w:type="pct"/>
          </w:tcPr>
          <w:p w14:paraId="0681AE55" w14:textId="571C3DEB" w:rsidR="008E3B44" w:rsidRPr="00390B6F" w:rsidRDefault="008E3B44" w:rsidP="007845C7">
            <w:pPr>
              <w:rPr>
                <w:sz w:val="16"/>
                <w:szCs w:val="20"/>
              </w:rPr>
            </w:pPr>
            <w:r w:rsidRPr="00390B6F">
              <w:rPr>
                <w:sz w:val="16"/>
                <w:szCs w:val="20"/>
              </w:rPr>
              <w:t>ASIRF to refresh approaches around technical and admin support.</w:t>
            </w:r>
            <w:r w:rsidR="00207D5A" w:rsidRPr="00390B6F">
              <w:rPr>
                <w:sz w:val="16"/>
                <w:szCs w:val="20"/>
              </w:rPr>
              <w:t xml:space="preserve"> </w:t>
            </w:r>
            <w:r w:rsidRPr="00390B6F">
              <w:rPr>
                <w:sz w:val="16"/>
                <w:szCs w:val="20"/>
              </w:rPr>
              <w:t xml:space="preserve">A current </w:t>
            </w:r>
            <w:proofErr w:type="gramStart"/>
            <w:r w:rsidRPr="00390B6F">
              <w:rPr>
                <w:sz w:val="16"/>
                <w:szCs w:val="20"/>
              </w:rPr>
              <w:t>stocktake</w:t>
            </w:r>
            <w:proofErr w:type="gramEnd"/>
            <w:r w:rsidRPr="00390B6F">
              <w:rPr>
                <w:sz w:val="16"/>
                <w:szCs w:val="20"/>
              </w:rPr>
              <w:t xml:space="preserve"> of current work and pipeline of activities (i.e., scale of deployments with the easing of restrictions).</w:t>
            </w:r>
          </w:p>
        </w:tc>
      </w:tr>
      <w:tr w:rsidR="008E3B44" w:rsidRPr="00390B6F" w14:paraId="5D16E2D3" w14:textId="77777777" w:rsidTr="00724DD5">
        <w:trPr>
          <w:cantSplit/>
        </w:trPr>
        <w:tc>
          <w:tcPr>
            <w:tcW w:w="2772" w:type="pct"/>
          </w:tcPr>
          <w:p w14:paraId="67E06477" w14:textId="4B7EE73E" w:rsidR="008E3B44" w:rsidRPr="00390B6F" w:rsidRDefault="008E3B44" w:rsidP="007845C7">
            <w:pPr>
              <w:rPr>
                <w:sz w:val="16"/>
                <w:szCs w:val="20"/>
              </w:rPr>
            </w:pPr>
            <w:r w:rsidRPr="00390B6F">
              <w:rPr>
                <w:sz w:val="16"/>
                <w:szCs w:val="20"/>
              </w:rPr>
              <w:t>On-going learning is critical and ASIRF needs to recognise what is being learned from programs.</w:t>
            </w:r>
            <w:r w:rsidR="00207D5A" w:rsidRPr="00390B6F">
              <w:rPr>
                <w:sz w:val="16"/>
                <w:szCs w:val="20"/>
              </w:rPr>
              <w:t xml:space="preserve"> </w:t>
            </w:r>
            <w:r w:rsidRPr="00390B6F">
              <w:rPr>
                <w:sz w:val="16"/>
                <w:szCs w:val="20"/>
              </w:rPr>
              <w:t>Engagement and learning drives efficiencies and innovation.</w:t>
            </w:r>
            <w:r w:rsidR="00207D5A" w:rsidRPr="00390B6F">
              <w:rPr>
                <w:sz w:val="16"/>
                <w:szCs w:val="20"/>
              </w:rPr>
              <w:t xml:space="preserve"> </w:t>
            </w:r>
            <w:r w:rsidRPr="00390B6F">
              <w:rPr>
                <w:sz w:val="16"/>
                <w:szCs w:val="20"/>
              </w:rPr>
              <w:t>The heads of programs are good at sharing, but engagement needs to cut across all elements of programme implementation and management</w:t>
            </w:r>
          </w:p>
        </w:tc>
        <w:tc>
          <w:tcPr>
            <w:tcW w:w="2228" w:type="pct"/>
          </w:tcPr>
          <w:p w14:paraId="267B23BD" w14:textId="77777777" w:rsidR="008E3B44" w:rsidRPr="00390B6F" w:rsidRDefault="008E3B44" w:rsidP="007845C7">
            <w:pPr>
              <w:rPr>
                <w:sz w:val="16"/>
                <w:szCs w:val="20"/>
              </w:rPr>
            </w:pPr>
            <w:r w:rsidRPr="00390B6F">
              <w:rPr>
                <w:sz w:val="16"/>
                <w:szCs w:val="20"/>
              </w:rPr>
              <w:t>Ensure learning and reflection events are built into respective programme workplans/annual plans and coordinated through MEL teams.</w:t>
            </w:r>
          </w:p>
        </w:tc>
      </w:tr>
      <w:bookmarkEnd w:id="2"/>
      <w:bookmarkEnd w:id="3"/>
    </w:tbl>
    <w:p w14:paraId="2BDF4132" w14:textId="77777777" w:rsidR="008E3B44" w:rsidRPr="00390B6F" w:rsidRDefault="008E3B44" w:rsidP="00535837">
      <w:pPr>
        <w:rPr>
          <w:sz w:val="2"/>
          <w:szCs w:val="6"/>
        </w:rPr>
      </w:pPr>
    </w:p>
    <w:sectPr w:rsidR="008E3B44" w:rsidRPr="00390B6F" w:rsidSect="00825572">
      <w:pgSz w:w="16840" w:h="11907"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F595" w14:textId="77777777" w:rsidR="00374F44" w:rsidRDefault="00374F44" w:rsidP="00832774">
      <w:r>
        <w:separator/>
      </w:r>
    </w:p>
    <w:p w14:paraId="0F99180B" w14:textId="77777777" w:rsidR="00374F44" w:rsidRDefault="00374F44" w:rsidP="00832774"/>
    <w:p w14:paraId="7F3C1956" w14:textId="77777777" w:rsidR="00374F44" w:rsidRDefault="00374F44" w:rsidP="00832774"/>
    <w:p w14:paraId="3FA4F30D" w14:textId="77777777" w:rsidR="00374F44" w:rsidRDefault="00374F44" w:rsidP="00832774"/>
    <w:p w14:paraId="360D0879" w14:textId="77777777" w:rsidR="00374F44" w:rsidRDefault="00374F44" w:rsidP="00832774"/>
    <w:p w14:paraId="2D0AE020" w14:textId="77777777" w:rsidR="00374F44" w:rsidRDefault="00374F44"/>
  </w:endnote>
  <w:endnote w:type="continuationSeparator" w:id="0">
    <w:p w14:paraId="1348BF68" w14:textId="77777777" w:rsidR="00374F44" w:rsidRDefault="00374F44" w:rsidP="00832774">
      <w:r>
        <w:continuationSeparator/>
      </w:r>
    </w:p>
    <w:p w14:paraId="68E3B4A6" w14:textId="77777777" w:rsidR="00374F44" w:rsidRDefault="00374F44" w:rsidP="00832774"/>
    <w:p w14:paraId="0296232B" w14:textId="77777777" w:rsidR="00374F44" w:rsidRDefault="00374F44" w:rsidP="00832774"/>
    <w:p w14:paraId="54CFDA73" w14:textId="77777777" w:rsidR="00374F44" w:rsidRDefault="00374F44" w:rsidP="00832774"/>
    <w:p w14:paraId="44FC3F9A" w14:textId="77777777" w:rsidR="00374F44" w:rsidRDefault="00374F44" w:rsidP="00832774"/>
    <w:p w14:paraId="1C20CEEA" w14:textId="77777777" w:rsidR="00374F44" w:rsidRDefault="00374F44"/>
  </w:endnote>
  <w:endnote w:type="continuationNotice" w:id="1">
    <w:p w14:paraId="13D3886D" w14:textId="77777777" w:rsidR="00374F44" w:rsidRDefault="00374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F33F" w14:textId="77777777" w:rsidR="00992CF6" w:rsidRDefault="00992CF6">
    <w:pPr>
      <w:pStyle w:val="Footer"/>
      <w:jc w:val="right"/>
    </w:pPr>
  </w:p>
  <w:p w14:paraId="413A8911" w14:textId="77777777" w:rsidR="00494B3B" w:rsidRPr="0019005E" w:rsidRDefault="00494B3B" w:rsidP="0078423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161488"/>
      <w:docPartObj>
        <w:docPartGallery w:val="Page Numbers (Bottom of Page)"/>
        <w:docPartUnique/>
      </w:docPartObj>
    </w:sdtPr>
    <w:sdtEndPr/>
    <w:sdtContent>
      <w:p w14:paraId="09FAF7A6" w14:textId="77777777" w:rsidR="00992CF6" w:rsidRDefault="00AE2420">
        <w:pPr>
          <w:pStyle w:val="Footer"/>
          <w:jc w:val="right"/>
        </w:pPr>
        <w:r>
          <w:fldChar w:fldCharType="begin"/>
        </w:r>
        <w:r>
          <w:instrText>PAGE   \* MERGEFORMAT</w:instrText>
        </w:r>
        <w:r>
          <w:fldChar w:fldCharType="separate"/>
        </w:r>
        <w:r>
          <w:rPr>
            <w:lang w:val="en-GB"/>
          </w:rPr>
          <w:t>2</w:t>
        </w:r>
        <w:r>
          <w:fldChar w:fldCharType="end"/>
        </w:r>
      </w:p>
    </w:sdtContent>
  </w:sdt>
  <w:p w14:paraId="701A34AB" w14:textId="0849958D" w:rsidR="00AE2420" w:rsidRPr="0019005E" w:rsidRDefault="00AE2420" w:rsidP="0078423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5745693"/>
      <w:docPartObj>
        <w:docPartGallery w:val="Page Numbers (Bottom of Page)"/>
        <w:docPartUnique/>
      </w:docPartObj>
    </w:sdtPr>
    <w:sdtEndPr>
      <w:rPr>
        <w:rStyle w:val="PageNumber"/>
      </w:rPr>
    </w:sdtEndPr>
    <w:sdtContent>
      <w:p w14:paraId="0F656F86" w14:textId="77777777" w:rsidR="008E3B44" w:rsidRDefault="008E3B44" w:rsidP="006975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75F85E92" w14:textId="77777777" w:rsidR="00992CF6" w:rsidRDefault="008E3B44" w:rsidP="003423C4">
    <w:pPr>
      <w:ind w:right="360"/>
      <w:rPr>
        <w:color w:val="000000" w:themeColor="text1"/>
        <w:sz w:val="16"/>
        <w:szCs w:val="16"/>
      </w:rPr>
    </w:pPr>
    <w:r w:rsidRPr="00535837">
      <w:rPr>
        <w:color w:val="000000" w:themeColor="text1"/>
        <w:sz w:val="16"/>
        <w:szCs w:val="16"/>
      </w:rPr>
      <w:t>ASIRF End of Facility Evaluation – Draft Report – November 2022</w:t>
    </w:r>
  </w:p>
  <w:p w14:paraId="219E1889" w14:textId="7BFB6255" w:rsidR="008E3B44" w:rsidRPr="0019005E" w:rsidRDefault="008E3B44" w:rsidP="0078423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E6911" w14:textId="77777777" w:rsidR="00374F44" w:rsidRDefault="00374F44" w:rsidP="00EB6125">
      <w:pPr>
        <w:spacing w:before="360"/>
      </w:pPr>
      <w:r>
        <w:separator/>
      </w:r>
    </w:p>
  </w:footnote>
  <w:footnote w:type="continuationSeparator" w:id="0">
    <w:p w14:paraId="3F98DFAB" w14:textId="77777777" w:rsidR="00374F44" w:rsidRPr="001E0D67" w:rsidRDefault="00374F44" w:rsidP="00832774">
      <w:pPr>
        <w:pStyle w:val="FootnoteText"/>
      </w:pPr>
    </w:p>
    <w:p w14:paraId="66C96847" w14:textId="77777777" w:rsidR="00374F44" w:rsidRDefault="00374F44" w:rsidP="00832774"/>
    <w:p w14:paraId="57B25EBB" w14:textId="77777777" w:rsidR="00374F44" w:rsidRDefault="00374F44" w:rsidP="00832774"/>
    <w:p w14:paraId="70E91E32" w14:textId="77777777" w:rsidR="00374F44" w:rsidRDefault="00374F44"/>
  </w:footnote>
  <w:footnote w:type="continuationNotice" w:id="1">
    <w:p w14:paraId="20721BB1" w14:textId="77777777" w:rsidR="00374F44" w:rsidRPr="00065090" w:rsidRDefault="00374F44" w:rsidP="00832774">
      <w:pPr>
        <w:pStyle w:val="FootnoteText"/>
      </w:pPr>
    </w:p>
    <w:p w14:paraId="549D2A91" w14:textId="77777777" w:rsidR="00374F44" w:rsidRDefault="00374F44" w:rsidP="00832774"/>
    <w:p w14:paraId="2C76F1A4" w14:textId="77777777" w:rsidR="00374F44" w:rsidRDefault="00374F44" w:rsidP="00832774"/>
    <w:p w14:paraId="6A20E8CF" w14:textId="77777777" w:rsidR="00374F44" w:rsidRDefault="00374F44"/>
  </w:footnote>
  <w:footnote w:id="2">
    <w:p w14:paraId="4A37CC84" w14:textId="2723F845" w:rsidR="008E3B44" w:rsidRPr="00611280"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 xml:space="preserve">The program was managed initially by </w:t>
      </w:r>
      <w:proofErr w:type="gramStart"/>
      <w:r w:rsidRPr="00611280">
        <w:rPr>
          <w:rFonts w:cstheme="minorHAnsi"/>
          <w:szCs w:val="14"/>
          <w:lang w:val="en-US"/>
        </w:rPr>
        <w:t>Card</w:t>
      </w:r>
      <w:r w:rsidR="00390B6F">
        <w:rPr>
          <w:rFonts w:cstheme="minorHAnsi"/>
          <w:szCs w:val="14"/>
          <w:lang w:val="en-US"/>
        </w:rPr>
        <w:t>n</w:t>
      </w:r>
      <w:r w:rsidRPr="00611280">
        <w:rPr>
          <w:rFonts w:cstheme="minorHAnsi"/>
          <w:szCs w:val="14"/>
          <w:lang w:val="en-US"/>
        </w:rPr>
        <w:t>o</w:t>
      </w:r>
      <w:proofErr w:type="gramEnd"/>
      <w:r w:rsidRPr="00611280">
        <w:rPr>
          <w:rFonts w:cstheme="minorHAnsi"/>
          <w:szCs w:val="14"/>
          <w:lang w:val="en-US"/>
        </w:rPr>
        <w:t xml:space="preserve"> but the name was changed following a takeover of the company by DT-global from September 2022.</w:t>
      </w:r>
    </w:p>
  </w:footnote>
  <w:footnote w:id="3">
    <w:p w14:paraId="22600104" w14:textId="12F06B9A" w:rsidR="008E3B44" w:rsidRPr="00611280"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The program was managed initially by Cardno</w:t>
      </w:r>
      <w:r w:rsidRPr="00611280">
        <w:rPr>
          <w:rFonts w:cstheme="minorHAnsi"/>
          <w:szCs w:val="14"/>
        </w:rPr>
        <w:t xml:space="preserve">, which </w:t>
      </w:r>
      <w:r w:rsidRPr="00611280">
        <w:rPr>
          <w:rFonts w:cstheme="minorHAnsi"/>
          <w:szCs w:val="14"/>
          <w:lang w:val="en-US"/>
        </w:rPr>
        <w:t>became part of the DT Global family of companies on 30 June 2022 and officially changed its name to DT Global effective 1 September 2022.</w:t>
      </w:r>
    </w:p>
  </w:footnote>
  <w:footnote w:id="4">
    <w:p w14:paraId="04E26678" w14:textId="77777777" w:rsidR="00825572"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Scenario 1 is that DFAT elects to extend the ASIRF head contract. Scenario 2 is that the ASIRF head contract ends 31 Dec</w:t>
      </w:r>
      <w:r w:rsidR="00390B6F">
        <w:rPr>
          <w:rFonts w:cstheme="minorHAnsi"/>
          <w:szCs w:val="14"/>
          <w:lang w:val="en-US"/>
        </w:rPr>
        <w:t>ember</w:t>
      </w:r>
      <w:r w:rsidRPr="00611280">
        <w:rPr>
          <w:rFonts w:cstheme="minorHAnsi"/>
          <w:szCs w:val="14"/>
          <w:lang w:val="en-US"/>
        </w:rPr>
        <w:t xml:space="preserve"> 2021, and a handover will be required.</w:t>
      </w:r>
    </w:p>
    <w:p w14:paraId="17EDF646" w14:textId="77777777" w:rsidR="00825572" w:rsidRDefault="00825572" w:rsidP="00611280">
      <w:pPr>
        <w:pStyle w:val="FootnoteText"/>
        <w:spacing w:before="0" w:after="0"/>
        <w:ind w:left="284" w:hanging="284"/>
        <w:rPr>
          <w:rFonts w:cstheme="minorHAnsi"/>
          <w:szCs w:val="14"/>
          <w:lang w:val="en-US"/>
        </w:rPr>
      </w:pPr>
    </w:p>
    <w:p w14:paraId="1F0DA5E9" w14:textId="77777777" w:rsidR="00825572" w:rsidRDefault="00825572" w:rsidP="00611280">
      <w:pPr>
        <w:pStyle w:val="FootnoteText"/>
        <w:spacing w:before="0" w:after="0"/>
        <w:ind w:left="284" w:hanging="284"/>
        <w:rPr>
          <w:rFonts w:cstheme="minorHAnsi"/>
          <w:szCs w:val="14"/>
          <w:lang w:val="en-US"/>
        </w:rPr>
      </w:pPr>
    </w:p>
    <w:p w14:paraId="69A2A43F" w14:textId="77777777" w:rsidR="00825572" w:rsidRDefault="00825572" w:rsidP="00611280">
      <w:pPr>
        <w:pStyle w:val="FootnoteText"/>
        <w:spacing w:before="0" w:after="0"/>
        <w:ind w:left="284" w:hanging="284"/>
        <w:rPr>
          <w:rFonts w:cstheme="minorHAnsi"/>
          <w:szCs w:val="14"/>
          <w:lang w:val="en-US"/>
        </w:rPr>
      </w:pPr>
    </w:p>
    <w:p w14:paraId="5813B71D" w14:textId="5CA427F6" w:rsidR="008E3B44" w:rsidRPr="00611280" w:rsidRDefault="008E3B44" w:rsidP="00611280">
      <w:pPr>
        <w:pStyle w:val="FootnoteText"/>
        <w:spacing w:before="0" w:after="0"/>
        <w:ind w:left="284" w:hanging="284"/>
        <w:rPr>
          <w:rFonts w:cstheme="minorHAnsi"/>
          <w:szCs w:val="14"/>
          <w:lang w:val="en-US"/>
        </w:rPr>
      </w:pPr>
      <w:r w:rsidRPr="00611280">
        <w:rPr>
          <w:rFonts w:cstheme="minorHAnsi"/>
          <w:szCs w:val="14"/>
          <w:lang w:val="en-US"/>
        </w:rPr>
        <w:t xml:space="preserve"> </w:t>
      </w:r>
    </w:p>
  </w:footnote>
  <w:footnote w:id="5">
    <w:p w14:paraId="0764CA60" w14:textId="37776E3F" w:rsidR="008E3B44" w:rsidRPr="00611280"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 xml:space="preserve">Please refer to the ASIRF COVID-19 Study and </w:t>
      </w:r>
      <w:r w:rsidR="00013A41">
        <w:rPr>
          <w:rFonts w:cstheme="minorHAnsi"/>
          <w:szCs w:val="14"/>
          <w:lang w:val="en-US"/>
        </w:rPr>
        <w:t>six-monthly report</w:t>
      </w:r>
      <w:r w:rsidRPr="00611280">
        <w:rPr>
          <w:rFonts w:cstheme="minorHAnsi"/>
          <w:szCs w:val="14"/>
          <w:lang w:val="en-US"/>
        </w:rPr>
        <w:t xml:space="preserve"> July-December 2021 which contained adviser feedback on ASIRF performance.</w:t>
      </w:r>
    </w:p>
  </w:footnote>
  <w:footnote w:id="6">
    <w:p w14:paraId="40B47B7F" w14:textId="2AAACB89" w:rsidR="008E3B44" w:rsidRPr="00611280"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An alternative model would be whereby all SOs are managed by individual managing contractors. This would create duplicitous efforts (i.e., each program having a procurement, finance, and human resource adviser). Management costs are also saved through less management fees. Costs are also saved by having less advisers in country which also places strains on other resources such as housing and accommodation, vehicles, and other consumer requirements.</w:t>
      </w:r>
    </w:p>
  </w:footnote>
  <w:footnote w:id="7">
    <w:p w14:paraId="66F2A0EF" w14:textId="39540E8B" w:rsidR="008E3B44" w:rsidRPr="00611280" w:rsidRDefault="008E3B44" w:rsidP="00611280">
      <w:pPr>
        <w:pStyle w:val="FootnoteText"/>
        <w:spacing w:before="0" w:after="0"/>
        <w:ind w:left="284" w:hanging="284"/>
        <w:rPr>
          <w:rFonts w:cstheme="minorHAnsi"/>
          <w:szCs w:val="14"/>
          <w:lang w:val="en-US"/>
        </w:rPr>
      </w:pPr>
      <w:r w:rsidRPr="00611280">
        <w:rPr>
          <w:rStyle w:val="FootnoteReference"/>
          <w:rFonts w:cstheme="minorHAnsi"/>
          <w:sz w:val="14"/>
          <w:szCs w:val="14"/>
          <w:vertAlign w:val="baseline"/>
        </w:rPr>
        <w:footnoteRef/>
      </w:r>
      <w:r w:rsidRPr="00611280">
        <w:rPr>
          <w:rFonts w:cstheme="minorHAnsi"/>
          <w:szCs w:val="14"/>
        </w:rPr>
        <w:t xml:space="preserve"> </w:t>
      </w:r>
      <w:r w:rsidR="00207D5A" w:rsidRPr="00611280">
        <w:rPr>
          <w:rFonts w:cstheme="minorHAnsi"/>
          <w:szCs w:val="14"/>
        </w:rPr>
        <w:tab/>
      </w:r>
      <w:r w:rsidRPr="00611280">
        <w:rPr>
          <w:rFonts w:cstheme="minorHAnsi"/>
          <w:szCs w:val="14"/>
          <w:lang w:val="en-US"/>
        </w:rPr>
        <w:t xml:space="preserve">Refer to ASIRF Value for Money Assessment </w:t>
      </w:r>
      <w:r w:rsidR="00E9512A" w:rsidRPr="00611280">
        <w:rPr>
          <w:rFonts w:cstheme="minorHAnsi"/>
          <w:szCs w:val="14"/>
          <w:lang w:val="en-US"/>
        </w:rPr>
        <w:t>Report Final</w:t>
      </w:r>
    </w:p>
  </w:footnote>
  <w:footnote w:id="8">
    <w:p w14:paraId="0C6D0DE1" w14:textId="62E14AA3" w:rsidR="008E3B44" w:rsidRPr="00611280" w:rsidRDefault="008E3B44" w:rsidP="0083435D">
      <w:pPr>
        <w:ind w:left="284" w:hanging="284"/>
        <w:jc w:val="both"/>
        <w:rPr>
          <w:rFonts w:cstheme="minorHAnsi"/>
          <w:szCs w:val="14"/>
          <w:lang w:val="en-US"/>
        </w:rPr>
      </w:pPr>
      <w:r w:rsidRPr="00611280">
        <w:rPr>
          <w:rStyle w:val="FootnoteReference"/>
          <w:rFonts w:cstheme="minorHAnsi"/>
          <w:sz w:val="14"/>
          <w:szCs w:val="14"/>
          <w:vertAlign w:val="baseline"/>
        </w:rPr>
        <w:footnoteRef/>
      </w:r>
      <w:r w:rsidRPr="00611280">
        <w:rPr>
          <w:rFonts w:asciiTheme="minorHAnsi" w:hAnsiTheme="minorHAnsi" w:cstheme="minorHAnsi"/>
          <w:sz w:val="14"/>
          <w:szCs w:val="14"/>
        </w:rPr>
        <w:t xml:space="preserve"> </w:t>
      </w:r>
      <w:r w:rsidR="00207D5A" w:rsidRPr="00611280">
        <w:rPr>
          <w:rFonts w:asciiTheme="minorHAnsi" w:hAnsiTheme="minorHAnsi" w:cstheme="minorHAnsi"/>
          <w:sz w:val="14"/>
          <w:szCs w:val="14"/>
        </w:rPr>
        <w:tab/>
      </w:r>
      <w:r w:rsidRPr="00611280">
        <w:rPr>
          <w:rFonts w:asciiTheme="minorHAnsi" w:hAnsiTheme="minorHAnsi" w:cstheme="minorHAnsi"/>
          <w:sz w:val="14"/>
          <w:szCs w:val="14"/>
        </w:rPr>
        <w:t xml:space="preserve">The assessment included a survey of long-term advisers undertaken in May-June 2021, and interviews with a small number of purposively selected advisers, ASIRF management staff, and staff from Cardno. For the first data collection round, 22 of the 44 long-term advisers employed as of April 2020 responded to the survey (12 male, 7 female and 3 who did not reveal gender). For the second data round, a total of 26 advisers (13 male, 11 female and </w:t>
      </w:r>
      <w:r w:rsidR="005E3564">
        <w:rPr>
          <w:rFonts w:asciiTheme="minorHAnsi" w:hAnsiTheme="minorHAnsi" w:cstheme="minorHAnsi"/>
          <w:sz w:val="14"/>
          <w:szCs w:val="14"/>
        </w:rPr>
        <w:t>two</w:t>
      </w:r>
      <w:r w:rsidRPr="00611280">
        <w:rPr>
          <w:rFonts w:asciiTheme="minorHAnsi" w:hAnsiTheme="minorHAnsi" w:cstheme="minorHAnsi"/>
          <w:sz w:val="14"/>
          <w:szCs w:val="14"/>
        </w:rPr>
        <w:t xml:space="preserve"> who did not reveal gender) responded to the survey. The same approach was used as the first data collection round. No advisers were interviewed in the second round.</w:t>
      </w:r>
    </w:p>
  </w:footnote>
  <w:footnote w:id="9">
    <w:p w14:paraId="19D75AD9" w14:textId="77777777" w:rsidR="00825572" w:rsidRDefault="0083435D" w:rsidP="00611280">
      <w:pPr>
        <w:pStyle w:val="FootnoteText"/>
        <w:spacing w:before="0" w:after="0"/>
        <w:ind w:left="284" w:hanging="284"/>
        <w:rPr>
          <w:rFonts w:cstheme="minorHAnsi"/>
          <w:szCs w:val="14"/>
        </w:rPr>
      </w:pPr>
      <w:r w:rsidRPr="00611280">
        <w:rPr>
          <w:rStyle w:val="FootnoteReference"/>
          <w:rFonts w:cstheme="minorHAnsi"/>
          <w:sz w:val="14"/>
          <w:szCs w:val="14"/>
          <w:vertAlign w:val="baseline"/>
        </w:rPr>
        <w:footnoteRef/>
      </w:r>
      <w:r w:rsidRPr="00611280">
        <w:rPr>
          <w:rFonts w:cstheme="minorHAnsi"/>
          <w:szCs w:val="14"/>
        </w:rPr>
        <w:t xml:space="preserve"> </w:t>
      </w:r>
      <w:r w:rsidRPr="00611280">
        <w:rPr>
          <w:rFonts w:cstheme="minorHAnsi"/>
          <w:szCs w:val="14"/>
        </w:rPr>
        <w:tab/>
      </w:r>
      <w:r w:rsidRPr="00611280">
        <w:rPr>
          <w:rFonts w:cstheme="minorHAnsi"/>
          <w:color w:val="000000"/>
          <w:szCs w:val="14"/>
          <w:lang w:eastAsia="en-AU" w:bidi="lo-LA"/>
        </w:rPr>
        <w:t>The Report is required to meet DFAT Aid Program Monitoring and Review Standards</w:t>
      </w:r>
      <w:r w:rsidRPr="00611280">
        <w:rPr>
          <w:rFonts w:cstheme="minorHAnsi"/>
          <w:szCs w:val="14"/>
        </w:rPr>
        <w:t xml:space="preserve"> (</w:t>
      </w:r>
      <w:hyperlink r:id="rId1" w:history="1">
        <w:r w:rsidRPr="00611280">
          <w:rPr>
            <w:rStyle w:val="Hyperlink"/>
            <w:rFonts w:cstheme="minorHAnsi"/>
            <w:szCs w:val="14"/>
          </w:rPr>
          <w:t>Independent Review Reports - Standard 6</w:t>
        </w:r>
      </w:hyperlink>
      <w:r w:rsidRPr="00611280">
        <w:rPr>
          <w:rFonts w:cstheme="minorHAnsi"/>
          <w:szCs w:val="14"/>
        </w:rPr>
        <w:t>)</w:t>
      </w:r>
    </w:p>
    <w:p w14:paraId="30BA75B5" w14:textId="7C81C7B5" w:rsidR="0083435D" w:rsidRPr="00611280" w:rsidRDefault="0083435D" w:rsidP="00611280">
      <w:pPr>
        <w:pStyle w:val="FootnoteText"/>
        <w:spacing w:before="0" w:after="0"/>
        <w:ind w:left="284" w:hanging="284"/>
        <w:rPr>
          <w:rFonts w:cstheme="minorHAnsi"/>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AE5C" w14:textId="4C86BAFE" w:rsidR="00AE1CA7" w:rsidRDefault="00656D85" w:rsidP="00656D85">
    <w:r>
      <w:rPr>
        <w:rFonts w:ascii="Arial Black" w:eastAsia="Arial Unicode MS" w:hAnsi="Arial Black" w:cs="Arial Unicode MS"/>
        <w:b/>
        <w:color w:val="243748"/>
        <w:sz w:val="56"/>
        <w:szCs w:val="56"/>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01C3" w14:textId="77777777" w:rsidR="00AE1CA7" w:rsidRPr="00825572" w:rsidRDefault="00AE1CA7" w:rsidP="00825572">
    <w:pPr>
      <w:pStyle w:val="Header"/>
      <w:spacing w:before="0" w:after="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157"/>
    <w:multiLevelType w:val="multilevel"/>
    <w:tmpl w:val="3B7C4CEE"/>
    <w:lvl w:ilvl="0">
      <w:start w:val="1"/>
      <w:numFmt w:val="decimal"/>
      <w:lvlText w:val="Table %1"/>
      <w:lvlJc w:val="left"/>
      <w:pPr>
        <w:tabs>
          <w:tab w:val="num" w:pos="1985"/>
        </w:tabs>
        <w:ind w:left="1985" w:hanging="1134"/>
      </w:pPr>
      <w:rPr>
        <w:rFonts w:hint="default"/>
      </w:rPr>
    </w:lvl>
    <w:lvl w:ilvl="1">
      <w:start w:val="1"/>
      <w:numFmt w:val="decimal"/>
      <w:lvlRestart w:val="0"/>
      <w:lvlText w:val="Figure %2"/>
      <w:lvlJc w:val="left"/>
      <w:pPr>
        <w:tabs>
          <w:tab w:val="num" w:pos="1843"/>
        </w:tabs>
        <w:ind w:left="1843"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611547"/>
    <w:multiLevelType w:val="multilevel"/>
    <w:tmpl w:val="D590A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A2875"/>
    <w:multiLevelType w:val="hybridMultilevel"/>
    <w:tmpl w:val="9BD6CC00"/>
    <w:lvl w:ilvl="0" w:tplc="11149086">
      <w:start w:val="1"/>
      <w:numFmt w:val="bullet"/>
      <w:pStyle w:val="shadedlist"/>
      <w:lvlText w:val=""/>
      <w:lvlJc w:val="left"/>
      <w:pPr>
        <w:ind w:left="890" w:hanging="360"/>
      </w:pPr>
      <w:rPr>
        <w:rFonts w:ascii="Wingdings" w:hAnsi="Wingdings"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26512E3"/>
    <w:multiLevelType w:val="multilevel"/>
    <w:tmpl w:val="A574C022"/>
    <w:lvl w:ilvl="0">
      <w:start w:val="1"/>
      <w:numFmt w:val="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4" w15:restartNumberingAfterBreak="0">
    <w:nsid w:val="0566423E"/>
    <w:multiLevelType w:val="hybridMultilevel"/>
    <w:tmpl w:val="E7C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E641F"/>
    <w:multiLevelType w:val="hybridMultilevel"/>
    <w:tmpl w:val="920C6B4C"/>
    <w:lvl w:ilvl="0" w:tplc="DBA02176">
      <w:start w:val="1"/>
      <w:numFmt w:val="bullet"/>
      <w:pStyle w:val="TableBullet"/>
      <w:lvlText w:val="‒"/>
      <w:lvlJc w:val="left"/>
      <w:pPr>
        <w:ind w:left="360" w:hanging="360"/>
      </w:pPr>
      <w:rPr>
        <w:rFonts w:ascii="Arial" w:hAnsi="Aria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5A4DF1"/>
    <w:multiLevelType w:val="hybridMultilevel"/>
    <w:tmpl w:val="BE0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3642A"/>
    <w:multiLevelType w:val="hybridMultilevel"/>
    <w:tmpl w:val="5E22AB80"/>
    <w:lvl w:ilvl="0" w:tplc="0C5C88C6">
      <w:start w:val="1"/>
      <w:numFmt w:val="decimal"/>
      <w:pStyle w:val="ANNEXHEADING"/>
      <w:lvlText w:val="Annex %1"/>
      <w:lvlJc w:val="left"/>
      <w:pPr>
        <w:ind w:left="1985" w:hanging="198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54002B"/>
    <w:multiLevelType w:val="multilevel"/>
    <w:tmpl w:val="39FCE174"/>
    <w:lvl w:ilvl="0">
      <w:start w:val="1"/>
      <w:numFmt w:val="decimal"/>
      <w:lvlText w:val="%1."/>
      <w:lvlJc w:val="left"/>
      <w:pPr>
        <w:ind w:left="708" w:hanging="567"/>
      </w:pPr>
      <w:rPr>
        <w:rFonts w:hint="default"/>
      </w:rPr>
    </w:lvl>
    <w:lvl w:ilvl="1">
      <w:start w:val="1"/>
      <w:numFmt w:val="decimal"/>
      <w:lvlText w:val="%1.%2"/>
      <w:lvlJc w:val="left"/>
      <w:pPr>
        <w:tabs>
          <w:tab w:val="num" w:pos="708"/>
        </w:tabs>
        <w:ind w:left="708" w:hanging="567"/>
      </w:pPr>
      <w:rPr>
        <w:rFonts w:hint="default"/>
      </w:rPr>
    </w:lvl>
    <w:lvl w:ilvl="2">
      <w:start w:val="1"/>
      <w:numFmt w:val="decimal"/>
      <w:lvlText w:val="%1.%2.%3"/>
      <w:lvlJc w:val="left"/>
      <w:pPr>
        <w:tabs>
          <w:tab w:val="num" w:pos="708"/>
        </w:tabs>
        <w:ind w:left="708" w:hanging="567"/>
      </w:pPr>
      <w:rPr>
        <w:rFonts w:hint="default"/>
      </w:rPr>
    </w:lvl>
    <w:lvl w:ilvl="3">
      <w:start w:val="1"/>
      <w:numFmt w:val="none"/>
      <w:suff w:val="nothing"/>
      <w:lvlText w:val=""/>
      <w:lvlJc w:val="left"/>
      <w:pPr>
        <w:ind w:left="708" w:hanging="567"/>
      </w:pPr>
      <w:rPr>
        <w:rFonts w:hint="default"/>
      </w:rPr>
    </w:lvl>
    <w:lvl w:ilvl="4">
      <w:start w:val="1"/>
      <w:numFmt w:val="lowerLetter"/>
      <w:lvlText w:val="(%5)"/>
      <w:lvlJc w:val="left"/>
      <w:pPr>
        <w:tabs>
          <w:tab w:val="num" w:pos="1388"/>
        </w:tabs>
        <w:ind w:left="708" w:hanging="567"/>
      </w:pPr>
      <w:rPr>
        <w:rFonts w:hint="default"/>
      </w:rPr>
    </w:lvl>
    <w:lvl w:ilvl="5">
      <w:start w:val="1"/>
      <w:numFmt w:val="lowerRoman"/>
      <w:lvlText w:val="(%6)"/>
      <w:lvlJc w:val="left"/>
      <w:pPr>
        <w:tabs>
          <w:tab w:val="num" w:pos="1785"/>
        </w:tabs>
        <w:ind w:left="708" w:hanging="567"/>
      </w:pPr>
      <w:rPr>
        <w:rFonts w:hint="default"/>
      </w:rPr>
    </w:lvl>
    <w:lvl w:ilvl="6">
      <w:start w:val="1"/>
      <w:numFmt w:val="none"/>
      <w:lvlText w:val=""/>
      <w:lvlJc w:val="left"/>
      <w:pPr>
        <w:ind w:left="708" w:hanging="567"/>
      </w:pPr>
      <w:rPr>
        <w:rFonts w:hint="default"/>
      </w:rPr>
    </w:lvl>
    <w:lvl w:ilvl="7">
      <w:start w:val="1"/>
      <w:numFmt w:val="none"/>
      <w:lvlText w:val=""/>
      <w:lvlJc w:val="left"/>
      <w:pPr>
        <w:ind w:left="708" w:hanging="567"/>
      </w:pPr>
      <w:rPr>
        <w:rFonts w:hint="default"/>
      </w:rPr>
    </w:lvl>
    <w:lvl w:ilvl="8">
      <w:start w:val="1"/>
      <w:numFmt w:val="none"/>
      <w:lvlText w:val=""/>
      <w:lvlJc w:val="left"/>
      <w:pPr>
        <w:ind w:left="708" w:hanging="567"/>
      </w:pPr>
      <w:rPr>
        <w:rFonts w:hint="default"/>
      </w:rPr>
    </w:lvl>
  </w:abstractNum>
  <w:abstractNum w:abstractNumId="9" w15:restartNumberingAfterBreak="0">
    <w:nsid w:val="13276E05"/>
    <w:multiLevelType w:val="hybridMultilevel"/>
    <w:tmpl w:val="0294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B3D37"/>
    <w:multiLevelType w:val="multilevel"/>
    <w:tmpl w:val="475C0DF4"/>
    <w:numStyleLink w:val="ListNoHeading"/>
  </w:abstractNum>
  <w:abstractNum w:abstractNumId="11" w15:restartNumberingAfterBreak="0">
    <w:nsid w:val="181E72A9"/>
    <w:multiLevelType w:val="multilevel"/>
    <w:tmpl w:val="475C0DF4"/>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1.%2.%3.%4.%5"/>
      <w:lvlJc w:val="left"/>
      <w:pPr>
        <w:tabs>
          <w:tab w:val="num" w:pos="1077"/>
        </w:tabs>
        <w:ind w:left="1077" w:hanging="1077"/>
      </w:pPr>
      <w:rPr>
        <w:rFonts w:hint="default"/>
      </w:rPr>
    </w:lvl>
    <w:lvl w:ilvl="5">
      <w:start w:val="1"/>
      <w:numFmt w:val="decimal"/>
      <w:lvlRestart w:val="1"/>
      <w:lvlText w:val="Figure %1-%6"/>
      <w:lvlJc w:val="left"/>
      <w:pPr>
        <w:tabs>
          <w:tab w:val="num" w:pos="1418"/>
        </w:tabs>
        <w:ind w:left="1418"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3" w15:restartNumberingAfterBreak="0">
    <w:nsid w:val="2D752584"/>
    <w:multiLevelType w:val="hybridMultilevel"/>
    <w:tmpl w:val="643A9970"/>
    <w:lvl w:ilvl="0" w:tplc="D092EB1C">
      <w:start w:val="1"/>
      <w:numFmt w:val="bullet"/>
      <w:pStyle w:val="ListBullet"/>
      <w:lvlText w:val=""/>
      <w:lvlJc w:val="left"/>
      <w:pPr>
        <w:ind w:left="284" w:hanging="284"/>
      </w:pPr>
      <w:rPr>
        <w:rFonts w:ascii="Wingdings" w:hAnsi="Wingdings" w:hint="default"/>
        <w:color w:val="47827E"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4E6B4B"/>
    <w:multiLevelType w:val="hybridMultilevel"/>
    <w:tmpl w:val="DC3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797320"/>
    <w:multiLevelType w:val="hybridMultilevel"/>
    <w:tmpl w:val="AFD0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A5F57"/>
    <w:multiLevelType w:val="multilevel"/>
    <w:tmpl w:val="464E816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b w:val="0"/>
      </w:rPr>
    </w:lvl>
    <w:lvl w:ilvl="2">
      <w:start w:val="1"/>
      <w:numFmt w:val="decimal"/>
      <w:pStyle w:val="Heading3"/>
      <w:lvlText w:val="%1.%2.%3"/>
      <w:lvlJc w:val="left"/>
      <w:pPr>
        <w:ind w:left="851" w:hanging="851"/>
      </w:pPr>
      <w:rPr>
        <w:rFonts w:hint="default"/>
        <w:b/>
        <w:bCs/>
      </w:rPr>
    </w:lvl>
    <w:lvl w:ilvl="3">
      <w:start w:val="1"/>
      <w:numFmt w:val="none"/>
      <w:lvlText w:val=""/>
      <w:lvlJc w:val="left"/>
      <w:pPr>
        <w:ind w:left="0" w:firstLine="0"/>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7" w15:restartNumberingAfterBreak="0">
    <w:nsid w:val="35ED1617"/>
    <w:multiLevelType w:val="multilevel"/>
    <w:tmpl w:val="43428892"/>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398552B6"/>
    <w:multiLevelType w:val="hybridMultilevel"/>
    <w:tmpl w:val="D7706C04"/>
    <w:lvl w:ilvl="0" w:tplc="702CC3A6">
      <w:start w:val="1"/>
      <w:numFmt w:val="bullet"/>
      <w:lvlText w:val=""/>
      <w:lvlJc w:val="left"/>
      <w:pPr>
        <w:ind w:left="284" w:hanging="284"/>
      </w:pPr>
      <w:rPr>
        <w:rFonts w:ascii="Wingdings" w:hAnsi="Wingdings" w:hint="default"/>
        <w:color w:val="47827E" w:themeColor="accent1"/>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3EA806EE"/>
    <w:multiLevelType w:val="multilevel"/>
    <w:tmpl w:val="FD0A1902"/>
    <w:lvl w:ilvl="0">
      <w:start w:val="1"/>
      <w:numFmt w:val="none"/>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20" w15:restartNumberingAfterBreak="0">
    <w:nsid w:val="3F804768"/>
    <w:multiLevelType w:val="multilevel"/>
    <w:tmpl w:val="43428892"/>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56E512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76A75AA"/>
    <w:multiLevelType w:val="hybridMultilevel"/>
    <w:tmpl w:val="739E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52E75"/>
    <w:multiLevelType w:val="multilevel"/>
    <w:tmpl w:val="955EE248"/>
    <w:styleLink w:val="NumberedList"/>
    <w:lvl w:ilvl="0">
      <w:start w:val="1"/>
      <w:numFmt w:val="decimal"/>
      <w:lvlText w:val="%1."/>
      <w:lvlJc w:val="left"/>
      <w:pPr>
        <w:ind w:left="357" w:hanging="357"/>
      </w:pPr>
      <w:rPr>
        <w:rFonts w:hint="default"/>
        <w:b w:val="0"/>
        <w:i w:val="0"/>
        <w:color w:val="auto"/>
      </w:rPr>
    </w:lvl>
    <w:lvl w:ilvl="1">
      <w:start w:val="1"/>
      <w:numFmt w:val="lowerLetter"/>
      <w:lvlText w:val="%2."/>
      <w:lvlJc w:val="left"/>
      <w:pPr>
        <w:ind w:left="714" w:hanging="357"/>
      </w:pPr>
      <w:rPr>
        <w:rFonts w:hint="default"/>
        <w:b w:val="0"/>
        <w:i w:val="0"/>
        <w:color w:val="auto"/>
      </w:rPr>
    </w:lvl>
    <w:lvl w:ilvl="2">
      <w:start w:val="1"/>
      <w:numFmt w:val="lowerRoman"/>
      <w:lvlText w:val="%3."/>
      <w:lvlJc w:val="left"/>
      <w:pPr>
        <w:ind w:left="1071" w:hanging="357"/>
      </w:pPr>
      <w:rPr>
        <w:rFonts w:hint="default"/>
      </w:rPr>
    </w:lvl>
    <w:lvl w:ilvl="3">
      <w:start w:val="1"/>
      <w:numFmt w:val="none"/>
      <w:lvlText w:val=""/>
      <w:lvlJc w:val="left"/>
      <w:pPr>
        <w:tabs>
          <w:tab w:val="num" w:pos="1072"/>
        </w:tabs>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4" w15:restartNumberingAfterBreak="0">
    <w:nsid w:val="4F204247"/>
    <w:multiLevelType w:val="multilevel"/>
    <w:tmpl w:val="3F90F17C"/>
    <w:lvl w:ilvl="0">
      <w:start w:val="1"/>
      <w:numFmt w:val="decimal"/>
      <w:pStyle w:val="ListBullet4"/>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EF434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CD57D9"/>
    <w:multiLevelType w:val="hybridMultilevel"/>
    <w:tmpl w:val="E536D4B4"/>
    <w:lvl w:ilvl="0" w:tplc="2B8E332A">
      <w:start w:val="1"/>
      <w:numFmt w:val="decimal"/>
      <w:pStyle w:val="ListNumber"/>
      <w:lvlText w:val="%1."/>
      <w:lvlJc w:val="left"/>
      <w:pPr>
        <w:ind w:left="284" w:hanging="284"/>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294ABA"/>
    <w:multiLevelType w:val="multilevel"/>
    <w:tmpl w:val="4ECC39C6"/>
    <w:lvl w:ilvl="0">
      <w:start w:val="1"/>
      <w:numFmt w:val="bullet"/>
      <w:lvlText w:val=""/>
      <w:lvlJc w:val="left"/>
      <w:pPr>
        <w:ind w:left="357" w:hanging="357"/>
      </w:pPr>
      <w:rPr>
        <w:rFonts w:ascii="Wingdings" w:hAnsi="Wingdings" w:hint="default"/>
        <w:color w:val="47827E" w:themeColor="accent1"/>
      </w:rPr>
    </w:lvl>
    <w:lvl w:ilvl="1">
      <w:start w:val="1"/>
      <w:numFmt w:val="bullet"/>
      <w:pStyle w:val="ListBullet2"/>
      <w:lvlText w:val="–"/>
      <w:lvlJc w:val="left"/>
      <w:pPr>
        <w:tabs>
          <w:tab w:val="num" w:pos="714"/>
        </w:tabs>
        <w:ind w:left="714" w:hanging="357"/>
      </w:pPr>
      <w:rPr>
        <w:rFonts w:ascii="Calibri" w:hAnsi="Calibri" w:hint="default"/>
        <w:b/>
        <w:i w:val="0"/>
        <w:color w:val="47827E" w:themeColor="accent1"/>
      </w:rPr>
    </w:lvl>
    <w:lvl w:ilvl="2">
      <w:start w:val="1"/>
      <w:numFmt w:val="bullet"/>
      <w:pStyle w:val="ListBullet3"/>
      <w:lvlText w:val="○"/>
      <w:lvlJc w:val="left"/>
      <w:pPr>
        <w:ind w:left="1071" w:hanging="357"/>
      </w:pPr>
      <w:rPr>
        <w:rFonts w:ascii="Calibri" w:hAnsi="Calibri" w:hint="default"/>
        <w:b/>
        <w:i w:val="0"/>
        <w:color w:val="3D3C42" w:themeColor="text2"/>
      </w:rPr>
    </w:lvl>
    <w:lvl w:ilvl="3">
      <w:start w:val="1"/>
      <w:numFmt w:val="bullet"/>
      <w:lvlText w:val="−"/>
      <w:lvlJc w:val="left"/>
      <w:pPr>
        <w:ind w:left="1428" w:hanging="357"/>
      </w:pPr>
      <w:rPr>
        <w:rFonts w:ascii="Calibri" w:hAnsi="Calibri" w:hint="default"/>
        <w:color w:val="3D3C42" w:themeColor="text2"/>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28" w15:restartNumberingAfterBreak="0">
    <w:nsid w:val="5F352D74"/>
    <w:multiLevelType w:val="hybridMultilevel"/>
    <w:tmpl w:val="0A582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D1F93"/>
    <w:multiLevelType w:val="multilevel"/>
    <w:tmpl w:val="06E83C3A"/>
    <w:styleLink w:val="AlphaList"/>
    <w:lvl w:ilvl="0">
      <w:start w:val="1"/>
      <w:numFmt w:val="lowerLetter"/>
      <w:lvlText w:val="%1."/>
      <w:lvlJc w:val="left"/>
      <w:pPr>
        <w:ind w:left="227" w:hanging="227"/>
      </w:pPr>
      <w:rPr>
        <w:rFonts w:hint="default"/>
      </w:rPr>
    </w:lvl>
    <w:lvl w:ilvl="1">
      <w:start w:val="1"/>
      <w:numFmt w:val="lowerRoman"/>
      <w:lvlText w:val="%2."/>
      <w:lvlJc w:val="left"/>
      <w:pPr>
        <w:ind w:left="454" w:hanging="227"/>
      </w:pPr>
      <w:rPr>
        <w:rFonts w:hint="default"/>
      </w:rPr>
    </w:lvl>
    <w:lvl w:ilvl="2">
      <w:start w:val="1"/>
      <w:numFmt w:val="decimal"/>
      <w:lvlText w:val="%3."/>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0" w15:restartNumberingAfterBreak="0">
    <w:nsid w:val="64BD6FEE"/>
    <w:multiLevelType w:val="hybridMultilevel"/>
    <w:tmpl w:val="B060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10828"/>
    <w:multiLevelType w:val="multilevel"/>
    <w:tmpl w:val="39FCE174"/>
    <w:lvl w:ilvl="0">
      <w:start w:val="1"/>
      <w:numFmt w:val="decimal"/>
      <w:lvlText w:val="%1."/>
      <w:lvlJc w:val="left"/>
      <w:pPr>
        <w:ind w:left="708" w:hanging="567"/>
      </w:pPr>
      <w:rPr>
        <w:rFonts w:hint="default"/>
      </w:rPr>
    </w:lvl>
    <w:lvl w:ilvl="1">
      <w:start w:val="1"/>
      <w:numFmt w:val="decimal"/>
      <w:lvlText w:val="%1.%2"/>
      <w:lvlJc w:val="left"/>
      <w:pPr>
        <w:tabs>
          <w:tab w:val="num" w:pos="708"/>
        </w:tabs>
        <w:ind w:left="708" w:hanging="567"/>
      </w:pPr>
      <w:rPr>
        <w:rFonts w:hint="default"/>
      </w:rPr>
    </w:lvl>
    <w:lvl w:ilvl="2">
      <w:start w:val="1"/>
      <w:numFmt w:val="decimal"/>
      <w:lvlText w:val="%1.%2.%3"/>
      <w:lvlJc w:val="left"/>
      <w:pPr>
        <w:tabs>
          <w:tab w:val="num" w:pos="708"/>
        </w:tabs>
        <w:ind w:left="708" w:hanging="567"/>
      </w:pPr>
      <w:rPr>
        <w:rFonts w:hint="default"/>
      </w:rPr>
    </w:lvl>
    <w:lvl w:ilvl="3">
      <w:start w:val="1"/>
      <w:numFmt w:val="none"/>
      <w:suff w:val="nothing"/>
      <w:lvlText w:val=""/>
      <w:lvlJc w:val="left"/>
      <w:pPr>
        <w:ind w:left="708" w:hanging="567"/>
      </w:pPr>
      <w:rPr>
        <w:rFonts w:hint="default"/>
      </w:rPr>
    </w:lvl>
    <w:lvl w:ilvl="4">
      <w:start w:val="1"/>
      <w:numFmt w:val="lowerLetter"/>
      <w:lvlText w:val="(%5)"/>
      <w:lvlJc w:val="left"/>
      <w:pPr>
        <w:tabs>
          <w:tab w:val="num" w:pos="1388"/>
        </w:tabs>
        <w:ind w:left="708" w:hanging="567"/>
      </w:pPr>
      <w:rPr>
        <w:rFonts w:hint="default"/>
      </w:rPr>
    </w:lvl>
    <w:lvl w:ilvl="5">
      <w:start w:val="1"/>
      <w:numFmt w:val="lowerRoman"/>
      <w:lvlText w:val="(%6)"/>
      <w:lvlJc w:val="left"/>
      <w:pPr>
        <w:tabs>
          <w:tab w:val="num" w:pos="1785"/>
        </w:tabs>
        <w:ind w:left="708" w:hanging="567"/>
      </w:pPr>
      <w:rPr>
        <w:rFonts w:hint="default"/>
      </w:rPr>
    </w:lvl>
    <w:lvl w:ilvl="6">
      <w:start w:val="1"/>
      <w:numFmt w:val="none"/>
      <w:lvlText w:val=""/>
      <w:lvlJc w:val="left"/>
      <w:pPr>
        <w:ind w:left="708" w:hanging="567"/>
      </w:pPr>
      <w:rPr>
        <w:rFonts w:hint="default"/>
      </w:rPr>
    </w:lvl>
    <w:lvl w:ilvl="7">
      <w:start w:val="1"/>
      <w:numFmt w:val="none"/>
      <w:lvlText w:val=""/>
      <w:lvlJc w:val="left"/>
      <w:pPr>
        <w:ind w:left="708" w:hanging="567"/>
      </w:pPr>
      <w:rPr>
        <w:rFonts w:hint="default"/>
      </w:rPr>
    </w:lvl>
    <w:lvl w:ilvl="8">
      <w:start w:val="1"/>
      <w:numFmt w:val="none"/>
      <w:lvlText w:val=""/>
      <w:lvlJc w:val="left"/>
      <w:pPr>
        <w:ind w:left="708" w:hanging="567"/>
      </w:pPr>
      <w:rPr>
        <w:rFonts w:hint="default"/>
      </w:rPr>
    </w:lvl>
  </w:abstractNum>
  <w:abstractNum w:abstractNumId="32" w15:restartNumberingAfterBreak="0">
    <w:nsid w:val="676B3B22"/>
    <w:multiLevelType w:val="multilevel"/>
    <w:tmpl w:val="4ECC39C6"/>
    <w:lvl w:ilvl="0">
      <w:start w:val="1"/>
      <w:numFmt w:val="bullet"/>
      <w:lvlText w:val=""/>
      <w:lvlJc w:val="left"/>
      <w:pPr>
        <w:ind w:left="357" w:hanging="357"/>
      </w:pPr>
      <w:rPr>
        <w:rFonts w:ascii="Wingdings" w:hAnsi="Wingdings" w:hint="default"/>
        <w:color w:val="47827E" w:themeColor="accent1"/>
      </w:rPr>
    </w:lvl>
    <w:lvl w:ilvl="1">
      <w:start w:val="1"/>
      <w:numFmt w:val="bullet"/>
      <w:lvlText w:val="–"/>
      <w:lvlJc w:val="left"/>
      <w:pPr>
        <w:tabs>
          <w:tab w:val="num" w:pos="714"/>
        </w:tabs>
        <w:ind w:left="714" w:hanging="357"/>
      </w:pPr>
      <w:rPr>
        <w:rFonts w:ascii="Calibri" w:hAnsi="Calibri" w:hint="default"/>
        <w:b/>
        <w:i w:val="0"/>
        <w:color w:val="47827E" w:themeColor="accent1"/>
      </w:rPr>
    </w:lvl>
    <w:lvl w:ilvl="2">
      <w:start w:val="1"/>
      <w:numFmt w:val="bullet"/>
      <w:lvlText w:val="○"/>
      <w:lvlJc w:val="left"/>
      <w:pPr>
        <w:ind w:left="1071" w:hanging="357"/>
      </w:pPr>
      <w:rPr>
        <w:rFonts w:ascii="Calibri" w:hAnsi="Calibri" w:hint="default"/>
        <w:b/>
        <w:i w:val="0"/>
        <w:color w:val="3D3C42" w:themeColor="text2"/>
      </w:rPr>
    </w:lvl>
    <w:lvl w:ilvl="3">
      <w:start w:val="1"/>
      <w:numFmt w:val="bullet"/>
      <w:lvlText w:val="−"/>
      <w:lvlJc w:val="left"/>
      <w:pPr>
        <w:ind w:left="1428" w:hanging="357"/>
      </w:pPr>
      <w:rPr>
        <w:rFonts w:ascii="Calibri" w:hAnsi="Calibri" w:hint="default"/>
        <w:color w:val="3D3C42" w:themeColor="text2"/>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33" w15:restartNumberingAfterBreak="0">
    <w:nsid w:val="67DD626F"/>
    <w:multiLevelType w:val="multilevel"/>
    <w:tmpl w:val="4CD62EEC"/>
    <w:lvl w:ilvl="0">
      <w:start w:val="1"/>
      <w:numFmt w:val="decimal"/>
      <w:lvlText w:val="%1."/>
      <w:lvlJc w:val="left"/>
      <w:pPr>
        <w:ind w:left="641" w:hanging="357"/>
      </w:pPr>
      <w:rPr>
        <w:rFonts w:hint="default"/>
        <w:b w:val="0"/>
        <w:i w:val="0"/>
        <w:color w:val="auto"/>
      </w:rPr>
    </w:lvl>
    <w:lvl w:ilvl="1">
      <w:start w:val="1"/>
      <w:numFmt w:val="lowerLetter"/>
      <w:pStyle w:val="ListNumber2"/>
      <w:lvlText w:val="%2."/>
      <w:lvlJc w:val="left"/>
      <w:pPr>
        <w:ind w:left="998" w:hanging="357"/>
      </w:pPr>
      <w:rPr>
        <w:rFonts w:hint="default"/>
        <w:b w:val="0"/>
        <w:i w:val="0"/>
        <w:color w:val="auto"/>
      </w:rPr>
    </w:lvl>
    <w:lvl w:ilvl="2">
      <w:start w:val="1"/>
      <w:numFmt w:val="lowerRoman"/>
      <w:pStyle w:val="ListNumber3"/>
      <w:lvlText w:val="%3."/>
      <w:lvlJc w:val="left"/>
      <w:pPr>
        <w:ind w:left="1355" w:hanging="357"/>
      </w:pPr>
      <w:rPr>
        <w:rFonts w:hint="default"/>
      </w:rPr>
    </w:lvl>
    <w:lvl w:ilvl="3">
      <w:start w:val="1"/>
      <w:numFmt w:val="none"/>
      <w:lvlText w:val=""/>
      <w:lvlJc w:val="left"/>
      <w:pPr>
        <w:tabs>
          <w:tab w:val="num" w:pos="1356"/>
        </w:tabs>
        <w:ind w:left="1712" w:hanging="357"/>
      </w:pPr>
      <w:rPr>
        <w:rFonts w:hint="default"/>
      </w:rPr>
    </w:lvl>
    <w:lvl w:ilvl="4">
      <w:start w:val="1"/>
      <w:numFmt w:val="none"/>
      <w:lvlText w:val=""/>
      <w:lvlJc w:val="left"/>
      <w:pPr>
        <w:ind w:left="2069" w:hanging="357"/>
      </w:pPr>
      <w:rPr>
        <w:rFonts w:hint="default"/>
      </w:rPr>
    </w:lvl>
    <w:lvl w:ilvl="5">
      <w:start w:val="1"/>
      <w:numFmt w:val="none"/>
      <w:lvlText w:val=""/>
      <w:lvlJc w:val="left"/>
      <w:pPr>
        <w:ind w:left="2426" w:hanging="357"/>
      </w:pPr>
      <w:rPr>
        <w:rFonts w:hint="default"/>
      </w:rPr>
    </w:lvl>
    <w:lvl w:ilvl="6">
      <w:start w:val="1"/>
      <w:numFmt w:val="none"/>
      <w:lvlText w:val=""/>
      <w:lvlJc w:val="left"/>
      <w:pPr>
        <w:ind w:left="2783" w:hanging="357"/>
      </w:pPr>
      <w:rPr>
        <w:rFonts w:hint="default"/>
      </w:rPr>
    </w:lvl>
    <w:lvl w:ilvl="7">
      <w:start w:val="1"/>
      <w:numFmt w:val="none"/>
      <w:lvlText w:val=""/>
      <w:lvlJc w:val="left"/>
      <w:pPr>
        <w:ind w:left="3140" w:hanging="357"/>
      </w:pPr>
      <w:rPr>
        <w:rFonts w:hint="default"/>
      </w:rPr>
    </w:lvl>
    <w:lvl w:ilvl="8">
      <w:start w:val="1"/>
      <w:numFmt w:val="none"/>
      <w:lvlText w:val=""/>
      <w:lvlJc w:val="left"/>
      <w:pPr>
        <w:ind w:left="3497" w:hanging="357"/>
      </w:pPr>
      <w:rPr>
        <w:rFonts w:hint="default"/>
      </w:rPr>
    </w:lvl>
  </w:abstractNum>
  <w:abstractNum w:abstractNumId="34" w15:restartNumberingAfterBreak="0">
    <w:nsid w:val="729107E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3467EB"/>
    <w:multiLevelType w:val="hybridMultilevel"/>
    <w:tmpl w:val="F022F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8996064"/>
    <w:multiLevelType w:val="hybridMultilevel"/>
    <w:tmpl w:val="6D06EB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EB53B85"/>
    <w:multiLevelType w:val="hybridMultilevel"/>
    <w:tmpl w:val="E3B41A26"/>
    <w:lvl w:ilvl="0" w:tplc="4F46C6AA">
      <w:start w:val="432"/>
      <w:numFmt w:val="bullet"/>
      <w:lvlText w:val="-"/>
      <w:lvlJc w:val="left"/>
      <w:pPr>
        <w:ind w:left="360" w:hanging="360"/>
      </w:pPr>
      <w:rPr>
        <w:rFonts w:ascii="Century Gothic" w:eastAsia="Century Gothic" w:hAnsi="Century Gothic" w:cs="Century Gothic" w:hint="default"/>
      </w:rPr>
    </w:lvl>
    <w:lvl w:ilvl="1" w:tplc="24BEDC88">
      <w:start w:val="1"/>
      <w:numFmt w:val="bullet"/>
      <w:lvlText w:val="o"/>
      <w:lvlJc w:val="left"/>
      <w:pPr>
        <w:ind w:left="1080" w:hanging="360"/>
      </w:pPr>
      <w:rPr>
        <w:rFonts w:ascii="Courier New" w:hAnsi="Courier New" w:cs="Courier New" w:hint="default"/>
      </w:rPr>
    </w:lvl>
    <w:lvl w:ilvl="2" w:tplc="CEDAF8F8" w:tentative="1">
      <w:start w:val="1"/>
      <w:numFmt w:val="bullet"/>
      <w:lvlText w:val=""/>
      <w:lvlJc w:val="left"/>
      <w:pPr>
        <w:ind w:left="1800" w:hanging="360"/>
      </w:pPr>
      <w:rPr>
        <w:rFonts w:ascii="Wingdings" w:hAnsi="Wingdings" w:hint="default"/>
      </w:rPr>
    </w:lvl>
    <w:lvl w:ilvl="3" w:tplc="F5C40EDC" w:tentative="1">
      <w:start w:val="1"/>
      <w:numFmt w:val="bullet"/>
      <w:lvlText w:val=""/>
      <w:lvlJc w:val="left"/>
      <w:pPr>
        <w:ind w:left="2520" w:hanging="360"/>
      </w:pPr>
      <w:rPr>
        <w:rFonts w:ascii="Symbol" w:hAnsi="Symbol" w:hint="default"/>
      </w:rPr>
    </w:lvl>
    <w:lvl w:ilvl="4" w:tplc="4BFC66B2" w:tentative="1">
      <w:start w:val="1"/>
      <w:numFmt w:val="bullet"/>
      <w:lvlText w:val="o"/>
      <w:lvlJc w:val="left"/>
      <w:pPr>
        <w:ind w:left="3240" w:hanging="360"/>
      </w:pPr>
      <w:rPr>
        <w:rFonts w:ascii="Courier New" w:hAnsi="Courier New" w:cs="Courier New" w:hint="default"/>
      </w:rPr>
    </w:lvl>
    <w:lvl w:ilvl="5" w:tplc="538ECAF8" w:tentative="1">
      <w:start w:val="1"/>
      <w:numFmt w:val="bullet"/>
      <w:lvlText w:val=""/>
      <w:lvlJc w:val="left"/>
      <w:pPr>
        <w:ind w:left="3960" w:hanging="360"/>
      </w:pPr>
      <w:rPr>
        <w:rFonts w:ascii="Wingdings" w:hAnsi="Wingdings" w:hint="default"/>
      </w:rPr>
    </w:lvl>
    <w:lvl w:ilvl="6" w:tplc="4B94F122" w:tentative="1">
      <w:start w:val="1"/>
      <w:numFmt w:val="bullet"/>
      <w:lvlText w:val=""/>
      <w:lvlJc w:val="left"/>
      <w:pPr>
        <w:ind w:left="4680" w:hanging="360"/>
      </w:pPr>
      <w:rPr>
        <w:rFonts w:ascii="Symbol" w:hAnsi="Symbol" w:hint="default"/>
      </w:rPr>
    </w:lvl>
    <w:lvl w:ilvl="7" w:tplc="39643C16" w:tentative="1">
      <w:start w:val="1"/>
      <w:numFmt w:val="bullet"/>
      <w:lvlText w:val="o"/>
      <w:lvlJc w:val="left"/>
      <w:pPr>
        <w:ind w:left="5400" w:hanging="360"/>
      </w:pPr>
      <w:rPr>
        <w:rFonts w:ascii="Courier New" w:hAnsi="Courier New" w:cs="Courier New" w:hint="default"/>
      </w:rPr>
    </w:lvl>
    <w:lvl w:ilvl="8" w:tplc="A1CA4C78" w:tentative="1">
      <w:start w:val="1"/>
      <w:numFmt w:val="bullet"/>
      <w:lvlText w:val=""/>
      <w:lvlJc w:val="left"/>
      <w:pPr>
        <w:ind w:left="6120" w:hanging="360"/>
      </w:pPr>
      <w:rPr>
        <w:rFonts w:ascii="Wingdings" w:hAnsi="Wingdings" w:hint="default"/>
      </w:rPr>
    </w:lvl>
  </w:abstractNum>
  <w:num w:numId="1" w16cid:durableId="1250386943">
    <w:abstractNumId w:val="12"/>
  </w:num>
  <w:num w:numId="2" w16cid:durableId="244733046">
    <w:abstractNumId w:val="24"/>
  </w:num>
  <w:num w:numId="3" w16cid:durableId="257757899">
    <w:abstractNumId w:val="29"/>
  </w:num>
  <w:num w:numId="4" w16cid:durableId="259724758">
    <w:abstractNumId w:val="27"/>
  </w:num>
  <w:num w:numId="5" w16cid:durableId="51580380">
    <w:abstractNumId w:val="33"/>
  </w:num>
  <w:num w:numId="6" w16cid:durableId="1196850418">
    <w:abstractNumId w:val="25"/>
  </w:num>
  <w:num w:numId="7" w16cid:durableId="2074505945">
    <w:abstractNumId w:val="34"/>
  </w:num>
  <w:num w:numId="8" w16cid:durableId="115150560">
    <w:abstractNumId w:val="21"/>
  </w:num>
  <w:num w:numId="9" w16cid:durableId="2051955936">
    <w:abstractNumId w:val="0"/>
  </w:num>
  <w:num w:numId="10" w16cid:durableId="755177157">
    <w:abstractNumId w:val="18"/>
  </w:num>
  <w:num w:numId="11" w16cid:durableId="427195304">
    <w:abstractNumId w:val="5"/>
  </w:num>
  <w:num w:numId="12" w16cid:durableId="2111273336">
    <w:abstractNumId w:val="26"/>
  </w:num>
  <w:num w:numId="13" w16cid:durableId="840970546">
    <w:abstractNumId w:val="7"/>
  </w:num>
  <w:num w:numId="14" w16cid:durableId="368531224">
    <w:abstractNumId w:val="16"/>
  </w:num>
  <w:num w:numId="15" w16cid:durableId="140581669">
    <w:abstractNumId w:val="2"/>
  </w:num>
  <w:num w:numId="16" w16cid:durableId="569852891">
    <w:abstractNumId w:val="13"/>
  </w:num>
  <w:num w:numId="17" w16cid:durableId="1879391984">
    <w:abstractNumId w:val="15"/>
  </w:num>
  <w:num w:numId="18" w16cid:durableId="21976904">
    <w:abstractNumId w:val="37"/>
  </w:num>
  <w:num w:numId="19" w16cid:durableId="1735084652">
    <w:abstractNumId w:val="32"/>
  </w:num>
  <w:num w:numId="20" w16cid:durableId="601884862">
    <w:abstractNumId w:val="23"/>
  </w:num>
  <w:num w:numId="21" w16cid:durableId="655763519">
    <w:abstractNumId w:val="8"/>
  </w:num>
  <w:num w:numId="22" w16cid:durableId="1259606927">
    <w:abstractNumId w:val="31"/>
    <w:lvlOverride w:ilvl="0">
      <w:lvl w:ilvl="0">
        <w:start w:val="1"/>
        <w:numFmt w:val="decimal"/>
        <w:lvlText w:val="%1."/>
        <w:lvlJc w:val="left"/>
        <w:pPr>
          <w:ind w:left="708" w:hanging="567"/>
        </w:pPr>
        <w:rPr>
          <w:rFonts w:hint="default"/>
        </w:rPr>
      </w:lvl>
    </w:lvlOverride>
    <w:lvlOverride w:ilvl="1">
      <w:lvl w:ilvl="1">
        <w:start w:val="1"/>
        <w:numFmt w:val="decimal"/>
        <w:lvlText w:val="%1.%2"/>
        <w:lvlJc w:val="left"/>
        <w:pPr>
          <w:tabs>
            <w:tab w:val="num" w:pos="708"/>
          </w:tabs>
          <w:ind w:left="708" w:hanging="567"/>
        </w:pPr>
        <w:rPr>
          <w:rFonts w:hint="default"/>
        </w:rPr>
      </w:lvl>
    </w:lvlOverride>
    <w:lvlOverride w:ilvl="2">
      <w:lvl w:ilvl="2">
        <w:start w:val="1"/>
        <w:numFmt w:val="decimal"/>
        <w:lvlText w:val="%1.%2.%3"/>
        <w:lvlJc w:val="left"/>
        <w:pPr>
          <w:tabs>
            <w:tab w:val="num" w:pos="708"/>
          </w:tabs>
          <w:ind w:left="708" w:hanging="567"/>
        </w:pPr>
        <w:rPr>
          <w:rFonts w:hint="default"/>
        </w:rPr>
      </w:lvl>
    </w:lvlOverride>
    <w:lvlOverride w:ilvl="3">
      <w:lvl w:ilvl="3">
        <w:start w:val="1"/>
        <w:numFmt w:val="none"/>
        <w:suff w:val="nothing"/>
        <w:lvlText w:val=""/>
        <w:lvlJc w:val="left"/>
        <w:pPr>
          <w:ind w:left="708" w:hanging="567"/>
        </w:pPr>
        <w:rPr>
          <w:rFonts w:hint="default"/>
        </w:rPr>
      </w:lvl>
    </w:lvlOverride>
    <w:lvlOverride w:ilvl="4">
      <w:lvl w:ilvl="4">
        <w:start w:val="1"/>
        <w:numFmt w:val="lowerLetter"/>
        <w:lvlText w:val="(%5)"/>
        <w:lvlJc w:val="left"/>
        <w:pPr>
          <w:tabs>
            <w:tab w:val="num" w:pos="1388"/>
          </w:tabs>
          <w:ind w:left="708" w:hanging="567"/>
        </w:pPr>
        <w:rPr>
          <w:rFonts w:hint="default"/>
        </w:rPr>
      </w:lvl>
    </w:lvlOverride>
    <w:lvlOverride w:ilvl="5">
      <w:lvl w:ilvl="5">
        <w:start w:val="1"/>
        <w:numFmt w:val="lowerRoman"/>
        <w:lvlText w:val="(%6)"/>
        <w:lvlJc w:val="left"/>
        <w:pPr>
          <w:tabs>
            <w:tab w:val="num" w:pos="1785"/>
          </w:tabs>
          <w:ind w:left="708" w:hanging="567"/>
        </w:pPr>
        <w:rPr>
          <w:rFonts w:hint="default"/>
        </w:rPr>
      </w:lvl>
    </w:lvlOverride>
    <w:lvlOverride w:ilvl="6">
      <w:lvl w:ilvl="6">
        <w:start w:val="1"/>
        <w:numFmt w:val="none"/>
        <w:lvlText w:val=""/>
        <w:lvlJc w:val="left"/>
        <w:pPr>
          <w:ind w:left="708" w:hanging="567"/>
        </w:pPr>
        <w:rPr>
          <w:rFonts w:hint="default"/>
        </w:rPr>
      </w:lvl>
    </w:lvlOverride>
    <w:lvlOverride w:ilvl="7">
      <w:lvl w:ilvl="7">
        <w:start w:val="1"/>
        <w:numFmt w:val="none"/>
        <w:lvlText w:val=""/>
        <w:lvlJc w:val="left"/>
        <w:pPr>
          <w:ind w:left="708" w:hanging="567"/>
        </w:pPr>
        <w:rPr>
          <w:rFonts w:hint="default"/>
        </w:rPr>
      </w:lvl>
    </w:lvlOverride>
    <w:lvlOverride w:ilvl="8">
      <w:lvl w:ilvl="8">
        <w:start w:val="1"/>
        <w:numFmt w:val="none"/>
        <w:lvlText w:val=""/>
        <w:lvlJc w:val="left"/>
        <w:pPr>
          <w:ind w:left="708" w:hanging="567"/>
        </w:pPr>
        <w:rPr>
          <w:rFonts w:hint="default"/>
        </w:rPr>
      </w:lvl>
    </w:lvlOverride>
  </w:num>
  <w:num w:numId="23" w16cid:durableId="1804688497">
    <w:abstractNumId w:val="1"/>
  </w:num>
  <w:num w:numId="24" w16cid:durableId="1122379079">
    <w:abstractNumId w:val="35"/>
  </w:num>
  <w:num w:numId="25" w16cid:durableId="1745882492">
    <w:abstractNumId w:val="3"/>
  </w:num>
  <w:num w:numId="26" w16cid:durableId="6949441">
    <w:abstractNumId w:val="19"/>
  </w:num>
  <w:num w:numId="27" w16cid:durableId="131825214">
    <w:abstractNumId w:val="11"/>
  </w:num>
  <w:num w:numId="28" w16cid:durableId="1918202496">
    <w:abstractNumId w:val="10"/>
  </w:num>
  <w:num w:numId="29" w16cid:durableId="1569993777">
    <w:abstractNumId w:val="17"/>
  </w:num>
  <w:num w:numId="30" w16cid:durableId="546570908">
    <w:abstractNumId w:val="20"/>
  </w:num>
  <w:num w:numId="31" w16cid:durableId="12922010">
    <w:abstractNumId w:val="28"/>
  </w:num>
  <w:num w:numId="32" w16cid:durableId="1776978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8696957">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7772580">
    <w:abstractNumId w:val="6"/>
  </w:num>
  <w:num w:numId="35" w16cid:durableId="2137721028">
    <w:abstractNumId w:val="30"/>
  </w:num>
  <w:num w:numId="36" w16cid:durableId="1363018266">
    <w:abstractNumId w:val="9"/>
  </w:num>
  <w:num w:numId="37" w16cid:durableId="720254165">
    <w:abstractNumId w:val="4"/>
  </w:num>
  <w:num w:numId="38" w16cid:durableId="1460956172">
    <w:abstractNumId w:val="22"/>
  </w:num>
  <w:num w:numId="39" w16cid:durableId="50725853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811"/>
    <w:rsid w:val="0000013F"/>
    <w:rsid w:val="00000844"/>
    <w:rsid w:val="00000A7F"/>
    <w:rsid w:val="00000E4C"/>
    <w:rsid w:val="00001530"/>
    <w:rsid w:val="00001E81"/>
    <w:rsid w:val="00002796"/>
    <w:rsid w:val="000037C5"/>
    <w:rsid w:val="00003AB8"/>
    <w:rsid w:val="00003F03"/>
    <w:rsid w:val="0000412C"/>
    <w:rsid w:val="0000426C"/>
    <w:rsid w:val="000045B4"/>
    <w:rsid w:val="000050BE"/>
    <w:rsid w:val="0000554B"/>
    <w:rsid w:val="000057BA"/>
    <w:rsid w:val="0000589A"/>
    <w:rsid w:val="00005FDF"/>
    <w:rsid w:val="000078B6"/>
    <w:rsid w:val="00007ABD"/>
    <w:rsid w:val="00007EBC"/>
    <w:rsid w:val="0001043A"/>
    <w:rsid w:val="00010683"/>
    <w:rsid w:val="00010901"/>
    <w:rsid w:val="00010950"/>
    <w:rsid w:val="00010959"/>
    <w:rsid w:val="00010B63"/>
    <w:rsid w:val="00010BD6"/>
    <w:rsid w:val="00010DF4"/>
    <w:rsid w:val="0001198A"/>
    <w:rsid w:val="00013432"/>
    <w:rsid w:val="00013A41"/>
    <w:rsid w:val="00013DF3"/>
    <w:rsid w:val="00014295"/>
    <w:rsid w:val="00014922"/>
    <w:rsid w:val="00014A11"/>
    <w:rsid w:val="00014AD7"/>
    <w:rsid w:val="00015F3E"/>
    <w:rsid w:val="000164D4"/>
    <w:rsid w:val="00016AAA"/>
    <w:rsid w:val="00016AB8"/>
    <w:rsid w:val="00017024"/>
    <w:rsid w:val="00017247"/>
    <w:rsid w:val="000178BF"/>
    <w:rsid w:val="00020098"/>
    <w:rsid w:val="0002068D"/>
    <w:rsid w:val="000215AA"/>
    <w:rsid w:val="00021C1B"/>
    <w:rsid w:val="00021E1D"/>
    <w:rsid w:val="000221BC"/>
    <w:rsid w:val="000226DB"/>
    <w:rsid w:val="00022889"/>
    <w:rsid w:val="00022901"/>
    <w:rsid w:val="00023043"/>
    <w:rsid w:val="000234F6"/>
    <w:rsid w:val="00023775"/>
    <w:rsid w:val="0002392C"/>
    <w:rsid w:val="00023A85"/>
    <w:rsid w:val="0002408D"/>
    <w:rsid w:val="00024382"/>
    <w:rsid w:val="0002525E"/>
    <w:rsid w:val="00025DEE"/>
    <w:rsid w:val="000264A7"/>
    <w:rsid w:val="00026604"/>
    <w:rsid w:val="0002686C"/>
    <w:rsid w:val="00030640"/>
    <w:rsid w:val="00031007"/>
    <w:rsid w:val="000310B4"/>
    <w:rsid w:val="00031D08"/>
    <w:rsid w:val="00031F06"/>
    <w:rsid w:val="00032409"/>
    <w:rsid w:val="00032741"/>
    <w:rsid w:val="000329C1"/>
    <w:rsid w:val="000331D8"/>
    <w:rsid w:val="00033DAE"/>
    <w:rsid w:val="00034168"/>
    <w:rsid w:val="00034CC1"/>
    <w:rsid w:val="00034D77"/>
    <w:rsid w:val="0003529D"/>
    <w:rsid w:val="000352E1"/>
    <w:rsid w:val="000362BD"/>
    <w:rsid w:val="00036EB6"/>
    <w:rsid w:val="00036F86"/>
    <w:rsid w:val="0003710A"/>
    <w:rsid w:val="00037596"/>
    <w:rsid w:val="0003789C"/>
    <w:rsid w:val="000402C3"/>
    <w:rsid w:val="000406A5"/>
    <w:rsid w:val="00040828"/>
    <w:rsid w:val="00040B65"/>
    <w:rsid w:val="00040E6B"/>
    <w:rsid w:val="000410F8"/>
    <w:rsid w:val="000411A4"/>
    <w:rsid w:val="000415AE"/>
    <w:rsid w:val="00042155"/>
    <w:rsid w:val="00042419"/>
    <w:rsid w:val="00042500"/>
    <w:rsid w:val="000425F3"/>
    <w:rsid w:val="00042800"/>
    <w:rsid w:val="000429AA"/>
    <w:rsid w:val="00042C91"/>
    <w:rsid w:val="00042E53"/>
    <w:rsid w:val="00043266"/>
    <w:rsid w:val="00043337"/>
    <w:rsid w:val="00043E13"/>
    <w:rsid w:val="000440F0"/>
    <w:rsid w:val="000452C5"/>
    <w:rsid w:val="00045535"/>
    <w:rsid w:val="0004570C"/>
    <w:rsid w:val="000458F1"/>
    <w:rsid w:val="00046E8A"/>
    <w:rsid w:val="00046F33"/>
    <w:rsid w:val="00047347"/>
    <w:rsid w:val="000473E8"/>
    <w:rsid w:val="000474CF"/>
    <w:rsid w:val="00047985"/>
    <w:rsid w:val="000502DE"/>
    <w:rsid w:val="00050E2B"/>
    <w:rsid w:val="00051FC1"/>
    <w:rsid w:val="00052A27"/>
    <w:rsid w:val="00052C19"/>
    <w:rsid w:val="000539C1"/>
    <w:rsid w:val="00053B23"/>
    <w:rsid w:val="00054169"/>
    <w:rsid w:val="000541F8"/>
    <w:rsid w:val="00054586"/>
    <w:rsid w:val="00054682"/>
    <w:rsid w:val="000546A5"/>
    <w:rsid w:val="00054CFE"/>
    <w:rsid w:val="00055A5A"/>
    <w:rsid w:val="00055F24"/>
    <w:rsid w:val="000564BA"/>
    <w:rsid w:val="000565F4"/>
    <w:rsid w:val="00056AB5"/>
    <w:rsid w:val="00056C1D"/>
    <w:rsid w:val="000572A3"/>
    <w:rsid w:val="00057550"/>
    <w:rsid w:val="000600EC"/>
    <w:rsid w:val="0006024E"/>
    <w:rsid w:val="000613FB"/>
    <w:rsid w:val="00061ED1"/>
    <w:rsid w:val="0006219B"/>
    <w:rsid w:val="00062333"/>
    <w:rsid w:val="00062488"/>
    <w:rsid w:val="00062763"/>
    <w:rsid w:val="0006313F"/>
    <w:rsid w:val="000637D8"/>
    <w:rsid w:val="00064267"/>
    <w:rsid w:val="000645A9"/>
    <w:rsid w:val="00064FE8"/>
    <w:rsid w:val="00065090"/>
    <w:rsid w:val="000650CB"/>
    <w:rsid w:val="00065358"/>
    <w:rsid w:val="00065976"/>
    <w:rsid w:val="00065E98"/>
    <w:rsid w:val="0006600E"/>
    <w:rsid w:val="0006608E"/>
    <w:rsid w:val="000673E4"/>
    <w:rsid w:val="00070011"/>
    <w:rsid w:val="00070295"/>
    <w:rsid w:val="000703F7"/>
    <w:rsid w:val="00070AC7"/>
    <w:rsid w:val="0007117D"/>
    <w:rsid w:val="000711F1"/>
    <w:rsid w:val="0007125D"/>
    <w:rsid w:val="0007138C"/>
    <w:rsid w:val="000714C3"/>
    <w:rsid w:val="00071733"/>
    <w:rsid w:val="00071936"/>
    <w:rsid w:val="00072359"/>
    <w:rsid w:val="00072A8D"/>
    <w:rsid w:val="00073B1E"/>
    <w:rsid w:val="0007476B"/>
    <w:rsid w:val="00074B0B"/>
    <w:rsid w:val="00074D8A"/>
    <w:rsid w:val="00075323"/>
    <w:rsid w:val="00075FDF"/>
    <w:rsid w:val="00076122"/>
    <w:rsid w:val="000770C6"/>
    <w:rsid w:val="00077121"/>
    <w:rsid w:val="00077C56"/>
    <w:rsid w:val="000805F0"/>
    <w:rsid w:val="00080C3E"/>
    <w:rsid w:val="00080C6D"/>
    <w:rsid w:val="00080EE8"/>
    <w:rsid w:val="00081127"/>
    <w:rsid w:val="00081526"/>
    <w:rsid w:val="00081A86"/>
    <w:rsid w:val="00081AFE"/>
    <w:rsid w:val="00081ED0"/>
    <w:rsid w:val="000826C1"/>
    <w:rsid w:val="00082C03"/>
    <w:rsid w:val="00083105"/>
    <w:rsid w:val="000831BF"/>
    <w:rsid w:val="000832D5"/>
    <w:rsid w:val="000833F1"/>
    <w:rsid w:val="0008352B"/>
    <w:rsid w:val="00083553"/>
    <w:rsid w:val="00083755"/>
    <w:rsid w:val="00083859"/>
    <w:rsid w:val="00083A49"/>
    <w:rsid w:val="00083A7E"/>
    <w:rsid w:val="00083DDC"/>
    <w:rsid w:val="000843B7"/>
    <w:rsid w:val="000847D3"/>
    <w:rsid w:val="00084833"/>
    <w:rsid w:val="00084F7B"/>
    <w:rsid w:val="000855E2"/>
    <w:rsid w:val="00086AC8"/>
    <w:rsid w:val="00086C27"/>
    <w:rsid w:val="00087082"/>
    <w:rsid w:val="00087236"/>
    <w:rsid w:val="000876B9"/>
    <w:rsid w:val="00087BA1"/>
    <w:rsid w:val="0009046D"/>
    <w:rsid w:val="000906BA"/>
    <w:rsid w:val="00090F4E"/>
    <w:rsid w:val="000913B7"/>
    <w:rsid w:val="00091661"/>
    <w:rsid w:val="00091B60"/>
    <w:rsid w:val="00092A06"/>
    <w:rsid w:val="00092D99"/>
    <w:rsid w:val="00093FEB"/>
    <w:rsid w:val="00094390"/>
    <w:rsid w:val="00094987"/>
    <w:rsid w:val="00094BA3"/>
    <w:rsid w:val="00095220"/>
    <w:rsid w:val="0009597F"/>
    <w:rsid w:val="00095A7E"/>
    <w:rsid w:val="00096652"/>
    <w:rsid w:val="00097072"/>
    <w:rsid w:val="00097835"/>
    <w:rsid w:val="000A0635"/>
    <w:rsid w:val="000A0BD6"/>
    <w:rsid w:val="000A0F79"/>
    <w:rsid w:val="000A212B"/>
    <w:rsid w:val="000A25A1"/>
    <w:rsid w:val="000A2757"/>
    <w:rsid w:val="000A2DBF"/>
    <w:rsid w:val="000A30A4"/>
    <w:rsid w:val="000A32C7"/>
    <w:rsid w:val="000A3C79"/>
    <w:rsid w:val="000A465A"/>
    <w:rsid w:val="000A468B"/>
    <w:rsid w:val="000A4E6D"/>
    <w:rsid w:val="000A5567"/>
    <w:rsid w:val="000A58FB"/>
    <w:rsid w:val="000A5CD3"/>
    <w:rsid w:val="000A6510"/>
    <w:rsid w:val="000A749C"/>
    <w:rsid w:val="000A7749"/>
    <w:rsid w:val="000B0023"/>
    <w:rsid w:val="000B00F2"/>
    <w:rsid w:val="000B01E1"/>
    <w:rsid w:val="000B0652"/>
    <w:rsid w:val="000B0931"/>
    <w:rsid w:val="000B0A52"/>
    <w:rsid w:val="000B0CA0"/>
    <w:rsid w:val="000B1C18"/>
    <w:rsid w:val="000B1C9E"/>
    <w:rsid w:val="000B24F1"/>
    <w:rsid w:val="000B25D8"/>
    <w:rsid w:val="000B274B"/>
    <w:rsid w:val="000B28AB"/>
    <w:rsid w:val="000B2A31"/>
    <w:rsid w:val="000B2AC5"/>
    <w:rsid w:val="000B2B72"/>
    <w:rsid w:val="000B2D39"/>
    <w:rsid w:val="000B3CA3"/>
    <w:rsid w:val="000B3D5A"/>
    <w:rsid w:val="000B3E31"/>
    <w:rsid w:val="000B3E80"/>
    <w:rsid w:val="000B45DC"/>
    <w:rsid w:val="000B49ED"/>
    <w:rsid w:val="000B4CEE"/>
    <w:rsid w:val="000B4FE3"/>
    <w:rsid w:val="000B4FEF"/>
    <w:rsid w:val="000B567C"/>
    <w:rsid w:val="000B6AE9"/>
    <w:rsid w:val="000B6E07"/>
    <w:rsid w:val="000B6E5F"/>
    <w:rsid w:val="000B71D5"/>
    <w:rsid w:val="000B73B5"/>
    <w:rsid w:val="000B77DE"/>
    <w:rsid w:val="000C05CF"/>
    <w:rsid w:val="000C0776"/>
    <w:rsid w:val="000C0C1C"/>
    <w:rsid w:val="000C0D98"/>
    <w:rsid w:val="000C1D4B"/>
    <w:rsid w:val="000C1E45"/>
    <w:rsid w:val="000C2295"/>
    <w:rsid w:val="000C2C6E"/>
    <w:rsid w:val="000C30C2"/>
    <w:rsid w:val="000C312E"/>
    <w:rsid w:val="000C3175"/>
    <w:rsid w:val="000C37BB"/>
    <w:rsid w:val="000C427E"/>
    <w:rsid w:val="000C52AE"/>
    <w:rsid w:val="000C5348"/>
    <w:rsid w:val="000C5678"/>
    <w:rsid w:val="000C580B"/>
    <w:rsid w:val="000C5B6F"/>
    <w:rsid w:val="000C5C04"/>
    <w:rsid w:val="000C5FD0"/>
    <w:rsid w:val="000C6207"/>
    <w:rsid w:val="000C6441"/>
    <w:rsid w:val="000C698C"/>
    <w:rsid w:val="000C6EE9"/>
    <w:rsid w:val="000C723B"/>
    <w:rsid w:val="000D107E"/>
    <w:rsid w:val="000D1353"/>
    <w:rsid w:val="000D1400"/>
    <w:rsid w:val="000D1587"/>
    <w:rsid w:val="000D22AA"/>
    <w:rsid w:val="000D2B12"/>
    <w:rsid w:val="000D32C2"/>
    <w:rsid w:val="000D38E1"/>
    <w:rsid w:val="000D3AA8"/>
    <w:rsid w:val="000D3CE9"/>
    <w:rsid w:val="000D480D"/>
    <w:rsid w:val="000D574E"/>
    <w:rsid w:val="000D5A26"/>
    <w:rsid w:val="000D6494"/>
    <w:rsid w:val="000D6664"/>
    <w:rsid w:val="000D68C6"/>
    <w:rsid w:val="000D69D2"/>
    <w:rsid w:val="000D6C09"/>
    <w:rsid w:val="000D6CCC"/>
    <w:rsid w:val="000D73E7"/>
    <w:rsid w:val="000D743D"/>
    <w:rsid w:val="000D74E9"/>
    <w:rsid w:val="000D7536"/>
    <w:rsid w:val="000E062B"/>
    <w:rsid w:val="000E08A3"/>
    <w:rsid w:val="000E0E78"/>
    <w:rsid w:val="000E0F9A"/>
    <w:rsid w:val="000E1432"/>
    <w:rsid w:val="000E1E87"/>
    <w:rsid w:val="000E2112"/>
    <w:rsid w:val="000E22A1"/>
    <w:rsid w:val="000E26A7"/>
    <w:rsid w:val="000E280E"/>
    <w:rsid w:val="000E30FC"/>
    <w:rsid w:val="000E3A96"/>
    <w:rsid w:val="000E3AC9"/>
    <w:rsid w:val="000E3FD4"/>
    <w:rsid w:val="000E42F6"/>
    <w:rsid w:val="000E44EE"/>
    <w:rsid w:val="000E45B9"/>
    <w:rsid w:val="000E4660"/>
    <w:rsid w:val="000E554C"/>
    <w:rsid w:val="000E6733"/>
    <w:rsid w:val="000E6893"/>
    <w:rsid w:val="000E691B"/>
    <w:rsid w:val="000E6FCA"/>
    <w:rsid w:val="000E7AC4"/>
    <w:rsid w:val="000E7DDC"/>
    <w:rsid w:val="000F0580"/>
    <w:rsid w:val="000F0614"/>
    <w:rsid w:val="000F104B"/>
    <w:rsid w:val="000F13C7"/>
    <w:rsid w:val="000F2634"/>
    <w:rsid w:val="000F2B94"/>
    <w:rsid w:val="000F2CFC"/>
    <w:rsid w:val="000F3361"/>
    <w:rsid w:val="000F34AA"/>
    <w:rsid w:val="000F35CF"/>
    <w:rsid w:val="000F3D84"/>
    <w:rsid w:val="000F3E5D"/>
    <w:rsid w:val="000F51E5"/>
    <w:rsid w:val="000F5392"/>
    <w:rsid w:val="000F569E"/>
    <w:rsid w:val="000F57B2"/>
    <w:rsid w:val="000F6258"/>
    <w:rsid w:val="000F665D"/>
    <w:rsid w:val="000F68AC"/>
    <w:rsid w:val="000F776C"/>
    <w:rsid w:val="001005EB"/>
    <w:rsid w:val="001006DF"/>
    <w:rsid w:val="0010074F"/>
    <w:rsid w:val="0010081C"/>
    <w:rsid w:val="00100BB7"/>
    <w:rsid w:val="00100BCD"/>
    <w:rsid w:val="00101EA6"/>
    <w:rsid w:val="00101EB6"/>
    <w:rsid w:val="00101FC4"/>
    <w:rsid w:val="00102688"/>
    <w:rsid w:val="00102AF9"/>
    <w:rsid w:val="00102CB8"/>
    <w:rsid w:val="00103382"/>
    <w:rsid w:val="00103680"/>
    <w:rsid w:val="00103DA9"/>
    <w:rsid w:val="00104482"/>
    <w:rsid w:val="0010466B"/>
    <w:rsid w:val="00104856"/>
    <w:rsid w:val="00105035"/>
    <w:rsid w:val="00105050"/>
    <w:rsid w:val="001059E3"/>
    <w:rsid w:val="00105F66"/>
    <w:rsid w:val="001060E3"/>
    <w:rsid w:val="001060FE"/>
    <w:rsid w:val="00106164"/>
    <w:rsid w:val="0010618C"/>
    <w:rsid w:val="00106327"/>
    <w:rsid w:val="001063F3"/>
    <w:rsid w:val="001068D1"/>
    <w:rsid w:val="00106A93"/>
    <w:rsid w:val="00106AA2"/>
    <w:rsid w:val="00106BB8"/>
    <w:rsid w:val="00107654"/>
    <w:rsid w:val="00107E57"/>
    <w:rsid w:val="001106B2"/>
    <w:rsid w:val="0011136A"/>
    <w:rsid w:val="00111611"/>
    <w:rsid w:val="00111E95"/>
    <w:rsid w:val="001122FF"/>
    <w:rsid w:val="001124E5"/>
    <w:rsid w:val="00112876"/>
    <w:rsid w:val="001132E3"/>
    <w:rsid w:val="001136D3"/>
    <w:rsid w:val="001137C2"/>
    <w:rsid w:val="00113B31"/>
    <w:rsid w:val="00113FA1"/>
    <w:rsid w:val="001142FB"/>
    <w:rsid w:val="00114696"/>
    <w:rsid w:val="001158EE"/>
    <w:rsid w:val="00115961"/>
    <w:rsid w:val="00116090"/>
    <w:rsid w:val="001164BE"/>
    <w:rsid w:val="0011652A"/>
    <w:rsid w:val="0011653D"/>
    <w:rsid w:val="0011655A"/>
    <w:rsid w:val="001168FA"/>
    <w:rsid w:val="00116B60"/>
    <w:rsid w:val="00116BD6"/>
    <w:rsid w:val="00116F9B"/>
    <w:rsid w:val="0011783F"/>
    <w:rsid w:val="00117A77"/>
    <w:rsid w:val="00117FF0"/>
    <w:rsid w:val="001202C9"/>
    <w:rsid w:val="0012034B"/>
    <w:rsid w:val="00120CF6"/>
    <w:rsid w:val="00121582"/>
    <w:rsid w:val="00122119"/>
    <w:rsid w:val="00122360"/>
    <w:rsid w:val="00122444"/>
    <w:rsid w:val="00122554"/>
    <w:rsid w:val="00122593"/>
    <w:rsid w:val="001227E1"/>
    <w:rsid w:val="00123521"/>
    <w:rsid w:val="0012355B"/>
    <w:rsid w:val="001239E7"/>
    <w:rsid w:val="00123CBF"/>
    <w:rsid w:val="0012468C"/>
    <w:rsid w:val="00124C5B"/>
    <w:rsid w:val="00125121"/>
    <w:rsid w:val="00125139"/>
    <w:rsid w:val="001251A1"/>
    <w:rsid w:val="00125650"/>
    <w:rsid w:val="00125B48"/>
    <w:rsid w:val="00125B92"/>
    <w:rsid w:val="00126087"/>
    <w:rsid w:val="0012626C"/>
    <w:rsid w:val="00126E2C"/>
    <w:rsid w:val="0012780F"/>
    <w:rsid w:val="00127E5D"/>
    <w:rsid w:val="00130702"/>
    <w:rsid w:val="00130A5E"/>
    <w:rsid w:val="00131958"/>
    <w:rsid w:val="00131B17"/>
    <w:rsid w:val="00131CEE"/>
    <w:rsid w:val="00133741"/>
    <w:rsid w:val="00134080"/>
    <w:rsid w:val="00134658"/>
    <w:rsid w:val="00134AA6"/>
    <w:rsid w:val="001353B7"/>
    <w:rsid w:val="0013593E"/>
    <w:rsid w:val="00135B0B"/>
    <w:rsid w:val="00136126"/>
    <w:rsid w:val="00136365"/>
    <w:rsid w:val="001363BE"/>
    <w:rsid w:val="001364CF"/>
    <w:rsid w:val="00136878"/>
    <w:rsid w:val="001369F9"/>
    <w:rsid w:val="001372B2"/>
    <w:rsid w:val="001377EE"/>
    <w:rsid w:val="0013787D"/>
    <w:rsid w:val="001408E9"/>
    <w:rsid w:val="00141076"/>
    <w:rsid w:val="00141BA7"/>
    <w:rsid w:val="00141F38"/>
    <w:rsid w:val="0014318A"/>
    <w:rsid w:val="001442E6"/>
    <w:rsid w:val="00145C83"/>
    <w:rsid w:val="00146524"/>
    <w:rsid w:val="0014670C"/>
    <w:rsid w:val="00146EFF"/>
    <w:rsid w:val="001470E8"/>
    <w:rsid w:val="00147939"/>
    <w:rsid w:val="00150610"/>
    <w:rsid w:val="001506A1"/>
    <w:rsid w:val="001507AF"/>
    <w:rsid w:val="001507D5"/>
    <w:rsid w:val="00150866"/>
    <w:rsid w:val="00150F1A"/>
    <w:rsid w:val="001510CD"/>
    <w:rsid w:val="0015119D"/>
    <w:rsid w:val="001513F0"/>
    <w:rsid w:val="001515CE"/>
    <w:rsid w:val="0015174A"/>
    <w:rsid w:val="0015180A"/>
    <w:rsid w:val="00151BD4"/>
    <w:rsid w:val="001523BE"/>
    <w:rsid w:val="0015258B"/>
    <w:rsid w:val="00152611"/>
    <w:rsid w:val="001528BD"/>
    <w:rsid w:val="00152927"/>
    <w:rsid w:val="0015296D"/>
    <w:rsid w:val="001532D0"/>
    <w:rsid w:val="0015357B"/>
    <w:rsid w:val="00153B21"/>
    <w:rsid w:val="00153D7C"/>
    <w:rsid w:val="0015409D"/>
    <w:rsid w:val="001554E2"/>
    <w:rsid w:val="0015558B"/>
    <w:rsid w:val="00156956"/>
    <w:rsid w:val="001569EA"/>
    <w:rsid w:val="00156A95"/>
    <w:rsid w:val="00156C1F"/>
    <w:rsid w:val="00157EA3"/>
    <w:rsid w:val="001608F7"/>
    <w:rsid w:val="00162016"/>
    <w:rsid w:val="00162EBA"/>
    <w:rsid w:val="0016338F"/>
    <w:rsid w:val="001634A4"/>
    <w:rsid w:val="001637A1"/>
    <w:rsid w:val="0016456A"/>
    <w:rsid w:val="0016477B"/>
    <w:rsid w:val="00165EF8"/>
    <w:rsid w:val="00165F35"/>
    <w:rsid w:val="00165FDB"/>
    <w:rsid w:val="00166ACA"/>
    <w:rsid w:val="00166CA6"/>
    <w:rsid w:val="00170358"/>
    <w:rsid w:val="00170C80"/>
    <w:rsid w:val="00171979"/>
    <w:rsid w:val="00172706"/>
    <w:rsid w:val="00172A09"/>
    <w:rsid w:val="00172BC6"/>
    <w:rsid w:val="00172C70"/>
    <w:rsid w:val="00172FEF"/>
    <w:rsid w:val="00173443"/>
    <w:rsid w:val="0017373C"/>
    <w:rsid w:val="00173E6F"/>
    <w:rsid w:val="00175342"/>
    <w:rsid w:val="00175526"/>
    <w:rsid w:val="00175A7B"/>
    <w:rsid w:val="00175CF8"/>
    <w:rsid w:val="00175F37"/>
    <w:rsid w:val="00176440"/>
    <w:rsid w:val="00176653"/>
    <w:rsid w:val="00176C50"/>
    <w:rsid w:val="00177183"/>
    <w:rsid w:val="001772B2"/>
    <w:rsid w:val="00177FB4"/>
    <w:rsid w:val="001802FE"/>
    <w:rsid w:val="001804F4"/>
    <w:rsid w:val="0018053C"/>
    <w:rsid w:val="001807C7"/>
    <w:rsid w:val="00180AF0"/>
    <w:rsid w:val="00180C19"/>
    <w:rsid w:val="00180E19"/>
    <w:rsid w:val="00180F21"/>
    <w:rsid w:val="00180F93"/>
    <w:rsid w:val="00181129"/>
    <w:rsid w:val="00183080"/>
    <w:rsid w:val="001830BD"/>
    <w:rsid w:val="00183423"/>
    <w:rsid w:val="0018375D"/>
    <w:rsid w:val="00183C42"/>
    <w:rsid w:val="00184251"/>
    <w:rsid w:val="00184424"/>
    <w:rsid w:val="00184490"/>
    <w:rsid w:val="00184BAD"/>
    <w:rsid w:val="00184E2D"/>
    <w:rsid w:val="00184E75"/>
    <w:rsid w:val="001854F6"/>
    <w:rsid w:val="00185B82"/>
    <w:rsid w:val="00185E00"/>
    <w:rsid w:val="00185E32"/>
    <w:rsid w:val="00185F23"/>
    <w:rsid w:val="00186509"/>
    <w:rsid w:val="00187A14"/>
    <w:rsid w:val="00187B94"/>
    <w:rsid w:val="00187D42"/>
    <w:rsid w:val="00187F22"/>
    <w:rsid w:val="0019056B"/>
    <w:rsid w:val="0019060F"/>
    <w:rsid w:val="00191033"/>
    <w:rsid w:val="00192179"/>
    <w:rsid w:val="001924F5"/>
    <w:rsid w:val="00192769"/>
    <w:rsid w:val="00192C22"/>
    <w:rsid w:val="00193219"/>
    <w:rsid w:val="001934A8"/>
    <w:rsid w:val="0019366B"/>
    <w:rsid w:val="00193B37"/>
    <w:rsid w:val="00194175"/>
    <w:rsid w:val="00194553"/>
    <w:rsid w:val="001947D3"/>
    <w:rsid w:val="00194BE2"/>
    <w:rsid w:val="00194C10"/>
    <w:rsid w:val="00194EAA"/>
    <w:rsid w:val="001954D2"/>
    <w:rsid w:val="00195A8F"/>
    <w:rsid w:val="00195BB3"/>
    <w:rsid w:val="00195C60"/>
    <w:rsid w:val="00195E70"/>
    <w:rsid w:val="00197053"/>
    <w:rsid w:val="00197085"/>
    <w:rsid w:val="0019783A"/>
    <w:rsid w:val="00197A16"/>
    <w:rsid w:val="00197C4F"/>
    <w:rsid w:val="00197F6E"/>
    <w:rsid w:val="001A0EC3"/>
    <w:rsid w:val="001A1213"/>
    <w:rsid w:val="001A1FEF"/>
    <w:rsid w:val="001A209C"/>
    <w:rsid w:val="001A2599"/>
    <w:rsid w:val="001A29CE"/>
    <w:rsid w:val="001A2D13"/>
    <w:rsid w:val="001A2FAB"/>
    <w:rsid w:val="001A2FAE"/>
    <w:rsid w:val="001A3690"/>
    <w:rsid w:val="001A40FE"/>
    <w:rsid w:val="001A4A70"/>
    <w:rsid w:val="001A568E"/>
    <w:rsid w:val="001A5C52"/>
    <w:rsid w:val="001A5DC2"/>
    <w:rsid w:val="001A6115"/>
    <w:rsid w:val="001A6A3D"/>
    <w:rsid w:val="001A7530"/>
    <w:rsid w:val="001A7E8D"/>
    <w:rsid w:val="001A7ED7"/>
    <w:rsid w:val="001A7F68"/>
    <w:rsid w:val="001B0396"/>
    <w:rsid w:val="001B136C"/>
    <w:rsid w:val="001B1BCC"/>
    <w:rsid w:val="001B2897"/>
    <w:rsid w:val="001B2E0D"/>
    <w:rsid w:val="001B2EE3"/>
    <w:rsid w:val="001B2F8C"/>
    <w:rsid w:val="001B3026"/>
    <w:rsid w:val="001B3175"/>
    <w:rsid w:val="001B361C"/>
    <w:rsid w:val="001B3664"/>
    <w:rsid w:val="001B3C74"/>
    <w:rsid w:val="001B3E1C"/>
    <w:rsid w:val="001B4561"/>
    <w:rsid w:val="001B4712"/>
    <w:rsid w:val="001B483A"/>
    <w:rsid w:val="001B48CF"/>
    <w:rsid w:val="001B4A9A"/>
    <w:rsid w:val="001B5D24"/>
    <w:rsid w:val="001B5E3A"/>
    <w:rsid w:val="001B5EB6"/>
    <w:rsid w:val="001B5FD4"/>
    <w:rsid w:val="001B5FF9"/>
    <w:rsid w:val="001B6128"/>
    <w:rsid w:val="001B6733"/>
    <w:rsid w:val="001B6911"/>
    <w:rsid w:val="001B6FD6"/>
    <w:rsid w:val="001B721D"/>
    <w:rsid w:val="001B78DA"/>
    <w:rsid w:val="001B7D2A"/>
    <w:rsid w:val="001C0824"/>
    <w:rsid w:val="001C107B"/>
    <w:rsid w:val="001C13E0"/>
    <w:rsid w:val="001C2142"/>
    <w:rsid w:val="001C26F3"/>
    <w:rsid w:val="001C2E89"/>
    <w:rsid w:val="001C2F1F"/>
    <w:rsid w:val="001C37D1"/>
    <w:rsid w:val="001C3A74"/>
    <w:rsid w:val="001C3B6A"/>
    <w:rsid w:val="001C3CBC"/>
    <w:rsid w:val="001C409D"/>
    <w:rsid w:val="001C44EF"/>
    <w:rsid w:val="001C45F3"/>
    <w:rsid w:val="001C4788"/>
    <w:rsid w:val="001C4B15"/>
    <w:rsid w:val="001C546D"/>
    <w:rsid w:val="001C55A2"/>
    <w:rsid w:val="001C5791"/>
    <w:rsid w:val="001C5BC3"/>
    <w:rsid w:val="001C6765"/>
    <w:rsid w:val="001C683E"/>
    <w:rsid w:val="001C6D04"/>
    <w:rsid w:val="001C6E5F"/>
    <w:rsid w:val="001C700D"/>
    <w:rsid w:val="001C7443"/>
    <w:rsid w:val="001D0553"/>
    <w:rsid w:val="001D1170"/>
    <w:rsid w:val="001D18EA"/>
    <w:rsid w:val="001D1A37"/>
    <w:rsid w:val="001D1ADC"/>
    <w:rsid w:val="001D2255"/>
    <w:rsid w:val="001D3133"/>
    <w:rsid w:val="001D3778"/>
    <w:rsid w:val="001D3ADE"/>
    <w:rsid w:val="001D3D03"/>
    <w:rsid w:val="001D3FFB"/>
    <w:rsid w:val="001D41C9"/>
    <w:rsid w:val="001D512B"/>
    <w:rsid w:val="001D5208"/>
    <w:rsid w:val="001D54B5"/>
    <w:rsid w:val="001D56B7"/>
    <w:rsid w:val="001D59D9"/>
    <w:rsid w:val="001D5A83"/>
    <w:rsid w:val="001D5A93"/>
    <w:rsid w:val="001D5ABB"/>
    <w:rsid w:val="001D5AD1"/>
    <w:rsid w:val="001D5C8C"/>
    <w:rsid w:val="001D5D2E"/>
    <w:rsid w:val="001D6125"/>
    <w:rsid w:val="001D617E"/>
    <w:rsid w:val="001D68EF"/>
    <w:rsid w:val="001D6AB5"/>
    <w:rsid w:val="001D6ACD"/>
    <w:rsid w:val="001D6B25"/>
    <w:rsid w:val="001D6CA6"/>
    <w:rsid w:val="001D7123"/>
    <w:rsid w:val="001D7394"/>
    <w:rsid w:val="001D7866"/>
    <w:rsid w:val="001D7F16"/>
    <w:rsid w:val="001D7F98"/>
    <w:rsid w:val="001E0535"/>
    <w:rsid w:val="001E0551"/>
    <w:rsid w:val="001E0D67"/>
    <w:rsid w:val="001E146D"/>
    <w:rsid w:val="001E1F2D"/>
    <w:rsid w:val="001E21E2"/>
    <w:rsid w:val="001E2675"/>
    <w:rsid w:val="001E29FC"/>
    <w:rsid w:val="001E2DDC"/>
    <w:rsid w:val="001E44E8"/>
    <w:rsid w:val="001E4B0E"/>
    <w:rsid w:val="001E50A6"/>
    <w:rsid w:val="001E50FF"/>
    <w:rsid w:val="001E60E7"/>
    <w:rsid w:val="001E612D"/>
    <w:rsid w:val="001E6B8D"/>
    <w:rsid w:val="001E7048"/>
    <w:rsid w:val="001E7E74"/>
    <w:rsid w:val="001E7FDE"/>
    <w:rsid w:val="001F0182"/>
    <w:rsid w:val="001F0A2F"/>
    <w:rsid w:val="001F0BE3"/>
    <w:rsid w:val="001F0F0E"/>
    <w:rsid w:val="001F1835"/>
    <w:rsid w:val="001F184F"/>
    <w:rsid w:val="001F1BDA"/>
    <w:rsid w:val="001F22BC"/>
    <w:rsid w:val="001F2A02"/>
    <w:rsid w:val="001F2E19"/>
    <w:rsid w:val="001F306C"/>
    <w:rsid w:val="001F32FC"/>
    <w:rsid w:val="001F3564"/>
    <w:rsid w:val="001F3683"/>
    <w:rsid w:val="001F3AE9"/>
    <w:rsid w:val="001F3EFA"/>
    <w:rsid w:val="001F4279"/>
    <w:rsid w:val="001F4768"/>
    <w:rsid w:val="001F4EB3"/>
    <w:rsid w:val="001F532F"/>
    <w:rsid w:val="001F56FF"/>
    <w:rsid w:val="001F5B95"/>
    <w:rsid w:val="001F693F"/>
    <w:rsid w:val="001F6D68"/>
    <w:rsid w:val="001F6F3D"/>
    <w:rsid w:val="00200024"/>
    <w:rsid w:val="0020006A"/>
    <w:rsid w:val="0020077D"/>
    <w:rsid w:val="00200E4C"/>
    <w:rsid w:val="00200F02"/>
    <w:rsid w:val="00200F20"/>
    <w:rsid w:val="00201069"/>
    <w:rsid w:val="0020171C"/>
    <w:rsid w:val="00202148"/>
    <w:rsid w:val="002027FE"/>
    <w:rsid w:val="00202A31"/>
    <w:rsid w:val="00202AE6"/>
    <w:rsid w:val="0020351E"/>
    <w:rsid w:val="00203625"/>
    <w:rsid w:val="00203826"/>
    <w:rsid w:val="002040EB"/>
    <w:rsid w:val="00205D9F"/>
    <w:rsid w:val="00205E38"/>
    <w:rsid w:val="00205E47"/>
    <w:rsid w:val="0020600C"/>
    <w:rsid w:val="00206139"/>
    <w:rsid w:val="00206573"/>
    <w:rsid w:val="002066D4"/>
    <w:rsid w:val="002066DB"/>
    <w:rsid w:val="00206838"/>
    <w:rsid w:val="00206D40"/>
    <w:rsid w:val="00206D5E"/>
    <w:rsid w:val="00206F61"/>
    <w:rsid w:val="00207188"/>
    <w:rsid w:val="00207189"/>
    <w:rsid w:val="00207D5A"/>
    <w:rsid w:val="00210413"/>
    <w:rsid w:val="00211720"/>
    <w:rsid w:val="002119A1"/>
    <w:rsid w:val="002121F1"/>
    <w:rsid w:val="002126D9"/>
    <w:rsid w:val="00212DF7"/>
    <w:rsid w:val="0021386D"/>
    <w:rsid w:val="002145B4"/>
    <w:rsid w:val="00214B5F"/>
    <w:rsid w:val="00214C0D"/>
    <w:rsid w:val="00214F63"/>
    <w:rsid w:val="002157E0"/>
    <w:rsid w:val="00215F6E"/>
    <w:rsid w:val="00216666"/>
    <w:rsid w:val="00217CDE"/>
    <w:rsid w:val="00217E26"/>
    <w:rsid w:val="00220083"/>
    <w:rsid w:val="0022084A"/>
    <w:rsid w:val="0022123D"/>
    <w:rsid w:val="002212D4"/>
    <w:rsid w:val="00221A1B"/>
    <w:rsid w:val="00221E3E"/>
    <w:rsid w:val="0022265A"/>
    <w:rsid w:val="0022350F"/>
    <w:rsid w:val="002236C1"/>
    <w:rsid w:val="002238B0"/>
    <w:rsid w:val="00223CC8"/>
    <w:rsid w:val="00224575"/>
    <w:rsid w:val="00224605"/>
    <w:rsid w:val="002246C8"/>
    <w:rsid w:val="00224D06"/>
    <w:rsid w:val="00224D99"/>
    <w:rsid w:val="002253C1"/>
    <w:rsid w:val="002257D0"/>
    <w:rsid w:val="00225DE2"/>
    <w:rsid w:val="00225FB3"/>
    <w:rsid w:val="00226041"/>
    <w:rsid w:val="00227151"/>
    <w:rsid w:val="00227977"/>
    <w:rsid w:val="00227984"/>
    <w:rsid w:val="00227B00"/>
    <w:rsid w:val="00230D8C"/>
    <w:rsid w:val="00231412"/>
    <w:rsid w:val="00232511"/>
    <w:rsid w:val="00232749"/>
    <w:rsid w:val="00232AAD"/>
    <w:rsid w:val="00233C78"/>
    <w:rsid w:val="00233D96"/>
    <w:rsid w:val="002340C8"/>
    <w:rsid w:val="002352A9"/>
    <w:rsid w:val="00235698"/>
    <w:rsid w:val="00235AE4"/>
    <w:rsid w:val="00235C6D"/>
    <w:rsid w:val="00235ED4"/>
    <w:rsid w:val="00236039"/>
    <w:rsid w:val="0023635D"/>
    <w:rsid w:val="00236A04"/>
    <w:rsid w:val="002379C1"/>
    <w:rsid w:val="002403B9"/>
    <w:rsid w:val="002405A8"/>
    <w:rsid w:val="0024155A"/>
    <w:rsid w:val="00241817"/>
    <w:rsid w:val="00241E92"/>
    <w:rsid w:val="00242023"/>
    <w:rsid w:val="0024240F"/>
    <w:rsid w:val="002426E1"/>
    <w:rsid w:val="002429C9"/>
    <w:rsid w:val="00242C1F"/>
    <w:rsid w:val="00242FBD"/>
    <w:rsid w:val="00243323"/>
    <w:rsid w:val="00243EB3"/>
    <w:rsid w:val="002440CB"/>
    <w:rsid w:val="00244682"/>
    <w:rsid w:val="002450A5"/>
    <w:rsid w:val="00245635"/>
    <w:rsid w:val="00245D77"/>
    <w:rsid w:val="00245F34"/>
    <w:rsid w:val="00246632"/>
    <w:rsid w:val="002467C7"/>
    <w:rsid w:val="00246F1C"/>
    <w:rsid w:val="002478F5"/>
    <w:rsid w:val="00250E33"/>
    <w:rsid w:val="0025153B"/>
    <w:rsid w:val="002515DC"/>
    <w:rsid w:val="002518D3"/>
    <w:rsid w:val="00251BBC"/>
    <w:rsid w:val="00251C06"/>
    <w:rsid w:val="0025203F"/>
    <w:rsid w:val="00252067"/>
    <w:rsid w:val="0025209C"/>
    <w:rsid w:val="00252B24"/>
    <w:rsid w:val="0025351C"/>
    <w:rsid w:val="00253C1D"/>
    <w:rsid w:val="00253CF6"/>
    <w:rsid w:val="00253E6F"/>
    <w:rsid w:val="00253EAD"/>
    <w:rsid w:val="0025469D"/>
    <w:rsid w:val="00254922"/>
    <w:rsid w:val="002549F1"/>
    <w:rsid w:val="00254E5E"/>
    <w:rsid w:val="0025502E"/>
    <w:rsid w:val="00255082"/>
    <w:rsid w:val="00255B62"/>
    <w:rsid w:val="00255EE8"/>
    <w:rsid w:val="0025663C"/>
    <w:rsid w:val="002568AD"/>
    <w:rsid w:val="00256A7B"/>
    <w:rsid w:val="00256EB4"/>
    <w:rsid w:val="00257A53"/>
    <w:rsid w:val="00257AF4"/>
    <w:rsid w:val="00257C8A"/>
    <w:rsid w:val="00257E4F"/>
    <w:rsid w:val="00260559"/>
    <w:rsid w:val="00260613"/>
    <w:rsid w:val="00260C22"/>
    <w:rsid w:val="00261380"/>
    <w:rsid w:val="00261713"/>
    <w:rsid w:val="0026196E"/>
    <w:rsid w:val="00261975"/>
    <w:rsid w:val="002619F1"/>
    <w:rsid w:val="00261C45"/>
    <w:rsid w:val="002623FF"/>
    <w:rsid w:val="00262A03"/>
    <w:rsid w:val="00263258"/>
    <w:rsid w:val="002645D5"/>
    <w:rsid w:val="002648AC"/>
    <w:rsid w:val="002649F5"/>
    <w:rsid w:val="00265102"/>
    <w:rsid w:val="00265283"/>
    <w:rsid w:val="002658C0"/>
    <w:rsid w:val="00265A17"/>
    <w:rsid w:val="00266459"/>
    <w:rsid w:val="00266692"/>
    <w:rsid w:val="002667C6"/>
    <w:rsid w:val="00266BB4"/>
    <w:rsid w:val="00266F52"/>
    <w:rsid w:val="0026743A"/>
    <w:rsid w:val="00267487"/>
    <w:rsid w:val="00267A4E"/>
    <w:rsid w:val="00267E35"/>
    <w:rsid w:val="00267ECC"/>
    <w:rsid w:val="00267FAF"/>
    <w:rsid w:val="00270965"/>
    <w:rsid w:val="00271581"/>
    <w:rsid w:val="00271625"/>
    <w:rsid w:val="00271B8C"/>
    <w:rsid w:val="00271DE6"/>
    <w:rsid w:val="00271E11"/>
    <w:rsid w:val="00271FC0"/>
    <w:rsid w:val="0027288A"/>
    <w:rsid w:val="002732FF"/>
    <w:rsid w:val="002736D4"/>
    <w:rsid w:val="00273787"/>
    <w:rsid w:val="00273C78"/>
    <w:rsid w:val="002744A5"/>
    <w:rsid w:val="002752BB"/>
    <w:rsid w:val="0027596B"/>
    <w:rsid w:val="00275C16"/>
    <w:rsid w:val="0027659C"/>
    <w:rsid w:val="0027669A"/>
    <w:rsid w:val="002767B4"/>
    <w:rsid w:val="00276B93"/>
    <w:rsid w:val="00277354"/>
    <w:rsid w:val="002774D9"/>
    <w:rsid w:val="00277505"/>
    <w:rsid w:val="00277B98"/>
    <w:rsid w:val="00277BA1"/>
    <w:rsid w:val="002804D9"/>
    <w:rsid w:val="00280542"/>
    <w:rsid w:val="002808D6"/>
    <w:rsid w:val="00280901"/>
    <w:rsid w:val="00280974"/>
    <w:rsid w:val="00280E5D"/>
    <w:rsid w:val="0028165B"/>
    <w:rsid w:val="00281ED1"/>
    <w:rsid w:val="00282220"/>
    <w:rsid w:val="002822FB"/>
    <w:rsid w:val="0028254E"/>
    <w:rsid w:val="002828C7"/>
    <w:rsid w:val="002828FC"/>
    <w:rsid w:val="00283380"/>
    <w:rsid w:val="00283536"/>
    <w:rsid w:val="002848A6"/>
    <w:rsid w:val="002852A3"/>
    <w:rsid w:val="002853AA"/>
    <w:rsid w:val="002855CC"/>
    <w:rsid w:val="00285A70"/>
    <w:rsid w:val="00285D61"/>
    <w:rsid w:val="002864E0"/>
    <w:rsid w:val="00286A91"/>
    <w:rsid w:val="00286D2E"/>
    <w:rsid w:val="00286EF5"/>
    <w:rsid w:val="00287284"/>
    <w:rsid w:val="0029037A"/>
    <w:rsid w:val="00290731"/>
    <w:rsid w:val="002917F2"/>
    <w:rsid w:val="00291C0E"/>
    <w:rsid w:val="0029268D"/>
    <w:rsid w:val="002927B0"/>
    <w:rsid w:val="002928AC"/>
    <w:rsid w:val="00292D69"/>
    <w:rsid w:val="00292EDC"/>
    <w:rsid w:val="00293982"/>
    <w:rsid w:val="00293AC4"/>
    <w:rsid w:val="00293E91"/>
    <w:rsid w:val="00293EAB"/>
    <w:rsid w:val="00294403"/>
    <w:rsid w:val="002946ED"/>
    <w:rsid w:val="002947FB"/>
    <w:rsid w:val="002949CD"/>
    <w:rsid w:val="0029555F"/>
    <w:rsid w:val="002955B1"/>
    <w:rsid w:val="00295DB0"/>
    <w:rsid w:val="00295DDF"/>
    <w:rsid w:val="00296499"/>
    <w:rsid w:val="0029699F"/>
    <w:rsid w:val="00296A52"/>
    <w:rsid w:val="00296F7C"/>
    <w:rsid w:val="002975ED"/>
    <w:rsid w:val="00297A69"/>
    <w:rsid w:val="00297CDF"/>
    <w:rsid w:val="00297E87"/>
    <w:rsid w:val="00297F8D"/>
    <w:rsid w:val="00297FCF"/>
    <w:rsid w:val="002A01C8"/>
    <w:rsid w:val="002A05C4"/>
    <w:rsid w:val="002A0A09"/>
    <w:rsid w:val="002A0E26"/>
    <w:rsid w:val="002A10DD"/>
    <w:rsid w:val="002A166F"/>
    <w:rsid w:val="002A1D1E"/>
    <w:rsid w:val="002A208F"/>
    <w:rsid w:val="002A2AE4"/>
    <w:rsid w:val="002A2EFC"/>
    <w:rsid w:val="002A2FD2"/>
    <w:rsid w:val="002A314A"/>
    <w:rsid w:val="002A391B"/>
    <w:rsid w:val="002A3CD1"/>
    <w:rsid w:val="002A3F36"/>
    <w:rsid w:val="002A4DE6"/>
    <w:rsid w:val="002A4F64"/>
    <w:rsid w:val="002A54E9"/>
    <w:rsid w:val="002A6096"/>
    <w:rsid w:val="002A6210"/>
    <w:rsid w:val="002A62FE"/>
    <w:rsid w:val="002A636C"/>
    <w:rsid w:val="002A6558"/>
    <w:rsid w:val="002A6651"/>
    <w:rsid w:val="002A665E"/>
    <w:rsid w:val="002A6964"/>
    <w:rsid w:val="002A6B42"/>
    <w:rsid w:val="002A6C01"/>
    <w:rsid w:val="002A6D4F"/>
    <w:rsid w:val="002A7290"/>
    <w:rsid w:val="002A73C3"/>
    <w:rsid w:val="002A7470"/>
    <w:rsid w:val="002A796D"/>
    <w:rsid w:val="002A7E5F"/>
    <w:rsid w:val="002A7F42"/>
    <w:rsid w:val="002B0A47"/>
    <w:rsid w:val="002B0FB2"/>
    <w:rsid w:val="002B1451"/>
    <w:rsid w:val="002B1C7C"/>
    <w:rsid w:val="002B2133"/>
    <w:rsid w:val="002B245D"/>
    <w:rsid w:val="002B2803"/>
    <w:rsid w:val="002B2E09"/>
    <w:rsid w:val="002B30B3"/>
    <w:rsid w:val="002B3C55"/>
    <w:rsid w:val="002B3D0B"/>
    <w:rsid w:val="002B3F6B"/>
    <w:rsid w:val="002B47E0"/>
    <w:rsid w:val="002B4A40"/>
    <w:rsid w:val="002B4A78"/>
    <w:rsid w:val="002B513A"/>
    <w:rsid w:val="002B52D3"/>
    <w:rsid w:val="002B64E9"/>
    <w:rsid w:val="002B7212"/>
    <w:rsid w:val="002B777B"/>
    <w:rsid w:val="002C0459"/>
    <w:rsid w:val="002C04CC"/>
    <w:rsid w:val="002C0507"/>
    <w:rsid w:val="002C0894"/>
    <w:rsid w:val="002C08C1"/>
    <w:rsid w:val="002C096A"/>
    <w:rsid w:val="002C0D99"/>
    <w:rsid w:val="002C123C"/>
    <w:rsid w:val="002C1496"/>
    <w:rsid w:val="002C16A7"/>
    <w:rsid w:val="002C189C"/>
    <w:rsid w:val="002C1DEA"/>
    <w:rsid w:val="002C212D"/>
    <w:rsid w:val="002C283B"/>
    <w:rsid w:val="002C2F0F"/>
    <w:rsid w:val="002C3148"/>
    <w:rsid w:val="002C339E"/>
    <w:rsid w:val="002C36E0"/>
    <w:rsid w:val="002C3892"/>
    <w:rsid w:val="002C4CEE"/>
    <w:rsid w:val="002C5199"/>
    <w:rsid w:val="002C5CAE"/>
    <w:rsid w:val="002C5D82"/>
    <w:rsid w:val="002C69F1"/>
    <w:rsid w:val="002C70F9"/>
    <w:rsid w:val="002C7477"/>
    <w:rsid w:val="002C788E"/>
    <w:rsid w:val="002C7A16"/>
    <w:rsid w:val="002C7AFF"/>
    <w:rsid w:val="002C7BD8"/>
    <w:rsid w:val="002D0073"/>
    <w:rsid w:val="002D007F"/>
    <w:rsid w:val="002D0CBC"/>
    <w:rsid w:val="002D17FB"/>
    <w:rsid w:val="002D1E27"/>
    <w:rsid w:val="002D2A46"/>
    <w:rsid w:val="002D2D14"/>
    <w:rsid w:val="002D31A1"/>
    <w:rsid w:val="002D3674"/>
    <w:rsid w:val="002D3B3F"/>
    <w:rsid w:val="002D3B92"/>
    <w:rsid w:val="002D3C0A"/>
    <w:rsid w:val="002D4A05"/>
    <w:rsid w:val="002D4B5B"/>
    <w:rsid w:val="002D4D7A"/>
    <w:rsid w:val="002D4DEF"/>
    <w:rsid w:val="002D5015"/>
    <w:rsid w:val="002D525A"/>
    <w:rsid w:val="002D613F"/>
    <w:rsid w:val="002D6CAE"/>
    <w:rsid w:val="002D6DCC"/>
    <w:rsid w:val="002D6ED2"/>
    <w:rsid w:val="002D6FB0"/>
    <w:rsid w:val="002D719E"/>
    <w:rsid w:val="002D7225"/>
    <w:rsid w:val="002D729A"/>
    <w:rsid w:val="002D7D07"/>
    <w:rsid w:val="002D7F69"/>
    <w:rsid w:val="002E063A"/>
    <w:rsid w:val="002E0754"/>
    <w:rsid w:val="002E1187"/>
    <w:rsid w:val="002E194E"/>
    <w:rsid w:val="002E1D85"/>
    <w:rsid w:val="002E2B58"/>
    <w:rsid w:val="002E31CF"/>
    <w:rsid w:val="002E335B"/>
    <w:rsid w:val="002E36C8"/>
    <w:rsid w:val="002E493B"/>
    <w:rsid w:val="002E4AC2"/>
    <w:rsid w:val="002E4CD5"/>
    <w:rsid w:val="002E4F08"/>
    <w:rsid w:val="002E5275"/>
    <w:rsid w:val="002E52FF"/>
    <w:rsid w:val="002E5CD5"/>
    <w:rsid w:val="002E5ECC"/>
    <w:rsid w:val="002E64ED"/>
    <w:rsid w:val="002E6801"/>
    <w:rsid w:val="002E6E6F"/>
    <w:rsid w:val="002E7938"/>
    <w:rsid w:val="002E796E"/>
    <w:rsid w:val="002E7EF3"/>
    <w:rsid w:val="002E7F16"/>
    <w:rsid w:val="002F0307"/>
    <w:rsid w:val="002F0583"/>
    <w:rsid w:val="002F08EE"/>
    <w:rsid w:val="002F12D0"/>
    <w:rsid w:val="002F13CA"/>
    <w:rsid w:val="002F1A24"/>
    <w:rsid w:val="002F1DD8"/>
    <w:rsid w:val="002F2613"/>
    <w:rsid w:val="002F3325"/>
    <w:rsid w:val="002F33F1"/>
    <w:rsid w:val="002F3930"/>
    <w:rsid w:val="002F4174"/>
    <w:rsid w:val="002F4B12"/>
    <w:rsid w:val="002F4DC6"/>
    <w:rsid w:val="002F546A"/>
    <w:rsid w:val="002F576E"/>
    <w:rsid w:val="002F5D7B"/>
    <w:rsid w:val="002F602C"/>
    <w:rsid w:val="002F630D"/>
    <w:rsid w:val="002F64EC"/>
    <w:rsid w:val="002F6725"/>
    <w:rsid w:val="002F6BB8"/>
    <w:rsid w:val="002F7AF8"/>
    <w:rsid w:val="002F7F55"/>
    <w:rsid w:val="00300018"/>
    <w:rsid w:val="00300B1D"/>
    <w:rsid w:val="00300D40"/>
    <w:rsid w:val="003013CF"/>
    <w:rsid w:val="00301483"/>
    <w:rsid w:val="00301602"/>
    <w:rsid w:val="003018DE"/>
    <w:rsid w:val="0030217E"/>
    <w:rsid w:val="003022DD"/>
    <w:rsid w:val="003025BD"/>
    <w:rsid w:val="00302B91"/>
    <w:rsid w:val="00302D04"/>
    <w:rsid w:val="00302D06"/>
    <w:rsid w:val="00303928"/>
    <w:rsid w:val="00303A69"/>
    <w:rsid w:val="003048E7"/>
    <w:rsid w:val="00305277"/>
    <w:rsid w:val="00306254"/>
    <w:rsid w:val="00306551"/>
    <w:rsid w:val="0030677F"/>
    <w:rsid w:val="00306E1F"/>
    <w:rsid w:val="0030770D"/>
    <w:rsid w:val="00307773"/>
    <w:rsid w:val="003079EB"/>
    <w:rsid w:val="00307BA7"/>
    <w:rsid w:val="0031061F"/>
    <w:rsid w:val="00310E3A"/>
    <w:rsid w:val="003113DF"/>
    <w:rsid w:val="0031144F"/>
    <w:rsid w:val="0031161D"/>
    <w:rsid w:val="00311D11"/>
    <w:rsid w:val="00311D9C"/>
    <w:rsid w:val="00311DBB"/>
    <w:rsid w:val="00311DC2"/>
    <w:rsid w:val="00311DE8"/>
    <w:rsid w:val="0031241D"/>
    <w:rsid w:val="00312537"/>
    <w:rsid w:val="0031314C"/>
    <w:rsid w:val="003134C5"/>
    <w:rsid w:val="00313BB0"/>
    <w:rsid w:val="00313E3C"/>
    <w:rsid w:val="0031461E"/>
    <w:rsid w:val="0031474B"/>
    <w:rsid w:val="00314962"/>
    <w:rsid w:val="003159A8"/>
    <w:rsid w:val="00315ED2"/>
    <w:rsid w:val="003160A7"/>
    <w:rsid w:val="00316440"/>
    <w:rsid w:val="00316960"/>
    <w:rsid w:val="00316AD0"/>
    <w:rsid w:val="00317B26"/>
    <w:rsid w:val="00317B57"/>
    <w:rsid w:val="00317DC9"/>
    <w:rsid w:val="0032064D"/>
    <w:rsid w:val="00320A1F"/>
    <w:rsid w:val="00320A22"/>
    <w:rsid w:val="00321164"/>
    <w:rsid w:val="00321517"/>
    <w:rsid w:val="003216C2"/>
    <w:rsid w:val="003216E8"/>
    <w:rsid w:val="0032189F"/>
    <w:rsid w:val="00322551"/>
    <w:rsid w:val="003225AF"/>
    <w:rsid w:val="00322E35"/>
    <w:rsid w:val="003236E0"/>
    <w:rsid w:val="0032387A"/>
    <w:rsid w:val="00323B89"/>
    <w:rsid w:val="00323E5B"/>
    <w:rsid w:val="00324ABC"/>
    <w:rsid w:val="00324F07"/>
    <w:rsid w:val="003257C7"/>
    <w:rsid w:val="003260AC"/>
    <w:rsid w:val="003260E0"/>
    <w:rsid w:val="003262EB"/>
    <w:rsid w:val="00326BDA"/>
    <w:rsid w:val="00326CFB"/>
    <w:rsid w:val="00326E72"/>
    <w:rsid w:val="0033045D"/>
    <w:rsid w:val="00330669"/>
    <w:rsid w:val="003306CC"/>
    <w:rsid w:val="00330C33"/>
    <w:rsid w:val="00330D6C"/>
    <w:rsid w:val="00330DD2"/>
    <w:rsid w:val="00330ED4"/>
    <w:rsid w:val="00331283"/>
    <w:rsid w:val="00332958"/>
    <w:rsid w:val="00332E16"/>
    <w:rsid w:val="0033309C"/>
    <w:rsid w:val="00333204"/>
    <w:rsid w:val="0033346B"/>
    <w:rsid w:val="00333B8F"/>
    <w:rsid w:val="00333D7A"/>
    <w:rsid w:val="00333E09"/>
    <w:rsid w:val="00334163"/>
    <w:rsid w:val="00334BB5"/>
    <w:rsid w:val="0033502D"/>
    <w:rsid w:val="003351F8"/>
    <w:rsid w:val="003352C8"/>
    <w:rsid w:val="00335881"/>
    <w:rsid w:val="00336682"/>
    <w:rsid w:val="00337234"/>
    <w:rsid w:val="003379FD"/>
    <w:rsid w:val="0034006C"/>
    <w:rsid w:val="00340446"/>
    <w:rsid w:val="00340452"/>
    <w:rsid w:val="00340680"/>
    <w:rsid w:val="00340945"/>
    <w:rsid w:val="00340DBC"/>
    <w:rsid w:val="003413F8"/>
    <w:rsid w:val="00341A81"/>
    <w:rsid w:val="00341C21"/>
    <w:rsid w:val="0034269E"/>
    <w:rsid w:val="00342D10"/>
    <w:rsid w:val="00343293"/>
    <w:rsid w:val="00343C22"/>
    <w:rsid w:val="00343D3C"/>
    <w:rsid w:val="00343FB9"/>
    <w:rsid w:val="003440CE"/>
    <w:rsid w:val="00344108"/>
    <w:rsid w:val="003445A5"/>
    <w:rsid w:val="0034480A"/>
    <w:rsid w:val="00344CDE"/>
    <w:rsid w:val="003454A9"/>
    <w:rsid w:val="00345D96"/>
    <w:rsid w:val="0034778D"/>
    <w:rsid w:val="003477FA"/>
    <w:rsid w:val="00350206"/>
    <w:rsid w:val="0035025F"/>
    <w:rsid w:val="00350331"/>
    <w:rsid w:val="00350359"/>
    <w:rsid w:val="003503A1"/>
    <w:rsid w:val="00350A8D"/>
    <w:rsid w:val="00350D04"/>
    <w:rsid w:val="00350F85"/>
    <w:rsid w:val="00350F86"/>
    <w:rsid w:val="00351A64"/>
    <w:rsid w:val="00353218"/>
    <w:rsid w:val="00353D67"/>
    <w:rsid w:val="003542F2"/>
    <w:rsid w:val="003544A5"/>
    <w:rsid w:val="003547CD"/>
    <w:rsid w:val="0035482D"/>
    <w:rsid w:val="003549D2"/>
    <w:rsid w:val="00354F07"/>
    <w:rsid w:val="003551F4"/>
    <w:rsid w:val="0035581A"/>
    <w:rsid w:val="00355B83"/>
    <w:rsid w:val="00355C1B"/>
    <w:rsid w:val="00356002"/>
    <w:rsid w:val="0035653D"/>
    <w:rsid w:val="003566C0"/>
    <w:rsid w:val="0035682B"/>
    <w:rsid w:val="003568BE"/>
    <w:rsid w:val="003578FB"/>
    <w:rsid w:val="00357AC5"/>
    <w:rsid w:val="003604AD"/>
    <w:rsid w:val="003609B5"/>
    <w:rsid w:val="00361137"/>
    <w:rsid w:val="003613DA"/>
    <w:rsid w:val="00361DB6"/>
    <w:rsid w:val="003625B5"/>
    <w:rsid w:val="00363112"/>
    <w:rsid w:val="003631E1"/>
    <w:rsid w:val="003633DC"/>
    <w:rsid w:val="00363749"/>
    <w:rsid w:val="00363862"/>
    <w:rsid w:val="00363A1A"/>
    <w:rsid w:val="00363AC7"/>
    <w:rsid w:val="00363DC4"/>
    <w:rsid w:val="003648E8"/>
    <w:rsid w:val="00364A4B"/>
    <w:rsid w:val="00364C34"/>
    <w:rsid w:val="00364C9E"/>
    <w:rsid w:val="00364E07"/>
    <w:rsid w:val="00365361"/>
    <w:rsid w:val="00365DD3"/>
    <w:rsid w:val="00365E52"/>
    <w:rsid w:val="003662B2"/>
    <w:rsid w:val="00366AD7"/>
    <w:rsid w:val="00366B44"/>
    <w:rsid w:val="00367BF8"/>
    <w:rsid w:val="00370964"/>
    <w:rsid w:val="00370A42"/>
    <w:rsid w:val="0037143A"/>
    <w:rsid w:val="00371749"/>
    <w:rsid w:val="003728A3"/>
    <w:rsid w:val="00372B0D"/>
    <w:rsid w:val="00372C8E"/>
    <w:rsid w:val="00373F76"/>
    <w:rsid w:val="0037465A"/>
    <w:rsid w:val="003749D6"/>
    <w:rsid w:val="00374F44"/>
    <w:rsid w:val="00375F3D"/>
    <w:rsid w:val="003760E2"/>
    <w:rsid w:val="003771CE"/>
    <w:rsid w:val="00380AD3"/>
    <w:rsid w:val="003812CF"/>
    <w:rsid w:val="00381AA9"/>
    <w:rsid w:val="00381B0C"/>
    <w:rsid w:val="00381B16"/>
    <w:rsid w:val="00381C73"/>
    <w:rsid w:val="00381DD3"/>
    <w:rsid w:val="00381DE3"/>
    <w:rsid w:val="00382780"/>
    <w:rsid w:val="00382CD2"/>
    <w:rsid w:val="00382CE0"/>
    <w:rsid w:val="00382F81"/>
    <w:rsid w:val="003830B1"/>
    <w:rsid w:val="00384747"/>
    <w:rsid w:val="00384F89"/>
    <w:rsid w:val="003853ED"/>
    <w:rsid w:val="00385458"/>
    <w:rsid w:val="0038545E"/>
    <w:rsid w:val="0038587C"/>
    <w:rsid w:val="003859E7"/>
    <w:rsid w:val="00386801"/>
    <w:rsid w:val="00386B49"/>
    <w:rsid w:val="003871E7"/>
    <w:rsid w:val="003873C6"/>
    <w:rsid w:val="00387971"/>
    <w:rsid w:val="00387D72"/>
    <w:rsid w:val="00390B6F"/>
    <w:rsid w:val="00390EF4"/>
    <w:rsid w:val="003919A6"/>
    <w:rsid w:val="00391BE2"/>
    <w:rsid w:val="00391E29"/>
    <w:rsid w:val="00391F06"/>
    <w:rsid w:val="00391F2E"/>
    <w:rsid w:val="00392CF0"/>
    <w:rsid w:val="003937A6"/>
    <w:rsid w:val="00393815"/>
    <w:rsid w:val="0039420E"/>
    <w:rsid w:val="0039480C"/>
    <w:rsid w:val="00395144"/>
    <w:rsid w:val="00395A6A"/>
    <w:rsid w:val="003962E1"/>
    <w:rsid w:val="0039634C"/>
    <w:rsid w:val="00396644"/>
    <w:rsid w:val="00397682"/>
    <w:rsid w:val="00397757"/>
    <w:rsid w:val="003979BF"/>
    <w:rsid w:val="00397F0D"/>
    <w:rsid w:val="003A09E8"/>
    <w:rsid w:val="003A10E8"/>
    <w:rsid w:val="003A13EF"/>
    <w:rsid w:val="003A1723"/>
    <w:rsid w:val="003A1BE4"/>
    <w:rsid w:val="003A2560"/>
    <w:rsid w:val="003A2AE5"/>
    <w:rsid w:val="003A38B4"/>
    <w:rsid w:val="003A3BAE"/>
    <w:rsid w:val="003A3DDF"/>
    <w:rsid w:val="003A4185"/>
    <w:rsid w:val="003A49FA"/>
    <w:rsid w:val="003A56BC"/>
    <w:rsid w:val="003A5AD1"/>
    <w:rsid w:val="003A64D2"/>
    <w:rsid w:val="003A6899"/>
    <w:rsid w:val="003A7309"/>
    <w:rsid w:val="003B0297"/>
    <w:rsid w:val="003B0411"/>
    <w:rsid w:val="003B178C"/>
    <w:rsid w:val="003B1DDB"/>
    <w:rsid w:val="003B1DF2"/>
    <w:rsid w:val="003B1DF4"/>
    <w:rsid w:val="003B22B2"/>
    <w:rsid w:val="003B2312"/>
    <w:rsid w:val="003B2668"/>
    <w:rsid w:val="003B2833"/>
    <w:rsid w:val="003B28D1"/>
    <w:rsid w:val="003B2A57"/>
    <w:rsid w:val="003B2E88"/>
    <w:rsid w:val="003B3189"/>
    <w:rsid w:val="003B35F4"/>
    <w:rsid w:val="003B3875"/>
    <w:rsid w:val="003B3DDF"/>
    <w:rsid w:val="003B435B"/>
    <w:rsid w:val="003B4C34"/>
    <w:rsid w:val="003B4D08"/>
    <w:rsid w:val="003B55F2"/>
    <w:rsid w:val="003B56E3"/>
    <w:rsid w:val="003B591E"/>
    <w:rsid w:val="003B6253"/>
    <w:rsid w:val="003B6785"/>
    <w:rsid w:val="003B687F"/>
    <w:rsid w:val="003B6922"/>
    <w:rsid w:val="003B73C8"/>
    <w:rsid w:val="003B73D9"/>
    <w:rsid w:val="003B7512"/>
    <w:rsid w:val="003B789B"/>
    <w:rsid w:val="003B7A42"/>
    <w:rsid w:val="003B7A6D"/>
    <w:rsid w:val="003B7B48"/>
    <w:rsid w:val="003C0133"/>
    <w:rsid w:val="003C01B8"/>
    <w:rsid w:val="003C04E9"/>
    <w:rsid w:val="003C063A"/>
    <w:rsid w:val="003C0827"/>
    <w:rsid w:val="003C0881"/>
    <w:rsid w:val="003C0DE6"/>
    <w:rsid w:val="003C0EEE"/>
    <w:rsid w:val="003C19D3"/>
    <w:rsid w:val="003C2C0C"/>
    <w:rsid w:val="003C2E16"/>
    <w:rsid w:val="003C307F"/>
    <w:rsid w:val="003C3915"/>
    <w:rsid w:val="003C428B"/>
    <w:rsid w:val="003C4D89"/>
    <w:rsid w:val="003C4F34"/>
    <w:rsid w:val="003C63F0"/>
    <w:rsid w:val="003C6472"/>
    <w:rsid w:val="003C6872"/>
    <w:rsid w:val="003C6DF5"/>
    <w:rsid w:val="003C7758"/>
    <w:rsid w:val="003C792E"/>
    <w:rsid w:val="003C7E23"/>
    <w:rsid w:val="003D084A"/>
    <w:rsid w:val="003D1F3B"/>
    <w:rsid w:val="003D2249"/>
    <w:rsid w:val="003D3859"/>
    <w:rsid w:val="003D3A87"/>
    <w:rsid w:val="003D3CAC"/>
    <w:rsid w:val="003D409F"/>
    <w:rsid w:val="003D476B"/>
    <w:rsid w:val="003D4D4D"/>
    <w:rsid w:val="003D4D9B"/>
    <w:rsid w:val="003D5E6A"/>
    <w:rsid w:val="003D6927"/>
    <w:rsid w:val="003D7016"/>
    <w:rsid w:val="003D71C4"/>
    <w:rsid w:val="003D7788"/>
    <w:rsid w:val="003D78EA"/>
    <w:rsid w:val="003D7FBC"/>
    <w:rsid w:val="003E056A"/>
    <w:rsid w:val="003E08C2"/>
    <w:rsid w:val="003E1826"/>
    <w:rsid w:val="003E20BA"/>
    <w:rsid w:val="003E21F0"/>
    <w:rsid w:val="003E2489"/>
    <w:rsid w:val="003E262A"/>
    <w:rsid w:val="003E266B"/>
    <w:rsid w:val="003E2D41"/>
    <w:rsid w:val="003E3689"/>
    <w:rsid w:val="003E3AA6"/>
    <w:rsid w:val="003E3FA4"/>
    <w:rsid w:val="003E439E"/>
    <w:rsid w:val="003E4498"/>
    <w:rsid w:val="003E45A9"/>
    <w:rsid w:val="003E4672"/>
    <w:rsid w:val="003E5767"/>
    <w:rsid w:val="003E58A2"/>
    <w:rsid w:val="003E5906"/>
    <w:rsid w:val="003E5E90"/>
    <w:rsid w:val="003E5F31"/>
    <w:rsid w:val="003E65B2"/>
    <w:rsid w:val="003E67C9"/>
    <w:rsid w:val="003E7268"/>
    <w:rsid w:val="003E7743"/>
    <w:rsid w:val="003E7915"/>
    <w:rsid w:val="003F02BA"/>
    <w:rsid w:val="003F06B0"/>
    <w:rsid w:val="003F0E3B"/>
    <w:rsid w:val="003F11B2"/>
    <w:rsid w:val="003F1273"/>
    <w:rsid w:val="003F17C3"/>
    <w:rsid w:val="003F1D02"/>
    <w:rsid w:val="003F21FA"/>
    <w:rsid w:val="003F26E0"/>
    <w:rsid w:val="003F2D17"/>
    <w:rsid w:val="003F2DB9"/>
    <w:rsid w:val="003F32E2"/>
    <w:rsid w:val="003F34C9"/>
    <w:rsid w:val="003F4631"/>
    <w:rsid w:val="003F5300"/>
    <w:rsid w:val="003F548B"/>
    <w:rsid w:val="003F56F1"/>
    <w:rsid w:val="003F6121"/>
    <w:rsid w:val="003F6276"/>
    <w:rsid w:val="003F6549"/>
    <w:rsid w:val="003F68A9"/>
    <w:rsid w:val="003F6B7A"/>
    <w:rsid w:val="003F6D5A"/>
    <w:rsid w:val="003F75D4"/>
    <w:rsid w:val="003F7679"/>
    <w:rsid w:val="003F7C8E"/>
    <w:rsid w:val="004001AB"/>
    <w:rsid w:val="00400457"/>
    <w:rsid w:val="00400A12"/>
    <w:rsid w:val="00400C06"/>
    <w:rsid w:val="00401289"/>
    <w:rsid w:val="00402018"/>
    <w:rsid w:val="004025C4"/>
    <w:rsid w:val="00402A80"/>
    <w:rsid w:val="00402B3D"/>
    <w:rsid w:val="0040355B"/>
    <w:rsid w:val="004037F0"/>
    <w:rsid w:val="00403F3A"/>
    <w:rsid w:val="00404849"/>
    <w:rsid w:val="00404880"/>
    <w:rsid w:val="00404BCC"/>
    <w:rsid w:val="00405348"/>
    <w:rsid w:val="00406561"/>
    <w:rsid w:val="004067A2"/>
    <w:rsid w:val="00406852"/>
    <w:rsid w:val="00406D7E"/>
    <w:rsid w:val="00406F8C"/>
    <w:rsid w:val="00406FE2"/>
    <w:rsid w:val="00407138"/>
    <w:rsid w:val="00407199"/>
    <w:rsid w:val="00407215"/>
    <w:rsid w:val="0040756D"/>
    <w:rsid w:val="00407C9F"/>
    <w:rsid w:val="00407CE7"/>
    <w:rsid w:val="00407E26"/>
    <w:rsid w:val="004108C2"/>
    <w:rsid w:val="00410E79"/>
    <w:rsid w:val="0041150E"/>
    <w:rsid w:val="00411874"/>
    <w:rsid w:val="0041188F"/>
    <w:rsid w:val="00411BCD"/>
    <w:rsid w:val="00411FC2"/>
    <w:rsid w:val="0041251A"/>
    <w:rsid w:val="0041266C"/>
    <w:rsid w:val="00412BE4"/>
    <w:rsid w:val="00412CA6"/>
    <w:rsid w:val="00412D87"/>
    <w:rsid w:val="00412E8A"/>
    <w:rsid w:val="0041340D"/>
    <w:rsid w:val="00413558"/>
    <w:rsid w:val="0041363A"/>
    <w:rsid w:val="00413B62"/>
    <w:rsid w:val="00413E67"/>
    <w:rsid w:val="0041402F"/>
    <w:rsid w:val="0041438A"/>
    <w:rsid w:val="00414458"/>
    <w:rsid w:val="00414461"/>
    <w:rsid w:val="00414567"/>
    <w:rsid w:val="004146ED"/>
    <w:rsid w:val="00414B2D"/>
    <w:rsid w:val="00414EFA"/>
    <w:rsid w:val="004150A0"/>
    <w:rsid w:val="00415F8E"/>
    <w:rsid w:val="004161D8"/>
    <w:rsid w:val="00416DA4"/>
    <w:rsid w:val="00417017"/>
    <w:rsid w:val="00417250"/>
    <w:rsid w:val="004174B0"/>
    <w:rsid w:val="00421248"/>
    <w:rsid w:val="0042143A"/>
    <w:rsid w:val="00421789"/>
    <w:rsid w:val="004217B0"/>
    <w:rsid w:val="00421874"/>
    <w:rsid w:val="00421ABD"/>
    <w:rsid w:val="00421B17"/>
    <w:rsid w:val="00421D67"/>
    <w:rsid w:val="00422113"/>
    <w:rsid w:val="00423162"/>
    <w:rsid w:val="0042318F"/>
    <w:rsid w:val="0042373E"/>
    <w:rsid w:val="00423910"/>
    <w:rsid w:val="00423937"/>
    <w:rsid w:val="00423F3A"/>
    <w:rsid w:val="00424044"/>
    <w:rsid w:val="0042411E"/>
    <w:rsid w:val="00424A5D"/>
    <w:rsid w:val="00424C85"/>
    <w:rsid w:val="004253E3"/>
    <w:rsid w:val="00425912"/>
    <w:rsid w:val="004259C3"/>
    <w:rsid w:val="004261D0"/>
    <w:rsid w:val="0042641C"/>
    <w:rsid w:val="004267A0"/>
    <w:rsid w:val="004267CC"/>
    <w:rsid w:val="00426AC7"/>
    <w:rsid w:val="00426BA5"/>
    <w:rsid w:val="004270C3"/>
    <w:rsid w:val="004278BE"/>
    <w:rsid w:val="00430038"/>
    <w:rsid w:val="0043059E"/>
    <w:rsid w:val="00430D0D"/>
    <w:rsid w:val="00431050"/>
    <w:rsid w:val="0043178D"/>
    <w:rsid w:val="0043205D"/>
    <w:rsid w:val="004323B0"/>
    <w:rsid w:val="00433470"/>
    <w:rsid w:val="004345EC"/>
    <w:rsid w:val="00434E03"/>
    <w:rsid w:val="00434F63"/>
    <w:rsid w:val="0043544E"/>
    <w:rsid w:val="004360AD"/>
    <w:rsid w:val="00436135"/>
    <w:rsid w:val="00436777"/>
    <w:rsid w:val="004373F8"/>
    <w:rsid w:val="0043783B"/>
    <w:rsid w:val="0044004D"/>
    <w:rsid w:val="00440543"/>
    <w:rsid w:val="004411AB"/>
    <w:rsid w:val="00441879"/>
    <w:rsid w:val="004418B6"/>
    <w:rsid w:val="00441948"/>
    <w:rsid w:val="00441D1F"/>
    <w:rsid w:val="00441EAE"/>
    <w:rsid w:val="00442C91"/>
    <w:rsid w:val="004431B1"/>
    <w:rsid w:val="00443538"/>
    <w:rsid w:val="004435AC"/>
    <w:rsid w:val="00443A9A"/>
    <w:rsid w:val="00443E5C"/>
    <w:rsid w:val="00443FE6"/>
    <w:rsid w:val="00444446"/>
    <w:rsid w:val="00444505"/>
    <w:rsid w:val="0044451F"/>
    <w:rsid w:val="00444BA2"/>
    <w:rsid w:val="00445008"/>
    <w:rsid w:val="00445E13"/>
    <w:rsid w:val="00446ACA"/>
    <w:rsid w:val="00446B16"/>
    <w:rsid w:val="00446EF1"/>
    <w:rsid w:val="0044735B"/>
    <w:rsid w:val="004475A2"/>
    <w:rsid w:val="004504F3"/>
    <w:rsid w:val="00450A89"/>
    <w:rsid w:val="00451910"/>
    <w:rsid w:val="004519B5"/>
    <w:rsid w:val="00451EE2"/>
    <w:rsid w:val="00452070"/>
    <w:rsid w:val="0045267D"/>
    <w:rsid w:val="00452766"/>
    <w:rsid w:val="004529C2"/>
    <w:rsid w:val="00452E09"/>
    <w:rsid w:val="00453113"/>
    <w:rsid w:val="004531B5"/>
    <w:rsid w:val="004531D5"/>
    <w:rsid w:val="00453516"/>
    <w:rsid w:val="004537F5"/>
    <w:rsid w:val="00453A65"/>
    <w:rsid w:val="004548DF"/>
    <w:rsid w:val="00454A7E"/>
    <w:rsid w:val="00455779"/>
    <w:rsid w:val="00455833"/>
    <w:rsid w:val="00455F62"/>
    <w:rsid w:val="004563E8"/>
    <w:rsid w:val="0045687E"/>
    <w:rsid w:val="004575A2"/>
    <w:rsid w:val="004579CC"/>
    <w:rsid w:val="00457C7F"/>
    <w:rsid w:val="00457F76"/>
    <w:rsid w:val="0046030F"/>
    <w:rsid w:val="00460872"/>
    <w:rsid w:val="00460B16"/>
    <w:rsid w:val="0046112F"/>
    <w:rsid w:val="00461438"/>
    <w:rsid w:val="00462B28"/>
    <w:rsid w:val="00462DDC"/>
    <w:rsid w:val="00462FCF"/>
    <w:rsid w:val="00463064"/>
    <w:rsid w:val="00463157"/>
    <w:rsid w:val="00463382"/>
    <w:rsid w:val="004634D9"/>
    <w:rsid w:val="00463638"/>
    <w:rsid w:val="004640B2"/>
    <w:rsid w:val="004641D5"/>
    <w:rsid w:val="004642EA"/>
    <w:rsid w:val="00464654"/>
    <w:rsid w:val="00464733"/>
    <w:rsid w:val="0046557C"/>
    <w:rsid w:val="00465B92"/>
    <w:rsid w:val="00465C74"/>
    <w:rsid w:val="0046604A"/>
    <w:rsid w:val="0046605A"/>
    <w:rsid w:val="00466414"/>
    <w:rsid w:val="00466595"/>
    <w:rsid w:val="004668BD"/>
    <w:rsid w:val="00466928"/>
    <w:rsid w:val="004670D0"/>
    <w:rsid w:val="0046722B"/>
    <w:rsid w:val="00467E97"/>
    <w:rsid w:val="00471161"/>
    <w:rsid w:val="00471F86"/>
    <w:rsid w:val="004736EE"/>
    <w:rsid w:val="004737E8"/>
    <w:rsid w:val="00474240"/>
    <w:rsid w:val="00474651"/>
    <w:rsid w:val="00474DEF"/>
    <w:rsid w:val="00476276"/>
    <w:rsid w:val="00476B37"/>
    <w:rsid w:val="00476B80"/>
    <w:rsid w:val="004770BF"/>
    <w:rsid w:val="004771D0"/>
    <w:rsid w:val="004777CC"/>
    <w:rsid w:val="00480812"/>
    <w:rsid w:val="00481EEC"/>
    <w:rsid w:val="00482328"/>
    <w:rsid w:val="00482425"/>
    <w:rsid w:val="004825B9"/>
    <w:rsid w:val="00482A00"/>
    <w:rsid w:val="00482FF0"/>
    <w:rsid w:val="0048331E"/>
    <w:rsid w:val="0048394B"/>
    <w:rsid w:val="00483D5A"/>
    <w:rsid w:val="0048403E"/>
    <w:rsid w:val="0048421F"/>
    <w:rsid w:val="004844F1"/>
    <w:rsid w:val="0048488C"/>
    <w:rsid w:val="004856B5"/>
    <w:rsid w:val="00485B6E"/>
    <w:rsid w:val="00485DFA"/>
    <w:rsid w:val="00486CFD"/>
    <w:rsid w:val="00486D27"/>
    <w:rsid w:val="00486F7A"/>
    <w:rsid w:val="00487438"/>
    <w:rsid w:val="004901F3"/>
    <w:rsid w:val="00490471"/>
    <w:rsid w:val="00490B30"/>
    <w:rsid w:val="00490B67"/>
    <w:rsid w:val="00491504"/>
    <w:rsid w:val="00491525"/>
    <w:rsid w:val="004915AE"/>
    <w:rsid w:val="00491BE2"/>
    <w:rsid w:val="00492963"/>
    <w:rsid w:val="00493180"/>
    <w:rsid w:val="004934EF"/>
    <w:rsid w:val="00493A51"/>
    <w:rsid w:val="00493B96"/>
    <w:rsid w:val="00493C80"/>
    <w:rsid w:val="00494258"/>
    <w:rsid w:val="00494623"/>
    <w:rsid w:val="00494B3B"/>
    <w:rsid w:val="004950DE"/>
    <w:rsid w:val="004951C7"/>
    <w:rsid w:val="00495396"/>
    <w:rsid w:val="00495654"/>
    <w:rsid w:val="004959D2"/>
    <w:rsid w:val="00495CF2"/>
    <w:rsid w:val="00496090"/>
    <w:rsid w:val="00496606"/>
    <w:rsid w:val="00496CD4"/>
    <w:rsid w:val="00496E0A"/>
    <w:rsid w:val="004974E1"/>
    <w:rsid w:val="004978C1"/>
    <w:rsid w:val="00497BDF"/>
    <w:rsid w:val="00497E8F"/>
    <w:rsid w:val="00497EE7"/>
    <w:rsid w:val="00497F1E"/>
    <w:rsid w:val="004A00DC"/>
    <w:rsid w:val="004A051A"/>
    <w:rsid w:val="004A0CB4"/>
    <w:rsid w:val="004A0F49"/>
    <w:rsid w:val="004A1040"/>
    <w:rsid w:val="004A11EE"/>
    <w:rsid w:val="004A146C"/>
    <w:rsid w:val="004A15B2"/>
    <w:rsid w:val="004A1811"/>
    <w:rsid w:val="004A2378"/>
    <w:rsid w:val="004A296B"/>
    <w:rsid w:val="004A2B5E"/>
    <w:rsid w:val="004A2E17"/>
    <w:rsid w:val="004A3E03"/>
    <w:rsid w:val="004A3EE8"/>
    <w:rsid w:val="004A43E8"/>
    <w:rsid w:val="004A4706"/>
    <w:rsid w:val="004A49F8"/>
    <w:rsid w:val="004A53AD"/>
    <w:rsid w:val="004A5477"/>
    <w:rsid w:val="004A5497"/>
    <w:rsid w:val="004A5993"/>
    <w:rsid w:val="004A59EF"/>
    <w:rsid w:val="004A5C7F"/>
    <w:rsid w:val="004A5F04"/>
    <w:rsid w:val="004A6083"/>
    <w:rsid w:val="004A6214"/>
    <w:rsid w:val="004A6732"/>
    <w:rsid w:val="004A6C44"/>
    <w:rsid w:val="004A6FB6"/>
    <w:rsid w:val="004A7519"/>
    <w:rsid w:val="004A7CA2"/>
    <w:rsid w:val="004B0139"/>
    <w:rsid w:val="004B0218"/>
    <w:rsid w:val="004B03E4"/>
    <w:rsid w:val="004B0698"/>
    <w:rsid w:val="004B1080"/>
    <w:rsid w:val="004B16F9"/>
    <w:rsid w:val="004B1AC3"/>
    <w:rsid w:val="004B1B99"/>
    <w:rsid w:val="004B1BFD"/>
    <w:rsid w:val="004B1C6C"/>
    <w:rsid w:val="004B1FFB"/>
    <w:rsid w:val="004B209A"/>
    <w:rsid w:val="004B39BB"/>
    <w:rsid w:val="004B47B8"/>
    <w:rsid w:val="004B4DBB"/>
    <w:rsid w:val="004B5118"/>
    <w:rsid w:val="004B5875"/>
    <w:rsid w:val="004B5B4D"/>
    <w:rsid w:val="004B634A"/>
    <w:rsid w:val="004B6F2F"/>
    <w:rsid w:val="004B7D77"/>
    <w:rsid w:val="004B7D7A"/>
    <w:rsid w:val="004C0936"/>
    <w:rsid w:val="004C0BD8"/>
    <w:rsid w:val="004C0C14"/>
    <w:rsid w:val="004C1B57"/>
    <w:rsid w:val="004C2003"/>
    <w:rsid w:val="004C202F"/>
    <w:rsid w:val="004C22CE"/>
    <w:rsid w:val="004C2709"/>
    <w:rsid w:val="004C3117"/>
    <w:rsid w:val="004C3371"/>
    <w:rsid w:val="004C3E12"/>
    <w:rsid w:val="004C495F"/>
    <w:rsid w:val="004C4EC3"/>
    <w:rsid w:val="004C4EC6"/>
    <w:rsid w:val="004C5764"/>
    <w:rsid w:val="004C57FB"/>
    <w:rsid w:val="004C5B28"/>
    <w:rsid w:val="004C6CD4"/>
    <w:rsid w:val="004C7176"/>
    <w:rsid w:val="004C789E"/>
    <w:rsid w:val="004C7F80"/>
    <w:rsid w:val="004D0201"/>
    <w:rsid w:val="004D0793"/>
    <w:rsid w:val="004D08F2"/>
    <w:rsid w:val="004D0902"/>
    <w:rsid w:val="004D0B69"/>
    <w:rsid w:val="004D0CC6"/>
    <w:rsid w:val="004D0DA5"/>
    <w:rsid w:val="004D1239"/>
    <w:rsid w:val="004D13D1"/>
    <w:rsid w:val="004D1422"/>
    <w:rsid w:val="004D16B7"/>
    <w:rsid w:val="004D2CF4"/>
    <w:rsid w:val="004D3425"/>
    <w:rsid w:val="004D342B"/>
    <w:rsid w:val="004D3552"/>
    <w:rsid w:val="004D45FA"/>
    <w:rsid w:val="004D4A4A"/>
    <w:rsid w:val="004D4AE1"/>
    <w:rsid w:val="004D4C9C"/>
    <w:rsid w:val="004D5280"/>
    <w:rsid w:val="004D5DF7"/>
    <w:rsid w:val="004D6A5D"/>
    <w:rsid w:val="004D6FB6"/>
    <w:rsid w:val="004D7018"/>
    <w:rsid w:val="004D75ED"/>
    <w:rsid w:val="004D7674"/>
    <w:rsid w:val="004E021B"/>
    <w:rsid w:val="004E0DEB"/>
    <w:rsid w:val="004E16C4"/>
    <w:rsid w:val="004E273B"/>
    <w:rsid w:val="004E2F6F"/>
    <w:rsid w:val="004E379F"/>
    <w:rsid w:val="004E3D5A"/>
    <w:rsid w:val="004E3FFA"/>
    <w:rsid w:val="004E4280"/>
    <w:rsid w:val="004E64B7"/>
    <w:rsid w:val="004E68BA"/>
    <w:rsid w:val="004E6AB3"/>
    <w:rsid w:val="004E79D6"/>
    <w:rsid w:val="004F0904"/>
    <w:rsid w:val="004F0C0A"/>
    <w:rsid w:val="004F23FA"/>
    <w:rsid w:val="004F2417"/>
    <w:rsid w:val="004F24D3"/>
    <w:rsid w:val="004F257B"/>
    <w:rsid w:val="004F2BF7"/>
    <w:rsid w:val="004F2C72"/>
    <w:rsid w:val="004F31FD"/>
    <w:rsid w:val="004F32EC"/>
    <w:rsid w:val="004F4252"/>
    <w:rsid w:val="004F42FB"/>
    <w:rsid w:val="004F4374"/>
    <w:rsid w:val="004F4905"/>
    <w:rsid w:val="004F498C"/>
    <w:rsid w:val="004F51EB"/>
    <w:rsid w:val="004F532D"/>
    <w:rsid w:val="004F66D7"/>
    <w:rsid w:val="004F6D51"/>
    <w:rsid w:val="004F7340"/>
    <w:rsid w:val="004F775D"/>
    <w:rsid w:val="004F780F"/>
    <w:rsid w:val="004F7901"/>
    <w:rsid w:val="004F7A85"/>
    <w:rsid w:val="0050025F"/>
    <w:rsid w:val="005008C2"/>
    <w:rsid w:val="00500C45"/>
    <w:rsid w:val="00500D95"/>
    <w:rsid w:val="00501509"/>
    <w:rsid w:val="005017D1"/>
    <w:rsid w:val="005018B2"/>
    <w:rsid w:val="00501A73"/>
    <w:rsid w:val="00502226"/>
    <w:rsid w:val="00502D6C"/>
    <w:rsid w:val="00502EA9"/>
    <w:rsid w:val="005031D3"/>
    <w:rsid w:val="00503732"/>
    <w:rsid w:val="00503CCB"/>
    <w:rsid w:val="00504088"/>
    <w:rsid w:val="005041B1"/>
    <w:rsid w:val="005042EB"/>
    <w:rsid w:val="0050499D"/>
    <w:rsid w:val="005058A3"/>
    <w:rsid w:val="00505D6E"/>
    <w:rsid w:val="005065D9"/>
    <w:rsid w:val="00506DC4"/>
    <w:rsid w:val="00507319"/>
    <w:rsid w:val="005073E5"/>
    <w:rsid w:val="00507702"/>
    <w:rsid w:val="00507EB5"/>
    <w:rsid w:val="00507FCD"/>
    <w:rsid w:val="005103BC"/>
    <w:rsid w:val="005103FC"/>
    <w:rsid w:val="00510415"/>
    <w:rsid w:val="00510B84"/>
    <w:rsid w:val="0051223F"/>
    <w:rsid w:val="00512785"/>
    <w:rsid w:val="00512B98"/>
    <w:rsid w:val="00512E24"/>
    <w:rsid w:val="00512EB4"/>
    <w:rsid w:val="00513335"/>
    <w:rsid w:val="00513538"/>
    <w:rsid w:val="00513901"/>
    <w:rsid w:val="00513BEB"/>
    <w:rsid w:val="00513EBF"/>
    <w:rsid w:val="0051442D"/>
    <w:rsid w:val="005144B3"/>
    <w:rsid w:val="005147F6"/>
    <w:rsid w:val="00514993"/>
    <w:rsid w:val="00514E0D"/>
    <w:rsid w:val="0051529C"/>
    <w:rsid w:val="0051534F"/>
    <w:rsid w:val="005154FE"/>
    <w:rsid w:val="00515C2B"/>
    <w:rsid w:val="005160D5"/>
    <w:rsid w:val="00516139"/>
    <w:rsid w:val="00516F9E"/>
    <w:rsid w:val="00517163"/>
    <w:rsid w:val="005177A4"/>
    <w:rsid w:val="005200C5"/>
    <w:rsid w:val="00520583"/>
    <w:rsid w:val="00520817"/>
    <w:rsid w:val="00520C10"/>
    <w:rsid w:val="00521630"/>
    <w:rsid w:val="00521F4D"/>
    <w:rsid w:val="00522248"/>
    <w:rsid w:val="00523138"/>
    <w:rsid w:val="005232EF"/>
    <w:rsid w:val="00523398"/>
    <w:rsid w:val="0052341D"/>
    <w:rsid w:val="005243F9"/>
    <w:rsid w:val="00524D3A"/>
    <w:rsid w:val="00524EE2"/>
    <w:rsid w:val="00525474"/>
    <w:rsid w:val="005255F2"/>
    <w:rsid w:val="00525980"/>
    <w:rsid w:val="00526236"/>
    <w:rsid w:val="00526D84"/>
    <w:rsid w:val="0052744A"/>
    <w:rsid w:val="00527548"/>
    <w:rsid w:val="005279F2"/>
    <w:rsid w:val="00530188"/>
    <w:rsid w:val="005312F0"/>
    <w:rsid w:val="005318B7"/>
    <w:rsid w:val="00532171"/>
    <w:rsid w:val="00532C6B"/>
    <w:rsid w:val="00532E53"/>
    <w:rsid w:val="00533AD7"/>
    <w:rsid w:val="00533B16"/>
    <w:rsid w:val="00534D06"/>
    <w:rsid w:val="00534D6D"/>
    <w:rsid w:val="00535685"/>
    <w:rsid w:val="005357D9"/>
    <w:rsid w:val="00535837"/>
    <w:rsid w:val="00535AAF"/>
    <w:rsid w:val="00536477"/>
    <w:rsid w:val="00536532"/>
    <w:rsid w:val="0053668F"/>
    <w:rsid w:val="005369F5"/>
    <w:rsid w:val="00536BEA"/>
    <w:rsid w:val="00536CE4"/>
    <w:rsid w:val="005372DD"/>
    <w:rsid w:val="005375EC"/>
    <w:rsid w:val="00537861"/>
    <w:rsid w:val="00540B56"/>
    <w:rsid w:val="00540E34"/>
    <w:rsid w:val="00540F29"/>
    <w:rsid w:val="0054135E"/>
    <w:rsid w:val="0054197A"/>
    <w:rsid w:val="00542525"/>
    <w:rsid w:val="00542DBB"/>
    <w:rsid w:val="0054317B"/>
    <w:rsid w:val="0054357E"/>
    <w:rsid w:val="00543672"/>
    <w:rsid w:val="005437C7"/>
    <w:rsid w:val="0054405B"/>
    <w:rsid w:val="0054411A"/>
    <w:rsid w:val="005441AF"/>
    <w:rsid w:val="00544F03"/>
    <w:rsid w:val="0054590E"/>
    <w:rsid w:val="005462D7"/>
    <w:rsid w:val="00546C27"/>
    <w:rsid w:val="0054794A"/>
    <w:rsid w:val="00547FCB"/>
    <w:rsid w:val="005506F4"/>
    <w:rsid w:val="00550884"/>
    <w:rsid w:val="00550A14"/>
    <w:rsid w:val="00550A58"/>
    <w:rsid w:val="00550F23"/>
    <w:rsid w:val="00551291"/>
    <w:rsid w:val="00553152"/>
    <w:rsid w:val="00553757"/>
    <w:rsid w:val="00553A32"/>
    <w:rsid w:val="00553CD4"/>
    <w:rsid w:val="0055401E"/>
    <w:rsid w:val="00556001"/>
    <w:rsid w:val="00556748"/>
    <w:rsid w:val="00556B04"/>
    <w:rsid w:val="00556DFE"/>
    <w:rsid w:val="00556FCC"/>
    <w:rsid w:val="0055791F"/>
    <w:rsid w:val="0056146A"/>
    <w:rsid w:val="00561E2F"/>
    <w:rsid w:val="0056243B"/>
    <w:rsid w:val="00563325"/>
    <w:rsid w:val="005633B7"/>
    <w:rsid w:val="00564059"/>
    <w:rsid w:val="00564833"/>
    <w:rsid w:val="00564DE0"/>
    <w:rsid w:val="00565460"/>
    <w:rsid w:val="00565478"/>
    <w:rsid w:val="0056640C"/>
    <w:rsid w:val="00566A21"/>
    <w:rsid w:val="00566AFF"/>
    <w:rsid w:val="00566DE2"/>
    <w:rsid w:val="0056784A"/>
    <w:rsid w:val="005710F0"/>
    <w:rsid w:val="005713E5"/>
    <w:rsid w:val="005714E3"/>
    <w:rsid w:val="00571891"/>
    <w:rsid w:val="00572120"/>
    <w:rsid w:val="0057236E"/>
    <w:rsid w:val="00573177"/>
    <w:rsid w:val="00573F38"/>
    <w:rsid w:val="00574658"/>
    <w:rsid w:val="00574E46"/>
    <w:rsid w:val="0057532A"/>
    <w:rsid w:val="0057537D"/>
    <w:rsid w:val="00575676"/>
    <w:rsid w:val="00576616"/>
    <w:rsid w:val="005767F6"/>
    <w:rsid w:val="00576BFD"/>
    <w:rsid w:val="00576CD6"/>
    <w:rsid w:val="005771E6"/>
    <w:rsid w:val="005778FD"/>
    <w:rsid w:val="005779C5"/>
    <w:rsid w:val="00577A12"/>
    <w:rsid w:val="00577B70"/>
    <w:rsid w:val="005801E8"/>
    <w:rsid w:val="005803C4"/>
    <w:rsid w:val="00580C8F"/>
    <w:rsid w:val="0058100B"/>
    <w:rsid w:val="005818DF"/>
    <w:rsid w:val="00581C5D"/>
    <w:rsid w:val="00581C7E"/>
    <w:rsid w:val="00582027"/>
    <w:rsid w:val="0058263F"/>
    <w:rsid w:val="00582641"/>
    <w:rsid w:val="005828B2"/>
    <w:rsid w:val="00582FC0"/>
    <w:rsid w:val="0058317A"/>
    <w:rsid w:val="0058392A"/>
    <w:rsid w:val="005845C4"/>
    <w:rsid w:val="0058489C"/>
    <w:rsid w:val="00585094"/>
    <w:rsid w:val="005857B5"/>
    <w:rsid w:val="00585930"/>
    <w:rsid w:val="00585A2C"/>
    <w:rsid w:val="00585D1E"/>
    <w:rsid w:val="00585E02"/>
    <w:rsid w:val="005863A3"/>
    <w:rsid w:val="005868C0"/>
    <w:rsid w:val="00586981"/>
    <w:rsid w:val="00587A0C"/>
    <w:rsid w:val="00587A8B"/>
    <w:rsid w:val="00591564"/>
    <w:rsid w:val="00591790"/>
    <w:rsid w:val="00591ED2"/>
    <w:rsid w:val="0059231F"/>
    <w:rsid w:val="005923B2"/>
    <w:rsid w:val="00592B12"/>
    <w:rsid w:val="005943DB"/>
    <w:rsid w:val="00594492"/>
    <w:rsid w:val="005946E9"/>
    <w:rsid w:val="005952CF"/>
    <w:rsid w:val="00595C8A"/>
    <w:rsid w:val="00595CAD"/>
    <w:rsid w:val="00596408"/>
    <w:rsid w:val="00596ED6"/>
    <w:rsid w:val="00597A61"/>
    <w:rsid w:val="00597CC4"/>
    <w:rsid w:val="005A082F"/>
    <w:rsid w:val="005A0AEB"/>
    <w:rsid w:val="005A0BCF"/>
    <w:rsid w:val="005A1026"/>
    <w:rsid w:val="005A220F"/>
    <w:rsid w:val="005A2636"/>
    <w:rsid w:val="005A2766"/>
    <w:rsid w:val="005A2A1A"/>
    <w:rsid w:val="005A2D77"/>
    <w:rsid w:val="005A34FD"/>
    <w:rsid w:val="005A3669"/>
    <w:rsid w:val="005A3770"/>
    <w:rsid w:val="005A4373"/>
    <w:rsid w:val="005A44E3"/>
    <w:rsid w:val="005A4992"/>
    <w:rsid w:val="005A4DAF"/>
    <w:rsid w:val="005A52A6"/>
    <w:rsid w:val="005A5405"/>
    <w:rsid w:val="005A55C1"/>
    <w:rsid w:val="005A5FBC"/>
    <w:rsid w:val="005A60AC"/>
    <w:rsid w:val="005A67E1"/>
    <w:rsid w:val="005A6B7F"/>
    <w:rsid w:val="005A6C10"/>
    <w:rsid w:val="005A6E3B"/>
    <w:rsid w:val="005A6FEF"/>
    <w:rsid w:val="005A72B8"/>
    <w:rsid w:val="005A7E8C"/>
    <w:rsid w:val="005A7E98"/>
    <w:rsid w:val="005B198B"/>
    <w:rsid w:val="005B1BB1"/>
    <w:rsid w:val="005B2523"/>
    <w:rsid w:val="005B2578"/>
    <w:rsid w:val="005B27A0"/>
    <w:rsid w:val="005B2D10"/>
    <w:rsid w:val="005B2DCC"/>
    <w:rsid w:val="005B31F3"/>
    <w:rsid w:val="005B323C"/>
    <w:rsid w:val="005B3B9D"/>
    <w:rsid w:val="005B413C"/>
    <w:rsid w:val="005B4876"/>
    <w:rsid w:val="005B494E"/>
    <w:rsid w:val="005B4AB9"/>
    <w:rsid w:val="005B5B03"/>
    <w:rsid w:val="005B5B7A"/>
    <w:rsid w:val="005B6083"/>
    <w:rsid w:val="005B71DD"/>
    <w:rsid w:val="005B76E8"/>
    <w:rsid w:val="005C060D"/>
    <w:rsid w:val="005C0C59"/>
    <w:rsid w:val="005C30C3"/>
    <w:rsid w:val="005C3139"/>
    <w:rsid w:val="005C3972"/>
    <w:rsid w:val="005C3A75"/>
    <w:rsid w:val="005C40F0"/>
    <w:rsid w:val="005C4439"/>
    <w:rsid w:val="005C445F"/>
    <w:rsid w:val="005C45DC"/>
    <w:rsid w:val="005C5410"/>
    <w:rsid w:val="005C57ED"/>
    <w:rsid w:val="005C5AB2"/>
    <w:rsid w:val="005C5BC1"/>
    <w:rsid w:val="005C62D3"/>
    <w:rsid w:val="005C7246"/>
    <w:rsid w:val="005C73DC"/>
    <w:rsid w:val="005C772B"/>
    <w:rsid w:val="005C78F7"/>
    <w:rsid w:val="005D022B"/>
    <w:rsid w:val="005D03E5"/>
    <w:rsid w:val="005D0EE2"/>
    <w:rsid w:val="005D1056"/>
    <w:rsid w:val="005D1243"/>
    <w:rsid w:val="005D170A"/>
    <w:rsid w:val="005D1955"/>
    <w:rsid w:val="005D1F7B"/>
    <w:rsid w:val="005D2B69"/>
    <w:rsid w:val="005D2DC1"/>
    <w:rsid w:val="005D33CB"/>
    <w:rsid w:val="005D3ABF"/>
    <w:rsid w:val="005D444D"/>
    <w:rsid w:val="005D4480"/>
    <w:rsid w:val="005D527A"/>
    <w:rsid w:val="005D5527"/>
    <w:rsid w:val="005D5C90"/>
    <w:rsid w:val="005D5FAE"/>
    <w:rsid w:val="005D5FE6"/>
    <w:rsid w:val="005D6032"/>
    <w:rsid w:val="005D666F"/>
    <w:rsid w:val="005D6EF4"/>
    <w:rsid w:val="005D6F8C"/>
    <w:rsid w:val="005D7896"/>
    <w:rsid w:val="005D7BF7"/>
    <w:rsid w:val="005D7E3A"/>
    <w:rsid w:val="005D7F2B"/>
    <w:rsid w:val="005E0145"/>
    <w:rsid w:val="005E0309"/>
    <w:rsid w:val="005E030E"/>
    <w:rsid w:val="005E081A"/>
    <w:rsid w:val="005E1174"/>
    <w:rsid w:val="005E1868"/>
    <w:rsid w:val="005E1B03"/>
    <w:rsid w:val="005E1E31"/>
    <w:rsid w:val="005E1EBA"/>
    <w:rsid w:val="005E1F9A"/>
    <w:rsid w:val="005E206D"/>
    <w:rsid w:val="005E2325"/>
    <w:rsid w:val="005E24FA"/>
    <w:rsid w:val="005E2675"/>
    <w:rsid w:val="005E2890"/>
    <w:rsid w:val="005E31B6"/>
    <w:rsid w:val="005E3564"/>
    <w:rsid w:val="005E3D31"/>
    <w:rsid w:val="005E5979"/>
    <w:rsid w:val="005E635E"/>
    <w:rsid w:val="005E6557"/>
    <w:rsid w:val="005E67CE"/>
    <w:rsid w:val="005E6E6C"/>
    <w:rsid w:val="005E799A"/>
    <w:rsid w:val="005E7AB5"/>
    <w:rsid w:val="005F04A8"/>
    <w:rsid w:val="005F0E76"/>
    <w:rsid w:val="005F181F"/>
    <w:rsid w:val="005F1912"/>
    <w:rsid w:val="005F239B"/>
    <w:rsid w:val="005F26A3"/>
    <w:rsid w:val="005F340B"/>
    <w:rsid w:val="005F3C99"/>
    <w:rsid w:val="005F3DC8"/>
    <w:rsid w:val="005F4A0E"/>
    <w:rsid w:val="005F4AA2"/>
    <w:rsid w:val="005F54DB"/>
    <w:rsid w:val="005F5668"/>
    <w:rsid w:val="005F5AB7"/>
    <w:rsid w:val="005F6324"/>
    <w:rsid w:val="005F653C"/>
    <w:rsid w:val="005F6AA2"/>
    <w:rsid w:val="005F6D60"/>
    <w:rsid w:val="005F6DB5"/>
    <w:rsid w:val="005F7043"/>
    <w:rsid w:val="005F70FD"/>
    <w:rsid w:val="005F7A24"/>
    <w:rsid w:val="005F7F1C"/>
    <w:rsid w:val="006001DE"/>
    <w:rsid w:val="0060047C"/>
    <w:rsid w:val="0060090D"/>
    <w:rsid w:val="00600A06"/>
    <w:rsid w:val="00600AC9"/>
    <w:rsid w:val="0060112A"/>
    <w:rsid w:val="00601276"/>
    <w:rsid w:val="00601B37"/>
    <w:rsid w:val="00602008"/>
    <w:rsid w:val="006021A3"/>
    <w:rsid w:val="0060242C"/>
    <w:rsid w:val="0060252E"/>
    <w:rsid w:val="00602E7F"/>
    <w:rsid w:val="00602E81"/>
    <w:rsid w:val="006038F0"/>
    <w:rsid w:val="0060453A"/>
    <w:rsid w:val="00604AF9"/>
    <w:rsid w:val="006051E0"/>
    <w:rsid w:val="00605950"/>
    <w:rsid w:val="00605F69"/>
    <w:rsid w:val="006065F0"/>
    <w:rsid w:val="00606E82"/>
    <w:rsid w:val="006077E0"/>
    <w:rsid w:val="00607946"/>
    <w:rsid w:val="00607C12"/>
    <w:rsid w:val="00610A85"/>
    <w:rsid w:val="00610AB7"/>
    <w:rsid w:val="00610E65"/>
    <w:rsid w:val="00611280"/>
    <w:rsid w:val="00612B14"/>
    <w:rsid w:val="00612E5F"/>
    <w:rsid w:val="00613B43"/>
    <w:rsid w:val="00613C13"/>
    <w:rsid w:val="00614526"/>
    <w:rsid w:val="0061489E"/>
    <w:rsid w:val="006148E8"/>
    <w:rsid w:val="00614E85"/>
    <w:rsid w:val="00614EC6"/>
    <w:rsid w:val="00615367"/>
    <w:rsid w:val="0061543D"/>
    <w:rsid w:val="00615970"/>
    <w:rsid w:val="00615A8E"/>
    <w:rsid w:val="006167AE"/>
    <w:rsid w:val="00616CD8"/>
    <w:rsid w:val="006172CC"/>
    <w:rsid w:val="006173DD"/>
    <w:rsid w:val="00617A91"/>
    <w:rsid w:val="00617AB6"/>
    <w:rsid w:val="00617E9E"/>
    <w:rsid w:val="006202AC"/>
    <w:rsid w:val="0062067A"/>
    <w:rsid w:val="00620DBD"/>
    <w:rsid w:val="00620E87"/>
    <w:rsid w:val="0062104D"/>
    <w:rsid w:val="006211C9"/>
    <w:rsid w:val="006212A8"/>
    <w:rsid w:val="00621368"/>
    <w:rsid w:val="006218C2"/>
    <w:rsid w:val="00621C6F"/>
    <w:rsid w:val="00621DDE"/>
    <w:rsid w:val="0062280B"/>
    <w:rsid w:val="00622D3D"/>
    <w:rsid w:val="00622D42"/>
    <w:rsid w:val="0062316D"/>
    <w:rsid w:val="00623582"/>
    <w:rsid w:val="006240FF"/>
    <w:rsid w:val="00624165"/>
    <w:rsid w:val="006242DB"/>
    <w:rsid w:val="00624CE8"/>
    <w:rsid w:val="00624F9D"/>
    <w:rsid w:val="006253B6"/>
    <w:rsid w:val="0062578E"/>
    <w:rsid w:val="006257B2"/>
    <w:rsid w:val="00625DC7"/>
    <w:rsid w:val="00625DF9"/>
    <w:rsid w:val="00625F6C"/>
    <w:rsid w:val="00626302"/>
    <w:rsid w:val="00626379"/>
    <w:rsid w:val="0062639B"/>
    <w:rsid w:val="00626E17"/>
    <w:rsid w:val="00626EAE"/>
    <w:rsid w:val="006276AE"/>
    <w:rsid w:val="00627BBF"/>
    <w:rsid w:val="0063030C"/>
    <w:rsid w:val="006306D4"/>
    <w:rsid w:val="00630A3C"/>
    <w:rsid w:val="00630A79"/>
    <w:rsid w:val="00631280"/>
    <w:rsid w:val="006313EC"/>
    <w:rsid w:val="0063230A"/>
    <w:rsid w:val="00632CBA"/>
    <w:rsid w:val="00632D36"/>
    <w:rsid w:val="00632F4A"/>
    <w:rsid w:val="006333A5"/>
    <w:rsid w:val="00633709"/>
    <w:rsid w:val="00633BB0"/>
    <w:rsid w:val="00633EFC"/>
    <w:rsid w:val="006341C3"/>
    <w:rsid w:val="00634384"/>
    <w:rsid w:val="00634B80"/>
    <w:rsid w:val="0063589C"/>
    <w:rsid w:val="00635B24"/>
    <w:rsid w:val="00635BAF"/>
    <w:rsid w:val="00635C2D"/>
    <w:rsid w:val="00635CB9"/>
    <w:rsid w:val="00636850"/>
    <w:rsid w:val="00636C53"/>
    <w:rsid w:val="00636DEB"/>
    <w:rsid w:val="00636EF3"/>
    <w:rsid w:val="00636F2B"/>
    <w:rsid w:val="00637341"/>
    <w:rsid w:val="0063770A"/>
    <w:rsid w:val="00637774"/>
    <w:rsid w:val="00637B6A"/>
    <w:rsid w:val="00637C94"/>
    <w:rsid w:val="00640311"/>
    <w:rsid w:val="006409A3"/>
    <w:rsid w:val="00640B2F"/>
    <w:rsid w:val="00641320"/>
    <w:rsid w:val="006417A7"/>
    <w:rsid w:val="00641A31"/>
    <w:rsid w:val="006422CC"/>
    <w:rsid w:val="00642892"/>
    <w:rsid w:val="006431A7"/>
    <w:rsid w:val="00643609"/>
    <w:rsid w:val="00643726"/>
    <w:rsid w:val="006448CF"/>
    <w:rsid w:val="0064549C"/>
    <w:rsid w:val="006454D8"/>
    <w:rsid w:val="006457FB"/>
    <w:rsid w:val="00645B06"/>
    <w:rsid w:val="00645DC8"/>
    <w:rsid w:val="006461B5"/>
    <w:rsid w:val="00646720"/>
    <w:rsid w:val="00646944"/>
    <w:rsid w:val="00646C77"/>
    <w:rsid w:val="006471D3"/>
    <w:rsid w:val="00647240"/>
    <w:rsid w:val="00647614"/>
    <w:rsid w:val="00647C1D"/>
    <w:rsid w:val="00647F70"/>
    <w:rsid w:val="00650165"/>
    <w:rsid w:val="00650198"/>
    <w:rsid w:val="0065025C"/>
    <w:rsid w:val="00650678"/>
    <w:rsid w:val="00650A35"/>
    <w:rsid w:val="00650F3A"/>
    <w:rsid w:val="00650F85"/>
    <w:rsid w:val="006519BA"/>
    <w:rsid w:val="006519F6"/>
    <w:rsid w:val="00651C7B"/>
    <w:rsid w:val="00651CA1"/>
    <w:rsid w:val="00652036"/>
    <w:rsid w:val="00652324"/>
    <w:rsid w:val="0065256B"/>
    <w:rsid w:val="00652673"/>
    <w:rsid w:val="00652A44"/>
    <w:rsid w:val="00652D74"/>
    <w:rsid w:val="00652E5F"/>
    <w:rsid w:val="00652E63"/>
    <w:rsid w:val="00653159"/>
    <w:rsid w:val="0065386A"/>
    <w:rsid w:val="00653A55"/>
    <w:rsid w:val="00653DC5"/>
    <w:rsid w:val="00653F37"/>
    <w:rsid w:val="006546F1"/>
    <w:rsid w:val="0065609A"/>
    <w:rsid w:val="00656594"/>
    <w:rsid w:val="00656D85"/>
    <w:rsid w:val="00656FEF"/>
    <w:rsid w:val="00657B0A"/>
    <w:rsid w:val="00657BCA"/>
    <w:rsid w:val="00657F2F"/>
    <w:rsid w:val="00660B1A"/>
    <w:rsid w:val="00660F95"/>
    <w:rsid w:val="00661541"/>
    <w:rsid w:val="006617EB"/>
    <w:rsid w:val="00662012"/>
    <w:rsid w:val="00662050"/>
    <w:rsid w:val="00662234"/>
    <w:rsid w:val="00662398"/>
    <w:rsid w:val="006623CE"/>
    <w:rsid w:val="00662453"/>
    <w:rsid w:val="0066278E"/>
    <w:rsid w:val="006638BC"/>
    <w:rsid w:val="00663A8F"/>
    <w:rsid w:val="006641DB"/>
    <w:rsid w:val="0066431B"/>
    <w:rsid w:val="00664422"/>
    <w:rsid w:val="006645E7"/>
    <w:rsid w:val="00664C7A"/>
    <w:rsid w:val="00664E51"/>
    <w:rsid w:val="00665556"/>
    <w:rsid w:val="006656C1"/>
    <w:rsid w:val="0066582D"/>
    <w:rsid w:val="00665976"/>
    <w:rsid w:val="00665A76"/>
    <w:rsid w:val="0066612D"/>
    <w:rsid w:val="006662D2"/>
    <w:rsid w:val="00666BBE"/>
    <w:rsid w:val="00667289"/>
    <w:rsid w:val="006672C4"/>
    <w:rsid w:val="006672E8"/>
    <w:rsid w:val="006677A9"/>
    <w:rsid w:val="006707B7"/>
    <w:rsid w:val="00670C47"/>
    <w:rsid w:val="00670FE0"/>
    <w:rsid w:val="006715F4"/>
    <w:rsid w:val="00671670"/>
    <w:rsid w:val="00672913"/>
    <w:rsid w:val="006734DE"/>
    <w:rsid w:val="006735F6"/>
    <w:rsid w:val="006741AF"/>
    <w:rsid w:val="006750CF"/>
    <w:rsid w:val="0067518A"/>
    <w:rsid w:val="006757BD"/>
    <w:rsid w:val="006762DC"/>
    <w:rsid w:val="006764D0"/>
    <w:rsid w:val="006767B1"/>
    <w:rsid w:val="00676EF7"/>
    <w:rsid w:val="0067750E"/>
    <w:rsid w:val="00677AC7"/>
    <w:rsid w:val="00677D39"/>
    <w:rsid w:val="0068030D"/>
    <w:rsid w:val="00681619"/>
    <w:rsid w:val="00682299"/>
    <w:rsid w:val="00682321"/>
    <w:rsid w:val="006825D6"/>
    <w:rsid w:val="00683245"/>
    <w:rsid w:val="006835C9"/>
    <w:rsid w:val="006843B1"/>
    <w:rsid w:val="00684A2E"/>
    <w:rsid w:val="00684B2D"/>
    <w:rsid w:val="0068506B"/>
    <w:rsid w:val="00685144"/>
    <w:rsid w:val="0068517E"/>
    <w:rsid w:val="006854B0"/>
    <w:rsid w:val="00685908"/>
    <w:rsid w:val="006859BD"/>
    <w:rsid w:val="00685E88"/>
    <w:rsid w:val="00685F47"/>
    <w:rsid w:val="006861D1"/>
    <w:rsid w:val="0068620D"/>
    <w:rsid w:val="00686D75"/>
    <w:rsid w:val="006875EE"/>
    <w:rsid w:val="006876FB"/>
    <w:rsid w:val="00687A0C"/>
    <w:rsid w:val="00687F6E"/>
    <w:rsid w:val="00687FA9"/>
    <w:rsid w:val="00690B1C"/>
    <w:rsid w:val="006911AE"/>
    <w:rsid w:val="006912BD"/>
    <w:rsid w:val="00691889"/>
    <w:rsid w:val="006926F9"/>
    <w:rsid w:val="00692C29"/>
    <w:rsid w:val="006934C8"/>
    <w:rsid w:val="0069378B"/>
    <w:rsid w:val="0069387F"/>
    <w:rsid w:val="00693A57"/>
    <w:rsid w:val="00693BE4"/>
    <w:rsid w:val="0069426D"/>
    <w:rsid w:val="006946C4"/>
    <w:rsid w:val="006946DD"/>
    <w:rsid w:val="00694C74"/>
    <w:rsid w:val="00696191"/>
    <w:rsid w:val="006961C2"/>
    <w:rsid w:val="0069698B"/>
    <w:rsid w:val="00696A0A"/>
    <w:rsid w:val="00696C7D"/>
    <w:rsid w:val="00697E43"/>
    <w:rsid w:val="00697ECC"/>
    <w:rsid w:val="00697FA0"/>
    <w:rsid w:val="006A0174"/>
    <w:rsid w:val="006A139B"/>
    <w:rsid w:val="006A1D6C"/>
    <w:rsid w:val="006A3162"/>
    <w:rsid w:val="006A38BF"/>
    <w:rsid w:val="006A3FB9"/>
    <w:rsid w:val="006A41BD"/>
    <w:rsid w:val="006A474C"/>
    <w:rsid w:val="006A52C0"/>
    <w:rsid w:val="006A5329"/>
    <w:rsid w:val="006A61DB"/>
    <w:rsid w:val="006A6604"/>
    <w:rsid w:val="006A6E6D"/>
    <w:rsid w:val="006A7151"/>
    <w:rsid w:val="006B03B3"/>
    <w:rsid w:val="006B1A40"/>
    <w:rsid w:val="006B281E"/>
    <w:rsid w:val="006B2889"/>
    <w:rsid w:val="006B2B7D"/>
    <w:rsid w:val="006B341F"/>
    <w:rsid w:val="006B359A"/>
    <w:rsid w:val="006B3921"/>
    <w:rsid w:val="006B4235"/>
    <w:rsid w:val="006B474B"/>
    <w:rsid w:val="006B4B59"/>
    <w:rsid w:val="006B60C0"/>
    <w:rsid w:val="006B6631"/>
    <w:rsid w:val="006B6CB4"/>
    <w:rsid w:val="006B7303"/>
    <w:rsid w:val="006B75A0"/>
    <w:rsid w:val="006B79E6"/>
    <w:rsid w:val="006C03AA"/>
    <w:rsid w:val="006C0894"/>
    <w:rsid w:val="006C13D0"/>
    <w:rsid w:val="006C150B"/>
    <w:rsid w:val="006C1799"/>
    <w:rsid w:val="006C1852"/>
    <w:rsid w:val="006C1991"/>
    <w:rsid w:val="006C2043"/>
    <w:rsid w:val="006C25F9"/>
    <w:rsid w:val="006C278E"/>
    <w:rsid w:val="006C3436"/>
    <w:rsid w:val="006C403B"/>
    <w:rsid w:val="006C41A3"/>
    <w:rsid w:val="006C4241"/>
    <w:rsid w:val="006C43A4"/>
    <w:rsid w:val="006C44BA"/>
    <w:rsid w:val="006C4BB4"/>
    <w:rsid w:val="006C505F"/>
    <w:rsid w:val="006C5776"/>
    <w:rsid w:val="006C57B5"/>
    <w:rsid w:val="006C590E"/>
    <w:rsid w:val="006C5AD2"/>
    <w:rsid w:val="006C5C23"/>
    <w:rsid w:val="006C700E"/>
    <w:rsid w:val="006C70EC"/>
    <w:rsid w:val="006C75D1"/>
    <w:rsid w:val="006C78DB"/>
    <w:rsid w:val="006C79AF"/>
    <w:rsid w:val="006C7E2A"/>
    <w:rsid w:val="006D0111"/>
    <w:rsid w:val="006D04FB"/>
    <w:rsid w:val="006D0501"/>
    <w:rsid w:val="006D09C1"/>
    <w:rsid w:val="006D0C21"/>
    <w:rsid w:val="006D17E2"/>
    <w:rsid w:val="006D1F8B"/>
    <w:rsid w:val="006D2538"/>
    <w:rsid w:val="006D2D07"/>
    <w:rsid w:val="006D329A"/>
    <w:rsid w:val="006D32F4"/>
    <w:rsid w:val="006D3865"/>
    <w:rsid w:val="006D4A26"/>
    <w:rsid w:val="006D4AC3"/>
    <w:rsid w:val="006D4BD8"/>
    <w:rsid w:val="006D4C99"/>
    <w:rsid w:val="006D5027"/>
    <w:rsid w:val="006D5769"/>
    <w:rsid w:val="006D5FA9"/>
    <w:rsid w:val="006D6269"/>
    <w:rsid w:val="006D6833"/>
    <w:rsid w:val="006D6940"/>
    <w:rsid w:val="006D6971"/>
    <w:rsid w:val="006D6AE1"/>
    <w:rsid w:val="006D6B14"/>
    <w:rsid w:val="006D6C88"/>
    <w:rsid w:val="006D7CD3"/>
    <w:rsid w:val="006D7DDB"/>
    <w:rsid w:val="006D7DE9"/>
    <w:rsid w:val="006D7E34"/>
    <w:rsid w:val="006E023C"/>
    <w:rsid w:val="006E0EBA"/>
    <w:rsid w:val="006E13B9"/>
    <w:rsid w:val="006E1649"/>
    <w:rsid w:val="006E2E46"/>
    <w:rsid w:val="006E38E9"/>
    <w:rsid w:val="006E39BC"/>
    <w:rsid w:val="006E3B54"/>
    <w:rsid w:val="006E41CB"/>
    <w:rsid w:val="006E47B5"/>
    <w:rsid w:val="006E48AA"/>
    <w:rsid w:val="006E5632"/>
    <w:rsid w:val="006E584F"/>
    <w:rsid w:val="006E59C4"/>
    <w:rsid w:val="006E5FB9"/>
    <w:rsid w:val="006E635F"/>
    <w:rsid w:val="006E67B1"/>
    <w:rsid w:val="006E6846"/>
    <w:rsid w:val="006E71FF"/>
    <w:rsid w:val="006E7247"/>
    <w:rsid w:val="006E7D4A"/>
    <w:rsid w:val="006E7DEE"/>
    <w:rsid w:val="006F0178"/>
    <w:rsid w:val="006F0668"/>
    <w:rsid w:val="006F1260"/>
    <w:rsid w:val="006F1B48"/>
    <w:rsid w:val="006F1C81"/>
    <w:rsid w:val="006F1E32"/>
    <w:rsid w:val="006F24C6"/>
    <w:rsid w:val="006F332E"/>
    <w:rsid w:val="006F34B9"/>
    <w:rsid w:val="006F3E36"/>
    <w:rsid w:val="006F40B3"/>
    <w:rsid w:val="006F4300"/>
    <w:rsid w:val="006F4502"/>
    <w:rsid w:val="006F493B"/>
    <w:rsid w:val="006F56DC"/>
    <w:rsid w:val="006F5E41"/>
    <w:rsid w:val="006F642D"/>
    <w:rsid w:val="006F6B9E"/>
    <w:rsid w:val="006F6F4A"/>
    <w:rsid w:val="006F762C"/>
    <w:rsid w:val="006F77B0"/>
    <w:rsid w:val="00700424"/>
    <w:rsid w:val="00700790"/>
    <w:rsid w:val="0070095B"/>
    <w:rsid w:val="00700D64"/>
    <w:rsid w:val="0070216C"/>
    <w:rsid w:val="007022E3"/>
    <w:rsid w:val="007027C2"/>
    <w:rsid w:val="00702AD5"/>
    <w:rsid w:val="00702F0A"/>
    <w:rsid w:val="00702FE2"/>
    <w:rsid w:val="007036C0"/>
    <w:rsid w:val="00703B2A"/>
    <w:rsid w:val="00703E87"/>
    <w:rsid w:val="007047E3"/>
    <w:rsid w:val="007050C5"/>
    <w:rsid w:val="00706251"/>
    <w:rsid w:val="007064CB"/>
    <w:rsid w:val="00706DD8"/>
    <w:rsid w:val="00710FA1"/>
    <w:rsid w:val="007113AD"/>
    <w:rsid w:val="007120C3"/>
    <w:rsid w:val="007120F1"/>
    <w:rsid w:val="0071215F"/>
    <w:rsid w:val="00712347"/>
    <w:rsid w:val="007126EC"/>
    <w:rsid w:val="00712AB2"/>
    <w:rsid w:val="00712D2F"/>
    <w:rsid w:val="0071399E"/>
    <w:rsid w:val="00713A02"/>
    <w:rsid w:val="00713ADF"/>
    <w:rsid w:val="00713BAE"/>
    <w:rsid w:val="00714314"/>
    <w:rsid w:val="0071434A"/>
    <w:rsid w:val="00714626"/>
    <w:rsid w:val="0071475D"/>
    <w:rsid w:val="00714AC3"/>
    <w:rsid w:val="00714E05"/>
    <w:rsid w:val="00715E27"/>
    <w:rsid w:val="007160EF"/>
    <w:rsid w:val="00716585"/>
    <w:rsid w:val="007169E9"/>
    <w:rsid w:val="00716D64"/>
    <w:rsid w:val="0071742D"/>
    <w:rsid w:val="0071779C"/>
    <w:rsid w:val="00717EA9"/>
    <w:rsid w:val="00720D5A"/>
    <w:rsid w:val="00720DD3"/>
    <w:rsid w:val="00721904"/>
    <w:rsid w:val="00721AE3"/>
    <w:rsid w:val="00722418"/>
    <w:rsid w:val="007230BB"/>
    <w:rsid w:val="007231EC"/>
    <w:rsid w:val="007235DD"/>
    <w:rsid w:val="0072362D"/>
    <w:rsid w:val="00723C76"/>
    <w:rsid w:val="00723EF6"/>
    <w:rsid w:val="00724237"/>
    <w:rsid w:val="00724DD5"/>
    <w:rsid w:val="0072535B"/>
    <w:rsid w:val="00725CBC"/>
    <w:rsid w:val="007267A7"/>
    <w:rsid w:val="0072698F"/>
    <w:rsid w:val="00727077"/>
    <w:rsid w:val="0072761E"/>
    <w:rsid w:val="00727A8B"/>
    <w:rsid w:val="007300AB"/>
    <w:rsid w:val="0073057A"/>
    <w:rsid w:val="00731087"/>
    <w:rsid w:val="00731244"/>
    <w:rsid w:val="007314BB"/>
    <w:rsid w:val="007314CE"/>
    <w:rsid w:val="007316C3"/>
    <w:rsid w:val="00731E61"/>
    <w:rsid w:val="00732625"/>
    <w:rsid w:val="00732678"/>
    <w:rsid w:val="00732788"/>
    <w:rsid w:val="007327C1"/>
    <w:rsid w:val="00732FF5"/>
    <w:rsid w:val="007332D3"/>
    <w:rsid w:val="007333CB"/>
    <w:rsid w:val="007338F0"/>
    <w:rsid w:val="00733996"/>
    <w:rsid w:val="00733EA9"/>
    <w:rsid w:val="007341CF"/>
    <w:rsid w:val="00734AA9"/>
    <w:rsid w:val="00734C10"/>
    <w:rsid w:val="00735ECC"/>
    <w:rsid w:val="0073624A"/>
    <w:rsid w:val="007369D2"/>
    <w:rsid w:val="007370FB"/>
    <w:rsid w:val="00737136"/>
    <w:rsid w:val="00737716"/>
    <w:rsid w:val="0073788E"/>
    <w:rsid w:val="0073790B"/>
    <w:rsid w:val="00740674"/>
    <w:rsid w:val="00740849"/>
    <w:rsid w:val="00740D25"/>
    <w:rsid w:val="007417C9"/>
    <w:rsid w:val="0074188B"/>
    <w:rsid w:val="00741A48"/>
    <w:rsid w:val="0074328E"/>
    <w:rsid w:val="00743F54"/>
    <w:rsid w:val="0074425F"/>
    <w:rsid w:val="0074456F"/>
    <w:rsid w:val="0074463F"/>
    <w:rsid w:val="00744C0F"/>
    <w:rsid w:val="00744E3D"/>
    <w:rsid w:val="00744FEB"/>
    <w:rsid w:val="00745A4E"/>
    <w:rsid w:val="007460DC"/>
    <w:rsid w:val="00746376"/>
    <w:rsid w:val="007467C5"/>
    <w:rsid w:val="007468F9"/>
    <w:rsid w:val="007502A1"/>
    <w:rsid w:val="00750848"/>
    <w:rsid w:val="00750E4F"/>
    <w:rsid w:val="00750EDB"/>
    <w:rsid w:val="00751989"/>
    <w:rsid w:val="00752687"/>
    <w:rsid w:val="00753246"/>
    <w:rsid w:val="0075359B"/>
    <w:rsid w:val="00753792"/>
    <w:rsid w:val="00753A84"/>
    <w:rsid w:val="00753ECB"/>
    <w:rsid w:val="00753ECC"/>
    <w:rsid w:val="00753EF6"/>
    <w:rsid w:val="00754711"/>
    <w:rsid w:val="00754B10"/>
    <w:rsid w:val="00754B12"/>
    <w:rsid w:val="00754E6C"/>
    <w:rsid w:val="00754FFD"/>
    <w:rsid w:val="00755499"/>
    <w:rsid w:val="007569E0"/>
    <w:rsid w:val="007601C9"/>
    <w:rsid w:val="0076024A"/>
    <w:rsid w:val="007610CE"/>
    <w:rsid w:val="00761C39"/>
    <w:rsid w:val="00763A7F"/>
    <w:rsid w:val="00763DED"/>
    <w:rsid w:val="00764619"/>
    <w:rsid w:val="007648E7"/>
    <w:rsid w:val="0076548C"/>
    <w:rsid w:val="007655A4"/>
    <w:rsid w:val="00765FD3"/>
    <w:rsid w:val="007662CE"/>
    <w:rsid w:val="007663DA"/>
    <w:rsid w:val="00766D12"/>
    <w:rsid w:val="00767658"/>
    <w:rsid w:val="0076784A"/>
    <w:rsid w:val="007678CD"/>
    <w:rsid w:val="00767AAF"/>
    <w:rsid w:val="00767EFF"/>
    <w:rsid w:val="00770107"/>
    <w:rsid w:val="0077041C"/>
    <w:rsid w:val="007704B7"/>
    <w:rsid w:val="007718C0"/>
    <w:rsid w:val="00772AEE"/>
    <w:rsid w:val="00773C2D"/>
    <w:rsid w:val="00773EBA"/>
    <w:rsid w:val="0077412E"/>
    <w:rsid w:val="00774340"/>
    <w:rsid w:val="00774646"/>
    <w:rsid w:val="00774A66"/>
    <w:rsid w:val="0077547D"/>
    <w:rsid w:val="007758EB"/>
    <w:rsid w:val="007759E6"/>
    <w:rsid w:val="00775FA0"/>
    <w:rsid w:val="00776420"/>
    <w:rsid w:val="00776665"/>
    <w:rsid w:val="00776AC3"/>
    <w:rsid w:val="0078035A"/>
    <w:rsid w:val="007805B3"/>
    <w:rsid w:val="00780D1D"/>
    <w:rsid w:val="00781650"/>
    <w:rsid w:val="00781F0A"/>
    <w:rsid w:val="00782290"/>
    <w:rsid w:val="00782344"/>
    <w:rsid w:val="0078267A"/>
    <w:rsid w:val="007826B1"/>
    <w:rsid w:val="00782A0E"/>
    <w:rsid w:val="00782FA5"/>
    <w:rsid w:val="00783132"/>
    <w:rsid w:val="00783468"/>
    <w:rsid w:val="007837A3"/>
    <w:rsid w:val="007838D4"/>
    <w:rsid w:val="00783A00"/>
    <w:rsid w:val="00784132"/>
    <w:rsid w:val="00784238"/>
    <w:rsid w:val="00784ADF"/>
    <w:rsid w:val="00784ED9"/>
    <w:rsid w:val="00785028"/>
    <w:rsid w:val="007869FA"/>
    <w:rsid w:val="00786EF3"/>
    <w:rsid w:val="007871D9"/>
    <w:rsid w:val="007874B8"/>
    <w:rsid w:val="00787811"/>
    <w:rsid w:val="0079107A"/>
    <w:rsid w:val="007914AD"/>
    <w:rsid w:val="00791E4D"/>
    <w:rsid w:val="00792136"/>
    <w:rsid w:val="007922CA"/>
    <w:rsid w:val="00792CB0"/>
    <w:rsid w:val="00792F21"/>
    <w:rsid w:val="00793EF8"/>
    <w:rsid w:val="00794E4D"/>
    <w:rsid w:val="00794FB0"/>
    <w:rsid w:val="007958B3"/>
    <w:rsid w:val="00795C84"/>
    <w:rsid w:val="00797103"/>
    <w:rsid w:val="00797B37"/>
    <w:rsid w:val="007A02C6"/>
    <w:rsid w:val="007A02E4"/>
    <w:rsid w:val="007A04B6"/>
    <w:rsid w:val="007A092E"/>
    <w:rsid w:val="007A0A3C"/>
    <w:rsid w:val="007A12D9"/>
    <w:rsid w:val="007A135C"/>
    <w:rsid w:val="007A1466"/>
    <w:rsid w:val="007A2803"/>
    <w:rsid w:val="007A313C"/>
    <w:rsid w:val="007A3E54"/>
    <w:rsid w:val="007A497F"/>
    <w:rsid w:val="007A4D5F"/>
    <w:rsid w:val="007A4EBC"/>
    <w:rsid w:val="007A52E6"/>
    <w:rsid w:val="007A5440"/>
    <w:rsid w:val="007A5FA1"/>
    <w:rsid w:val="007A689F"/>
    <w:rsid w:val="007A695D"/>
    <w:rsid w:val="007A7265"/>
    <w:rsid w:val="007A7520"/>
    <w:rsid w:val="007A7726"/>
    <w:rsid w:val="007A7788"/>
    <w:rsid w:val="007A7A2A"/>
    <w:rsid w:val="007B016B"/>
    <w:rsid w:val="007B08B6"/>
    <w:rsid w:val="007B09EA"/>
    <w:rsid w:val="007B11A1"/>
    <w:rsid w:val="007B16C2"/>
    <w:rsid w:val="007B1880"/>
    <w:rsid w:val="007B1A84"/>
    <w:rsid w:val="007B246F"/>
    <w:rsid w:val="007B2660"/>
    <w:rsid w:val="007B26D1"/>
    <w:rsid w:val="007B298A"/>
    <w:rsid w:val="007B2BC4"/>
    <w:rsid w:val="007B3A82"/>
    <w:rsid w:val="007B3B2A"/>
    <w:rsid w:val="007B4236"/>
    <w:rsid w:val="007B4660"/>
    <w:rsid w:val="007B4A33"/>
    <w:rsid w:val="007B4C1B"/>
    <w:rsid w:val="007B53ED"/>
    <w:rsid w:val="007B54F6"/>
    <w:rsid w:val="007B5AED"/>
    <w:rsid w:val="007B5AFE"/>
    <w:rsid w:val="007B6B06"/>
    <w:rsid w:val="007B7692"/>
    <w:rsid w:val="007B7BAD"/>
    <w:rsid w:val="007C0CD6"/>
    <w:rsid w:val="007C13AA"/>
    <w:rsid w:val="007C166A"/>
    <w:rsid w:val="007C18C1"/>
    <w:rsid w:val="007C296B"/>
    <w:rsid w:val="007C2CDB"/>
    <w:rsid w:val="007C2D68"/>
    <w:rsid w:val="007C2EDE"/>
    <w:rsid w:val="007C3225"/>
    <w:rsid w:val="007C3DEA"/>
    <w:rsid w:val="007C3E61"/>
    <w:rsid w:val="007C40FD"/>
    <w:rsid w:val="007C4E2C"/>
    <w:rsid w:val="007C54F2"/>
    <w:rsid w:val="007C61F6"/>
    <w:rsid w:val="007C6614"/>
    <w:rsid w:val="007C6616"/>
    <w:rsid w:val="007C6F02"/>
    <w:rsid w:val="007C6F2F"/>
    <w:rsid w:val="007C7CBB"/>
    <w:rsid w:val="007D0027"/>
    <w:rsid w:val="007D0CCE"/>
    <w:rsid w:val="007D0CD4"/>
    <w:rsid w:val="007D0D2E"/>
    <w:rsid w:val="007D0D73"/>
    <w:rsid w:val="007D0EAA"/>
    <w:rsid w:val="007D1AD3"/>
    <w:rsid w:val="007D26A1"/>
    <w:rsid w:val="007D27B2"/>
    <w:rsid w:val="007D3495"/>
    <w:rsid w:val="007D3CF3"/>
    <w:rsid w:val="007D3E53"/>
    <w:rsid w:val="007D413A"/>
    <w:rsid w:val="007D41FB"/>
    <w:rsid w:val="007D4435"/>
    <w:rsid w:val="007D493A"/>
    <w:rsid w:val="007D4A78"/>
    <w:rsid w:val="007D5B66"/>
    <w:rsid w:val="007D6426"/>
    <w:rsid w:val="007D6A5F"/>
    <w:rsid w:val="007D7176"/>
    <w:rsid w:val="007D7777"/>
    <w:rsid w:val="007D7C4B"/>
    <w:rsid w:val="007E0A8E"/>
    <w:rsid w:val="007E0ACF"/>
    <w:rsid w:val="007E0C8D"/>
    <w:rsid w:val="007E15BB"/>
    <w:rsid w:val="007E1AC5"/>
    <w:rsid w:val="007E1DF3"/>
    <w:rsid w:val="007E1F50"/>
    <w:rsid w:val="007E23BA"/>
    <w:rsid w:val="007E2479"/>
    <w:rsid w:val="007E2A8C"/>
    <w:rsid w:val="007E2D8F"/>
    <w:rsid w:val="007E2EB4"/>
    <w:rsid w:val="007E36F0"/>
    <w:rsid w:val="007E3FF5"/>
    <w:rsid w:val="007E40C3"/>
    <w:rsid w:val="007E43A4"/>
    <w:rsid w:val="007E4901"/>
    <w:rsid w:val="007E4F7A"/>
    <w:rsid w:val="007E5707"/>
    <w:rsid w:val="007E57DE"/>
    <w:rsid w:val="007E5B18"/>
    <w:rsid w:val="007E5BB6"/>
    <w:rsid w:val="007E5BB9"/>
    <w:rsid w:val="007E66C6"/>
    <w:rsid w:val="007E6CAF"/>
    <w:rsid w:val="007E6ECE"/>
    <w:rsid w:val="007E7656"/>
    <w:rsid w:val="007E7FCD"/>
    <w:rsid w:val="007F1A91"/>
    <w:rsid w:val="007F1B7C"/>
    <w:rsid w:val="007F1BB8"/>
    <w:rsid w:val="007F1C72"/>
    <w:rsid w:val="007F1DE6"/>
    <w:rsid w:val="007F1E06"/>
    <w:rsid w:val="007F1EC3"/>
    <w:rsid w:val="007F2575"/>
    <w:rsid w:val="007F2839"/>
    <w:rsid w:val="007F3341"/>
    <w:rsid w:val="007F34D4"/>
    <w:rsid w:val="007F3524"/>
    <w:rsid w:val="007F3644"/>
    <w:rsid w:val="007F398E"/>
    <w:rsid w:val="007F3BD4"/>
    <w:rsid w:val="007F3EE0"/>
    <w:rsid w:val="007F4911"/>
    <w:rsid w:val="007F49D2"/>
    <w:rsid w:val="007F53F5"/>
    <w:rsid w:val="007F568D"/>
    <w:rsid w:val="007F56F5"/>
    <w:rsid w:val="007F5F7F"/>
    <w:rsid w:val="007F7165"/>
    <w:rsid w:val="007F754F"/>
    <w:rsid w:val="007F75D1"/>
    <w:rsid w:val="007F776F"/>
    <w:rsid w:val="007F78F3"/>
    <w:rsid w:val="007F7AC9"/>
    <w:rsid w:val="007F7EB3"/>
    <w:rsid w:val="0080009D"/>
    <w:rsid w:val="00800603"/>
    <w:rsid w:val="00800948"/>
    <w:rsid w:val="008009E9"/>
    <w:rsid w:val="00800D42"/>
    <w:rsid w:val="00802E66"/>
    <w:rsid w:val="008033E4"/>
    <w:rsid w:val="00803975"/>
    <w:rsid w:val="00803C38"/>
    <w:rsid w:val="00803D91"/>
    <w:rsid w:val="0080463E"/>
    <w:rsid w:val="008047C1"/>
    <w:rsid w:val="00804AB4"/>
    <w:rsid w:val="00804B6C"/>
    <w:rsid w:val="00805038"/>
    <w:rsid w:val="00805236"/>
    <w:rsid w:val="00805AA4"/>
    <w:rsid w:val="00805EDE"/>
    <w:rsid w:val="00805F68"/>
    <w:rsid w:val="00806203"/>
    <w:rsid w:val="00806BA7"/>
    <w:rsid w:val="00807954"/>
    <w:rsid w:val="008079B3"/>
    <w:rsid w:val="00810B18"/>
    <w:rsid w:val="00810D60"/>
    <w:rsid w:val="0081142C"/>
    <w:rsid w:val="0081150B"/>
    <w:rsid w:val="00811D33"/>
    <w:rsid w:val="00812463"/>
    <w:rsid w:val="008125C9"/>
    <w:rsid w:val="00812AE8"/>
    <w:rsid w:val="00812D66"/>
    <w:rsid w:val="00812E5B"/>
    <w:rsid w:val="00812F62"/>
    <w:rsid w:val="00813895"/>
    <w:rsid w:val="008143A2"/>
    <w:rsid w:val="0081480A"/>
    <w:rsid w:val="008149C9"/>
    <w:rsid w:val="0081510F"/>
    <w:rsid w:val="008153D0"/>
    <w:rsid w:val="0081555D"/>
    <w:rsid w:val="0081602E"/>
    <w:rsid w:val="00816343"/>
    <w:rsid w:val="00816D48"/>
    <w:rsid w:val="00817362"/>
    <w:rsid w:val="00817443"/>
    <w:rsid w:val="008177F4"/>
    <w:rsid w:val="0081782E"/>
    <w:rsid w:val="00820958"/>
    <w:rsid w:val="00820998"/>
    <w:rsid w:val="00821FCB"/>
    <w:rsid w:val="008221DB"/>
    <w:rsid w:val="00823241"/>
    <w:rsid w:val="00823D6D"/>
    <w:rsid w:val="00824741"/>
    <w:rsid w:val="00825572"/>
    <w:rsid w:val="008257E2"/>
    <w:rsid w:val="00826012"/>
    <w:rsid w:val="008266BF"/>
    <w:rsid w:val="00826887"/>
    <w:rsid w:val="00826FDE"/>
    <w:rsid w:val="00827601"/>
    <w:rsid w:val="0082763B"/>
    <w:rsid w:val="00827769"/>
    <w:rsid w:val="00830064"/>
    <w:rsid w:val="0083012B"/>
    <w:rsid w:val="008301E5"/>
    <w:rsid w:val="00830529"/>
    <w:rsid w:val="008305F8"/>
    <w:rsid w:val="0083169D"/>
    <w:rsid w:val="00831B7C"/>
    <w:rsid w:val="00831CB9"/>
    <w:rsid w:val="00832774"/>
    <w:rsid w:val="00832B20"/>
    <w:rsid w:val="00832B25"/>
    <w:rsid w:val="00832CE8"/>
    <w:rsid w:val="00833809"/>
    <w:rsid w:val="0083396B"/>
    <w:rsid w:val="008342E9"/>
    <w:rsid w:val="0083435D"/>
    <w:rsid w:val="00834D79"/>
    <w:rsid w:val="00835133"/>
    <w:rsid w:val="00835DB8"/>
    <w:rsid w:val="00837409"/>
    <w:rsid w:val="00840123"/>
    <w:rsid w:val="00840978"/>
    <w:rsid w:val="008409D6"/>
    <w:rsid w:val="00840B27"/>
    <w:rsid w:val="00840BC7"/>
    <w:rsid w:val="00840FC2"/>
    <w:rsid w:val="0084117A"/>
    <w:rsid w:val="00841868"/>
    <w:rsid w:val="00842CBA"/>
    <w:rsid w:val="0084351B"/>
    <w:rsid w:val="008452B8"/>
    <w:rsid w:val="008452E0"/>
    <w:rsid w:val="00845343"/>
    <w:rsid w:val="00845397"/>
    <w:rsid w:val="00845B38"/>
    <w:rsid w:val="00845EAC"/>
    <w:rsid w:val="0084606F"/>
    <w:rsid w:val="00846B55"/>
    <w:rsid w:val="00846BC7"/>
    <w:rsid w:val="00850806"/>
    <w:rsid w:val="008508FA"/>
    <w:rsid w:val="00850962"/>
    <w:rsid w:val="008511E8"/>
    <w:rsid w:val="00851310"/>
    <w:rsid w:val="00852422"/>
    <w:rsid w:val="00852426"/>
    <w:rsid w:val="0085278B"/>
    <w:rsid w:val="00852E2A"/>
    <w:rsid w:val="00853369"/>
    <w:rsid w:val="00853852"/>
    <w:rsid w:val="0085486D"/>
    <w:rsid w:val="00854F38"/>
    <w:rsid w:val="00855012"/>
    <w:rsid w:val="008553FF"/>
    <w:rsid w:val="00855B3D"/>
    <w:rsid w:val="00855C27"/>
    <w:rsid w:val="008572F7"/>
    <w:rsid w:val="00857A70"/>
    <w:rsid w:val="00857D48"/>
    <w:rsid w:val="00860B05"/>
    <w:rsid w:val="00860C05"/>
    <w:rsid w:val="00860E5B"/>
    <w:rsid w:val="008612B8"/>
    <w:rsid w:val="00861850"/>
    <w:rsid w:val="00861FBD"/>
    <w:rsid w:val="0086204D"/>
    <w:rsid w:val="008634C3"/>
    <w:rsid w:val="00863B61"/>
    <w:rsid w:val="00863D6F"/>
    <w:rsid w:val="008643C6"/>
    <w:rsid w:val="00864A91"/>
    <w:rsid w:val="00865DAC"/>
    <w:rsid w:val="00866C32"/>
    <w:rsid w:val="00867048"/>
    <w:rsid w:val="00867210"/>
    <w:rsid w:val="00867550"/>
    <w:rsid w:val="00867857"/>
    <w:rsid w:val="008678B8"/>
    <w:rsid w:val="00867B31"/>
    <w:rsid w:val="00867C65"/>
    <w:rsid w:val="00867F50"/>
    <w:rsid w:val="0087013F"/>
    <w:rsid w:val="00870593"/>
    <w:rsid w:val="00871498"/>
    <w:rsid w:val="0087167F"/>
    <w:rsid w:val="0087183B"/>
    <w:rsid w:val="0087269A"/>
    <w:rsid w:val="008726D9"/>
    <w:rsid w:val="00872927"/>
    <w:rsid w:val="00872EC6"/>
    <w:rsid w:val="00872F6B"/>
    <w:rsid w:val="00873381"/>
    <w:rsid w:val="0087365E"/>
    <w:rsid w:val="00873C6E"/>
    <w:rsid w:val="00873D1C"/>
    <w:rsid w:val="0087429C"/>
    <w:rsid w:val="00874A17"/>
    <w:rsid w:val="00875047"/>
    <w:rsid w:val="008751A7"/>
    <w:rsid w:val="00875235"/>
    <w:rsid w:val="008754B6"/>
    <w:rsid w:val="00875AFF"/>
    <w:rsid w:val="00875C40"/>
    <w:rsid w:val="00875E25"/>
    <w:rsid w:val="00875FD4"/>
    <w:rsid w:val="008763F0"/>
    <w:rsid w:val="00876AA8"/>
    <w:rsid w:val="00877B28"/>
    <w:rsid w:val="00877EEA"/>
    <w:rsid w:val="0088098A"/>
    <w:rsid w:val="008809B7"/>
    <w:rsid w:val="00881561"/>
    <w:rsid w:val="00881616"/>
    <w:rsid w:val="00881726"/>
    <w:rsid w:val="00881AD1"/>
    <w:rsid w:val="00881EE1"/>
    <w:rsid w:val="00882184"/>
    <w:rsid w:val="008823C9"/>
    <w:rsid w:val="0088251D"/>
    <w:rsid w:val="00882A88"/>
    <w:rsid w:val="00882EB0"/>
    <w:rsid w:val="00883202"/>
    <w:rsid w:val="00885A32"/>
    <w:rsid w:val="00885D14"/>
    <w:rsid w:val="00886639"/>
    <w:rsid w:val="0088736F"/>
    <w:rsid w:val="0088745D"/>
    <w:rsid w:val="00887A6B"/>
    <w:rsid w:val="00887B23"/>
    <w:rsid w:val="00887F96"/>
    <w:rsid w:val="008906E0"/>
    <w:rsid w:val="0089072A"/>
    <w:rsid w:val="00890D8B"/>
    <w:rsid w:val="00890F4E"/>
    <w:rsid w:val="00891592"/>
    <w:rsid w:val="008915D6"/>
    <w:rsid w:val="00891894"/>
    <w:rsid w:val="008918EF"/>
    <w:rsid w:val="00891C37"/>
    <w:rsid w:val="00891DBB"/>
    <w:rsid w:val="008922A4"/>
    <w:rsid w:val="00892C76"/>
    <w:rsid w:val="008930C3"/>
    <w:rsid w:val="008931AE"/>
    <w:rsid w:val="008938F3"/>
    <w:rsid w:val="008939EC"/>
    <w:rsid w:val="00893B88"/>
    <w:rsid w:val="00893C33"/>
    <w:rsid w:val="00893E36"/>
    <w:rsid w:val="008943FB"/>
    <w:rsid w:val="00894B35"/>
    <w:rsid w:val="00895180"/>
    <w:rsid w:val="00895944"/>
    <w:rsid w:val="00895FA4"/>
    <w:rsid w:val="00897263"/>
    <w:rsid w:val="0089731C"/>
    <w:rsid w:val="00897495"/>
    <w:rsid w:val="008978A0"/>
    <w:rsid w:val="0089790A"/>
    <w:rsid w:val="008A019C"/>
    <w:rsid w:val="008A0A0A"/>
    <w:rsid w:val="008A12D0"/>
    <w:rsid w:val="008A1393"/>
    <w:rsid w:val="008A19E7"/>
    <w:rsid w:val="008A2498"/>
    <w:rsid w:val="008A2558"/>
    <w:rsid w:val="008A2623"/>
    <w:rsid w:val="008A2635"/>
    <w:rsid w:val="008A27C0"/>
    <w:rsid w:val="008A2E99"/>
    <w:rsid w:val="008A3439"/>
    <w:rsid w:val="008A3495"/>
    <w:rsid w:val="008A3DC7"/>
    <w:rsid w:val="008A3FC0"/>
    <w:rsid w:val="008A42D9"/>
    <w:rsid w:val="008A44BC"/>
    <w:rsid w:val="008A4737"/>
    <w:rsid w:val="008A494F"/>
    <w:rsid w:val="008A4AB3"/>
    <w:rsid w:val="008A4D45"/>
    <w:rsid w:val="008A5ADD"/>
    <w:rsid w:val="008A5E8E"/>
    <w:rsid w:val="008A67D6"/>
    <w:rsid w:val="008A694A"/>
    <w:rsid w:val="008A6A0D"/>
    <w:rsid w:val="008A6B23"/>
    <w:rsid w:val="008A6C06"/>
    <w:rsid w:val="008A724E"/>
    <w:rsid w:val="008A7B8A"/>
    <w:rsid w:val="008B0010"/>
    <w:rsid w:val="008B0447"/>
    <w:rsid w:val="008B0761"/>
    <w:rsid w:val="008B0A59"/>
    <w:rsid w:val="008B0AFB"/>
    <w:rsid w:val="008B0BE5"/>
    <w:rsid w:val="008B0D5B"/>
    <w:rsid w:val="008B0FE4"/>
    <w:rsid w:val="008B132A"/>
    <w:rsid w:val="008B1C00"/>
    <w:rsid w:val="008B1F6A"/>
    <w:rsid w:val="008B2169"/>
    <w:rsid w:val="008B294C"/>
    <w:rsid w:val="008B2A9C"/>
    <w:rsid w:val="008B3161"/>
    <w:rsid w:val="008B4119"/>
    <w:rsid w:val="008B4597"/>
    <w:rsid w:val="008B54DC"/>
    <w:rsid w:val="008B58CF"/>
    <w:rsid w:val="008B5D1E"/>
    <w:rsid w:val="008B6223"/>
    <w:rsid w:val="008B708F"/>
    <w:rsid w:val="008B736D"/>
    <w:rsid w:val="008B7ECA"/>
    <w:rsid w:val="008C00C5"/>
    <w:rsid w:val="008C0DFA"/>
    <w:rsid w:val="008C17CE"/>
    <w:rsid w:val="008C192A"/>
    <w:rsid w:val="008C1A0D"/>
    <w:rsid w:val="008C1A94"/>
    <w:rsid w:val="008C1B3E"/>
    <w:rsid w:val="008C2313"/>
    <w:rsid w:val="008C2722"/>
    <w:rsid w:val="008C2817"/>
    <w:rsid w:val="008C2A5F"/>
    <w:rsid w:val="008C2C3B"/>
    <w:rsid w:val="008C2E0D"/>
    <w:rsid w:val="008C33D1"/>
    <w:rsid w:val="008C3DAC"/>
    <w:rsid w:val="008C4071"/>
    <w:rsid w:val="008C40C4"/>
    <w:rsid w:val="008C4541"/>
    <w:rsid w:val="008C6217"/>
    <w:rsid w:val="008C65FC"/>
    <w:rsid w:val="008C752D"/>
    <w:rsid w:val="008C7931"/>
    <w:rsid w:val="008C7CDA"/>
    <w:rsid w:val="008C7EE1"/>
    <w:rsid w:val="008D03D3"/>
    <w:rsid w:val="008D0626"/>
    <w:rsid w:val="008D0A1C"/>
    <w:rsid w:val="008D0A4E"/>
    <w:rsid w:val="008D0AB0"/>
    <w:rsid w:val="008D0D01"/>
    <w:rsid w:val="008D1E6C"/>
    <w:rsid w:val="008D2100"/>
    <w:rsid w:val="008D2F76"/>
    <w:rsid w:val="008D3C3F"/>
    <w:rsid w:val="008D3E54"/>
    <w:rsid w:val="008D3FB5"/>
    <w:rsid w:val="008D40FB"/>
    <w:rsid w:val="008D41E4"/>
    <w:rsid w:val="008D4231"/>
    <w:rsid w:val="008D423B"/>
    <w:rsid w:val="008D51CA"/>
    <w:rsid w:val="008D566A"/>
    <w:rsid w:val="008D5B4F"/>
    <w:rsid w:val="008D69DE"/>
    <w:rsid w:val="008D6FD8"/>
    <w:rsid w:val="008D764B"/>
    <w:rsid w:val="008D7684"/>
    <w:rsid w:val="008E00DA"/>
    <w:rsid w:val="008E08CB"/>
    <w:rsid w:val="008E0CE9"/>
    <w:rsid w:val="008E1072"/>
    <w:rsid w:val="008E111B"/>
    <w:rsid w:val="008E1197"/>
    <w:rsid w:val="008E2610"/>
    <w:rsid w:val="008E27DD"/>
    <w:rsid w:val="008E37A6"/>
    <w:rsid w:val="008E3B44"/>
    <w:rsid w:val="008E3ED7"/>
    <w:rsid w:val="008E3FE2"/>
    <w:rsid w:val="008E4684"/>
    <w:rsid w:val="008E48CF"/>
    <w:rsid w:val="008E49CF"/>
    <w:rsid w:val="008E49E7"/>
    <w:rsid w:val="008E5224"/>
    <w:rsid w:val="008E5653"/>
    <w:rsid w:val="008E56B1"/>
    <w:rsid w:val="008E5838"/>
    <w:rsid w:val="008E5A8E"/>
    <w:rsid w:val="008E624C"/>
    <w:rsid w:val="008E62DE"/>
    <w:rsid w:val="008E640B"/>
    <w:rsid w:val="008E6643"/>
    <w:rsid w:val="008E6A85"/>
    <w:rsid w:val="008E6DAF"/>
    <w:rsid w:val="008E70DE"/>
    <w:rsid w:val="008E787C"/>
    <w:rsid w:val="008E7F08"/>
    <w:rsid w:val="008E7F67"/>
    <w:rsid w:val="008E7FAD"/>
    <w:rsid w:val="008F0187"/>
    <w:rsid w:val="008F05A1"/>
    <w:rsid w:val="008F071E"/>
    <w:rsid w:val="008F114F"/>
    <w:rsid w:val="008F16E7"/>
    <w:rsid w:val="008F1F26"/>
    <w:rsid w:val="008F20F9"/>
    <w:rsid w:val="008F2317"/>
    <w:rsid w:val="008F29D2"/>
    <w:rsid w:val="008F2B20"/>
    <w:rsid w:val="008F2C19"/>
    <w:rsid w:val="008F2E08"/>
    <w:rsid w:val="008F2E5A"/>
    <w:rsid w:val="008F2F87"/>
    <w:rsid w:val="008F3412"/>
    <w:rsid w:val="008F3CE8"/>
    <w:rsid w:val="008F45A6"/>
    <w:rsid w:val="008F4BEB"/>
    <w:rsid w:val="008F521E"/>
    <w:rsid w:val="008F55F8"/>
    <w:rsid w:val="008F58DD"/>
    <w:rsid w:val="008F6183"/>
    <w:rsid w:val="008F6696"/>
    <w:rsid w:val="008F6773"/>
    <w:rsid w:val="008F685D"/>
    <w:rsid w:val="008F6958"/>
    <w:rsid w:val="008F6AD2"/>
    <w:rsid w:val="008F7756"/>
    <w:rsid w:val="008F77EF"/>
    <w:rsid w:val="008F7948"/>
    <w:rsid w:val="008F7C89"/>
    <w:rsid w:val="0090013A"/>
    <w:rsid w:val="00900308"/>
    <w:rsid w:val="0090059D"/>
    <w:rsid w:val="00900963"/>
    <w:rsid w:val="00900CEF"/>
    <w:rsid w:val="00900E59"/>
    <w:rsid w:val="0090101A"/>
    <w:rsid w:val="009015F2"/>
    <w:rsid w:val="00901AE9"/>
    <w:rsid w:val="00902D6F"/>
    <w:rsid w:val="00902F1E"/>
    <w:rsid w:val="00903079"/>
    <w:rsid w:val="00903255"/>
    <w:rsid w:val="009034D4"/>
    <w:rsid w:val="00903723"/>
    <w:rsid w:val="00903AC4"/>
    <w:rsid w:val="00903B6B"/>
    <w:rsid w:val="009047B4"/>
    <w:rsid w:val="00904EED"/>
    <w:rsid w:val="00905080"/>
    <w:rsid w:val="009051E8"/>
    <w:rsid w:val="009053B2"/>
    <w:rsid w:val="00905C6B"/>
    <w:rsid w:val="00905C95"/>
    <w:rsid w:val="00905F4E"/>
    <w:rsid w:val="00906FE9"/>
    <w:rsid w:val="00907275"/>
    <w:rsid w:val="00907330"/>
    <w:rsid w:val="0090736B"/>
    <w:rsid w:val="00907493"/>
    <w:rsid w:val="0090752E"/>
    <w:rsid w:val="009100BA"/>
    <w:rsid w:val="0091018B"/>
    <w:rsid w:val="0091067B"/>
    <w:rsid w:val="00911583"/>
    <w:rsid w:val="00911B0F"/>
    <w:rsid w:val="009122B1"/>
    <w:rsid w:val="009126E6"/>
    <w:rsid w:val="009130B1"/>
    <w:rsid w:val="00913131"/>
    <w:rsid w:val="009133A7"/>
    <w:rsid w:val="00913559"/>
    <w:rsid w:val="0091366B"/>
    <w:rsid w:val="00913F9E"/>
    <w:rsid w:val="0091408A"/>
    <w:rsid w:val="0091417C"/>
    <w:rsid w:val="009148C1"/>
    <w:rsid w:val="0091493C"/>
    <w:rsid w:val="00914D2E"/>
    <w:rsid w:val="00915154"/>
    <w:rsid w:val="00915534"/>
    <w:rsid w:val="0091650F"/>
    <w:rsid w:val="009167FC"/>
    <w:rsid w:val="0091698C"/>
    <w:rsid w:val="00916A0D"/>
    <w:rsid w:val="009176A6"/>
    <w:rsid w:val="009177BD"/>
    <w:rsid w:val="009179E7"/>
    <w:rsid w:val="00917B7E"/>
    <w:rsid w:val="00917E72"/>
    <w:rsid w:val="00920123"/>
    <w:rsid w:val="009206B5"/>
    <w:rsid w:val="00920AEE"/>
    <w:rsid w:val="00920B57"/>
    <w:rsid w:val="0092102C"/>
    <w:rsid w:val="009211AE"/>
    <w:rsid w:val="009219B4"/>
    <w:rsid w:val="00921AB2"/>
    <w:rsid w:val="00921B40"/>
    <w:rsid w:val="00921B90"/>
    <w:rsid w:val="00922115"/>
    <w:rsid w:val="00922667"/>
    <w:rsid w:val="00922BA2"/>
    <w:rsid w:val="009230F1"/>
    <w:rsid w:val="009235E2"/>
    <w:rsid w:val="009236FC"/>
    <w:rsid w:val="00923C56"/>
    <w:rsid w:val="00923D32"/>
    <w:rsid w:val="00923FB7"/>
    <w:rsid w:val="0092405A"/>
    <w:rsid w:val="00924EA3"/>
    <w:rsid w:val="0092564B"/>
    <w:rsid w:val="0092570C"/>
    <w:rsid w:val="00925CF5"/>
    <w:rsid w:val="00925D4F"/>
    <w:rsid w:val="00925D8C"/>
    <w:rsid w:val="00926244"/>
    <w:rsid w:val="00926269"/>
    <w:rsid w:val="00926744"/>
    <w:rsid w:val="009267FF"/>
    <w:rsid w:val="00926844"/>
    <w:rsid w:val="00926EDA"/>
    <w:rsid w:val="00927212"/>
    <w:rsid w:val="00927441"/>
    <w:rsid w:val="009274D8"/>
    <w:rsid w:val="00927544"/>
    <w:rsid w:val="009275B7"/>
    <w:rsid w:val="00927652"/>
    <w:rsid w:val="00927807"/>
    <w:rsid w:val="00927FA8"/>
    <w:rsid w:val="00930044"/>
    <w:rsid w:val="0093006D"/>
    <w:rsid w:val="009302ED"/>
    <w:rsid w:val="00930DA7"/>
    <w:rsid w:val="00930DEA"/>
    <w:rsid w:val="009310FF"/>
    <w:rsid w:val="0093154C"/>
    <w:rsid w:val="00931FA1"/>
    <w:rsid w:val="00932264"/>
    <w:rsid w:val="009325D7"/>
    <w:rsid w:val="00932AC1"/>
    <w:rsid w:val="00933089"/>
    <w:rsid w:val="009335DD"/>
    <w:rsid w:val="00933DAD"/>
    <w:rsid w:val="00933F82"/>
    <w:rsid w:val="009342DF"/>
    <w:rsid w:val="00934838"/>
    <w:rsid w:val="00934B90"/>
    <w:rsid w:val="00934D72"/>
    <w:rsid w:val="00935632"/>
    <w:rsid w:val="00935B54"/>
    <w:rsid w:val="00935B62"/>
    <w:rsid w:val="0093614D"/>
    <w:rsid w:val="00936372"/>
    <w:rsid w:val="00936D20"/>
    <w:rsid w:val="009378F7"/>
    <w:rsid w:val="00940ABB"/>
    <w:rsid w:val="009412CF"/>
    <w:rsid w:val="00941536"/>
    <w:rsid w:val="009417C2"/>
    <w:rsid w:val="00941B4A"/>
    <w:rsid w:val="00941E73"/>
    <w:rsid w:val="0094259D"/>
    <w:rsid w:val="0094289C"/>
    <w:rsid w:val="009428DD"/>
    <w:rsid w:val="00942A1B"/>
    <w:rsid w:val="00942B46"/>
    <w:rsid w:val="00942CBE"/>
    <w:rsid w:val="0094340D"/>
    <w:rsid w:val="00943600"/>
    <w:rsid w:val="009436D3"/>
    <w:rsid w:val="009436D4"/>
    <w:rsid w:val="00943AA7"/>
    <w:rsid w:val="0094407B"/>
    <w:rsid w:val="009445C1"/>
    <w:rsid w:val="0094493B"/>
    <w:rsid w:val="00944CE4"/>
    <w:rsid w:val="00944F8A"/>
    <w:rsid w:val="00945110"/>
    <w:rsid w:val="009465E5"/>
    <w:rsid w:val="0094692C"/>
    <w:rsid w:val="00946A6D"/>
    <w:rsid w:val="00947732"/>
    <w:rsid w:val="00947AEF"/>
    <w:rsid w:val="00947C71"/>
    <w:rsid w:val="00950310"/>
    <w:rsid w:val="00950C48"/>
    <w:rsid w:val="00950CAC"/>
    <w:rsid w:val="00950D5F"/>
    <w:rsid w:val="00950E72"/>
    <w:rsid w:val="00951934"/>
    <w:rsid w:val="00951A58"/>
    <w:rsid w:val="00951C17"/>
    <w:rsid w:val="00952913"/>
    <w:rsid w:val="00953334"/>
    <w:rsid w:val="009534C5"/>
    <w:rsid w:val="009538D6"/>
    <w:rsid w:val="00953996"/>
    <w:rsid w:val="009539BC"/>
    <w:rsid w:val="00953BAD"/>
    <w:rsid w:val="00953DD4"/>
    <w:rsid w:val="00954BE5"/>
    <w:rsid w:val="00955F7A"/>
    <w:rsid w:val="0095606E"/>
    <w:rsid w:val="0095612B"/>
    <w:rsid w:val="009569B1"/>
    <w:rsid w:val="00956DE1"/>
    <w:rsid w:val="00956E5D"/>
    <w:rsid w:val="009570B1"/>
    <w:rsid w:val="009573D8"/>
    <w:rsid w:val="00957B2A"/>
    <w:rsid w:val="00957F5B"/>
    <w:rsid w:val="00957F82"/>
    <w:rsid w:val="0096010C"/>
    <w:rsid w:val="00960C2D"/>
    <w:rsid w:val="00960F4F"/>
    <w:rsid w:val="00961790"/>
    <w:rsid w:val="0096198D"/>
    <w:rsid w:val="00961BBD"/>
    <w:rsid w:val="00961BE9"/>
    <w:rsid w:val="009620A3"/>
    <w:rsid w:val="0096255E"/>
    <w:rsid w:val="009627B6"/>
    <w:rsid w:val="00963090"/>
    <w:rsid w:val="00963276"/>
    <w:rsid w:val="00965161"/>
    <w:rsid w:val="009658E4"/>
    <w:rsid w:val="009659C0"/>
    <w:rsid w:val="00965FF8"/>
    <w:rsid w:val="00966186"/>
    <w:rsid w:val="00966568"/>
    <w:rsid w:val="009665D0"/>
    <w:rsid w:val="00966F76"/>
    <w:rsid w:val="00967FDD"/>
    <w:rsid w:val="00970418"/>
    <w:rsid w:val="00971F8B"/>
    <w:rsid w:val="00971FD7"/>
    <w:rsid w:val="00972075"/>
    <w:rsid w:val="009724B8"/>
    <w:rsid w:val="0097267C"/>
    <w:rsid w:val="009726DF"/>
    <w:rsid w:val="00972BC8"/>
    <w:rsid w:val="00973128"/>
    <w:rsid w:val="009734AE"/>
    <w:rsid w:val="00973CC5"/>
    <w:rsid w:val="0097402B"/>
    <w:rsid w:val="009745C8"/>
    <w:rsid w:val="00974B55"/>
    <w:rsid w:val="00974C32"/>
    <w:rsid w:val="00974F07"/>
    <w:rsid w:val="0097505A"/>
    <w:rsid w:val="009750CE"/>
    <w:rsid w:val="009751A4"/>
    <w:rsid w:val="00975CE7"/>
    <w:rsid w:val="0097600E"/>
    <w:rsid w:val="00976FA9"/>
    <w:rsid w:val="00977334"/>
    <w:rsid w:val="00977CE9"/>
    <w:rsid w:val="009813F0"/>
    <w:rsid w:val="009814B2"/>
    <w:rsid w:val="0098187A"/>
    <w:rsid w:val="009819F7"/>
    <w:rsid w:val="00981B5E"/>
    <w:rsid w:val="00981E98"/>
    <w:rsid w:val="00981F09"/>
    <w:rsid w:val="00981FCE"/>
    <w:rsid w:val="009820E3"/>
    <w:rsid w:val="0098334A"/>
    <w:rsid w:val="0098335C"/>
    <w:rsid w:val="00983C3A"/>
    <w:rsid w:val="00983EAA"/>
    <w:rsid w:val="009842E1"/>
    <w:rsid w:val="009845A1"/>
    <w:rsid w:val="009848E9"/>
    <w:rsid w:val="00984B85"/>
    <w:rsid w:val="00984F2E"/>
    <w:rsid w:val="00984F6C"/>
    <w:rsid w:val="00985484"/>
    <w:rsid w:val="0098597D"/>
    <w:rsid w:val="00986606"/>
    <w:rsid w:val="009866A8"/>
    <w:rsid w:val="00986F50"/>
    <w:rsid w:val="009876AE"/>
    <w:rsid w:val="009878B4"/>
    <w:rsid w:val="00987D02"/>
    <w:rsid w:val="009900F6"/>
    <w:rsid w:val="009905A2"/>
    <w:rsid w:val="00990755"/>
    <w:rsid w:val="00991530"/>
    <w:rsid w:val="0099156E"/>
    <w:rsid w:val="00991D09"/>
    <w:rsid w:val="00991E17"/>
    <w:rsid w:val="00992140"/>
    <w:rsid w:val="0099262B"/>
    <w:rsid w:val="00992CF6"/>
    <w:rsid w:val="0099319E"/>
    <w:rsid w:val="00993328"/>
    <w:rsid w:val="009934EF"/>
    <w:rsid w:val="00993F5D"/>
    <w:rsid w:val="00994389"/>
    <w:rsid w:val="0099462A"/>
    <w:rsid w:val="009947E0"/>
    <w:rsid w:val="00994A6E"/>
    <w:rsid w:val="00994A90"/>
    <w:rsid w:val="00994BE4"/>
    <w:rsid w:val="009950ED"/>
    <w:rsid w:val="0099518B"/>
    <w:rsid w:val="00995577"/>
    <w:rsid w:val="009959F4"/>
    <w:rsid w:val="00995D71"/>
    <w:rsid w:val="0099648D"/>
    <w:rsid w:val="0099685C"/>
    <w:rsid w:val="00996AEE"/>
    <w:rsid w:val="00996BF6"/>
    <w:rsid w:val="00996C6B"/>
    <w:rsid w:val="00997119"/>
    <w:rsid w:val="00997149"/>
    <w:rsid w:val="00997167"/>
    <w:rsid w:val="00997198"/>
    <w:rsid w:val="00997702"/>
    <w:rsid w:val="00997A2C"/>
    <w:rsid w:val="00997B30"/>
    <w:rsid w:val="00997B48"/>
    <w:rsid w:val="009A00A0"/>
    <w:rsid w:val="009A0C2E"/>
    <w:rsid w:val="009A0D29"/>
    <w:rsid w:val="009A0EA8"/>
    <w:rsid w:val="009A1B9D"/>
    <w:rsid w:val="009A1CD7"/>
    <w:rsid w:val="009A1F8D"/>
    <w:rsid w:val="009A2360"/>
    <w:rsid w:val="009A2B58"/>
    <w:rsid w:val="009A3005"/>
    <w:rsid w:val="009A34C3"/>
    <w:rsid w:val="009A3692"/>
    <w:rsid w:val="009A3EC9"/>
    <w:rsid w:val="009A4454"/>
    <w:rsid w:val="009A531F"/>
    <w:rsid w:val="009A56F5"/>
    <w:rsid w:val="009A5C00"/>
    <w:rsid w:val="009A5F4A"/>
    <w:rsid w:val="009A63D2"/>
    <w:rsid w:val="009A6538"/>
    <w:rsid w:val="009A6BF4"/>
    <w:rsid w:val="009A6F1F"/>
    <w:rsid w:val="009B09EC"/>
    <w:rsid w:val="009B0A73"/>
    <w:rsid w:val="009B1810"/>
    <w:rsid w:val="009B1A6A"/>
    <w:rsid w:val="009B24CB"/>
    <w:rsid w:val="009B24E6"/>
    <w:rsid w:val="009B2A81"/>
    <w:rsid w:val="009B385F"/>
    <w:rsid w:val="009B4025"/>
    <w:rsid w:val="009B4050"/>
    <w:rsid w:val="009B461F"/>
    <w:rsid w:val="009B4C4C"/>
    <w:rsid w:val="009B58A5"/>
    <w:rsid w:val="009B5B36"/>
    <w:rsid w:val="009B63F8"/>
    <w:rsid w:val="009B6F28"/>
    <w:rsid w:val="009B7579"/>
    <w:rsid w:val="009B7BCB"/>
    <w:rsid w:val="009C0615"/>
    <w:rsid w:val="009C0A9F"/>
    <w:rsid w:val="009C0C71"/>
    <w:rsid w:val="009C0FEC"/>
    <w:rsid w:val="009C142B"/>
    <w:rsid w:val="009C1C09"/>
    <w:rsid w:val="009C22B9"/>
    <w:rsid w:val="009C26E3"/>
    <w:rsid w:val="009C2F02"/>
    <w:rsid w:val="009C302C"/>
    <w:rsid w:val="009C3705"/>
    <w:rsid w:val="009C3B84"/>
    <w:rsid w:val="009C3C10"/>
    <w:rsid w:val="009C3C25"/>
    <w:rsid w:val="009C4168"/>
    <w:rsid w:val="009C4F88"/>
    <w:rsid w:val="009C5207"/>
    <w:rsid w:val="009C525E"/>
    <w:rsid w:val="009C5D7D"/>
    <w:rsid w:val="009C6022"/>
    <w:rsid w:val="009C616D"/>
    <w:rsid w:val="009C65B5"/>
    <w:rsid w:val="009C691C"/>
    <w:rsid w:val="009C6BE9"/>
    <w:rsid w:val="009C6F88"/>
    <w:rsid w:val="009C7422"/>
    <w:rsid w:val="009D06A0"/>
    <w:rsid w:val="009D0916"/>
    <w:rsid w:val="009D0C8E"/>
    <w:rsid w:val="009D17E7"/>
    <w:rsid w:val="009D2628"/>
    <w:rsid w:val="009D2657"/>
    <w:rsid w:val="009D28DE"/>
    <w:rsid w:val="009D2B5C"/>
    <w:rsid w:val="009D2D8B"/>
    <w:rsid w:val="009D2D91"/>
    <w:rsid w:val="009D3202"/>
    <w:rsid w:val="009D329A"/>
    <w:rsid w:val="009D3371"/>
    <w:rsid w:val="009D3734"/>
    <w:rsid w:val="009D388C"/>
    <w:rsid w:val="009D4D71"/>
    <w:rsid w:val="009D4F73"/>
    <w:rsid w:val="009D5092"/>
    <w:rsid w:val="009D58FB"/>
    <w:rsid w:val="009D5D3B"/>
    <w:rsid w:val="009D609A"/>
    <w:rsid w:val="009D628F"/>
    <w:rsid w:val="009D704F"/>
    <w:rsid w:val="009D723B"/>
    <w:rsid w:val="009D72B7"/>
    <w:rsid w:val="009D72BD"/>
    <w:rsid w:val="009D79F0"/>
    <w:rsid w:val="009E0B79"/>
    <w:rsid w:val="009E12F7"/>
    <w:rsid w:val="009E145B"/>
    <w:rsid w:val="009E14A6"/>
    <w:rsid w:val="009E174A"/>
    <w:rsid w:val="009E1ADF"/>
    <w:rsid w:val="009E1DD1"/>
    <w:rsid w:val="009E21D1"/>
    <w:rsid w:val="009E237F"/>
    <w:rsid w:val="009E2D14"/>
    <w:rsid w:val="009E3B84"/>
    <w:rsid w:val="009E3D4B"/>
    <w:rsid w:val="009E42F2"/>
    <w:rsid w:val="009E44E6"/>
    <w:rsid w:val="009E4AAD"/>
    <w:rsid w:val="009E4C1C"/>
    <w:rsid w:val="009E5499"/>
    <w:rsid w:val="009E5922"/>
    <w:rsid w:val="009E6188"/>
    <w:rsid w:val="009E71AE"/>
    <w:rsid w:val="009E72C9"/>
    <w:rsid w:val="009E72F4"/>
    <w:rsid w:val="009E77CF"/>
    <w:rsid w:val="009E7C06"/>
    <w:rsid w:val="009E7CBA"/>
    <w:rsid w:val="009F028D"/>
    <w:rsid w:val="009F08E1"/>
    <w:rsid w:val="009F1464"/>
    <w:rsid w:val="009F14C0"/>
    <w:rsid w:val="009F1EC9"/>
    <w:rsid w:val="009F24E1"/>
    <w:rsid w:val="009F267E"/>
    <w:rsid w:val="009F2BF1"/>
    <w:rsid w:val="009F2DE5"/>
    <w:rsid w:val="009F3AC9"/>
    <w:rsid w:val="009F3EB1"/>
    <w:rsid w:val="009F41E3"/>
    <w:rsid w:val="009F45EF"/>
    <w:rsid w:val="009F48A8"/>
    <w:rsid w:val="009F4D85"/>
    <w:rsid w:val="009F4E06"/>
    <w:rsid w:val="009F552D"/>
    <w:rsid w:val="009F5CB6"/>
    <w:rsid w:val="009F72AF"/>
    <w:rsid w:val="009F7535"/>
    <w:rsid w:val="009F7D6A"/>
    <w:rsid w:val="009F7E73"/>
    <w:rsid w:val="00A00BE1"/>
    <w:rsid w:val="00A00C41"/>
    <w:rsid w:val="00A00DE8"/>
    <w:rsid w:val="00A018AB"/>
    <w:rsid w:val="00A01E26"/>
    <w:rsid w:val="00A028A9"/>
    <w:rsid w:val="00A02EE2"/>
    <w:rsid w:val="00A03357"/>
    <w:rsid w:val="00A0372C"/>
    <w:rsid w:val="00A0398F"/>
    <w:rsid w:val="00A03D5D"/>
    <w:rsid w:val="00A044CC"/>
    <w:rsid w:val="00A04597"/>
    <w:rsid w:val="00A04926"/>
    <w:rsid w:val="00A04EE0"/>
    <w:rsid w:val="00A050AB"/>
    <w:rsid w:val="00A051CF"/>
    <w:rsid w:val="00A056C0"/>
    <w:rsid w:val="00A05882"/>
    <w:rsid w:val="00A058C6"/>
    <w:rsid w:val="00A06062"/>
    <w:rsid w:val="00A06B05"/>
    <w:rsid w:val="00A06BAA"/>
    <w:rsid w:val="00A07015"/>
    <w:rsid w:val="00A070AA"/>
    <w:rsid w:val="00A074C6"/>
    <w:rsid w:val="00A079DF"/>
    <w:rsid w:val="00A1038B"/>
    <w:rsid w:val="00A1054B"/>
    <w:rsid w:val="00A10BA1"/>
    <w:rsid w:val="00A10F92"/>
    <w:rsid w:val="00A1120D"/>
    <w:rsid w:val="00A117F5"/>
    <w:rsid w:val="00A11C19"/>
    <w:rsid w:val="00A12441"/>
    <w:rsid w:val="00A12834"/>
    <w:rsid w:val="00A13014"/>
    <w:rsid w:val="00A13A1F"/>
    <w:rsid w:val="00A13C8C"/>
    <w:rsid w:val="00A13F5D"/>
    <w:rsid w:val="00A1521D"/>
    <w:rsid w:val="00A15863"/>
    <w:rsid w:val="00A15B05"/>
    <w:rsid w:val="00A16675"/>
    <w:rsid w:val="00A16709"/>
    <w:rsid w:val="00A1792F"/>
    <w:rsid w:val="00A17C52"/>
    <w:rsid w:val="00A202DD"/>
    <w:rsid w:val="00A2034A"/>
    <w:rsid w:val="00A20565"/>
    <w:rsid w:val="00A205E7"/>
    <w:rsid w:val="00A21153"/>
    <w:rsid w:val="00A2144A"/>
    <w:rsid w:val="00A217D2"/>
    <w:rsid w:val="00A221B0"/>
    <w:rsid w:val="00A227CE"/>
    <w:rsid w:val="00A22A01"/>
    <w:rsid w:val="00A22F2D"/>
    <w:rsid w:val="00A23494"/>
    <w:rsid w:val="00A23DF0"/>
    <w:rsid w:val="00A23DFD"/>
    <w:rsid w:val="00A24237"/>
    <w:rsid w:val="00A24374"/>
    <w:rsid w:val="00A245AA"/>
    <w:rsid w:val="00A246E5"/>
    <w:rsid w:val="00A24ED8"/>
    <w:rsid w:val="00A25758"/>
    <w:rsid w:val="00A25B6F"/>
    <w:rsid w:val="00A265F5"/>
    <w:rsid w:val="00A266D6"/>
    <w:rsid w:val="00A26C5C"/>
    <w:rsid w:val="00A26FB4"/>
    <w:rsid w:val="00A27171"/>
    <w:rsid w:val="00A30125"/>
    <w:rsid w:val="00A302C3"/>
    <w:rsid w:val="00A307B4"/>
    <w:rsid w:val="00A30DEB"/>
    <w:rsid w:val="00A3156E"/>
    <w:rsid w:val="00A315BC"/>
    <w:rsid w:val="00A31D86"/>
    <w:rsid w:val="00A324E6"/>
    <w:rsid w:val="00A32B5B"/>
    <w:rsid w:val="00A32DD7"/>
    <w:rsid w:val="00A342A2"/>
    <w:rsid w:val="00A34BCA"/>
    <w:rsid w:val="00A35B53"/>
    <w:rsid w:val="00A368B3"/>
    <w:rsid w:val="00A36A8B"/>
    <w:rsid w:val="00A37004"/>
    <w:rsid w:val="00A37442"/>
    <w:rsid w:val="00A377E2"/>
    <w:rsid w:val="00A417A1"/>
    <w:rsid w:val="00A421C6"/>
    <w:rsid w:val="00A423CC"/>
    <w:rsid w:val="00A42BC6"/>
    <w:rsid w:val="00A42E6F"/>
    <w:rsid w:val="00A43108"/>
    <w:rsid w:val="00A43CEB"/>
    <w:rsid w:val="00A43EDD"/>
    <w:rsid w:val="00A44824"/>
    <w:rsid w:val="00A449FF"/>
    <w:rsid w:val="00A450AC"/>
    <w:rsid w:val="00A45245"/>
    <w:rsid w:val="00A455FB"/>
    <w:rsid w:val="00A4599D"/>
    <w:rsid w:val="00A46DE3"/>
    <w:rsid w:val="00A46E45"/>
    <w:rsid w:val="00A47039"/>
    <w:rsid w:val="00A4708F"/>
    <w:rsid w:val="00A47519"/>
    <w:rsid w:val="00A47DCD"/>
    <w:rsid w:val="00A502BB"/>
    <w:rsid w:val="00A50A43"/>
    <w:rsid w:val="00A51189"/>
    <w:rsid w:val="00A51215"/>
    <w:rsid w:val="00A514E6"/>
    <w:rsid w:val="00A518C2"/>
    <w:rsid w:val="00A51AAF"/>
    <w:rsid w:val="00A51DB3"/>
    <w:rsid w:val="00A52601"/>
    <w:rsid w:val="00A52AFE"/>
    <w:rsid w:val="00A534EF"/>
    <w:rsid w:val="00A53A33"/>
    <w:rsid w:val="00A53DCC"/>
    <w:rsid w:val="00A53E91"/>
    <w:rsid w:val="00A54840"/>
    <w:rsid w:val="00A54936"/>
    <w:rsid w:val="00A54C19"/>
    <w:rsid w:val="00A55166"/>
    <w:rsid w:val="00A55C20"/>
    <w:rsid w:val="00A55C33"/>
    <w:rsid w:val="00A55FAE"/>
    <w:rsid w:val="00A566E0"/>
    <w:rsid w:val="00A56A35"/>
    <w:rsid w:val="00A57309"/>
    <w:rsid w:val="00A57353"/>
    <w:rsid w:val="00A57BD0"/>
    <w:rsid w:val="00A60005"/>
    <w:rsid w:val="00A60C1D"/>
    <w:rsid w:val="00A617EA"/>
    <w:rsid w:val="00A63084"/>
    <w:rsid w:val="00A6326E"/>
    <w:rsid w:val="00A63A0F"/>
    <w:rsid w:val="00A64601"/>
    <w:rsid w:val="00A64B5C"/>
    <w:rsid w:val="00A64F61"/>
    <w:rsid w:val="00A653CF"/>
    <w:rsid w:val="00A653FA"/>
    <w:rsid w:val="00A65575"/>
    <w:rsid w:val="00A66469"/>
    <w:rsid w:val="00A666AF"/>
    <w:rsid w:val="00A66AF7"/>
    <w:rsid w:val="00A671AB"/>
    <w:rsid w:val="00A67644"/>
    <w:rsid w:val="00A67774"/>
    <w:rsid w:val="00A67816"/>
    <w:rsid w:val="00A679FB"/>
    <w:rsid w:val="00A705BB"/>
    <w:rsid w:val="00A70D14"/>
    <w:rsid w:val="00A71125"/>
    <w:rsid w:val="00A711B2"/>
    <w:rsid w:val="00A71D44"/>
    <w:rsid w:val="00A71E88"/>
    <w:rsid w:val="00A71FE8"/>
    <w:rsid w:val="00A72454"/>
    <w:rsid w:val="00A7275B"/>
    <w:rsid w:val="00A72E10"/>
    <w:rsid w:val="00A72FE1"/>
    <w:rsid w:val="00A7343A"/>
    <w:rsid w:val="00A734D4"/>
    <w:rsid w:val="00A7383D"/>
    <w:rsid w:val="00A73CFE"/>
    <w:rsid w:val="00A749FE"/>
    <w:rsid w:val="00A74A64"/>
    <w:rsid w:val="00A74BF1"/>
    <w:rsid w:val="00A74F9C"/>
    <w:rsid w:val="00A753A8"/>
    <w:rsid w:val="00A7556F"/>
    <w:rsid w:val="00A756F6"/>
    <w:rsid w:val="00A762DD"/>
    <w:rsid w:val="00A76419"/>
    <w:rsid w:val="00A7798F"/>
    <w:rsid w:val="00A77AE0"/>
    <w:rsid w:val="00A80D7F"/>
    <w:rsid w:val="00A80E62"/>
    <w:rsid w:val="00A8114E"/>
    <w:rsid w:val="00A8180F"/>
    <w:rsid w:val="00A82E4A"/>
    <w:rsid w:val="00A83049"/>
    <w:rsid w:val="00A834A4"/>
    <w:rsid w:val="00A837FC"/>
    <w:rsid w:val="00A8381D"/>
    <w:rsid w:val="00A83959"/>
    <w:rsid w:val="00A841EC"/>
    <w:rsid w:val="00A848F2"/>
    <w:rsid w:val="00A84B8C"/>
    <w:rsid w:val="00A84C18"/>
    <w:rsid w:val="00A85565"/>
    <w:rsid w:val="00A85A82"/>
    <w:rsid w:val="00A85F94"/>
    <w:rsid w:val="00A86DFA"/>
    <w:rsid w:val="00A871B6"/>
    <w:rsid w:val="00A87311"/>
    <w:rsid w:val="00A875E5"/>
    <w:rsid w:val="00A87601"/>
    <w:rsid w:val="00A8761C"/>
    <w:rsid w:val="00A87AEB"/>
    <w:rsid w:val="00A87B1E"/>
    <w:rsid w:val="00A9084D"/>
    <w:rsid w:val="00A90A66"/>
    <w:rsid w:val="00A90A7B"/>
    <w:rsid w:val="00A90FE7"/>
    <w:rsid w:val="00A91238"/>
    <w:rsid w:val="00A92218"/>
    <w:rsid w:val="00A92DE5"/>
    <w:rsid w:val="00A92EBB"/>
    <w:rsid w:val="00A94533"/>
    <w:rsid w:val="00A94738"/>
    <w:rsid w:val="00A956F6"/>
    <w:rsid w:val="00A96233"/>
    <w:rsid w:val="00A968DF"/>
    <w:rsid w:val="00A96DDB"/>
    <w:rsid w:val="00A96E9E"/>
    <w:rsid w:val="00A96FEC"/>
    <w:rsid w:val="00A9705B"/>
    <w:rsid w:val="00A9789C"/>
    <w:rsid w:val="00AA0074"/>
    <w:rsid w:val="00AA06D3"/>
    <w:rsid w:val="00AA0A75"/>
    <w:rsid w:val="00AA1024"/>
    <w:rsid w:val="00AA110E"/>
    <w:rsid w:val="00AA1539"/>
    <w:rsid w:val="00AA29C0"/>
    <w:rsid w:val="00AA2A21"/>
    <w:rsid w:val="00AA3DA0"/>
    <w:rsid w:val="00AA4793"/>
    <w:rsid w:val="00AA4A8C"/>
    <w:rsid w:val="00AA4D0E"/>
    <w:rsid w:val="00AA5C17"/>
    <w:rsid w:val="00AA5C3C"/>
    <w:rsid w:val="00AA5E92"/>
    <w:rsid w:val="00AA703E"/>
    <w:rsid w:val="00AA731E"/>
    <w:rsid w:val="00AA79CF"/>
    <w:rsid w:val="00AA7C76"/>
    <w:rsid w:val="00AA7D06"/>
    <w:rsid w:val="00AB09ED"/>
    <w:rsid w:val="00AB0F8D"/>
    <w:rsid w:val="00AB1A32"/>
    <w:rsid w:val="00AB1A7C"/>
    <w:rsid w:val="00AB1F2A"/>
    <w:rsid w:val="00AB262B"/>
    <w:rsid w:val="00AB377B"/>
    <w:rsid w:val="00AB3814"/>
    <w:rsid w:val="00AB3B81"/>
    <w:rsid w:val="00AB3DF8"/>
    <w:rsid w:val="00AB412E"/>
    <w:rsid w:val="00AB438D"/>
    <w:rsid w:val="00AB48F8"/>
    <w:rsid w:val="00AB4D18"/>
    <w:rsid w:val="00AB61E5"/>
    <w:rsid w:val="00AB6246"/>
    <w:rsid w:val="00AB6628"/>
    <w:rsid w:val="00AB7079"/>
    <w:rsid w:val="00AB7199"/>
    <w:rsid w:val="00AB73C4"/>
    <w:rsid w:val="00AB754C"/>
    <w:rsid w:val="00AB7588"/>
    <w:rsid w:val="00AC031E"/>
    <w:rsid w:val="00AC0B41"/>
    <w:rsid w:val="00AC10AC"/>
    <w:rsid w:val="00AC194F"/>
    <w:rsid w:val="00AC1BB7"/>
    <w:rsid w:val="00AC1FDD"/>
    <w:rsid w:val="00AC229F"/>
    <w:rsid w:val="00AC235C"/>
    <w:rsid w:val="00AC24D6"/>
    <w:rsid w:val="00AC254D"/>
    <w:rsid w:val="00AC3D23"/>
    <w:rsid w:val="00AC3D47"/>
    <w:rsid w:val="00AC3E1C"/>
    <w:rsid w:val="00AC459C"/>
    <w:rsid w:val="00AC4C5D"/>
    <w:rsid w:val="00AC5193"/>
    <w:rsid w:val="00AC5C00"/>
    <w:rsid w:val="00AC5EDC"/>
    <w:rsid w:val="00AC69CE"/>
    <w:rsid w:val="00AC6B49"/>
    <w:rsid w:val="00AC714C"/>
    <w:rsid w:val="00AC78B0"/>
    <w:rsid w:val="00AC7B5B"/>
    <w:rsid w:val="00AC7E57"/>
    <w:rsid w:val="00AD04AF"/>
    <w:rsid w:val="00AD04EE"/>
    <w:rsid w:val="00AD07B4"/>
    <w:rsid w:val="00AD0A25"/>
    <w:rsid w:val="00AD0A42"/>
    <w:rsid w:val="00AD0F2F"/>
    <w:rsid w:val="00AD10B1"/>
    <w:rsid w:val="00AD1977"/>
    <w:rsid w:val="00AD2415"/>
    <w:rsid w:val="00AD3133"/>
    <w:rsid w:val="00AD3373"/>
    <w:rsid w:val="00AD33E6"/>
    <w:rsid w:val="00AD3F88"/>
    <w:rsid w:val="00AD46FA"/>
    <w:rsid w:val="00AD4CF7"/>
    <w:rsid w:val="00AD4E70"/>
    <w:rsid w:val="00AD4F44"/>
    <w:rsid w:val="00AD5A3D"/>
    <w:rsid w:val="00AD5F6A"/>
    <w:rsid w:val="00AD665A"/>
    <w:rsid w:val="00AD761D"/>
    <w:rsid w:val="00AD7CD2"/>
    <w:rsid w:val="00AE1CA7"/>
    <w:rsid w:val="00AE1FF8"/>
    <w:rsid w:val="00AE2420"/>
    <w:rsid w:val="00AE3107"/>
    <w:rsid w:val="00AE3844"/>
    <w:rsid w:val="00AE3D1C"/>
    <w:rsid w:val="00AE3DD7"/>
    <w:rsid w:val="00AE3EDA"/>
    <w:rsid w:val="00AE3F01"/>
    <w:rsid w:val="00AE4591"/>
    <w:rsid w:val="00AE4DC1"/>
    <w:rsid w:val="00AE4E62"/>
    <w:rsid w:val="00AE5A15"/>
    <w:rsid w:val="00AE5E5C"/>
    <w:rsid w:val="00AE662F"/>
    <w:rsid w:val="00AE6EA3"/>
    <w:rsid w:val="00AE6F03"/>
    <w:rsid w:val="00AE7099"/>
    <w:rsid w:val="00AE7485"/>
    <w:rsid w:val="00AE775B"/>
    <w:rsid w:val="00AF00DD"/>
    <w:rsid w:val="00AF1A7F"/>
    <w:rsid w:val="00AF2533"/>
    <w:rsid w:val="00AF254E"/>
    <w:rsid w:val="00AF2B77"/>
    <w:rsid w:val="00AF2F01"/>
    <w:rsid w:val="00AF345F"/>
    <w:rsid w:val="00AF4E43"/>
    <w:rsid w:val="00AF5559"/>
    <w:rsid w:val="00AF5870"/>
    <w:rsid w:val="00AF595F"/>
    <w:rsid w:val="00AF62FF"/>
    <w:rsid w:val="00AF6529"/>
    <w:rsid w:val="00AF659A"/>
    <w:rsid w:val="00AF6780"/>
    <w:rsid w:val="00AF6D04"/>
    <w:rsid w:val="00AF73ED"/>
    <w:rsid w:val="00AF7437"/>
    <w:rsid w:val="00AF758F"/>
    <w:rsid w:val="00AF7CA8"/>
    <w:rsid w:val="00AF7CAE"/>
    <w:rsid w:val="00B00104"/>
    <w:rsid w:val="00B001D1"/>
    <w:rsid w:val="00B003F6"/>
    <w:rsid w:val="00B00ABA"/>
    <w:rsid w:val="00B00BF2"/>
    <w:rsid w:val="00B00F3A"/>
    <w:rsid w:val="00B00F57"/>
    <w:rsid w:val="00B0121B"/>
    <w:rsid w:val="00B014DE"/>
    <w:rsid w:val="00B020DC"/>
    <w:rsid w:val="00B02217"/>
    <w:rsid w:val="00B0239A"/>
    <w:rsid w:val="00B026E7"/>
    <w:rsid w:val="00B02988"/>
    <w:rsid w:val="00B02CF5"/>
    <w:rsid w:val="00B02E61"/>
    <w:rsid w:val="00B02F85"/>
    <w:rsid w:val="00B03CE0"/>
    <w:rsid w:val="00B03D13"/>
    <w:rsid w:val="00B03E76"/>
    <w:rsid w:val="00B04711"/>
    <w:rsid w:val="00B053BF"/>
    <w:rsid w:val="00B056ED"/>
    <w:rsid w:val="00B05A48"/>
    <w:rsid w:val="00B05AD9"/>
    <w:rsid w:val="00B05AF1"/>
    <w:rsid w:val="00B0670E"/>
    <w:rsid w:val="00B067E6"/>
    <w:rsid w:val="00B0705C"/>
    <w:rsid w:val="00B07629"/>
    <w:rsid w:val="00B0790E"/>
    <w:rsid w:val="00B07B68"/>
    <w:rsid w:val="00B10247"/>
    <w:rsid w:val="00B10332"/>
    <w:rsid w:val="00B1058B"/>
    <w:rsid w:val="00B10E0F"/>
    <w:rsid w:val="00B10E1D"/>
    <w:rsid w:val="00B11956"/>
    <w:rsid w:val="00B11F30"/>
    <w:rsid w:val="00B12562"/>
    <w:rsid w:val="00B1263E"/>
    <w:rsid w:val="00B128B9"/>
    <w:rsid w:val="00B12A01"/>
    <w:rsid w:val="00B12DF1"/>
    <w:rsid w:val="00B13B7E"/>
    <w:rsid w:val="00B144F7"/>
    <w:rsid w:val="00B146B4"/>
    <w:rsid w:val="00B14923"/>
    <w:rsid w:val="00B14C3C"/>
    <w:rsid w:val="00B15945"/>
    <w:rsid w:val="00B1649D"/>
    <w:rsid w:val="00B16732"/>
    <w:rsid w:val="00B16B0F"/>
    <w:rsid w:val="00B16EC6"/>
    <w:rsid w:val="00B179BF"/>
    <w:rsid w:val="00B17DFF"/>
    <w:rsid w:val="00B17F5C"/>
    <w:rsid w:val="00B2008B"/>
    <w:rsid w:val="00B203C5"/>
    <w:rsid w:val="00B2041C"/>
    <w:rsid w:val="00B20490"/>
    <w:rsid w:val="00B206C2"/>
    <w:rsid w:val="00B20889"/>
    <w:rsid w:val="00B20B55"/>
    <w:rsid w:val="00B21655"/>
    <w:rsid w:val="00B21748"/>
    <w:rsid w:val="00B21B4C"/>
    <w:rsid w:val="00B21DA6"/>
    <w:rsid w:val="00B222CC"/>
    <w:rsid w:val="00B22AFA"/>
    <w:rsid w:val="00B22BF2"/>
    <w:rsid w:val="00B23075"/>
    <w:rsid w:val="00B233D9"/>
    <w:rsid w:val="00B23D61"/>
    <w:rsid w:val="00B23FA6"/>
    <w:rsid w:val="00B248BB"/>
    <w:rsid w:val="00B2494B"/>
    <w:rsid w:val="00B24EFF"/>
    <w:rsid w:val="00B25113"/>
    <w:rsid w:val="00B25DAC"/>
    <w:rsid w:val="00B267F6"/>
    <w:rsid w:val="00B2693C"/>
    <w:rsid w:val="00B26A8F"/>
    <w:rsid w:val="00B26F30"/>
    <w:rsid w:val="00B272CF"/>
    <w:rsid w:val="00B273A3"/>
    <w:rsid w:val="00B27488"/>
    <w:rsid w:val="00B276BF"/>
    <w:rsid w:val="00B27A65"/>
    <w:rsid w:val="00B27A95"/>
    <w:rsid w:val="00B27F95"/>
    <w:rsid w:val="00B313FD"/>
    <w:rsid w:val="00B317A4"/>
    <w:rsid w:val="00B31F62"/>
    <w:rsid w:val="00B332F8"/>
    <w:rsid w:val="00B33353"/>
    <w:rsid w:val="00B33CA6"/>
    <w:rsid w:val="00B33D53"/>
    <w:rsid w:val="00B34A43"/>
    <w:rsid w:val="00B34F03"/>
    <w:rsid w:val="00B3506A"/>
    <w:rsid w:val="00B3527E"/>
    <w:rsid w:val="00B354FE"/>
    <w:rsid w:val="00B35552"/>
    <w:rsid w:val="00B3559E"/>
    <w:rsid w:val="00B358BA"/>
    <w:rsid w:val="00B359E8"/>
    <w:rsid w:val="00B35AB0"/>
    <w:rsid w:val="00B35E7E"/>
    <w:rsid w:val="00B35FB9"/>
    <w:rsid w:val="00B36757"/>
    <w:rsid w:val="00B36825"/>
    <w:rsid w:val="00B369D2"/>
    <w:rsid w:val="00B372F4"/>
    <w:rsid w:val="00B37A9B"/>
    <w:rsid w:val="00B4009C"/>
    <w:rsid w:val="00B404ED"/>
    <w:rsid w:val="00B407B2"/>
    <w:rsid w:val="00B40897"/>
    <w:rsid w:val="00B40CFA"/>
    <w:rsid w:val="00B41391"/>
    <w:rsid w:val="00B41C96"/>
    <w:rsid w:val="00B42327"/>
    <w:rsid w:val="00B42356"/>
    <w:rsid w:val="00B425AD"/>
    <w:rsid w:val="00B427D4"/>
    <w:rsid w:val="00B42885"/>
    <w:rsid w:val="00B42D44"/>
    <w:rsid w:val="00B430E5"/>
    <w:rsid w:val="00B43633"/>
    <w:rsid w:val="00B43C2E"/>
    <w:rsid w:val="00B444CE"/>
    <w:rsid w:val="00B448E2"/>
    <w:rsid w:val="00B449AA"/>
    <w:rsid w:val="00B44CAC"/>
    <w:rsid w:val="00B44EAA"/>
    <w:rsid w:val="00B44F38"/>
    <w:rsid w:val="00B45518"/>
    <w:rsid w:val="00B45662"/>
    <w:rsid w:val="00B45E7E"/>
    <w:rsid w:val="00B45EEC"/>
    <w:rsid w:val="00B465AB"/>
    <w:rsid w:val="00B4696C"/>
    <w:rsid w:val="00B46AFE"/>
    <w:rsid w:val="00B46CEF"/>
    <w:rsid w:val="00B4704D"/>
    <w:rsid w:val="00B47147"/>
    <w:rsid w:val="00B476C0"/>
    <w:rsid w:val="00B50047"/>
    <w:rsid w:val="00B50063"/>
    <w:rsid w:val="00B50067"/>
    <w:rsid w:val="00B50148"/>
    <w:rsid w:val="00B51AF5"/>
    <w:rsid w:val="00B51BB8"/>
    <w:rsid w:val="00B52420"/>
    <w:rsid w:val="00B529B1"/>
    <w:rsid w:val="00B54585"/>
    <w:rsid w:val="00B54CA8"/>
    <w:rsid w:val="00B553E8"/>
    <w:rsid w:val="00B5578A"/>
    <w:rsid w:val="00B55843"/>
    <w:rsid w:val="00B558D9"/>
    <w:rsid w:val="00B55ABE"/>
    <w:rsid w:val="00B55BBD"/>
    <w:rsid w:val="00B55E85"/>
    <w:rsid w:val="00B56520"/>
    <w:rsid w:val="00B56D08"/>
    <w:rsid w:val="00B57F21"/>
    <w:rsid w:val="00B6017C"/>
    <w:rsid w:val="00B601DA"/>
    <w:rsid w:val="00B60527"/>
    <w:rsid w:val="00B6079C"/>
    <w:rsid w:val="00B607BC"/>
    <w:rsid w:val="00B61307"/>
    <w:rsid w:val="00B61684"/>
    <w:rsid w:val="00B61C8E"/>
    <w:rsid w:val="00B62390"/>
    <w:rsid w:val="00B6250A"/>
    <w:rsid w:val="00B62D01"/>
    <w:rsid w:val="00B63070"/>
    <w:rsid w:val="00B64395"/>
    <w:rsid w:val="00B648B4"/>
    <w:rsid w:val="00B64F04"/>
    <w:rsid w:val="00B656CF"/>
    <w:rsid w:val="00B656DE"/>
    <w:rsid w:val="00B65781"/>
    <w:rsid w:val="00B65E65"/>
    <w:rsid w:val="00B6607D"/>
    <w:rsid w:val="00B66861"/>
    <w:rsid w:val="00B67527"/>
    <w:rsid w:val="00B6762D"/>
    <w:rsid w:val="00B6766C"/>
    <w:rsid w:val="00B67ABA"/>
    <w:rsid w:val="00B67CA3"/>
    <w:rsid w:val="00B707CE"/>
    <w:rsid w:val="00B70AF9"/>
    <w:rsid w:val="00B7139B"/>
    <w:rsid w:val="00B71D27"/>
    <w:rsid w:val="00B71D4C"/>
    <w:rsid w:val="00B7250B"/>
    <w:rsid w:val="00B729A2"/>
    <w:rsid w:val="00B72C9F"/>
    <w:rsid w:val="00B73A66"/>
    <w:rsid w:val="00B73F86"/>
    <w:rsid w:val="00B73F89"/>
    <w:rsid w:val="00B74064"/>
    <w:rsid w:val="00B7443A"/>
    <w:rsid w:val="00B745E1"/>
    <w:rsid w:val="00B7499E"/>
    <w:rsid w:val="00B74E64"/>
    <w:rsid w:val="00B751DC"/>
    <w:rsid w:val="00B754D4"/>
    <w:rsid w:val="00B75782"/>
    <w:rsid w:val="00B75805"/>
    <w:rsid w:val="00B76491"/>
    <w:rsid w:val="00B76675"/>
    <w:rsid w:val="00B76BFD"/>
    <w:rsid w:val="00B773E6"/>
    <w:rsid w:val="00B7787C"/>
    <w:rsid w:val="00B77A87"/>
    <w:rsid w:val="00B800C5"/>
    <w:rsid w:val="00B80159"/>
    <w:rsid w:val="00B80496"/>
    <w:rsid w:val="00B808E0"/>
    <w:rsid w:val="00B80FFA"/>
    <w:rsid w:val="00B81DA0"/>
    <w:rsid w:val="00B81EA4"/>
    <w:rsid w:val="00B8202C"/>
    <w:rsid w:val="00B82037"/>
    <w:rsid w:val="00B82239"/>
    <w:rsid w:val="00B825B2"/>
    <w:rsid w:val="00B8289C"/>
    <w:rsid w:val="00B828CD"/>
    <w:rsid w:val="00B82AA5"/>
    <w:rsid w:val="00B82D18"/>
    <w:rsid w:val="00B83AA6"/>
    <w:rsid w:val="00B84D7A"/>
    <w:rsid w:val="00B84DB6"/>
    <w:rsid w:val="00B84FDE"/>
    <w:rsid w:val="00B8594B"/>
    <w:rsid w:val="00B85A35"/>
    <w:rsid w:val="00B85AA7"/>
    <w:rsid w:val="00B85E69"/>
    <w:rsid w:val="00B85EF6"/>
    <w:rsid w:val="00B8625F"/>
    <w:rsid w:val="00B865AA"/>
    <w:rsid w:val="00B86BE5"/>
    <w:rsid w:val="00B87179"/>
    <w:rsid w:val="00B87626"/>
    <w:rsid w:val="00B87685"/>
    <w:rsid w:val="00B87E4D"/>
    <w:rsid w:val="00B90159"/>
    <w:rsid w:val="00B90ABC"/>
    <w:rsid w:val="00B90CCC"/>
    <w:rsid w:val="00B90EE8"/>
    <w:rsid w:val="00B919E5"/>
    <w:rsid w:val="00B92713"/>
    <w:rsid w:val="00B92815"/>
    <w:rsid w:val="00B93276"/>
    <w:rsid w:val="00B93E58"/>
    <w:rsid w:val="00B93ECD"/>
    <w:rsid w:val="00B9473F"/>
    <w:rsid w:val="00B947AD"/>
    <w:rsid w:val="00B95430"/>
    <w:rsid w:val="00B95A35"/>
    <w:rsid w:val="00B95C71"/>
    <w:rsid w:val="00B96476"/>
    <w:rsid w:val="00B96888"/>
    <w:rsid w:val="00B97C26"/>
    <w:rsid w:val="00BA079D"/>
    <w:rsid w:val="00BA0B96"/>
    <w:rsid w:val="00BA0EAE"/>
    <w:rsid w:val="00BA13B0"/>
    <w:rsid w:val="00BA16D0"/>
    <w:rsid w:val="00BA1885"/>
    <w:rsid w:val="00BA19E1"/>
    <w:rsid w:val="00BA1B9C"/>
    <w:rsid w:val="00BA1C75"/>
    <w:rsid w:val="00BA25BC"/>
    <w:rsid w:val="00BA2EED"/>
    <w:rsid w:val="00BA3387"/>
    <w:rsid w:val="00BA3AFA"/>
    <w:rsid w:val="00BA3F67"/>
    <w:rsid w:val="00BA3FA3"/>
    <w:rsid w:val="00BA4013"/>
    <w:rsid w:val="00BA47DC"/>
    <w:rsid w:val="00BA4A48"/>
    <w:rsid w:val="00BA4EAF"/>
    <w:rsid w:val="00BA5918"/>
    <w:rsid w:val="00BA645A"/>
    <w:rsid w:val="00BA6B9E"/>
    <w:rsid w:val="00BA765B"/>
    <w:rsid w:val="00BA7909"/>
    <w:rsid w:val="00BA7E39"/>
    <w:rsid w:val="00BA7E56"/>
    <w:rsid w:val="00BB0142"/>
    <w:rsid w:val="00BB01EB"/>
    <w:rsid w:val="00BB0226"/>
    <w:rsid w:val="00BB03E6"/>
    <w:rsid w:val="00BB0493"/>
    <w:rsid w:val="00BB058D"/>
    <w:rsid w:val="00BB071C"/>
    <w:rsid w:val="00BB31B5"/>
    <w:rsid w:val="00BB3A57"/>
    <w:rsid w:val="00BB3B8C"/>
    <w:rsid w:val="00BB3C7D"/>
    <w:rsid w:val="00BB4E4C"/>
    <w:rsid w:val="00BB522B"/>
    <w:rsid w:val="00BB5686"/>
    <w:rsid w:val="00BB60E6"/>
    <w:rsid w:val="00BB67B8"/>
    <w:rsid w:val="00BB6B54"/>
    <w:rsid w:val="00BB7273"/>
    <w:rsid w:val="00BB7585"/>
    <w:rsid w:val="00BC0119"/>
    <w:rsid w:val="00BC0251"/>
    <w:rsid w:val="00BC1062"/>
    <w:rsid w:val="00BC14C6"/>
    <w:rsid w:val="00BC18A4"/>
    <w:rsid w:val="00BC1A47"/>
    <w:rsid w:val="00BC1C9B"/>
    <w:rsid w:val="00BC1CC2"/>
    <w:rsid w:val="00BC1E88"/>
    <w:rsid w:val="00BC264E"/>
    <w:rsid w:val="00BC2C3A"/>
    <w:rsid w:val="00BC2DEE"/>
    <w:rsid w:val="00BC2E71"/>
    <w:rsid w:val="00BC3164"/>
    <w:rsid w:val="00BC366A"/>
    <w:rsid w:val="00BC3699"/>
    <w:rsid w:val="00BC3C21"/>
    <w:rsid w:val="00BC4154"/>
    <w:rsid w:val="00BC4355"/>
    <w:rsid w:val="00BC45A6"/>
    <w:rsid w:val="00BC4FCE"/>
    <w:rsid w:val="00BC589B"/>
    <w:rsid w:val="00BC6C35"/>
    <w:rsid w:val="00BC6D80"/>
    <w:rsid w:val="00BC6FF9"/>
    <w:rsid w:val="00BC7338"/>
    <w:rsid w:val="00BC7629"/>
    <w:rsid w:val="00BC7F61"/>
    <w:rsid w:val="00BD11A8"/>
    <w:rsid w:val="00BD11FE"/>
    <w:rsid w:val="00BD1254"/>
    <w:rsid w:val="00BD1A15"/>
    <w:rsid w:val="00BD1E13"/>
    <w:rsid w:val="00BD25F8"/>
    <w:rsid w:val="00BD2D65"/>
    <w:rsid w:val="00BD328C"/>
    <w:rsid w:val="00BD33BC"/>
    <w:rsid w:val="00BD39AF"/>
    <w:rsid w:val="00BD3AFE"/>
    <w:rsid w:val="00BD45A8"/>
    <w:rsid w:val="00BD4A60"/>
    <w:rsid w:val="00BD4D3D"/>
    <w:rsid w:val="00BD5987"/>
    <w:rsid w:val="00BD5FF9"/>
    <w:rsid w:val="00BD6305"/>
    <w:rsid w:val="00BD6965"/>
    <w:rsid w:val="00BD6F2D"/>
    <w:rsid w:val="00BD735E"/>
    <w:rsid w:val="00BD7857"/>
    <w:rsid w:val="00BD78FD"/>
    <w:rsid w:val="00BE05D4"/>
    <w:rsid w:val="00BE0DF9"/>
    <w:rsid w:val="00BE10C6"/>
    <w:rsid w:val="00BE1828"/>
    <w:rsid w:val="00BE1BA5"/>
    <w:rsid w:val="00BE1C08"/>
    <w:rsid w:val="00BE20F3"/>
    <w:rsid w:val="00BE2A6D"/>
    <w:rsid w:val="00BE3476"/>
    <w:rsid w:val="00BE39C3"/>
    <w:rsid w:val="00BE42E6"/>
    <w:rsid w:val="00BE44C2"/>
    <w:rsid w:val="00BE4945"/>
    <w:rsid w:val="00BE4957"/>
    <w:rsid w:val="00BE4B97"/>
    <w:rsid w:val="00BE5C34"/>
    <w:rsid w:val="00BE62C8"/>
    <w:rsid w:val="00BE6352"/>
    <w:rsid w:val="00BE65BD"/>
    <w:rsid w:val="00BE6EA9"/>
    <w:rsid w:val="00BE70BD"/>
    <w:rsid w:val="00BE759D"/>
    <w:rsid w:val="00BE7BC2"/>
    <w:rsid w:val="00BE7F68"/>
    <w:rsid w:val="00BF08DF"/>
    <w:rsid w:val="00BF0C8D"/>
    <w:rsid w:val="00BF0E64"/>
    <w:rsid w:val="00BF0FE2"/>
    <w:rsid w:val="00BF1068"/>
    <w:rsid w:val="00BF12D5"/>
    <w:rsid w:val="00BF14B1"/>
    <w:rsid w:val="00BF1E48"/>
    <w:rsid w:val="00BF1E89"/>
    <w:rsid w:val="00BF2301"/>
    <w:rsid w:val="00BF2DE0"/>
    <w:rsid w:val="00BF2EC6"/>
    <w:rsid w:val="00BF329B"/>
    <w:rsid w:val="00BF34EC"/>
    <w:rsid w:val="00BF3723"/>
    <w:rsid w:val="00BF379B"/>
    <w:rsid w:val="00BF3AAA"/>
    <w:rsid w:val="00BF3EE1"/>
    <w:rsid w:val="00BF420C"/>
    <w:rsid w:val="00BF4292"/>
    <w:rsid w:val="00BF462D"/>
    <w:rsid w:val="00BF4698"/>
    <w:rsid w:val="00BF4976"/>
    <w:rsid w:val="00BF4DCC"/>
    <w:rsid w:val="00BF4F50"/>
    <w:rsid w:val="00BF57E9"/>
    <w:rsid w:val="00BF5C16"/>
    <w:rsid w:val="00BF675E"/>
    <w:rsid w:val="00BF68CF"/>
    <w:rsid w:val="00BF68E2"/>
    <w:rsid w:val="00BF6E9D"/>
    <w:rsid w:val="00BF70BF"/>
    <w:rsid w:val="00BF7663"/>
    <w:rsid w:val="00BF7ECB"/>
    <w:rsid w:val="00C00463"/>
    <w:rsid w:val="00C006C6"/>
    <w:rsid w:val="00C00707"/>
    <w:rsid w:val="00C00744"/>
    <w:rsid w:val="00C00C4A"/>
    <w:rsid w:val="00C00E16"/>
    <w:rsid w:val="00C00F52"/>
    <w:rsid w:val="00C0142E"/>
    <w:rsid w:val="00C014AB"/>
    <w:rsid w:val="00C01B3F"/>
    <w:rsid w:val="00C01B8A"/>
    <w:rsid w:val="00C01C14"/>
    <w:rsid w:val="00C02590"/>
    <w:rsid w:val="00C02766"/>
    <w:rsid w:val="00C027D6"/>
    <w:rsid w:val="00C02869"/>
    <w:rsid w:val="00C02E02"/>
    <w:rsid w:val="00C02FD1"/>
    <w:rsid w:val="00C03473"/>
    <w:rsid w:val="00C035C3"/>
    <w:rsid w:val="00C03D89"/>
    <w:rsid w:val="00C042D1"/>
    <w:rsid w:val="00C04542"/>
    <w:rsid w:val="00C0481A"/>
    <w:rsid w:val="00C04A09"/>
    <w:rsid w:val="00C04B58"/>
    <w:rsid w:val="00C05378"/>
    <w:rsid w:val="00C062B8"/>
    <w:rsid w:val="00C0677C"/>
    <w:rsid w:val="00C06B69"/>
    <w:rsid w:val="00C079A2"/>
    <w:rsid w:val="00C07AC1"/>
    <w:rsid w:val="00C1067B"/>
    <w:rsid w:val="00C10788"/>
    <w:rsid w:val="00C10BD3"/>
    <w:rsid w:val="00C116C2"/>
    <w:rsid w:val="00C120BE"/>
    <w:rsid w:val="00C12562"/>
    <w:rsid w:val="00C12670"/>
    <w:rsid w:val="00C13372"/>
    <w:rsid w:val="00C140BB"/>
    <w:rsid w:val="00C14587"/>
    <w:rsid w:val="00C14C00"/>
    <w:rsid w:val="00C14D1A"/>
    <w:rsid w:val="00C14E47"/>
    <w:rsid w:val="00C150E8"/>
    <w:rsid w:val="00C158E5"/>
    <w:rsid w:val="00C159AD"/>
    <w:rsid w:val="00C15F74"/>
    <w:rsid w:val="00C1606F"/>
    <w:rsid w:val="00C169E9"/>
    <w:rsid w:val="00C16B5A"/>
    <w:rsid w:val="00C170B6"/>
    <w:rsid w:val="00C17714"/>
    <w:rsid w:val="00C2040F"/>
    <w:rsid w:val="00C2042A"/>
    <w:rsid w:val="00C2094E"/>
    <w:rsid w:val="00C20B8F"/>
    <w:rsid w:val="00C215C6"/>
    <w:rsid w:val="00C21DAF"/>
    <w:rsid w:val="00C21EA7"/>
    <w:rsid w:val="00C22098"/>
    <w:rsid w:val="00C2217D"/>
    <w:rsid w:val="00C224AD"/>
    <w:rsid w:val="00C227D3"/>
    <w:rsid w:val="00C2300E"/>
    <w:rsid w:val="00C230BF"/>
    <w:rsid w:val="00C23D05"/>
    <w:rsid w:val="00C24000"/>
    <w:rsid w:val="00C24749"/>
    <w:rsid w:val="00C2484F"/>
    <w:rsid w:val="00C24867"/>
    <w:rsid w:val="00C24AAA"/>
    <w:rsid w:val="00C24E8F"/>
    <w:rsid w:val="00C25CC2"/>
    <w:rsid w:val="00C26225"/>
    <w:rsid w:val="00C26853"/>
    <w:rsid w:val="00C2695F"/>
    <w:rsid w:val="00C272C8"/>
    <w:rsid w:val="00C27E8B"/>
    <w:rsid w:val="00C3003B"/>
    <w:rsid w:val="00C309E0"/>
    <w:rsid w:val="00C30B79"/>
    <w:rsid w:val="00C3190C"/>
    <w:rsid w:val="00C31A85"/>
    <w:rsid w:val="00C31F5D"/>
    <w:rsid w:val="00C3245D"/>
    <w:rsid w:val="00C3260A"/>
    <w:rsid w:val="00C326F6"/>
    <w:rsid w:val="00C32AE5"/>
    <w:rsid w:val="00C33456"/>
    <w:rsid w:val="00C33CA5"/>
    <w:rsid w:val="00C33DA3"/>
    <w:rsid w:val="00C3479E"/>
    <w:rsid w:val="00C347B8"/>
    <w:rsid w:val="00C34AF4"/>
    <w:rsid w:val="00C34B99"/>
    <w:rsid w:val="00C34D29"/>
    <w:rsid w:val="00C35255"/>
    <w:rsid w:val="00C3535C"/>
    <w:rsid w:val="00C35417"/>
    <w:rsid w:val="00C35C68"/>
    <w:rsid w:val="00C36A57"/>
    <w:rsid w:val="00C36D12"/>
    <w:rsid w:val="00C37A7A"/>
    <w:rsid w:val="00C37C16"/>
    <w:rsid w:val="00C37E14"/>
    <w:rsid w:val="00C402F6"/>
    <w:rsid w:val="00C40815"/>
    <w:rsid w:val="00C40D71"/>
    <w:rsid w:val="00C410C8"/>
    <w:rsid w:val="00C41243"/>
    <w:rsid w:val="00C416C9"/>
    <w:rsid w:val="00C422CF"/>
    <w:rsid w:val="00C425E4"/>
    <w:rsid w:val="00C42831"/>
    <w:rsid w:val="00C42986"/>
    <w:rsid w:val="00C42A3C"/>
    <w:rsid w:val="00C43618"/>
    <w:rsid w:val="00C438C1"/>
    <w:rsid w:val="00C44111"/>
    <w:rsid w:val="00C4493D"/>
    <w:rsid w:val="00C44F3A"/>
    <w:rsid w:val="00C4530E"/>
    <w:rsid w:val="00C454BF"/>
    <w:rsid w:val="00C456E2"/>
    <w:rsid w:val="00C457CC"/>
    <w:rsid w:val="00C46231"/>
    <w:rsid w:val="00C46736"/>
    <w:rsid w:val="00C4685E"/>
    <w:rsid w:val="00C46885"/>
    <w:rsid w:val="00C469AC"/>
    <w:rsid w:val="00C46E9D"/>
    <w:rsid w:val="00C47283"/>
    <w:rsid w:val="00C474AC"/>
    <w:rsid w:val="00C475BF"/>
    <w:rsid w:val="00C475C4"/>
    <w:rsid w:val="00C4775A"/>
    <w:rsid w:val="00C47A14"/>
    <w:rsid w:val="00C47A2E"/>
    <w:rsid w:val="00C515E2"/>
    <w:rsid w:val="00C51B20"/>
    <w:rsid w:val="00C52028"/>
    <w:rsid w:val="00C520BE"/>
    <w:rsid w:val="00C52394"/>
    <w:rsid w:val="00C52B46"/>
    <w:rsid w:val="00C52BFF"/>
    <w:rsid w:val="00C52E2B"/>
    <w:rsid w:val="00C547CE"/>
    <w:rsid w:val="00C55040"/>
    <w:rsid w:val="00C551E1"/>
    <w:rsid w:val="00C55C35"/>
    <w:rsid w:val="00C56D1C"/>
    <w:rsid w:val="00C57010"/>
    <w:rsid w:val="00C577FC"/>
    <w:rsid w:val="00C601CD"/>
    <w:rsid w:val="00C605CF"/>
    <w:rsid w:val="00C60B9C"/>
    <w:rsid w:val="00C60EC3"/>
    <w:rsid w:val="00C61270"/>
    <w:rsid w:val="00C61308"/>
    <w:rsid w:val="00C62FA7"/>
    <w:rsid w:val="00C634D9"/>
    <w:rsid w:val="00C63703"/>
    <w:rsid w:val="00C63FA0"/>
    <w:rsid w:val="00C64025"/>
    <w:rsid w:val="00C64796"/>
    <w:rsid w:val="00C64AF4"/>
    <w:rsid w:val="00C64AFD"/>
    <w:rsid w:val="00C64E8B"/>
    <w:rsid w:val="00C6640F"/>
    <w:rsid w:val="00C66800"/>
    <w:rsid w:val="00C66E14"/>
    <w:rsid w:val="00C67010"/>
    <w:rsid w:val="00C677C4"/>
    <w:rsid w:val="00C67A33"/>
    <w:rsid w:val="00C67B47"/>
    <w:rsid w:val="00C70162"/>
    <w:rsid w:val="00C707DD"/>
    <w:rsid w:val="00C70A7D"/>
    <w:rsid w:val="00C70F3B"/>
    <w:rsid w:val="00C712A3"/>
    <w:rsid w:val="00C7157E"/>
    <w:rsid w:val="00C72364"/>
    <w:rsid w:val="00C72C3B"/>
    <w:rsid w:val="00C7317F"/>
    <w:rsid w:val="00C73270"/>
    <w:rsid w:val="00C742A0"/>
    <w:rsid w:val="00C742E7"/>
    <w:rsid w:val="00C7439C"/>
    <w:rsid w:val="00C744C2"/>
    <w:rsid w:val="00C745F8"/>
    <w:rsid w:val="00C74B43"/>
    <w:rsid w:val="00C74D4B"/>
    <w:rsid w:val="00C75CF0"/>
    <w:rsid w:val="00C76053"/>
    <w:rsid w:val="00C7615F"/>
    <w:rsid w:val="00C76C15"/>
    <w:rsid w:val="00C76F75"/>
    <w:rsid w:val="00C7727C"/>
    <w:rsid w:val="00C8077D"/>
    <w:rsid w:val="00C809F1"/>
    <w:rsid w:val="00C80BA3"/>
    <w:rsid w:val="00C80FA5"/>
    <w:rsid w:val="00C81928"/>
    <w:rsid w:val="00C82176"/>
    <w:rsid w:val="00C83AB1"/>
    <w:rsid w:val="00C83F45"/>
    <w:rsid w:val="00C83FFE"/>
    <w:rsid w:val="00C841E5"/>
    <w:rsid w:val="00C84CF9"/>
    <w:rsid w:val="00C84F97"/>
    <w:rsid w:val="00C85092"/>
    <w:rsid w:val="00C850B7"/>
    <w:rsid w:val="00C85559"/>
    <w:rsid w:val="00C8597A"/>
    <w:rsid w:val="00C85BEA"/>
    <w:rsid w:val="00C85F08"/>
    <w:rsid w:val="00C860A3"/>
    <w:rsid w:val="00C86166"/>
    <w:rsid w:val="00C865BA"/>
    <w:rsid w:val="00C86B3C"/>
    <w:rsid w:val="00C8744D"/>
    <w:rsid w:val="00C90755"/>
    <w:rsid w:val="00C91454"/>
    <w:rsid w:val="00C91934"/>
    <w:rsid w:val="00C91A6A"/>
    <w:rsid w:val="00C91F1E"/>
    <w:rsid w:val="00C9293F"/>
    <w:rsid w:val="00C93451"/>
    <w:rsid w:val="00C9389B"/>
    <w:rsid w:val="00C9429E"/>
    <w:rsid w:val="00C944A9"/>
    <w:rsid w:val="00C9455A"/>
    <w:rsid w:val="00C94F70"/>
    <w:rsid w:val="00C94FFE"/>
    <w:rsid w:val="00C950E4"/>
    <w:rsid w:val="00C95676"/>
    <w:rsid w:val="00C95B23"/>
    <w:rsid w:val="00C95B5D"/>
    <w:rsid w:val="00C961B7"/>
    <w:rsid w:val="00C9635F"/>
    <w:rsid w:val="00C96587"/>
    <w:rsid w:val="00C9659B"/>
    <w:rsid w:val="00C96885"/>
    <w:rsid w:val="00C9688F"/>
    <w:rsid w:val="00C96997"/>
    <w:rsid w:val="00C96EC3"/>
    <w:rsid w:val="00C96FD8"/>
    <w:rsid w:val="00C9722A"/>
    <w:rsid w:val="00C974A6"/>
    <w:rsid w:val="00CA03C2"/>
    <w:rsid w:val="00CA0811"/>
    <w:rsid w:val="00CA2D90"/>
    <w:rsid w:val="00CA2F8B"/>
    <w:rsid w:val="00CA3982"/>
    <w:rsid w:val="00CA3C31"/>
    <w:rsid w:val="00CA4374"/>
    <w:rsid w:val="00CA4E3A"/>
    <w:rsid w:val="00CA5262"/>
    <w:rsid w:val="00CA52BB"/>
    <w:rsid w:val="00CA5378"/>
    <w:rsid w:val="00CA5CBA"/>
    <w:rsid w:val="00CA5D8D"/>
    <w:rsid w:val="00CA60FD"/>
    <w:rsid w:val="00CA63F3"/>
    <w:rsid w:val="00CA6545"/>
    <w:rsid w:val="00CA65C0"/>
    <w:rsid w:val="00CA67B3"/>
    <w:rsid w:val="00CA7573"/>
    <w:rsid w:val="00CA7E7A"/>
    <w:rsid w:val="00CB03BB"/>
    <w:rsid w:val="00CB041C"/>
    <w:rsid w:val="00CB05EB"/>
    <w:rsid w:val="00CB0DA6"/>
    <w:rsid w:val="00CB13EE"/>
    <w:rsid w:val="00CB173C"/>
    <w:rsid w:val="00CB187D"/>
    <w:rsid w:val="00CB2608"/>
    <w:rsid w:val="00CB26A9"/>
    <w:rsid w:val="00CB294A"/>
    <w:rsid w:val="00CB428A"/>
    <w:rsid w:val="00CB4B7F"/>
    <w:rsid w:val="00CB50DE"/>
    <w:rsid w:val="00CB56F7"/>
    <w:rsid w:val="00CB6182"/>
    <w:rsid w:val="00CB649A"/>
    <w:rsid w:val="00CB64A7"/>
    <w:rsid w:val="00CB662B"/>
    <w:rsid w:val="00CB6FBB"/>
    <w:rsid w:val="00CB70CE"/>
    <w:rsid w:val="00CB71C1"/>
    <w:rsid w:val="00CC0DE3"/>
    <w:rsid w:val="00CC110B"/>
    <w:rsid w:val="00CC166E"/>
    <w:rsid w:val="00CC1D67"/>
    <w:rsid w:val="00CC2653"/>
    <w:rsid w:val="00CC2934"/>
    <w:rsid w:val="00CC2DC4"/>
    <w:rsid w:val="00CC320E"/>
    <w:rsid w:val="00CC33E3"/>
    <w:rsid w:val="00CC36A0"/>
    <w:rsid w:val="00CC4721"/>
    <w:rsid w:val="00CC4BBA"/>
    <w:rsid w:val="00CC5313"/>
    <w:rsid w:val="00CC570A"/>
    <w:rsid w:val="00CC6901"/>
    <w:rsid w:val="00CC6A1A"/>
    <w:rsid w:val="00CC705E"/>
    <w:rsid w:val="00CC731F"/>
    <w:rsid w:val="00CC75F5"/>
    <w:rsid w:val="00CC784F"/>
    <w:rsid w:val="00CD0A26"/>
    <w:rsid w:val="00CD0F63"/>
    <w:rsid w:val="00CD0F8D"/>
    <w:rsid w:val="00CD1675"/>
    <w:rsid w:val="00CD1682"/>
    <w:rsid w:val="00CD1D6F"/>
    <w:rsid w:val="00CD2774"/>
    <w:rsid w:val="00CD29E1"/>
    <w:rsid w:val="00CD2BFE"/>
    <w:rsid w:val="00CD3334"/>
    <w:rsid w:val="00CD35E8"/>
    <w:rsid w:val="00CD46BE"/>
    <w:rsid w:val="00CD4ADC"/>
    <w:rsid w:val="00CD50ED"/>
    <w:rsid w:val="00CD5123"/>
    <w:rsid w:val="00CD550A"/>
    <w:rsid w:val="00CD5C9A"/>
    <w:rsid w:val="00CD5DC0"/>
    <w:rsid w:val="00CD67B0"/>
    <w:rsid w:val="00CD69B8"/>
    <w:rsid w:val="00CD6F16"/>
    <w:rsid w:val="00CD7230"/>
    <w:rsid w:val="00CD78B1"/>
    <w:rsid w:val="00CD7B73"/>
    <w:rsid w:val="00CD7CAB"/>
    <w:rsid w:val="00CE01D7"/>
    <w:rsid w:val="00CE0360"/>
    <w:rsid w:val="00CE0AB1"/>
    <w:rsid w:val="00CE176F"/>
    <w:rsid w:val="00CE1B56"/>
    <w:rsid w:val="00CE1E67"/>
    <w:rsid w:val="00CE2D17"/>
    <w:rsid w:val="00CE47DD"/>
    <w:rsid w:val="00CE4B0A"/>
    <w:rsid w:val="00CE4C46"/>
    <w:rsid w:val="00CE56BE"/>
    <w:rsid w:val="00CE578A"/>
    <w:rsid w:val="00CE59CF"/>
    <w:rsid w:val="00CE5F6A"/>
    <w:rsid w:val="00CE67B4"/>
    <w:rsid w:val="00CE6843"/>
    <w:rsid w:val="00CE6870"/>
    <w:rsid w:val="00CE7713"/>
    <w:rsid w:val="00CE77DD"/>
    <w:rsid w:val="00CE789B"/>
    <w:rsid w:val="00CF033D"/>
    <w:rsid w:val="00CF0829"/>
    <w:rsid w:val="00CF0CB9"/>
    <w:rsid w:val="00CF14AA"/>
    <w:rsid w:val="00CF2810"/>
    <w:rsid w:val="00CF2A9D"/>
    <w:rsid w:val="00CF2C58"/>
    <w:rsid w:val="00CF30E7"/>
    <w:rsid w:val="00CF396D"/>
    <w:rsid w:val="00CF3D92"/>
    <w:rsid w:val="00CF4579"/>
    <w:rsid w:val="00CF4CD6"/>
    <w:rsid w:val="00CF4D7E"/>
    <w:rsid w:val="00CF52D4"/>
    <w:rsid w:val="00CF5625"/>
    <w:rsid w:val="00CF62A3"/>
    <w:rsid w:val="00CF64B3"/>
    <w:rsid w:val="00CF68B7"/>
    <w:rsid w:val="00CF6D87"/>
    <w:rsid w:val="00CF7387"/>
    <w:rsid w:val="00CF781B"/>
    <w:rsid w:val="00CF7D3C"/>
    <w:rsid w:val="00CF7F40"/>
    <w:rsid w:val="00D00128"/>
    <w:rsid w:val="00D00386"/>
    <w:rsid w:val="00D006AA"/>
    <w:rsid w:val="00D00937"/>
    <w:rsid w:val="00D01C8C"/>
    <w:rsid w:val="00D021B4"/>
    <w:rsid w:val="00D025FB"/>
    <w:rsid w:val="00D0319B"/>
    <w:rsid w:val="00D03374"/>
    <w:rsid w:val="00D03490"/>
    <w:rsid w:val="00D04211"/>
    <w:rsid w:val="00D043F0"/>
    <w:rsid w:val="00D04515"/>
    <w:rsid w:val="00D04DD9"/>
    <w:rsid w:val="00D0582E"/>
    <w:rsid w:val="00D05E85"/>
    <w:rsid w:val="00D060DE"/>
    <w:rsid w:val="00D07B98"/>
    <w:rsid w:val="00D07FD7"/>
    <w:rsid w:val="00D101B5"/>
    <w:rsid w:val="00D104D9"/>
    <w:rsid w:val="00D1074B"/>
    <w:rsid w:val="00D107F0"/>
    <w:rsid w:val="00D10D7D"/>
    <w:rsid w:val="00D112EB"/>
    <w:rsid w:val="00D11643"/>
    <w:rsid w:val="00D11888"/>
    <w:rsid w:val="00D11A22"/>
    <w:rsid w:val="00D12880"/>
    <w:rsid w:val="00D1289B"/>
    <w:rsid w:val="00D12E53"/>
    <w:rsid w:val="00D1303E"/>
    <w:rsid w:val="00D13C12"/>
    <w:rsid w:val="00D13FE2"/>
    <w:rsid w:val="00D1409D"/>
    <w:rsid w:val="00D14D21"/>
    <w:rsid w:val="00D14D5D"/>
    <w:rsid w:val="00D15128"/>
    <w:rsid w:val="00D1531C"/>
    <w:rsid w:val="00D15D05"/>
    <w:rsid w:val="00D16BCC"/>
    <w:rsid w:val="00D16E03"/>
    <w:rsid w:val="00D16EFF"/>
    <w:rsid w:val="00D173C2"/>
    <w:rsid w:val="00D17E85"/>
    <w:rsid w:val="00D20338"/>
    <w:rsid w:val="00D203EC"/>
    <w:rsid w:val="00D20639"/>
    <w:rsid w:val="00D20776"/>
    <w:rsid w:val="00D208D1"/>
    <w:rsid w:val="00D20D50"/>
    <w:rsid w:val="00D20ECA"/>
    <w:rsid w:val="00D21445"/>
    <w:rsid w:val="00D21491"/>
    <w:rsid w:val="00D21DB3"/>
    <w:rsid w:val="00D22152"/>
    <w:rsid w:val="00D222BA"/>
    <w:rsid w:val="00D226C3"/>
    <w:rsid w:val="00D227C8"/>
    <w:rsid w:val="00D22E29"/>
    <w:rsid w:val="00D24C6F"/>
    <w:rsid w:val="00D252ED"/>
    <w:rsid w:val="00D25547"/>
    <w:rsid w:val="00D25A45"/>
    <w:rsid w:val="00D25E14"/>
    <w:rsid w:val="00D268D7"/>
    <w:rsid w:val="00D26A63"/>
    <w:rsid w:val="00D26B87"/>
    <w:rsid w:val="00D2731D"/>
    <w:rsid w:val="00D27350"/>
    <w:rsid w:val="00D305BA"/>
    <w:rsid w:val="00D308A2"/>
    <w:rsid w:val="00D30C03"/>
    <w:rsid w:val="00D30C51"/>
    <w:rsid w:val="00D30CD0"/>
    <w:rsid w:val="00D30D0B"/>
    <w:rsid w:val="00D30E34"/>
    <w:rsid w:val="00D31713"/>
    <w:rsid w:val="00D31895"/>
    <w:rsid w:val="00D31DAD"/>
    <w:rsid w:val="00D31E44"/>
    <w:rsid w:val="00D3234B"/>
    <w:rsid w:val="00D32985"/>
    <w:rsid w:val="00D32AC4"/>
    <w:rsid w:val="00D32C96"/>
    <w:rsid w:val="00D33062"/>
    <w:rsid w:val="00D3348B"/>
    <w:rsid w:val="00D3358C"/>
    <w:rsid w:val="00D3374D"/>
    <w:rsid w:val="00D34015"/>
    <w:rsid w:val="00D3404B"/>
    <w:rsid w:val="00D349C8"/>
    <w:rsid w:val="00D34C35"/>
    <w:rsid w:val="00D35524"/>
    <w:rsid w:val="00D35575"/>
    <w:rsid w:val="00D35F07"/>
    <w:rsid w:val="00D36393"/>
    <w:rsid w:val="00D36B85"/>
    <w:rsid w:val="00D376F0"/>
    <w:rsid w:val="00D37A5C"/>
    <w:rsid w:val="00D37CC4"/>
    <w:rsid w:val="00D4046E"/>
    <w:rsid w:val="00D40D41"/>
    <w:rsid w:val="00D4148E"/>
    <w:rsid w:val="00D41BA9"/>
    <w:rsid w:val="00D42622"/>
    <w:rsid w:val="00D42771"/>
    <w:rsid w:val="00D428E7"/>
    <w:rsid w:val="00D42C91"/>
    <w:rsid w:val="00D433BC"/>
    <w:rsid w:val="00D433FE"/>
    <w:rsid w:val="00D43501"/>
    <w:rsid w:val="00D436C6"/>
    <w:rsid w:val="00D449B1"/>
    <w:rsid w:val="00D44C81"/>
    <w:rsid w:val="00D44CE6"/>
    <w:rsid w:val="00D4501B"/>
    <w:rsid w:val="00D456CA"/>
    <w:rsid w:val="00D457F0"/>
    <w:rsid w:val="00D45843"/>
    <w:rsid w:val="00D461A9"/>
    <w:rsid w:val="00D46666"/>
    <w:rsid w:val="00D467BB"/>
    <w:rsid w:val="00D46F31"/>
    <w:rsid w:val="00D47267"/>
    <w:rsid w:val="00D47393"/>
    <w:rsid w:val="00D47C6E"/>
    <w:rsid w:val="00D47CB3"/>
    <w:rsid w:val="00D47CB5"/>
    <w:rsid w:val="00D47EA9"/>
    <w:rsid w:val="00D50297"/>
    <w:rsid w:val="00D502F4"/>
    <w:rsid w:val="00D50C65"/>
    <w:rsid w:val="00D50DE3"/>
    <w:rsid w:val="00D50F8E"/>
    <w:rsid w:val="00D51722"/>
    <w:rsid w:val="00D51787"/>
    <w:rsid w:val="00D526CB"/>
    <w:rsid w:val="00D529A5"/>
    <w:rsid w:val="00D531E8"/>
    <w:rsid w:val="00D539AD"/>
    <w:rsid w:val="00D539D0"/>
    <w:rsid w:val="00D541AE"/>
    <w:rsid w:val="00D54864"/>
    <w:rsid w:val="00D54A43"/>
    <w:rsid w:val="00D54BC8"/>
    <w:rsid w:val="00D55114"/>
    <w:rsid w:val="00D56034"/>
    <w:rsid w:val="00D5699D"/>
    <w:rsid w:val="00D56DCC"/>
    <w:rsid w:val="00D56EFD"/>
    <w:rsid w:val="00D575C2"/>
    <w:rsid w:val="00D57B02"/>
    <w:rsid w:val="00D57D86"/>
    <w:rsid w:val="00D57E0D"/>
    <w:rsid w:val="00D600F2"/>
    <w:rsid w:val="00D60871"/>
    <w:rsid w:val="00D60F84"/>
    <w:rsid w:val="00D6173B"/>
    <w:rsid w:val="00D619D7"/>
    <w:rsid w:val="00D62091"/>
    <w:rsid w:val="00D62768"/>
    <w:rsid w:val="00D64218"/>
    <w:rsid w:val="00D6545B"/>
    <w:rsid w:val="00D6597F"/>
    <w:rsid w:val="00D65E9A"/>
    <w:rsid w:val="00D67C12"/>
    <w:rsid w:val="00D67F93"/>
    <w:rsid w:val="00D70203"/>
    <w:rsid w:val="00D716D2"/>
    <w:rsid w:val="00D71BB3"/>
    <w:rsid w:val="00D71FE4"/>
    <w:rsid w:val="00D72C13"/>
    <w:rsid w:val="00D7307A"/>
    <w:rsid w:val="00D7344D"/>
    <w:rsid w:val="00D73BB4"/>
    <w:rsid w:val="00D747CD"/>
    <w:rsid w:val="00D75260"/>
    <w:rsid w:val="00D752BE"/>
    <w:rsid w:val="00D7564B"/>
    <w:rsid w:val="00D75920"/>
    <w:rsid w:val="00D75ADD"/>
    <w:rsid w:val="00D75BEE"/>
    <w:rsid w:val="00D75DEB"/>
    <w:rsid w:val="00D7641A"/>
    <w:rsid w:val="00D76803"/>
    <w:rsid w:val="00D7689B"/>
    <w:rsid w:val="00D77C78"/>
    <w:rsid w:val="00D77CB7"/>
    <w:rsid w:val="00D77CCF"/>
    <w:rsid w:val="00D80656"/>
    <w:rsid w:val="00D808E1"/>
    <w:rsid w:val="00D8092C"/>
    <w:rsid w:val="00D8099B"/>
    <w:rsid w:val="00D80CC2"/>
    <w:rsid w:val="00D80E6F"/>
    <w:rsid w:val="00D81031"/>
    <w:rsid w:val="00D811EB"/>
    <w:rsid w:val="00D81622"/>
    <w:rsid w:val="00D81DE9"/>
    <w:rsid w:val="00D81F37"/>
    <w:rsid w:val="00D82676"/>
    <w:rsid w:val="00D826C0"/>
    <w:rsid w:val="00D83741"/>
    <w:rsid w:val="00D84005"/>
    <w:rsid w:val="00D84E28"/>
    <w:rsid w:val="00D862CD"/>
    <w:rsid w:val="00D8644C"/>
    <w:rsid w:val="00D86A8F"/>
    <w:rsid w:val="00D8700D"/>
    <w:rsid w:val="00D87130"/>
    <w:rsid w:val="00D87168"/>
    <w:rsid w:val="00D87720"/>
    <w:rsid w:val="00D87D5A"/>
    <w:rsid w:val="00D901CF"/>
    <w:rsid w:val="00D90FD8"/>
    <w:rsid w:val="00D9176B"/>
    <w:rsid w:val="00D91A7A"/>
    <w:rsid w:val="00D9291A"/>
    <w:rsid w:val="00D92DEE"/>
    <w:rsid w:val="00D93373"/>
    <w:rsid w:val="00D934CA"/>
    <w:rsid w:val="00D940AA"/>
    <w:rsid w:val="00D94D21"/>
    <w:rsid w:val="00D9529D"/>
    <w:rsid w:val="00D95A7A"/>
    <w:rsid w:val="00D95DD0"/>
    <w:rsid w:val="00D96E4C"/>
    <w:rsid w:val="00D97241"/>
    <w:rsid w:val="00D975FE"/>
    <w:rsid w:val="00D9767D"/>
    <w:rsid w:val="00DA05BC"/>
    <w:rsid w:val="00DA0633"/>
    <w:rsid w:val="00DA0890"/>
    <w:rsid w:val="00DA121B"/>
    <w:rsid w:val="00DA1E17"/>
    <w:rsid w:val="00DA31EA"/>
    <w:rsid w:val="00DA3529"/>
    <w:rsid w:val="00DA3A2A"/>
    <w:rsid w:val="00DA3A8C"/>
    <w:rsid w:val="00DA3F18"/>
    <w:rsid w:val="00DA4000"/>
    <w:rsid w:val="00DA433C"/>
    <w:rsid w:val="00DA4463"/>
    <w:rsid w:val="00DA4839"/>
    <w:rsid w:val="00DA502F"/>
    <w:rsid w:val="00DA587D"/>
    <w:rsid w:val="00DA59B3"/>
    <w:rsid w:val="00DA5BC6"/>
    <w:rsid w:val="00DA62EA"/>
    <w:rsid w:val="00DA6A19"/>
    <w:rsid w:val="00DA6E0C"/>
    <w:rsid w:val="00DA78C2"/>
    <w:rsid w:val="00DA7AEF"/>
    <w:rsid w:val="00DA7C83"/>
    <w:rsid w:val="00DB0167"/>
    <w:rsid w:val="00DB025B"/>
    <w:rsid w:val="00DB03E1"/>
    <w:rsid w:val="00DB0591"/>
    <w:rsid w:val="00DB07EF"/>
    <w:rsid w:val="00DB08D4"/>
    <w:rsid w:val="00DB0AC5"/>
    <w:rsid w:val="00DB0B5E"/>
    <w:rsid w:val="00DB1ED5"/>
    <w:rsid w:val="00DB2399"/>
    <w:rsid w:val="00DB26EC"/>
    <w:rsid w:val="00DB28F2"/>
    <w:rsid w:val="00DB3101"/>
    <w:rsid w:val="00DB3581"/>
    <w:rsid w:val="00DB3937"/>
    <w:rsid w:val="00DB3E6F"/>
    <w:rsid w:val="00DB45E8"/>
    <w:rsid w:val="00DB4916"/>
    <w:rsid w:val="00DB4AFB"/>
    <w:rsid w:val="00DB4FBC"/>
    <w:rsid w:val="00DB528C"/>
    <w:rsid w:val="00DB56AF"/>
    <w:rsid w:val="00DB5C6A"/>
    <w:rsid w:val="00DB68B1"/>
    <w:rsid w:val="00DB6921"/>
    <w:rsid w:val="00DC074E"/>
    <w:rsid w:val="00DC0811"/>
    <w:rsid w:val="00DC0C6B"/>
    <w:rsid w:val="00DC14F3"/>
    <w:rsid w:val="00DC1758"/>
    <w:rsid w:val="00DC21C7"/>
    <w:rsid w:val="00DC2810"/>
    <w:rsid w:val="00DC2D97"/>
    <w:rsid w:val="00DC30A8"/>
    <w:rsid w:val="00DC30E0"/>
    <w:rsid w:val="00DC3432"/>
    <w:rsid w:val="00DC3E35"/>
    <w:rsid w:val="00DC41A4"/>
    <w:rsid w:val="00DC43F7"/>
    <w:rsid w:val="00DC4524"/>
    <w:rsid w:val="00DC480E"/>
    <w:rsid w:val="00DC4F05"/>
    <w:rsid w:val="00DC5330"/>
    <w:rsid w:val="00DC5623"/>
    <w:rsid w:val="00DC61AF"/>
    <w:rsid w:val="00DC6D6D"/>
    <w:rsid w:val="00DC78C0"/>
    <w:rsid w:val="00DC7B70"/>
    <w:rsid w:val="00DD05B2"/>
    <w:rsid w:val="00DD09B9"/>
    <w:rsid w:val="00DD0AF1"/>
    <w:rsid w:val="00DD0C7F"/>
    <w:rsid w:val="00DD0C81"/>
    <w:rsid w:val="00DD101F"/>
    <w:rsid w:val="00DD17E7"/>
    <w:rsid w:val="00DD1B10"/>
    <w:rsid w:val="00DD2585"/>
    <w:rsid w:val="00DD29B6"/>
    <w:rsid w:val="00DD2DE7"/>
    <w:rsid w:val="00DD2FDA"/>
    <w:rsid w:val="00DD2FE6"/>
    <w:rsid w:val="00DD380D"/>
    <w:rsid w:val="00DD3CA2"/>
    <w:rsid w:val="00DD40EF"/>
    <w:rsid w:val="00DD4476"/>
    <w:rsid w:val="00DD4C22"/>
    <w:rsid w:val="00DD4D69"/>
    <w:rsid w:val="00DD5113"/>
    <w:rsid w:val="00DD5B6E"/>
    <w:rsid w:val="00DD5E1B"/>
    <w:rsid w:val="00DD7009"/>
    <w:rsid w:val="00DD7028"/>
    <w:rsid w:val="00DD7654"/>
    <w:rsid w:val="00DD7BE0"/>
    <w:rsid w:val="00DD7C36"/>
    <w:rsid w:val="00DE09B2"/>
    <w:rsid w:val="00DE0EE7"/>
    <w:rsid w:val="00DE1AFE"/>
    <w:rsid w:val="00DE1E25"/>
    <w:rsid w:val="00DE1F80"/>
    <w:rsid w:val="00DE2780"/>
    <w:rsid w:val="00DE3342"/>
    <w:rsid w:val="00DE3D41"/>
    <w:rsid w:val="00DE40FB"/>
    <w:rsid w:val="00DE4137"/>
    <w:rsid w:val="00DE4CB6"/>
    <w:rsid w:val="00DE559B"/>
    <w:rsid w:val="00DE58CD"/>
    <w:rsid w:val="00DE5921"/>
    <w:rsid w:val="00DE69A1"/>
    <w:rsid w:val="00DE6A78"/>
    <w:rsid w:val="00DE6BED"/>
    <w:rsid w:val="00DE6F85"/>
    <w:rsid w:val="00DE735D"/>
    <w:rsid w:val="00DE7957"/>
    <w:rsid w:val="00DE7DB5"/>
    <w:rsid w:val="00DF0378"/>
    <w:rsid w:val="00DF0613"/>
    <w:rsid w:val="00DF0860"/>
    <w:rsid w:val="00DF09F5"/>
    <w:rsid w:val="00DF0AA9"/>
    <w:rsid w:val="00DF0D09"/>
    <w:rsid w:val="00DF1041"/>
    <w:rsid w:val="00DF125E"/>
    <w:rsid w:val="00DF128B"/>
    <w:rsid w:val="00DF14F9"/>
    <w:rsid w:val="00DF1851"/>
    <w:rsid w:val="00DF18D8"/>
    <w:rsid w:val="00DF271B"/>
    <w:rsid w:val="00DF2B18"/>
    <w:rsid w:val="00DF37F2"/>
    <w:rsid w:val="00DF38CE"/>
    <w:rsid w:val="00DF40D8"/>
    <w:rsid w:val="00DF4354"/>
    <w:rsid w:val="00DF49B1"/>
    <w:rsid w:val="00DF4A7D"/>
    <w:rsid w:val="00DF4F88"/>
    <w:rsid w:val="00DF51FE"/>
    <w:rsid w:val="00DF5567"/>
    <w:rsid w:val="00DF62F1"/>
    <w:rsid w:val="00DF652D"/>
    <w:rsid w:val="00DF6656"/>
    <w:rsid w:val="00DF66A9"/>
    <w:rsid w:val="00DF6FE6"/>
    <w:rsid w:val="00DF711A"/>
    <w:rsid w:val="00DF7125"/>
    <w:rsid w:val="00DF7214"/>
    <w:rsid w:val="00DF7991"/>
    <w:rsid w:val="00E00CD7"/>
    <w:rsid w:val="00E00EA4"/>
    <w:rsid w:val="00E00F83"/>
    <w:rsid w:val="00E00F84"/>
    <w:rsid w:val="00E0116A"/>
    <w:rsid w:val="00E01611"/>
    <w:rsid w:val="00E01722"/>
    <w:rsid w:val="00E01D39"/>
    <w:rsid w:val="00E0209E"/>
    <w:rsid w:val="00E02F1A"/>
    <w:rsid w:val="00E0345A"/>
    <w:rsid w:val="00E036B3"/>
    <w:rsid w:val="00E04133"/>
    <w:rsid w:val="00E04365"/>
    <w:rsid w:val="00E046AE"/>
    <w:rsid w:val="00E0481C"/>
    <w:rsid w:val="00E04925"/>
    <w:rsid w:val="00E0546E"/>
    <w:rsid w:val="00E0585E"/>
    <w:rsid w:val="00E05DC6"/>
    <w:rsid w:val="00E05ECA"/>
    <w:rsid w:val="00E06DED"/>
    <w:rsid w:val="00E072C4"/>
    <w:rsid w:val="00E07FC6"/>
    <w:rsid w:val="00E10011"/>
    <w:rsid w:val="00E10049"/>
    <w:rsid w:val="00E108CC"/>
    <w:rsid w:val="00E10D9C"/>
    <w:rsid w:val="00E10DD0"/>
    <w:rsid w:val="00E10F06"/>
    <w:rsid w:val="00E11195"/>
    <w:rsid w:val="00E112EC"/>
    <w:rsid w:val="00E1181A"/>
    <w:rsid w:val="00E11958"/>
    <w:rsid w:val="00E11E4D"/>
    <w:rsid w:val="00E122FD"/>
    <w:rsid w:val="00E12CE6"/>
    <w:rsid w:val="00E13365"/>
    <w:rsid w:val="00E146E3"/>
    <w:rsid w:val="00E14F53"/>
    <w:rsid w:val="00E150F2"/>
    <w:rsid w:val="00E15D27"/>
    <w:rsid w:val="00E1666E"/>
    <w:rsid w:val="00E16968"/>
    <w:rsid w:val="00E1697C"/>
    <w:rsid w:val="00E16A5D"/>
    <w:rsid w:val="00E16B17"/>
    <w:rsid w:val="00E16DEE"/>
    <w:rsid w:val="00E16F51"/>
    <w:rsid w:val="00E171F2"/>
    <w:rsid w:val="00E2016D"/>
    <w:rsid w:val="00E20C6A"/>
    <w:rsid w:val="00E211AB"/>
    <w:rsid w:val="00E21240"/>
    <w:rsid w:val="00E21511"/>
    <w:rsid w:val="00E228A6"/>
    <w:rsid w:val="00E228EF"/>
    <w:rsid w:val="00E230B8"/>
    <w:rsid w:val="00E23C00"/>
    <w:rsid w:val="00E23EAF"/>
    <w:rsid w:val="00E240A9"/>
    <w:rsid w:val="00E24151"/>
    <w:rsid w:val="00E245A4"/>
    <w:rsid w:val="00E245CA"/>
    <w:rsid w:val="00E247B9"/>
    <w:rsid w:val="00E2497F"/>
    <w:rsid w:val="00E24D35"/>
    <w:rsid w:val="00E24F0F"/>
    <w:rsid w:val="00E24F7D"/>
    <w:rsid w:val="00E256C8"/>
    <w:rsid w:val="00E257D1"/>
    <w:rsid w:val="00E25CBF"/>
    <w:rsid w:val="00E269BA"/>
    <w:rsid w:val="00E27255"/>
    <w:rsid w:val="00E27818"/>
    <w:rsid w:val="00E305C7"/>
    <w:rsid w:val="00E30DC3"/>
    <w:rsid w:val="00E31545"/>
    <w:rsid w:val="00E315A7"/>
    <w:rsid w:val="00E31862"/>
    <w:rsid w:val="00E31B76"/>
    <w:rsid w:val="00E31D15"/>
    <w:rsid w:val="00E32044"/>
    <w:rsid w:val="00E32736"/>
    <w:rsid w:val="00E334A2"/>
    <w:rsid w:val="00E33A90"/>
    <w:rsid w:val="00E33B22"/>
    <w:rsid w:val="00E33B88"/>
    <w:rsid w:val="00E33BA2"/>
    <w:rsid w:val="00E34478"/>
    <w:rsid w:val="00E34D68"/>
    <w:rsid w:val="00E34D94"/>
    <w:rsid w:val="00E357D1"/>
    <w:rsid w:val="00E358B4"/>
    <w:rsid w:val="00E35974"/>
    <w:rsid w:val="00E35EEE"/>
    <w:rsid w:val="00E36063"/>
    <w:rsid w:val="00E37E28"/>
    <w:rsid w:val="00E37E6F"/>
    <w:rsid w:val="00E37FF8"/>
    <w:rsid w:val="00E402FC"/>
    <w:rsid w:val="00E40A23"/>
    <w:rsid w:val="00E41D20"/>
    <w:rsid w:val="00E420C2"/>
    <w:rsid w:val="00E42269"/>
    <w:rsid w:val="00E42D55"/>
    <w:rsid w:val="00E42DF2"/>
    <w:rsid w:val="00E42EAE"/>
    <w:rsid w:val="00E43086"/>
    <w:rsid w:val="00E430F4"/>
    <w:rsid w:val="00E435DD"/>
    <w:rsid w:val="00E43DD6"/>
    <w:rsid w:val="00E446A2"/>
    <w:rsid w:val="00E44C60"/>
    <w:rsid w:val="00E44FE1"/>
    <w:rsid w:val="00E45362"/>
    <w:rsid w:val="00E457E6"/>
    <w:rsid w:val="00E45C75"/>
    <w:rsid w:val="00E461D2"/>
    <w:rsid w:val="00E46554"/>
    <w:rsid w:val="00E46619"/>
    <w:rsid w:val="00E46908"/>
    <w:rsid w:val="00E46A97"/>
    <w:rsid w:val="00E47970"/>
    <w:rsid w:val="00E50072"/>
    <w:rsid w:val="00E503D2"/>
    <w:rsid w:val="00E507B8"/>
    <w:rsid w:val="00E52071"/>
    <w:rsid w:val="00E5244E"/>
    <w:rsid w:val="00E5301F"/>
    <w:rsid w:val="00E5321B"/>
    <w:rsid w:val="00E533D9"/>
    <w:rsid w:val="00E5367C"/>
    <w:rsid w:val="00E537FB"/>
    <w:rsid w:val="00E538E5"/>
    <w:rsid w:val="00E53AA9"/>
    <w:rsid w:val="00E53DB8"/>
    <w:rsid w:val="00E54C45"/>
    <w:rsid w:val="00E55261"/>
    <w:rsid w:val="00E55C48"/>
    <w:rsid w:val="00E55DD6"/>
    <w:rsid w:val="00E56936"/>
    <w:rsid w:val="00E56A8D"/>
    <w:rsid w:val="00E56C39"/>
    <w:rsid w:val="00E572E7"/>
    <w:rsid w:val="00E573F8"/>
    <w:rsid w:val="00E57509"/>
    <w:rsid w:val="00E57608"/>
    <w:rsid w:val="00E5763F"/>
    <w:rsid w:val="00E578DA"/>
    <w:rsid w:val="00E601D1"/>
    <w:rsid w:val="00E60A31"/>
    <w:rsid w:val="00E60D98"/>
    <w:rsid w:val="00E60F11"/>
    <w:rsid w:val="00E6113B"/>
    <w:rsid w:val="00E6114F"/>
    <w:rsid w:val="00E61171"/>
    <w:rsid w:val="00E614E8"/>
    <w:rsid w:val="00E615BD"/>
    <w:rsid w:val="00E61B7E"/>
    <w:rsid w:val="00E62179"/>
    <w:rsid w:val="00E62CD9"/>
    <w:rsid w:val="00E63F73"/>
    <w:rsid w:val="00E6434E"/>
    <w:rsid w:val="00E64F56"/>
    <w:rsid w:val="00E65517"/>
    <w:rsid w:val="00E6586F"/>
    <w:rsid w:val="00E65C74"/>
    <w:rsid w:val="00E65D20"/>
    <w:rsid w:val="00E65FBB"/>
    <w:rsid w:val="00E668D1"/>
    <w:rsid w:val="00E66B64"/>
    <w:rsid w:val="00E67426"/>
    <w:rsid w:val="00E6753B"/>
    <w:rsid w:val="00E6769C"/>
    <w:rsid w:val="00E67C1D"/>
    <w:rsid w:val="00E67EB2"/>
    <w:rsid w:val="00E67F20"/>
    <w:rsid w:val="00E70E93"/>
    <w:rsid w:val="00E70F49"/>
    <w:rsid w:val="00E71FED"/>
    <w:rsid w:val="00E72B77"/>
    <w:rsid w:val="00E72C7F"/>
    <w:rsid w:val="00E72DF0"/>
    <w:rsid w:val="00E7323A"/>
    <w:rsid w:val="00E740C4"/>
    <w:rsid w:val="00E7432A"/>
    <w:rsid w:val="00E74F7F"/>
    <w:rsid w:val="00E759B5"/>
    <w:rsid w:val="00E759EE"/>
    <w:rsid w:val="00E75D03"/>
    <w:rsid w:val="00E75D3B"/>
    <w:rsid w:val="00E761E5"/>
    <w:rsid w:val="00E7669C"/>
    <w:rsid w:val="00E77240"/>
    <w:rsid w:val="00E77366"/>
    <w:rsid w:val="00E77D7D"/>
    <w:rsid w:val="00E77F03"/>
    <w:rsid w:val="00E802FA"/>
    <w:rsid w:val="00E807F2"/>
    <w:rsid w:val="00E808D5"/>
    <w:rsid w:val="00E8186D"/>
    <w:rsid w:val="00E81B41"/>
    <w:rsid w:val="00E81D1D"/>
    <w:rsid w:val="00E82512"/>
    <w:rsid w:val="00E8271F"/>
    <w:rsid w:val="00E82936"/>
    <w:rsid w:val="00E83CD5"/>
    <w:rsid w:val="00E83E8D"/>
    <w:rsid w:val="00E84067"/>
    <w:rsid w:val="00E84483"/>
    <w:rsid w:val="00E84632"/>
    <w:rsid w:val="00E84C38"/>
    <w:rsid w:val="00E84EAB"/>
    <w:rsid w:val="00E84EE2"/>
    <w:rsid w:val="00E85C44"/>
    <w:rsid w:val="00E8645B"/>
    <w:rsid w:val="00E86A84"/>
    <w:rsid w:val="00E86C36"/>
    <w:rsid w:val="00E871ED"/>
    <w:rsid w:val="00E87601"/>
    <w:rsid w:val="00E90153"/>
    <w:rsid w:val="00E9061F"/>
    <w:rsid w:val="00E9089D"/>
    <w:rsid w:val="00E90983"/>
    <w:rsid w:val="00E916DB"/>
    <w:rsid w:val="00E924DE"/>
    <w:rsid w:val="00E931F2"/>
    <w:rsid w:val="00E93216"/>
    <w:rsid w:val="00E9359D"/>
    <w:rsid w:val="00E93ACE"/>
    <w:rsid w:val="00E94273"/>
    <w:rsid w:val="00E9450A"/>
    <w:rsid w:val="00E94C3F"/>
    <w:rsid w:val="00E9512A"/>
    <w:rsid w:val="00E96CA0"/>
    <w:rsid w:val="00E96F70"/>
    <w:rsid w:val="00E97068"/>
    <w:rsid w:val="00E972B5"/>
    <w:rsid w:val="00E97521"/>
    <w:rsid w:val="00E9771A"/>
    <w:rsid w:val="00EA0248"/>
    <w:rsid w:val="00EA15FC"/>
    <w:rsid w:val="00EA1ED0"/>
    <w:rsid w:val="00EA289D"/>
    <w:rsid w:val="00EA3206"/>
    <w:rsid w:val="00EA32B6"/>
    <w:rsid w:val="00EA37F8"/>
    <w:rsid w:val="00EA4360"/>
    <w:rsid w:val="00EA4450"/>
    <w:rsid w:val="00EA465A"/>
    <w:rsid w:val="00EA4D19"/>
    <w:rsid w:val="00EA5932"/>
    <w:rsid w:val="00EA5AC6"/>
    <w:rsid w:val="00EA5D7D"/>
    <w:rsid w:val="00EA63E5"/>
    <w:rsid w:val="00EA653A"/>
    <w:rsid w:val="00EA6646"/>
    <w:rsid w:val="00EA734D"/>
    <w:rsid w:val="00EA7685"/>
    <w:rsid w:val="00EA78F9"/>
    <w:rsid w:val="00EA7B7F"/>
    <w:rsid w:val="00EA7D1C"/>
    <w:rsid w:val="00EB04C8"/>
    <w:rsid w:val="00EB0A22"/>
    <w:rsid w:val="00EB10DB"/>
    <w:rsid w:val="00EB1150"/>
    <w:rsid w:val="00EB128F"/>
    <w:rsid w:val="00EB1AC3"/>
    <w:rsid w:val="00EB1B15"/>
    <w:rsid w:val="00EB1C37"/>
    <w:rsid w:val="00EB2317"/>
    <w:rsid w:val="00EB284D"/>
    <w:rsid w:val="00EB35F0"/>
    <w:rsid w:val="00EB3A7B"/>
    <w:rsid w:val="00EB3C5A"/>
    <w:rsid w:val="00EB42F6"/>
    <w:rsid w:val="00EB4346"/>
    <w:rsid w:val="00EB43BB"/>
    <w:rsid w:val="00EB47E7"/>
    <w:rsid w:val="00EB4B43"/>
    <w:rsid w:val="00EB4F07"/>
    <w:rsid w:val="00EB56AE"/>
    <w:rsid w:val="00EB6125"/>
    <w:rsid w:val="00EB6389"/>
    <w:rsid w:val="00EB658E"/>
    <w:rsid w:val="00EB66DA"/>
    <w:rsid w:val="00EB78E0"/>
    <w:rsid w:val="00EB79CF"/>
    <w:rsid w:val="00EB7D35"/>
    <w:rsid w:val="00EB7E50"/>
    <w:rsid w:val="00EC0135"/>
    <w:rsid w:val="00EC0475"/>
    <w:rsid w:val="00EC04CC"/>
    <w:rsid w:val="00EC0A38"/>
    <w:rsid w:val="00EC0E0C"/>
    <w:rsid w:val="00EC1516"/>
    <w:rsid w:val="00EC1A79"/>
    <w:rsid w:val="00EC1E5C"/>
    <w:rsid w:val="00EC2248"/>
    <w:rsid w:val="00EC2480"/>
    <w:rsid w:val="00EC27E9"/>
    <w:rsid w:val="00EC292D"/>
    <w:rsid w:val="00EC2B3E"/>
    <w:rsid w:val="00EC2D02"/>
    <w:rsid w:val="00EC2D9D"/>
    <w:rsid w:val="00EC3CA3"/>
    <w:rsid w:val="00EC4046"/>
    <w:rsid w:val="00EC4467"/>
    <w:rsid w:val="00EC46B0"/>
    <w:rsid w:val="00EC4B8D"/>
    <w:rsid w:val="00EC4E0C"/>
    <w:rsid w:val="00EC4E5F"/>
    <w:rsid w:val="00EC60A5"/>
    <w:rsid w:val="00EC6C55"/>
    <w:rsid w:val="00EC6CBF"/>
    <w:rsid w:val="00EC6E95"/>
    <w:rsid w:val="00EC7636"/>
    <w:rsid w:val="00EC78E3"/>
    <w:rsid w:val="00EC7D0C"/>
    <w:rsid w:val="00ED0432"/>
    <w:rsid w:val="00ED0464"/>
    <w:rsid w:val="00ED0478"/>
    <w:rsid w:val="00ED0669"/>
    <w:rsid w:val="00ED08B5"/>
    <w:rsid w:val="00ED101A"/>
    <w:rsid w:val="00ED1126"/>
    <w:rsid w:val="00ED1412"/>
    <w:rsid w:val="00ED1E9E"/>
    <w:rsid w:val="00ED2C93"/>
    <w:rsid w:val="00ED3415"/>
    <w:rsid w:val="00ED3D5A"/>
    <w:rsid w:val="00ED3F64"/>
    <w:rsid w:val="00ED478E"/>
    <w:rsid w:val="00ED4F12"/>
    <w:rsid w:val="00ED54A9"/>
    <w:rsid w:val="00ED5A67"/>
    <w:rsid w:val="00ED647A"/>
    <w:rsid w:val="00ED721E"/>
    <w:rsid w:val="00ED73CF"/>
    <w:rsid w:val="00ED7668"/>
    <w:rsid w:val="00ED795A"/>
    <w:rsid w:val="00ED7A9B"/>
    <w:rsid w:val="00ED7B33"/>
    <w:rsid w:val="00ED7CFA"/>
    <w:rsid w:val="00ED7DC3"/>
    <w:rsid w:val="00ED7E85"/>
    <w:rsid w:val="00EE0279"/>
    <w:rsid w:val="00EE08BC"/>
    <w:rsid w:val="00EE13DA"/>
    <w:rsid w:val="00EE1805"/>
    <w:rsid w:val="00EE2532"/>
    <w:rsid w:val="00EE26B8"/>
    <w:rsid w:val="00EE29D0"/>
    <w:rsid w:val="00EE2F7F"/>
    <w:rsid w:val="00EE3738"/>
    <w:rsid w:val="00EE385A"/>
    <w:rsid w:val="00EE3B64"/>
    <w:rsid w:val="00EE3D59"/>
    <w:rsid w:val="00EE3D67"/>
    <w:rsid w:val="00EE45B3"/>
    <w:rsid w:val="00EE4C28"/>
    <w:rsid w:val="00EE50F1"/>
    <w:rsid w:val="00EE56C5"/>
    <w:rsid w:val="00EE587B"/>
    <w:rsid w:val="00EE5AD9"/>
    <w:rsid w:val="00EE5B5D"/>
    <w:rsid w:val="00EE70A3"/>
    <w:rsid w:val="00EE710D"/>
    <w:rsid w:val="00EE7408"/>
    <w:rsid w:val="00EE743F"/>
    <w:rsid w:val="00EE7A88"/>
    <w:rsid w:val="00EE7FBA"/>
    <w:rsid w:val="00EF0241"/>
    <w:rsid w:val="00EF09A2"/>
    <w:rsid w:val="00EF0A73"/>
    <w:rsid w:val="00EF0DB4"/>
    <w:rsid w:val="00EF0F82"/>
    <w:rsid w:val="00EF0FEB"/>
    <w:rsid w:val="00EF11D6"/>
    <w:rsid w:val="00EF1938"/>
    <w:rsid w:val="00EF1DCC"/>
    <w:rsid w:val="00EF1E08"/>
    <w:rsid w:val="00EF26B5"/>
    <w:rsid w:val="00EF29DC"/>
    <w:rsid w:val="00EF300B"/>
    <w:rsid w:val="00EF34B2"/>
    <w:rsid w:val="00EF3560"/>
    <w:rsid w:val="00EF36D4"/>
    <w:rsid w:val="00EF390F"/>
    <w:rsid w:val="00EF39ED"/>
    <w:rsid w:val="00EF3FA7"/>
    <w:rsid w:val="00EF4B2F"/>
    <w:rsid w:val="00EF51F8"/>
    <w:rsid w:val="00EF588B"/>
    <w:rsid w:val="00EF5C38"/>
    <w:rsid w:val="00EF5D54"/>
    <w:rsid w:val="00EF6143"/>
    <w:rsid w:val="00EF633F"/>
    <w:rsid w:val="00EF6431"/>
    <w:rsid w:val="00EF6DA3"/>
    <w:rsid w:val="00EF754A"/>
    <w:rsid w:val="00EF77A1"/>
    <w:rsid w:val="00EF7C6B"/>
    <w:rsid w:val="00EF7F51"/>
    <w:rsid w:val="00F00676"/>
    <w:rsid w:val="00F006BD"/>
    <w:rsid w:val="00F00794"/>
    <w:rsid w:val="00F00F25"/>
    <w:rsid w:val="00F01833"/>
    <w:rsid w:val="00F01D90"/>
    <w:rsid w:val="00F0280B"/>
    <w:rsid w:val="00F02901"/>
    <w:rsid w:val="00F051C5"/>
    <w:rsid w:val="00F05328"/>
    <w:rsid w:val="00F05E4C"/>
    <w:rsid w:val="00F05E9D"/>
    <w:rsid w:val="00F065AA"/>
    <w:rsid w:val="00F06944"/>
    <w:rsid w:val="00F06A0A"/>
    <w:rsid w:val="00F0701B"/>
    <w:rsid w:val="00F07068"/>
    <w:rsid w:val="00F07157"/>
    <w:rsid w:val="00F072A5"/>
    <w:rsid w:val="00F07363"/>
    <w:rsid w:val="00F07AD3"/>
    <w:rsid w:val="00F07BDA"/>
    <w:rsid w:val="00F07E68"/>
    <w:rsid w:val="00F10E80"/>
    <w:rsid w:val="00F10FB3"/>
    <w:rsid w:val="00F11799"/>
    <w:rsid w:val="00F1186C"/>
    <w:rsid w:val="00F119CB"/>
    <w:rsid w:val="00F127E8"/>
    <w:rsid w:val="00F12ADB"/>
    <w:rsid w:val="00F12BFA"/>
    <w:rsid w:val="00F13062"/>
    <w:rsid w:val="00F130AC"/>
    <w:rsid w:val="00F138AB"/>
    <w:rsid w:val="00F142E4"/>
    <w:rsid w:val="00F143CC"/>
    <w:rsid w:val="00F14567"/>
    <w:rsid w:val="00F147F7"/>
    <w:rsid w:val="00F14909"/>
    <w:rsid w:val="00F14FD3"/>
    <w:rsid w:val="00F150FE"/>
    <w:rsid w:val="00F15ECE"/>
    <w:rsid w:val="00F161E1"/>
    <w:rsid w:val="00F16626"/>
    <w:rsid w:val="00F17202"/>
    <w:rsid w:val="00F17927"/>
    <w:rsid w:val="00F17FA0"/>
    <w:rsid w:val="00F201D3"/>
    <w:rsid w:val="00F20458"/>
    <w:rsid w:val="00F20872"/>
    <w:rsid w:val="00F20A5C"/>
    <w:rsid w:val="00F20DEC"/>
    <w:rsid w:val="00F211DC"/>
    <w:rsid w:val="00F2175E"/>
    <w:rsid w:val="00F21832"/>
    <w:rsid w:val="00F21DDA"/>
    <w:rsid w:val="00F23391"/>
    <w:rsid w:val="00F23436"/>
    <w:rsid w:val="00F237D1"/>
    <w:rsid w:val="00F24A85"/>
    <w:rsid w:val="00F24DB8"/>
    <w:rsid w:val="00F255AB"/>
    <w:rsid w:val="00F26B31"/>
    <w:rsid w:val="00F27353"/>
    <w:rsid w:val="00F27D0B"/>
    <w:rsid w:val="00F30219"/>
    <w:rsid w:val="00F30596"/>
    <w:rsid w:val="00F30924"/>
    <w:rsid w:val="00F30C09"/>
    <w:rsid w:val="00F31315"/>
    <w:rsid w:val="00F31867"/>
    <w:rsid w:val="00F31EAD"/>
    <w:rsid w:val="00F31EF3"/>
    <w:rsid w:val="00F32403"/>
    <w:rsid w:val="00F32450"/>
    <w:rsid w:val="00F32973"/>
    <w:rsid w:val="00F32C65"/>
    <w:rsid w:val="00F32D0E"/>
    <w:rsid w:val="00F3304C"/>
    <w:rsid w:val="00F3382F"/>
    <w:rsid w:val="00F34273"/>
    <w:rsid w:val="00F343D5"/>
    <w:rsid w:val="00F34630"/>
    <w:rsid w:val="00F34AE1"/>
    <w:rsid w:val="00F34CCF"/>
    <w:rsid w:val="00F34EF1"/>
    <w:rsid w:val="00F35E05"/>
    <w:rsid w:val="00F35E4F"/>
    <w:rsid w:val="00F366FE"/>
    <w:rsid w:val="00F37AAA"/>
    <w:rsid w:val="00F40A76"/>
    <w:rsid w:val="00F40B61"/>
    <w:rsid w:val="00F4104B"/>
    <w:rsid w:val="00F423EA"/>
    <w:rsid w:val="00F42669"/>
    <w:rsid w:val="00F42693"/>
    <w:rsid w:val="00F4330B"/>
    <w:rsid w:val="00F43705"/>
    <w:rsid w:val="00F446FE"/>
    <w:rsid w:val="00F44914"/>
    <w:rsid w:val="00F44AF8"/>
    <w:rsid w:val="00F44CA0"/>
    <w:rsid w:val="00F45044"/>
    <w:rsid w:val="00F454F7"/>
    <w:rsid w:val="00F46134"/>
    <w:rsid w:val="00F464DB"/>
    <w:rsid w:val="00F46EC3"/>
    <w:rsid w:val="00F4746E"/>
    <w:rsid w:val="00F47762"/>
    <w:rsid w:val="00F47797"/>
    <w:rsid w:val="00F50260"/>
    <w:rsid w:val="00F5052D"/>
    <w:rsid w:val="00F50674"/>
    <w:rsid w:val="00F5082F"/>
    <w:rsid w:val="00F5105C"/>
    <w:rsid w:val="00F5139D"/>
    <w:rsid w:val="00F51BA6"/>
    <w:rsid w:val="00F525E9"/>
    <w:rsid w:val="00F52B75"/>
    <w:rsid w:val="00F52DA8"/>
    <w:rsid w:val="00F5329F"/>
    <w:rsid w:val="00F53B5D"/>
    <w:rsid w:val="00F54414"/>
    <w:rsid w:val="00F544D6"/>
    <w:rsid w:val="00F545F1"/>
    <w:rsid w:val="00F545F5"/>
    <w:rsid w:val="00F54FAA"/>
    <w:rsid w:val="00F5508C"/>
    <w:rsid w:val="00F55183"/>
    <w:rsid w:val="00F55345"/>
    <w:rsid w:val="00F5580B"/>
    <w:rsid w:val="00F55EED"/>
    <w:rsid w:val="00F55F65"/>
    <w:rsid w:val="00F56015"/>
    <w:rsid w:val="00F56130"/>
    <w:rsid w:val="00F5619D"/>
    <w:rsid w:val="00F56AD4"/>
    <w:rsid w:val="00F56D4B"/>
    <w:rsid w:val="00F572CD"/>
    <w:rsid w:val="00F6083C"/>
    <w:rsid w:val="00F609AB"/>
    <w:rsid w:val="00F60BD1"/>
    <w:rsid w:val="00F60F65"/>
    <w:rsid w:val="00F60F67"/>
    <w:rsid w:val="00F6145B"/>
    <w:rsid w:val="00F61801"/>
    <w:rsid w:val="00F625C2"/>
    <w:rsid w:val="00F62828"/>
    <w:rsid w:val="00F62CD6"/>
    <w:rsid w:val="00F62FD9"/>
    <w:rsid w:val="00F63DBF"/>
    <w:rsid w:val="00F63DE9"/>
    <w:rsid w:val="00F644A2"/>
    <w:rsid w:val="00F649A9"/>
    <w:rsid w:val="00F66EA5"/>
    <w:rsid w:val="00F66FFE"/>
    <w:rsid w:val="00F670F4"/>
    <w:rsid w:val="00F6719F"/>
    <w:rsid w:val="00F674DB"/>
    <w:rsid w:val="00F67A86"/>
    <w:rsid w:val="00F67BC8"/>
    <w:rsid w:val="00F709BB"/>
    <w:rsid w:val="00F70EBF"/>
    <w:rsid w:val="00F720D2"/>
    <w:rsid w:val="00F726B9"/>
    <w:rsid w:val="00F72A17"/>
    <w:rsid w:val="00F72A54"/>
    <w:rsid w:val="00F7306A"/>
    <w:rsid w:val="00F732AB"/>
    <w:rsid w:val="00F73C2D"/>
    <w:rsid w:val="00F73D65"/>
    <w:rsid w:val="00F73F13"/>
    <w:rsid w:val="00F741CE"/>
    <w:rsid w:val="00F74254"/>
    <w:rsid w:val="00F7476A"/>
    <w:rsid w:val="00F74807"/>
    <w:rsid w:val="00F74B77"/>
    <w:rsid w:val="00F74B82"/>
    <w:rsid w:val="00F757CC"/>
    <w:rsid w:val="00F75881"/>
    <w:rsid w:val="00F75C69"/>
    <w:rsid w:val="00F76256"/>
    <w:rsid w:val="00F764F6"/>
    <w:rsid w:val="00F765DF"/>
    <w:rsid w:val="00F76F10"/>
    <w:rsid w:val="00F77411"/>
    <w:rsid w:val="00F77667"/>
    <w:rsid w:val="00F77B53"/>
    <w:rsid w:val="00F77EC1"/>
    <w:rsid w:val="00F801F0"/>
    <w:rsid w:val="00F80246"/>
    <w:rsid w:val="00F803D5"/>
    <w:rsid w:val="00F80988"/>
    <w:rsid w:val="00F80C37"/>
    <w:rsid w:val="00F80F47"/>
    <w:rsid w:val="00F8180C"/>
    <w:rsid w:val="00F818CB"/>
    <w:rsid w:val="00F82240"/>
    <w:rsid w:val="00F82294"/>
    <w:rsid w:val="00F8231E"/>
    <w:rsid w:val="00F82545"/>
    <w:rsid w:val="00F82A46"/>
    <w:rsid w:val="00F82CA3"/>
    <w:rsid w:val="00F82CC1"/>
    <w:rsid w:val="00F83072"/>
    <w:rsid w:val="00F8332A"/>
    <w:rsid w:val="00F833DB"/>
    <w:rsid w:val="00F840AC"/>
    <w:rsid w:val="00F843A7"/>
    <w:rsid w:val="00F844D4"/>
    <w:rsid w:val="00F84797"/>
    <w:rsid w:val="00F85360"/>
    <w:rsid w:val="00F85438"/>
    <w:rsid w:val="00F85788"/>
    <w:rsid w:val="00F8589A"/>
    <w:rsid w:val="00F85AFA"/>
    <w:rsid w:val="00F85B8E"/>
    <w:rsid w:val="00F85EDE"/>
    <w:rsid w:val="00F86B53"/>
    <w:rsid w:val="00F86CD2"/>
    <w:rsid w:val="00F876F2"/>
    <w:rsid w:val="00F905D8"/>
    <w:rsid w:val="00F90755"/>
    <w:rsid w:val="00F9083D"/>
    <w:rsid w:val="00F90F2A"/>
    <w:rsid w:val="00F918DB"/>
    <w:rsid w:val="00F91C4F"/>
    <w:rsid w:val="00F91C5E"/>
    <w:rsid w:val="00F91E15"/>
    <w:rsid w:val="00F92318"/>
    <w:rsid w:val="00F9304A"/>
    <w:rsid w:val="00F93123"/>
    <w:rsid w:val="00F931FE"/>
    <w:rsid w:val="00F9333F"/>
    <w:rsid w:val="00F934B1"/>
    <w:rsid w:val="00F936D9"/>
    <w:rsid w:val="00F938F1"/>
    <w:rsid w:val="00F93F69"/>
    <w:rsid w:val="00F9425B"/>
    <w:rsid w:val="00F94A96"/>
    <w:rsid w:val="00F94EBE"/>
    <w:rsid w:val="00F95161"/>
    <w:rsid w:val="00F9535C"/>
    <w:rsid w:val="00F95462"/>
    <w:rsid w:val="00F95585"/>
    <w:rsid w:val="00F95989"/>
    <w:rsid w:val="00F95DF9"/>
    <w:rsid w:val="00F976B8"/>
    <w:rsid w:val="00F97DDE"/>
    <w:rsid w:val="00FA0A88"/>
    <w:rsid w:val="00FA0E5E"/>
    <w:rsid w:val="00FA0E96"/>
    <w:rsid w:val="00FA11E3"/>
    <w:rsid w:val="00FA1944"/>
    <w:rsid w:val="00FA1A66"/>
    <w:rsid w:val="00FA2063"/>
    <w:rsid w:val="00FA20C2"/>
    <w:rsid w:val="00FA21E2"/>
    <w:rsid w:val="00FA25FC"/>
    <w:rsid w:val="00FA2991"/>
    <w:rsid w:val="00FA2A0A"/>
    <w:rsid w:val="00FA2D2C"/>
    <w:rsid w:val="00FA307F"/>
    <w:rsid w:val="00FA35A0"/>
    <w:rsid w:val="00FA3669"/>
    <w:rsid w:val="00FA4190"/>
    <w:rsid w:val="00FA4794"/>
    <w:rsid w:val="00FA5E14"/>
    <w:rsid w:val="00FA600A"/>
    <w:rsid w:val="00FA66ED"/>
    <w:rsid w:val="00FA6FCA"/>
    <w:rsid w:val="00FA74B4"/>
    <w:rsid w:val="00FA7A1D"/>
    <w:rsid w:val="00FA7C5A"/>
    <w:rsid w:val="00FB0374"/>
    <w:rsid w:val="00FB09A9"/>
    <w:rsid w:val="00FB09EC"/>
    <w:rsid w:val="00FB192A"/>
    <w:rsid w:val="00FB1FDC"/>
    <w:rsid w:val="00FB234D"/>
    <w:rsid w:val="00FB2A38"/>
    <w:rsid w:val="00FB2DBE"/>
    <w:rsid w:val="00FB2E90"/>
    <w:rsid w:val="00FB3524"/>
    <w:rsid w:val="00FB395F"/>
    <w:rsid w:val="00FB3B30"/>
    <w:rsid w:val="00FB4E62"/>
    <w:rsid w:val="00FB52D3"/>
    <w:rsid w:val="00FB5B91"/>
    <w:rsid w:val="00FB6100"/>
    <w:rsid w:val="00FB6D66"/>
    <w:rsid w:val="00FB73A1"/>
    <w:rsid w:val="00FB73E4"/>
    <w:rsid w:val="00FB747D"/>
    <w:rsid w:val="00FB7983"/>
    <w:rsid w:val="00FB79A3"/>
    <w:rsid w:val="00FB7B38"/>
    <w:rsid w:val="00FC0012"/>
    <w:rsid w:val="00FC0C70"/>
    <w:rsid w:val="00FC0E59"/>
    <w:rsid w:val="00FC1B34"/>
    <w:rsid w:val="00FC1CE7"/>
    <w:rsid w:val="00FC2AE1"/>
    <w:rsid w:val="00FC2EE9"/>
    <w:rsid w:val="00FC3208"/>
    <w:rsid w:val="00FC337F"/>
    <w:rsid w:val="00FC4962"/>
    <w:rsid w:val="00FC49F9"/>
    <w:rsid w:val="00FC4C83"/>
    <w:rsid w:val="00FC4D43"/>
    <w:rsid w:val="00FC4EE7"/>
    <w:rsid w:val="00FC5662"/>
    <w:rsid w:val="00FC583C"/>
    <w:rsid w:val="00FC5C39"/>
    <w:rsid w:val="00FC5C4C"/>
    <w:rsid w:val="00FC5CC0"/>
    <w:rsid w:val="00FC5E80"/>
    <w:rsid w:val="00FC60A5"/>
    <w:rsid w:val="00FC63B5"/>
    <w:rsid w:val="00FC6736"/>
    <w:rsid w:val="00FC6A1A"/>
    <w:rsid w:val="00FC6A84"/>
    <w:rsid w:val="00FC71DE"/>
    <w:rsid w:val="00FC78A1"/>
    <w:rsid w:val="00FC7B38"/>
    <w:rsid w:val="00FC7DC7"/>
    <w:rsid w:val="00FC7F2B"/>
    <w:rsid w:val="00FD03EB"/>
    <w:rsid w:val="00FD06D9"/>
    <w:rsid w:val="00FD06F3"/>
    <w:rsid w:val="00FD0EB7"/>
    <w:rsid w:val="00FD138C"/>
    <w:rsid w:val="00FD14FE"/>
    <w:rsid w:val="00FD1F65"/>
    <w:rsid w:val="00FD208C"/>
    <w:rsid w:val="00FD28BF"/>
    <w:rsid w:val="00FD392F"/>
    <w:rsid w:val="00FD3BCF"/>
    <w:rsid w:val="00FD4409"/>
    <w:rsid w:val="00FD45E2"/>
    <w:rsid w:val="00FD4E49"/>
    <w:rsid w:val="00FD5420"/>
    <w:rsid w:val="00FD592F"/>
    <w:rsid w:val="00FD5C63"/>
    <w:rsid w:val="00FD62EE"/>
    <w:rsid w:val="00FD62F6"/>
    <w:rsid w:val="00FD66C8"/>
    <w:rsid w:val="00FD6966"/>
    <w:rsid w:val="00FD7877"/>
    <w:rsid w:val="00FD7909"/>
    <w:rsid w:val="00FD7E19"/>
    <w:rsid w:val="00FE0625"/>
    <w:rsid w:val="00FE0EE1"/>
    <w:rsid w:val="00FE131D"/>
    <w:rsid w:val="00FE1824"/>
    <w:rsid w:val="00FE1AB9"/>
    <w:rsid w:val="00FE1B16"/>
    <w:rsid w:val="00FE1B18"/>
    <w:rsid w:val="00FE1B23"/>
    <w:rsid w:val="00FE1C50"/>
    <w:rsid w:val="00FE275A"/>
    <w:rsid w:val="00FE2EA5"/>
    <w:rsid w:val="00FE3526"/>
    <w:rsid w:val="00FE3B6A"/>
    <w:rsid w:val="00FE40FD"/>
    <w:rsid w:val="00FE4A11"/>
    <w:rsid w:val="00FE523D"/>
    <w:rsid w:val="00FE53A3"/>
    <w:rsid w:val="00FE5A16"/>
    <w:rsid w:val="00FE6D72"/>
    <w:rsid w:val="00FE6E67"/>
    <w:rsid w:val="00FF0047"/>
    <w:rsid w:val="00FF026C"/>
    <w:rsid w:val="00FF028D"/>
    <w:rsid w:val="00FF055F"/>
    <w:rsid w:val="00FF05E2"/>
    <w:rsid w:val="00FF0809"/>
    <w:rsid w:val="00FF0824"/>
    <w:rsid w:val="00FF084F"/>
    <w:rsid w:val="00FF0924"/>
    <w:rsid w:val="00FF1042"/>
    <w:rsid w:val="00FF145B"/>
    <w:rsid w:val="00FF27B8"/>
    <w:rsid w:val="00FF2C4F"/>
    <w:rsid w:val="00FF2DC0"/>
    <w:rsid w:val="00FF30DF"/>
    <w:rsid w:val="00FF3393"/>
    <w:rsid w:val="00FF3417"/>
    <w:rsid w:val="00FF3961"/>
    <w:rsid w:val="00FF42E9"/>
    <w:rsid w:val="00FF4809"/>
    <w:rsid w:val="00FF4AA6"/>
    <w:rsid w:val="00FF5119"/>
    <w:rsid w:val="00FF5B56"/>
    <w:rsid w:val="00FF6A2A"/>
    <w:rsid w:val="00FF6D59"/>
    <w:rsid w:val="00FF7436"/>
    <w:rsid w:val="00FF75DF"/>
    <w:rsid w:val="00FF7690"/>
    <w:rsid w:val="00FF7AC3"/>
    <w:rsid w:val="00FF7E14"/>
    <w:rsid w:val="00FF7F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57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40" w:after="120"/>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qFormat="1"/>
    <w:lsdException w:name="heading 5" w:locked="0" w:semiHidden="1" w:uiPriority="9"/>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98" w:unhideWhenUsed="1"/>
    <w:lsdException w:name="envelope return" w:semiHidden="1" w:uiPriority="98"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uiPriority="9"/>
    <w:lsdException w:name="List Bullet" w:locked="0" w:semiHidden="1" w:unhideWhenUsed="1" w:qFormat="1"/>
    <w:lsdException w:name="List Number" w:locked="0" w:semiHidden="1" w:uiPriority="5"/>
    <w:lsdException w:name="List 2" w:locked="0" w:semiHidden="1" w:uiPriority="9" w:unhideWhenUsed="1"/>
    <w:lsdException w:name="List 3" w:locked="0" w:semiHidden="1" w:uiPriority="9" w:unhideWhenUsed="1"/>
    <w:lsdException w:name="List 4" w:semiHidden="1" w:uiPriority="6" w:unhideWhenUsed="1"/>
    <w:lsdException w:name="List 5" w:semiHidden="1" w:uiPriority="6" w:unhideWhenUsed="1"/>
    <w:lsdException w:name="List Bullet 2" w:locked="0" w:semiHidden="1" w:uiPriority="5" w:unhideWhenUsed="1"/>
    <w:lsdException w:name="List Bullet 3" w:locked="0" w:semiHidden="1" w:uiPriority="5" w:unhideWhenUsed="1"/>
    <w:lsdException w:name="List Bullet 4" w:locked="0" w:semiHidden="1" w:uiPriority="9" w:unhideWhenUsed="1"/>
    <w:lsdException w:name="List Bullet 5" w:locked="0" w:semiHidden="1" w:uiPriority="9" w:unhideWhenUsed="1"/>
    <w:lsdException w:name="List Number 2" w:locked="0" w:semiHidden="1" w:uiPriority="5" w:unhideWhenUsed="1"/>
    <w:lsdException w:name="List Number 3" w:locked="0" w:semiHidden="1" w:uiPriority="5" w:unhideWhenUsed="1"/>
    <w:lsdException w:name="List Number 4" w:locked="0" w:semiHidden="1" w:unhideWhenUsed="1"/>
    <w:lsdException w:name="List Number 5" w:locked="0" w:semiHidden="1" w:unhideWhenUsed="1"/>
    <w:lsdException w:name="Title" w:locked="0" w:uiPriority="10"/>
    <w:lsdException w:name="Closing" w:semiHidden="1" w:uiPriority="98" w:unhideWhenUsed="1"/>
    <w:lsdException w:name="Signature" w:locked="0" w:semiHidden="1" w:unhideWhenUsed="1"/>
    <w:lsdException w:name="Default Paragraph Font" w:locked="0" w:semiHidden="1" w:uiPriority="1" w:unhideWhenUsed="1"/>
    <w:lsdException w:name="Body Text" w:locked="0" w:semiHidden="1" w:uiPriority="98" w:unhideWhenUsed="1" w:qFormat="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semiHidden="1"/>
    <w:lsdException w:name="Date" w:locked="0" w:semiHidden="1"/>
    <w:lsdException w:name="Body Text First Indent" w:semiHidden="1" w:uiPriority="98"/>
    <w:lsdException w:name="Body Text First Indent 2" w:semiHidden="1" w:uiPriority="98" w:unhideWhenUsed="1"/>
    <w:lsdException w:name="Note Heading" w:semiHidden="1" w:unhideWhenUsed="1"/>
    <w:lsdException w:name="Body Text 2" w:locked="0" w:semiHidden="1" w:unhideWhenUsed="1"/>
    <w:lsdException w:name="Body Text 3" w:locked="0" w:semiHidden="1" w:unhideWhenUsed="1"/>
    <w:lsdException w:name="Body Text Indent 2" w:semiHidden="1" w:uiPriority="98" w:unhideWhenUsed="1"/>
    <w:lsdException w:name="Body Text Indent 3" w:semiHidden="1" w:uiPriority="98" w:unhideWhenUsed="1"/>
    <w:lsdException w:name="Block Text" w:semiHidden="1" w:uiPriority="98" w:unhideWhenUsed="1"/>
    <w:lsdException w:name="Hyperlink" w:locked="0" w:semiHidden="1" w:unhideWhenUsed="1"/>
    <w:lsdException w:name="FollowedHyperlink" w:locked="0" w:semiHidden="1" w:unhideWhenUsed="1"/>
    <w:lsdException w:name="Strong" w:semiHidden="1" w:uiPriority="22" w:qFormat="1"/>
    <w:lsdException w:name="Emphasis" w:locked="0" w:uiPriority="20"/>
    <w:lsdException w:name="Document Map" w:semiHidden="1" w:uiPriority="98" w:unhideWhenUsed="1"/>
    <w:lsdException w:name="Plain Text" w:semiHidden="1" w:unhideWhenUsed="1"/>
    <w:lsdException w:name="E-mail Signature" w:semiHidden="1" w:uiPriority="98"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8"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semiHidden="1"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83435D"/>
    <w:pPr>
      <w:spacing w:before="0" w:after="0"/>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656D85"/>
    <w:pPr>
      <w:keepNext/>
      <w:keepLines/>
      <w:numPr>
        <w:numId w:val="14"/>
      </w:numPr>
      <w:spacing w:before="360" w:after="120"/>
      <w:outlineLvl w:val="0"/>
    </w:pPr>
    <w:rPr>
      <w:rFonts w:asciiTheme="majorHAnsi" w:eastAsiaTheme="majorEastAsia" w:hAnsiTheme="majorHAnsi" w:cstheme="majorBidi"/>
      <w:bCs/>
      <w:color w:val="35615E" w:themeColor="accent1" w:themeShade="BF"/>
      <w:sz w:val="36"/>
      <w:szCs w:val="32"/>
    </w:rPr>
  </w:style>
  <w:style w:type="paragraph" w:styleId="Heading2">
    <w:name w:val="heading 2"/>
    <w:basedOn w:val="Normal"/>
    <w:next w:val="Normal"/>
    <w:link w:val="Heading2Char"/>
    <w:uiPriority w:val="9"/>
    <w:unhideWhenUsed/>
    <w:qFormat/>
    <w:locked/>
    <w:rsid w:val="00656D85"/>
    <w:pPr>
      <w:keepNext/>
      <w:keepLines/>
      <w:numPr>
        <w:ilvl w:val="1"/>
        <w:numId w:val="14"/>
      </w:numPr>
      <w:spacing w:before="240" w:after="120"/>
      <w:outlineLvl w:val="1"/>
    </w:pPr>
    <w:rPr>
      <w:rFonts w:asciiTheme="majorHAnsi" w:eastAsiaTheme="majorEastAsia" w:hAnsiTheme="majorHAnsi" w:cstheme="majorBidi"/>
      <w:bCs/>
      <w:color w:val="35615E" w:themeColor="accent1" w:themeShade="BF"/>
      <w:sz w:val="28"/>
      <w:szCs w:val="28"/>
    </w:rPr>
  </w:style>
  <w:style w:type="paragraph" w:styleId="Heading3">
    <w:name w:val="heading 3"/>
    <w:basedOn w:val="Normal"/>
    <w:next w:val="Normal"/>
    <w:link w:val="Heading3Char"/>
    <w:uiPriority w:val="9"/>
    <w:unhideWhenUsed/>
    <w:qFormat/>
    <w:locked/>
    <w:rsid w:val="00656D85"/>
    <w:pPr>
      <w:keepNext/>
      <w:keepLines/>
      <w:numPr>
        <w:ilvl w:val="2"/>
        <w:numId w:val="14"/>
      </w:numPr>
      <w:spacing w:before="240" w:after="120"/>
      <w:outlineLvl w:val="2"/>
    </w:pPr>
    <w:rPr>
      <w:rFonts w:asciiTheme="majorHAnsi" w:eastAsiaTheme="majorEastAsia" w:hAnsiTheme="majorHAnsi" w:cstheme="majorBidi"/>
      <w:b/>
      <w:bCs/>
      <w:color w:val="35615E" w:themeColor="accent1" w:themeShade="BF"/>
    </w:rPr>
  </w:style>
  <w:style w:type="paragraph" w:styleId="Heading4">
    <w:name w:val="heading 4"/>
    <w:basedOn w:val="Normal"/>
    <w:next w:val="Normal"/>
    <w:link w:val="Heading4Char"/>
    <w:uiPriority w:val="9"/>
    <w:unhideWhenUsed/>
    <w:qFormat/>
    <w:locked/>
    <w:rsid w:val="00656D85"/>
    <w:pPr>
      <w:keepNext/>
      <w:keepLines/>
      <w:spacing w:before="240" w:after="120"/>
      <w:contextualSpacing/>
      <w:outlineLvl w:val="3"/>
    </w:pPr>
    <w:rPr>
      <w:rFonts w:asciiTheme="majorHAnsi" w:eastAsiaTheme="majorEastAsia" w:hAnsiTheme="majorHAnsi" w:cstheme="majorBidi"/>
      <w:b/>
      <w:color w:val="35615E" w:themeColor="accent1" w:themeShade="BF"/>
    </w:rPr>
  </w:style>
  <w:style w:type="paragraph" w:styleId="Heading5">
    <w:name w:val="heading 5"/>
    <w:basedOn w:val="Normal"/>
    <w:next w:val="Normal"/>
    <w:link w:val="Heading5Char"/>
    <w:uiPriority w:val="9"/>
    <w:unhideWhenUsed/>
    <w:locked/>
    <w:rsid w:val="00C37C16"/>
    <w:pPr>
      <w:keepNext/>
      <w:keepLines/>
      <w:numPr>
        <w:ilvl w:val="4"/>
        <w:numId w:val="14"/>
      </w:numPr>
      <w:spacing w:before="40"/>
      <w:outlineLvl w:val="4"/>
    </w:pPr>
    <w:rPr>
      <w:rFonts w:asciiTheme="majorHAnsi" w:eastAsiaTheme="majorEastAsia" w:hAnsiTheme="majorHAnsi" w:cstheme="majorBidi"/>
      <w:caps/>
      <w:color w:val="35615E" w:themeColor="accent1" w:themeShade="BF"/>
      <w:sz w:val="22"/>
      <w:szCs w:val="22"/>
    </w:rPr>
  </w:style>
  <w:style w:type="paragraph" w:styleId="Heading6">
    <w:name w:val="heading 6"/>
    <w:basedOn w:val="Normal"/>
    <w:next w:val="Normal"/>
    <w:link w:val="Heading6Char"/>
    <w:uiPriority w:val="9"/>
    <w:semiHidden/>
    <w:unhideWhenUsed/>
    <w:qFormat/>
    <w:locked/>
    <w:rsid w:val="00C37C16"/>
    <w:pPr>
      <w:keepNext/>
      <w:keepLines/>
      <w:numPr>
        <w:ilvl w:val="5"/>
        <w:numId w:val="14"/>
      </w:numPr>
      <w:spacing w:before="40"/>
      <w:outlineLvl w:val="5"/>
    </w:pPr>
    <w:rPr>
      <w:rFonts w:asciiTheme="majorHAnsi" w:eastAsiaTheme="majorEastAsia" w:hAnsiTheme="majorHAnsi" w:cstheme="majorBidi"/>
      <w:i/>
      <w:iCs/>
      <w:caps/>
      <w:color w:val="23413E" w:themeColor="accent1" w:themeShade="80"/>
      <w:sz w:val="22"/>
      <w:szCs w:val="22"/>
    </w:rPr>
  </w:style>
  <w:style w:type="paragraph" w:styleId="Heading7">
    <w:name w:val="heading 7"/>
    <w:basedOn w:val="Normal"/>
    <w:next w:val="Normal"/>
    <w:link w:val="Heading7Char"/>
    <w:uiPriority w:val="9"/>
    <w:semiHidden/>
    <w:unhideWhenUsed/>
    <w:qFormat/>
    <w:locked/>
    <w:rsid w:val="00C37C16"/>
    <w:pPr>
      <w:keepNext/>
      <w:keepLines/>
      <w:numPr>
        <w:ilvl w:val="6"/>
        <w:numId w:val="14"/>
      </w:numPr>
      <w:spacing w:before="40"/>
      <w:outlineLvl w:val="6"/>
    </w:pPr>
    <w:rPr>
      <w:rFonts w:asciiTheme="majorHAnsi" w:eastAsiaTheme="majorEastAsia" w:hAnsiTheme="majorHAnsi" w:cstheme="majorBidi"/>
      <w:b/>
      <w:bCs/>
      <w:color w:val="23413E" w:themeColor="accent1" w:themeShade="80"/>
      <w:sz w:val="22"/>
      <w:szCs w:val="22"/>
    </w:rPr>
  </w:style>
  <w:style w:type="paragraph" w:styleId="Heading8">
    <w:name w:val="heading 8"/>
    <w:basedOn w:val="Normal"/>
    <w:next w:val="Normal"/>
    <w:link w:val="Heading8Char"/>
    <w:uiPriority w:val="9"/>
    <w:semiHidden/>
    <w:unhideWhenUsed/>
    <w:qFormat/>
    <w:locked/>
    <w:rsid w:val="00C37C16"/>
    <w:pPr>
      <w:keepNext/>
      <w:keepLines/>
      <w:numPr>
        <w:ilvl w:val="7"/>
        <w:numId w:val="14"/>
      </w:numPr>
      <w:spacing w:before="40"/>
      <w:outlineLvl w:val="7"/>
    </w:pPr>
    <w:rPr>
      <w:rFonts w:asciiTheme="majorHAnsi" w:eastAsiaTheme="majorEastAsia" w:hAnsiTheme="majorHAnsi" w:cstheme="majorBidi"/>
      <w:b/>
      <w:bCs/>
      <w:i/>
      <w:iCs/>
      <w:color w:val="23413E" w:themeColor="accent1" w:themeShade="80"/>
      <w:sz w:val="22"/>
      <w:szCs w:val="22"/>
    </w:rPr>
  </w:style>
  <w:style w:type="paragraph" w:styleId="Heading9">
    <w:name w:val="heading 9"/>
    <w:basedOn w:val="Normal"/>
    <w:next w:val="Normal"/>
    <w:link w:val="Heading9Char"/>
    <w:uiPriority w:val="9"/>
    <w:semiHidden/>
    <w:unhideWhenUsed/>
    <w:qFormat/>
    <w:locked/>
    <w:rsid w:val="00C37C16"/>
    <w:pPr>
      <w:keepNext/>
      <w:keepLines/>
      <w:numPr>
        <w:ilvl w:val="8"/>
        <w:numId w:val="14"/>
      </w:numPr>
      <w:spacing w:before="40"/>
      <w:outlineLvl w:val="8"/>
    </w:pPr>
    <w:rPr>
      <w:rFonts w:asciiTheme="majorHAnsi" w:eastAsiaTheme="majorEastAsia" w:hAnsiTheme="majorHAnsi" w:cstheme="majorBidi"/>
      <w:i/>
      <w:iCs/>
      <w:color w:val="23413E"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locked/>
    <w:rsid w:val="00C95B23"/>
    <w:pPr>
      <w:tabs>
        <w:tab w:val="left" w:pos="567"/>
        <w:tab w:val="left" w:pos="1134"/>
        <w:tab w:val="right" w:leader="dot" w:pos="10204"/>
      </w:tabs>
      <w:spacing w:before="240" w:after="40"/>
      <w:ind w:left="567" w:hanging="567"/>
    </w:pPr>
    <w:rPr>
      <w:rFonts w:asciiTheme="minorHAnsi" w:eastAsiaTheme="minorEastAsia" w:hAnsiTheme="minorHAnsi" w:cstheme="minorBidi"/>
      <w:b/>
      <w:color w:val="000000" w:themeColor="text1"/>
      <w:szCs w:val="22"/>
    </w:rPr>
  </w:style>
  <w:style w:type="paragraph" w:styleId="TOC2">
    <w:name w:val="toc 2"/>
    <w:basedOn w:val="Normal"/>
    <w:next w:val="Normal"/>
    <w:uiPriority w:val="39"/>
    <w:locked/>
    <w:rsid w:val="00C95B23"/>
    <w:pPr>
      <w:tabs>
        <w:tab w:val="left" w:pos="567"/>
        <w:tab w:val="right" w:leader="dot" w:pos="10204"/>
      </w:tabs>
      <w:spacing w:after="120"/>
      <w:ind w:left="567" w:hanging="567"/>
    </w:pPr>
    <w:rPr>
      <w:rFonts w:asciiTheme="minorHAnsi" w:eastAsiaTheme="minorEastAsia" w:hAnsiTheme="minorHAnsi" w:cstheme="minorBidi"/>
      <w:szCs w:val="22"/>
    </w:rPr>
  </w:style>
  <w:style w:type="character" w:styleId="Hyperlink">
    <w:name w:val="Hyperlink"/>
    <w:basedOn w:val="DefaultParagraphFont"/>
    <w:uiPriority w:val="99"/>
    <w:locked/>
    <w:rsid w:val="009D72BD"/>
    <w:rPr>
      <w:b w:val="0"/>
      <w:color w:val="3D3C42" w:themeColor="text2"/>
      <w:u w:val="single"/>
    </w:rPr>
  </w:style>
  <w:style w:type="paragraph" w:customStyle="1" w:styleId="SignOff">
    <w:name w:val="Sign Off"/>
    <w:basedOn w:val="Normal"/>
    <w:uiPriority w:val="10"/>
    <w:semiHidden/>
    <w:rsid w:val="00BC264E"/>
    <w:pPr>
      <w:spacing w:before="488" w:after="120"/>
      <w:contextualSpacing/>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656D85"/>
    <w:rPr>
      <w:rFonts w:asciiTheme="majorHAnsi" w:eastAsiaTheme="majorEastAsia" w:hAnsiTheme="majorHAnsi" w:cstheme="majorBidi"/>
      <w:bCs/>
      <w:color w:val="35615E" w:themeColor="accent1" w:themeShade="BF"/>
      <w:sz w:val="36"/>
      <w:szCs w:val="32"/>
    </w:rPr>
  </w:style>
  <w:style w:type="character" w:customStyle="1" w:styleId="Heading2Char">
    <w:name w:val="Heading 2 Char"/>
    <w:basedOn w:val="DefaultParagraphFont"/>
    <w:link w:val="Heading2"/>
    <w:uiPriority w:val="9"/>
    <w:rsid w:val="00656D85"/>
    <w:rPr>
      <w:rFonts w:asciiTheme="majorHAnsi" w:eastAsiaTheme="majorEastAsia" w:hAnsiTheme="majorHAnsi" w:cstheme="majorBidi"/>
      <w:bCs/>
      <w:color w:val="35615E" w:themeColor="accent1" w:themeShade="BF"/>
      <w:sz w:val="28"/>
      <w:szCs w:val="28"/>
    </w:rPr>
  </w:style>
  <w:style w:type="character" w:customStyle="1" w:styleId="Heading3Char">
    <w:name w:val="Heading 3 Char"/>
    <w:basedOn w:val="DefaultParagraphFont"/>
    <w:link w:val="Heading3"/>
    <w:uiPriority w:val="9"/>
    <w:rsid w:val="00656D85"/>
    <w:rPr>
      <w:rFonts w:asciiTheme="majorHAnsi" w:eastAsiaTheme="majorEastAsia" w:hAnsiTheme="majorHAnsi" w:cstheme="majorBidi"/>
      <w:b/>
      <w:bCs/>
      <w:color w:val="35615E" w:themeColor="accent1" w:themeShade="BF"/>
      <w:sz w:val="20"/>
      <w:szCs w:val="24"/>
    </w:rPr>
  </w:style>
  <w:style w:type="paragraph" w:styleId="CommentText">
    <w:name w:val="annotation text"/>
    <w:basedOn w:val="Normal"/>
    <w:link w:val="CommentTextChar"/>
    <w:uiPriority w:val="99"/>
    <w:locked/>
    <w:rsid w:val="00C9293F"/>
    <w:pPr>
      <w:spacing w:before="40" w:after="120"/>
    </w:pPr>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uiPriority w:val="99"/>
    <w:rsid w:val="0083169D"/>
  </w:style>
  <w:style w:type="paragraph" w:styleId="Header">
    <w:name w:val="header"/>
    <w:basedOn w:val="Normal"/>
    <w:link w:val="HeaderChar"/>
    <w:uiPriority w:val="99"/>
    <w:locked/>
    <w:rsid w:val="00FE275A"/>
    <w:pPr>
      <w:tabs>
        <w:tab w:val="center" w:pos="4513"/>
        <w:tab w:val="right" w:pos="9026"/>
      </w:tabs>
      <w:spacing w:before="40" w:after="120"/>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3169D"/>
  </w:style>
  <w:style w:type="paragraph" w:styleId="Footer">
    <w:name w:val="footer"/>
    <w:basedOn w:val="Normal"/>
    <w:link w:val="FooterChar"/>
    <w:uiPriority w:val="99"/>
    <w:locked/>
    <w:rsid w:val="00E6586F"/>
    <w:pPr>
      <w:tabs>
        <w:tab w:val="center" w:pos="4513"/>
        <w:tab w:val="right" w:pos="9026"/>
      </w:tabs>
      <w:spacing w:before="40" w:after="120"/>
    </w:pPr>
    <w:rPr>
      <w:rFonts w:asciiTheme="minorHAnsi" w:eastAsiaTheme="minorEastAsia" w:hAnsiTheme="minorHAnsi" w:cstheme="minorBidi"/>
      <w:sz w:val="16"/>
      <w:szCs w:val="22"/>
    </w:rPr>
  </w:style>
  <w:style w:type="character" w:customStyle="1" w:styleId="FooterChar">
    <w:name w:val="Footer Char"/>
    <w:basedOn w:val="DefaultParagraphFont"/>
    <w:link w:val="Footer"/>
    <w:uiPriority w:val="99"/>
    <w:rsid w:val="00E6586F"/>
    <w:rPr>
      <w:sz w:val="16"/>
    </w:rPr>
  </w:style>
  <w:style w:type="character" w:styleId="CommentReference">
    <w:name w:val="annotation reference"/>
    <w:basedOn w:val="DefaultParagraphFont"/>
    <w:uiPriority w:val="99"/>
    <w:semiHidden/>
    <w:locked/>
    <w:rsid w:val="00C9293F"/>
    <w:rPr>
      <w:sz w:val="16"/>
      <w:szCs w:val="16"/>
    </w:rPr>
  </w:style>
  <w:style w:type="paragraph" w:styleId="Title">
    <w:name w:val="Title"/>
    <w:basedOn w:val="Normal"/>
    <w:next w:val="Normal"/>
    <w:link w:val="TitleChar"/>
    <w:uiPriority w:val="10"/>
    <w:locked/>
    <w:rsid w:val="00825572"/>
    <w:pPr>
      <w:spacing w:before="10800" w:line="204" w:lineRule="auto"/>
      <w:ind w:right="4252"/>
      <w:contextualSpacing/>
    </w:pPr>
    <w:rPr>
      <w:rFonts w:asciiTheme="majorHAnsi" w:eastAsiaTheme="majorEastAsia" w:hAnsiTheme="majorHAnsi" w:cstheme="majorBidi"/>
      <w:b/>
      <w:bCs/>
      <w:caps/>
      <w:color w:val="FFFFFF" w:themeColor="background1"/>
      <w:spacing w:val="-15"/>
      <w:sz w:val="72"/>
      <w:szCs w:val="72"/>
    </w:rPr>
  </w:style>
  <w:style w:type="character" w:customStyle="1" w:styleId="TitleChar">
    <w:name w:val="Title Char"/>
    <w:basedOn w:val="DefaultParagraphFont"/>
    <w:link w:val="Title"/>
    <w:uiPriority w:val="10"/>
    <w:rsid w:val="00825572"/>
    <w:rPr>
      <w:rFonts w:asciiTheme="majorHAnsi" w:eastAsiaTheme="majorEastAsia" w:hAnsiTheme="majorHAnsi" w:cstheme="majorBidi"/>
      <w:b/>
      <w:bCs/>
      <w:caps/>
      <w:color w:val="FFFFFF" w:themeColor="background1"/>
      <w:spacing w:val="-15"/>
      <w:sz w:val="72"/>
      <w:szCs w:val="72"/>
    </w:rPr>
  </w:style>
  <w:style w:type="paragraph" w:styleId="CommentSubject">
    <w:name w:val="annotation subject"/>
    <w:basedOn w:val="CommentText"/>
    <w:next w:val="CommentText"/>
    <w:link w:val="CommentSubjectChar"/>
    <w:uiPriority w:val="98"/>
    <w:semiHidden/>
    <w:locked/>
    <w:rsid w:val="00C9293F"/>
    <w:rPr>
      <w:b/>
      <w:bCs/>
    </w:rPr>
  </w:style>
  <w:style w:type="character" w:customStyle="1" w:styleId="CommentSubjectChar">
    <w:name w:val="Comment Subject Char"/>
    <w:basedOn w:val="CommentTextChar"/>
    <w:link w:val="CommentSubject"/>
    <w:uiPriority w:val="98"/>
    <w:rsid w:val="0083169D"/>
    <w:rPr>
      <w:b/>
      <w:bCs/>
    </w:rPr>
  </w:style>
  <w:style w:type="paragraph" w:styleId="BalloonText">
    <w:name w:val="Balloon Text"/>
    <w:basedOn w:val="Normal"/>
    <w:link w:val="BalloonTextChar"/>
    <w:uiPriority w:val="98"/>
    <w:semiHidden/>
    <w:locked/>
    <w:rsid w:val="002F546A"/>
    <w:pPr>
      <w:spacing w:before="40" w:after="120"/>
    </w:pPr>
    <w:rPr>
      <w:rFonts w:asciiTheme="minorHAnsi" w:eastAsiaTheme="minorEastAsia" w:hAnsiTheme="minorHAnsi" w:cs="Segoe UI"/>
      <w:sz w:val="22"/>
      <w:szCs w:val="18"/>
    </w:rPr>
  </w:style>
  <w:style w:type="character" w:customStyle="1" w:styleId="BalloonTextChar">
    <w:name w:val="Balloon Text Char"/>
    <w:basedOn w:val="DefaultParagraphFont"/>
    <w:link w:val="BalloonText"/>
    <w:uiPriority w:val="98"/>
    <w:rsid w:val="0083169D"/>
    <w:rPr>
      <w:rFonts w:cs="Segoe UI"/>
      <w:szCs w:val="18"/>
    </w:rPr>
  </w:style>
  <w:style w:type="table" w:styleId="TableGrid">
    <w:name w:val="Table Grid"/>
    <w:aliases w:val="DPS Table Grid"/>
    <w:basedOn w:val="TableNormal"/>
    <w:uiPriority w:val="39"/>
    <w:locked/>
    <w:rsid w:val="00180E19"/>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aliases w:val="Bullets level 1,Bullets,Bullet paras,List Paragraph1,Recommendation,List Paragraph11,L,CV text,Table text,F5 List Paragraph,Dot pt,List Paragraph111,Medium Grid 1 - Accent 21,Numbered Paragraph,Bullet List,FooterText,List Paragraph2,COOP"/>
    <w:basedOn w:val="Normal"/>
    <w:link w:val="ListParagraphChar"/>
    <w:uiPriority w:val="34"/>
    <w:rsid w:val="001F0BE3"/>
    <w:pPr>
      <w:spacing w:before="40" w:after="120"/>
      <w:ind w:left="720"/>
      <w:contextualSpacing/>
    </w:pPr>
    <w:rPr>
      <w:rFonts w:asciiTheme="minorHAnsi" w:eastAsiaTheme="minorEastAsia" w:hAnsiTheme="minorHAnsi" w:cstheme="minorBidi"/>
      <w:sz w:val="22"/>
      <w:szCs w:val="22"/>
    </w:rPr>
  </w:style>
  <w:style w:type="paragraph" w:styleId="ListBullet">
    <w:name w:val="List Bullet"/>
    <w:basedOn w:val="ListParagraph"/>
    <w:uiPriority w:val="99"/>
    <w:qFormat/>
    <w:rsid w:val="008E3B44"/>
    <w:pPr>
      <w:numPr>
        <w:numId w:val="16"/>
      </w:numPr>
      <w:spacing w:before="0" w:after="240" w:line="276" w:lineRule="auto"/>
    </w:pPr>
    <w:rPr>
      <w:sz w:val="20"/>
    </w:rPr>
  </w:style>
  <w:style w:type="paragraph" w:styleId="ListBullet2">
    <w:name w:val="List Bullet 2"/>
    <w:basedOn w:val="Normal"/>
    <w:uiPriority w:val="5"/>
    <w:locked/>
    <w:rsid w:val="00606E82"/>
    <w:pPr>
      <w:numPr>
        <w:ilvl w:val="1"/>
        <w:numId w:val="4"/>
      </w:numPr>
      <w:spacing w:before="40" w:after="120"/>
    </w:pPr>
    <w:rPr>
      <w:rFonts w:asciiTheme="minorHAnsi" w:eastAsiaTheme="minorEastAsia" w:hAnsiTheme="minorHAnsi" w:cstheme="minorBidi"/>
      <w:sz w:val="22"/>
      <w:szCs w:val="22"/>
    </w:rPr>
  </w:style>
  <w:style w:type="paragraph" w:styleId="ListBullet3">
    <w:name w:val="List Bullet 3"/>
    <w:basedOn w:val="Normal"/>
    <w:uiPriority w:val="5"/>
    <w:locked/>
    <w:rsid w:val="00606E82"/>
    <w:pPr>
      <w:numPr>
        <w:ilvl w:val="2"/>
        <w:numId w:val="4"/>
      </w:numPr>
      <w:spacing w:before="40" w:after="100" w:afterAutospacing="1"/>
      <w:contextualSpacing/>
    </w:pPr>
    <w:rPr>
      <w:rFonts w:asciiTheme="minorHAnsi" w:eastAsiaTheme="minorEastAsia" w:hAnsiTheme="minorHAnsi" w:cstheme="minorBidi"/>
      <w:sz w:val="22"/>
      <w:szCs w:val="22"/>
    </w:rPr>
  </w:style>
  <w:style w:type="paragraph" w:styleId="ListBullet4">
    <w:name w:val="List Bullet 4"/>
    <w:basedOn w:val="Normal"/>
    <w:uiPriority w:val="9"/>
    <w:semiHidden/>
    <w:locked/>
    <w:rsid w:val="00466414"/>
    <w:pPr>
      <w:numPr>
        <w:numId w:val="2"/>
      </w:numPr>
      <w:spacing w:before="40" w:after="120"/>
      <w:contextualSpacing/>
    </w:pPr>
    <w:rPr>
      <w:rFonts w:asciiTheme="minorHAnsi" w:eastAsiaTheme="minorEastAsia" w:hAnsiTheme="minorHAnsi" w:cstheme="minorBidi"/>
      <w:sz w:val="22"/>
      <w:szCs w:val="22"/>
    </w:rPr>
  </w:style>
  <w:style w:type="paragraph" w:styleId="ListBullet5">
    <w:name w:val="List Bullet 5"/>
    <w:basedOn w:val="Normal"/>
    <w:uiPriority w:val="9"/>
    <w:semiHidden/>
    <w:locked/>
    <w:rsid w:val="00466414"/>
    <w:pPr>
      <w:numPr>
        <w:ilvl w:val="4"/>
        <w:numId w:val="1"/>
      </w:numPr>
      <w:spacing w:before="40" w:after="120"/>
      <w:contextualSpacing/>
    </w:pPr>
    <w:rPr>
      <w:rFonts w:asciiTheme="minorHAnsi" w:eastAsiaTheme="minorEastAsia" w:hAnsiTheme="minorHAnsi" w:cstheme="minorBidi"/>
      <w:sz w:val="22"/>
      <w:szCs w:val="22"/>
    </w:rPr>
  </w:style>
  <w:style w:type="character" w:customStyle="1" w:styleId="STRONGBLACK">
    <w:name w:val="STRONG BLACK"/>
    <w:basedOn w:val="Strong"/>
    <w:uiPriority w:val="1"/>
    <w:rsid w:val="00992CF6"/>
    <w:rPr>
      <w:rFonts w:asciiTheme="minorHAnsi" w:hAnsiTheme="minorHAnsi"/>
      <w:b/>
      <w:bCs/>
      <w:color w:val="FF0000"/>
      <w:sz w:val="20"/>
    </w:rPr>
  </w:style>
  <w:style w:type="paragraph" w:styleId="Quote">
    <w:name w:val="Quote"/>
    <w:basedOn w:val="Normal"/>
    <w:next w:val="Normal"/>
    <w:link w:val="QuoteChar"/>
    <w:uiPriority w:val="29"/>
    <w:locked/>
    <w:rsid w:val="00D95DD0"/>
    <w:pPr>
      <w:spacing w:before="120" w:after="240"/>
      <w:ind w:left="567"/>
      <w:contextualSpacing/>
    </w:pPr>
    <w:rPr>
      <w:rFonts w:asciiTheme="minorHAnsi" w:eastAsiaTheme="minorEastAsia" w:hAnsiTheme="minorHAnsi" w:cstheme="minorBidi"/>
      <w:color w:val="294549" w:themeColor="accent2"/>
    </w:rPr>
  </w:style>
  <w:style w:type="character" w:customStyle="1" w:styleId="QuoteChar">
    <w:name w:val="Quote Char"/>
    <w:basedOn w:val="DefaultParagraphFont"/>
    <w:link w:val="Quote"/>
    <w:uiPriority w:val="29"/>
    <w:rsid w:val="00D95DD0"/>
    <w:rPr>
      <w:color w:val="294549" w:themeColor="accent2"/>
      <w:sz w:val="20"/>
      <w:szCs w:val="24"/>
    </w:rPr>
  </w:style>
  <w:style w:type="paragraph" w:styleId="IntenseQuote">
    <w:name w:val="Intense Quote"/>
    <w:basedOn w:val="Normal"/>
    <w:next w:val="Normal"/>
    <w:link w:val="IntenseQuoteChar"/>
    <w:uiPriority w:val="30"/>
    <w:locked/>
    <w:rsid w:val="00C37C16"/>
    <w:pPr>
      <w:spacing w:before="100" w:beforeAutospacing="1" w:after="240"/>
      <w:ind w:left="720"/>
      <w:jc w:val="center"/>
    </w:pPr>
    <w:rPr>
      <w:rFonts w:asciiTheme="majorHAnsi" w:eastAsiaTheme="majorEastAsia" w:hAnsiTheme="majorHAnsi" w:cstheme="majorBidi"/>
      <w:color w:val="3D3C42" w:themeColor="text2"/>
      <w:spacing w:val="-6"/>
      <w:sz w:val="32"/>
      <w:szCs w:val="32"/>
    </w:rPr>
  </w:style>
  <w:style w:type="character" w:customStyle="1" w:styleId="IntenseQuoteChar">
    <w:name w:val="Intense Quote Char"/>
    <w:basedOn w:val="DefaultParagraphFont"/>
    <w:link w:val="IntenseQuote"/>
    <w:uiPriority w:val="30"/>
    <w:rsid w:val="00C37C16"/>
    <w:rPr>
      <w:rFonts w:asciiTheme="majorHAnsi" w:eastAsiaTheme="majorEastAsia" w:hAnsiTheme="majorHAnsi" w:cstheme="majorBidi"/>
      <w:color w:val="3D3C42" w:themeColor="text2"/>
      <w:spacing w:val="-6"/>
      <w:sz w:val="32"/>
      <w:szCs w:val="32"/>
    </w:rPr>
  </w:style>
  <w:style w:type="paragraph" w:styleId="BodyText">
    <w:name w:val="Body Text"/>
    <w:basedOn w:val="Normal"/>
    <w:link w:val="BodyTextChar"/>
    <w:uiPriority w:val="98"/>
    <w:qFormat/>
    <w:rsid w:val="00207D5A"/>
    <w:pPr>
      <w:spacing w:before="120" w:after="40" w:line="276" w:lineRule="auto"/>
    </w:pPr>
    <w:rPr>
      <w:rFonts w:asciiTheme="minorHAnsi" w:eastAsiaTheme="minorEastAsia" w:hAnsiTheme="minorHAnsi" w:cstheme="minorBidi"/>
      <w:szCs w:val="22"/>
    </w:rPr>
  </w:style>
  <w:style w:type="character" w:customStyle="1" w:styleId="BodyTextChar">
    <w:name w:val="Body Text Char"/>
    <w:basedOn w:val="DefaultParagraphFont"/>
    <w:link w:val="BodyText"/>
    <w:uiPriority w:val="98"/>
    <w:rsid w:val="00207D5A"/>
    <w:rPr>
      <w:sz w:val="20"/>
    </w:rPr>
  </w:style>
  <w:style w:type="paragraph" w:styleId="Date">
    <w:name w:val="Date"/>
    <w:basedOn w:val="Normal"/>
    <w:next w:val="Normal"/>
    <w:link w:val="DateChar"/>
    <w:uiPriority w:val="10"/>
    <w:semiHidden/>
    <w:locked/>
    <w:rsid w:val="00792CB0"/>
    <w:pPr>
      <w:spacing w:before="40" w:after="120"/>
    </w:pPr>
    <w:rPr>
      <w:rFonts w:asciiTheme="minorHAnsi" w:eastAsiaTheme="minorEastAsia" w:hAnsiTheme="minorHAnsi" w:cstheme="minorBidi"/>
      <w:sz w:val="22"/>
      <w:szCs w:val="22"/>
    </w:rPr>
  </w:style>
  <w:style w:type="character" w:customStyle="1" w:styleId="DateChar">
    <w:name w:val="Date Char"/>
    <w:basedOn w:val="DefaultParagraphFont"/>
    <w:link w:val="Date"/>
    <w:uiPriority w:val="10"/>
    <w:rsid w:val="0083169D"/>
  </w:style>
  <w:style w:type="character" w:customStyle="1" w:styleId="Heading4Char">
    <w:name w:val="Heading 4 Char"/>
    <w:basedOn w:val="DefaultParagraphFont"/>
    <w:link w:val="Heading4"/>
    <w:uiPriority w:val="9"/>
    <w:rsid w:val="00656D85"/>
    <w:rPr>
      <w:rFonts w:asciiTheme="majorHAnsi" w:eastAsiaTheme="majorEastAsia" w:hAnsiTheme="majorHAnsi" w:cstheme="majorBidi"/>
      <w:b/>
      <w:color w:val="35615E" w:themeColor="accent1" w:themeShade="BF"/>
      <w:sz w:val="20"/>
      <w:szCs w:val="24"/>
    </w:rPr>
  </w:style>
  <w:style w:type="character" w:customStyle="1" w:styleId="Heading5Char">
    <w:name w:val="Heading 5 Char"/>
    <w:basedOn w:val="DefaultParagraphFont"/>
    <w:link w:val="Heading5"/>
    <w:uiPriority w:val="9"/>
    <w:semiHidden/>
    <w:rsid w:val="00C37C16"/>
    <w:rPr>
      <w:rFonts w:asciiTheme="majorHAnsi" w:eastAsiaTheme="majorEastAsia" w:hAnsiTheme="majorHAnsi" w:cstheme="majorBidi"/>
      <w:caps/>
      <w:color w:val="35615E" w:themeColor="accent1" w:themeShade="BF"/>
    </w:rPr>
  </w:style>
  <w:style w:type="character" w:customStyle="1" w:styleId="Heading6Char">
    <w:name w:val="Heading 6 Char"/>
    <w:basedOn w:val="DefaultParagraphFont"/>
    <w:link w:val="Heading6"/>
    <w:uiPriority w:val="9"/>
    <w:semiHidden/>
    <w:rsid w:val="00C37C16"/>
    <w:rPr>
      <w:rFonts w:asciiTheme="majorHAnsi" w:eastAsiaTheme="majorEastAsia" w:hAnsiTheme="majorHAnsi" w:cstheme="majorBidi"/>
      <w:i/>
      <w:iCs/>
      <w:caps/>
      <w:color w:val="23413E" w:themeColor="accent1" w:themeShade="80"/>
    </w:rPr>
  </w:style>
  <w:style w:type="character" w:customStyle="1" w:styleId="Heading7Char">
    <w:name w:val="Heading 7 Char"/>
    <w:basedOn w:val="DefaultParagraphFont"/>
    <w:link w:val="Heading7"/>
    <w:uiPriority w:val="9"/>
    <w:semiHidden/>
    <w:rsid w:val="00C37C16"/>
    <w:rPr>
      <w:rFonts w:asciiTheme="majorHAnsi" w:eastAsiaTheme="majorEastAsia" w:hAnsiTheme="majorHAnsi" w:cstheme="majorBidi"/>
      <w:b/>
      <w:bCs/>
      <w:color w:val="23413E" w:themeColor="accent1" w:themeShade="80"/>
    </w:rPr>
  </w:style>
  <w:style w:type="character" w:customStyle="1" w:styleId="Heading8Char">
    <w:name w:val="Heading 8 Char"/>
    <w:basedOn w:val="DefaultParagraphFont"/>
    <w:link w:val="Heading8"/>
    <w:uiPriority w:val="9"/>
    <w:semiHidden/>
    <w:rsid w:val="00C37C16"/>
    <w:rPr>
      <w:rFonts w:asciiTheme="majorHAnsi" w:eastAsiaTheme="majorEastAsia" w:hAnsiTheme="majorHAnsi" w:cstheme="majorBidi"/>
      <w:b/>
      <w:bCs/>
      <w:i/>
      <w:iCs/>
      <w:color w:val="23413E" w:themeColor="accent1" w:themeShade="80"/>
    </w:rPr>
  </w:style>
  <w:style w:type="character" w:customStyle="1" w:styleId="Heading9Char">
    <w:name w:val="Heading 9 Char"/>
    <w:basedOn w:val="DefaultParagraphFont"/>
    <w:link w:val="Heading9"/>
    <w:uiPriority w:val="9"/>
    <w:semiHidden/>
    <w:rsid w:val="00C37C16"/>
    <w:rPr>
      <w:rFonts w:asciiTheme="majorHAnsi" w:eastAsiaTheme="majorEastAsia" w:hAnsiTheme="majorHAnsi" w:cstheme="majorBidi"/>
      <w:i/>
      <w:iCs/>
      <w:color w:val="23413E" w:themeColor="accent1" w:themeShade="80"/>
    </w:rPr>
  </w:style>
  <w:style w:type="paragraph" w:styleId="Subtitle">
    <w:name w:val="Subtitle"/>
    <w:basedOn w:val="Normal"/>
    <w:next w:val="Normal"/>
    <w:link w:val="SubtitleChar"/>
    <w:uiPriority w:val="11"/>
    <w:locked/>
    <w:rsid w:val="00C37C16"/>
    <w:pPr>
      <w:numPr>
        <w:ilvl w:val="1"/>
      </w:numPr>
      <w:spacing w:before="40" w:after="240"/>
    </w:pPr>
    <w:rPr>
      <w:rFonts w:asciiTheme="majorHAnsi" w:eastAsiaTheme="majorEastAsia" w:hAnsiTheme="majorHAnsi" w:cstheme="majorBidi"/>
      <w:color w:val="47827E" w:themeColor="accent1"/>
      <w:sz w:val="28"/>
      <w:szCs w:val="28"/>
    </w:rPr>
  </w:style>
  <w:style w:type="character" w:customStyle="1" w:styleId="SubtitleChar">
    <w:name w:val="Subtitle Char"/>
    <w:basedOn w:val="DefaultParagraphFont"/>
    <w:link w:val="Subtitle"/>
    <w:uiPriority w:val="11"/>
    <w:rsid w:val="00C37C16"/>
    <w:rPr>
      <w:rFonts w:asciiTheme="majorHAnsi" w:eastAsiaTheme="majorEastAsia" w:hAnsiTheme="majorHAnsi" w:cstheme="majorBidi"/>
      <w:color w:val="47827E" w:themeColor="accent1"/>
      <w:sz w:val="28"/>
      <w:szCs w:val="28"/>
    </w:rPr>
  </w:style>
  <w:style w:type="paragraph" w:customStyle="1" w:styleId="CROSSHEADl2">
    <w:name w:val="CROSS HEAD l2"/>
    <w:basedOn w:val="Heading2"/>
    <w:link w:val="CROSSHEADl2Char"/>
    <w:qFormat/>
    <w:rsid w:val="00825572"/>
    <w:pPr>
      <w:numPr>
        <w:ilvl w:val="0"/>
        <w:numId w:val="0"/>
      </w:numPr>
    </w:pPr>
    <w:rPr>
      <w:b/>
      <w:bCs w:val="0"/>
      <w:sz w:val="20"/>
    </w:rPr>
  </w:style>
  <w:style w:type="character" w:customStyle="1" w:styleId="CROSSHEADl2Char">
    <w:name w:val="CROSS HEAD l2 Char"/>
    <w:basedOn w:val="BodyTextChar"/>
    <w:link w:val="CROSSHEADl2"/>
    <w:rsid w:val="00825572"/>
    <w:rPr>
      <w:rFonts w:asciiTheme="majorHAnsi" w:eastAsiaTheme="majorEastAsia" w:hAnsiTheme="majorHAnsi" w:cstheme="majorBidi"/>
      <w:b/>
      <w:color w:val="35615E" w:themeColor="accent1" w:themeShade="BF"/>
      <w:sz w:val="20"/>
      <w:szCs w:val="28"/>
    </w:rPr>
  </w:style>
  <w:style w:type="character" w:customStyle="1" w:styleId="A-EXCELLENT">
    <w:name w:val="A-EXCELLENT"/>
    <w:basedOn w:val="DefaultParagraphFont"/>
    <w:uiPriority w:val="1"/>
    <w:qFormat/>
    <w:rsid w:val="00530188"/>
    <w:rPr>
      <w:b/>
      <w:color w:val="FFFFFF" w:themeColor="background1"/>
      <w:bdr w:val="single" w:sz="24" w:space="0" w:color="232F5D" w:themeColor="accent3"/>
      <w:shd w:val="clear" w:color="auto" w:fill="232F5D" w:themeFill="accent3"/>
    </w:rPr>
  </w:style>
  <w:style w:type="character" w:customStyle="1" w:styleId="A-ADEQUATE">
    <w:name w:val="A-ADEQUATE"/>
    <w:basedOn w:val="A-EXCELLENT"/>
    <w:uiPriority w:val="1"/>
    <w:qFormat/>
    <w:rsid w:val="00530188"/>
    <w:rPr>
      <w:b/>
      <w:color w:val="auto"/>
      <w:bdr w:val="single" w:sz="24" w:space="0" w:color="AFD3D0" w:themeColor="accent1" w:themeTint="66"/>
      <w:shd w:val="clear" w:color="auto" w:fill="AFD3D0" w:themeFill="accent1" w:themeFillTint="66"/>
    </w:rPr>
  </w:style>
  <w:style w:type="character" w:styleId="Emphasis">
    <w:name w:val="Emphasis"/>
    <w:basedOn w:val="DefaultParagraphFont"/>
    <w:uiPriority w:val="20"/>
    <w:locked/>
    <w:rsid w:val="00C37C16"/>
    <w:rPr>
      <w:i/>
      <w:iCs/>
    </w:rPr>
  </w:style>
  <w:style w:type="character" w:styleId="IntenseEmphasis">
    <w:name w:val="Intense Emphasis"/>
    <w:basedOn w:val="DefaultParagraphFont"/>
    <w:uiPriority w:val="21"/>
    <w:locked/>
    <w:rsid w:val="00C37C16"/>
    <w:rPr>
      <w:b/>
      <w:bCs/>
      <w:i/>
      <w:iCs/>
    </w:rPr>
  </w:style>
  <w:style w:type="paragraph" w:styleId="TOCHeading">
    <w:name w:val="TOC Heading"/>
    <w:basedOn w:val="Heading1"/>
    <w:next w:val="Normal"/>
    <w:uiPriority w:val="39"/>
    <w:unhideWhenUsed/>
    <w:locked/>
    <w:rsid w:val="00656D85"/>
    <w:pPr>
      <w:numPr>
        <w:numId w:val="0"/>
      </w:numPr>
      <w:outlineLvl w:val="9"/>
    </w:pPr>
  </w:style>
  <w:style w:type="paragraph" w:styleId="Index1">
    <w:name w:val="index 1"/>
    <w:basedOn w:val="Normal"/>
    <w:next w:val="Normal"/>
    <w:autoRedefine/>
    <w:uiPriority w:val="99"/>
    <w:semiHidden/>
    <w:locked/>
    <w:rsid w:val="002F546A"/>
    <w:pPr>
      <w:spacing w:before="40" w:after="120"/>
      <w:ind w:left="200" w:hanging="200"/>
    </w:pPr>
    <w:rPr>
      <w:rFonts w:asciiTheme="minorHAnsi" w:eastAsiaTheme="minorEastAsia" w:hAnsiTheme="minorHAnsi" w:cstheme="minorBidi"/>
      <w:sz w:val="22"/>
      <w:szCs w:val="22"/>
    </w:rPr>
  </w:style>
  <w:style w:type="paragraph" w:styleId="MessageHeader">
    <w:name w:val="Message Header"/>
    <w:basedOn w:val="Normal"/>
    <w:link w:val="MessageHeaderChar"/>
    <w:uiPriority w:val="99"/>
    <w:semiHidden/>
    <w:locked/>
    <w:rsid w:val="0088736F"/>
    <w:pPr>
      <w:pBdr>
        <w:top w:val="single" w:sz="6" w:space="5" w:color="808080" w:themeColor="background1" w:themeShade="80"/>
        <w:left w:val="single" w:sz="6" w:space="5" w:color="808080" w:themeColor="background1" w:themeShade="80"/>
        <w:bottom w:val="single" w:sz="6" w:space="5" w:color="808080" w:themeColor="background1" w:themeShade="80"/>
        <w:right w:val="single" w:sz="6" w:space="5" w:color="808080" w:themeColor="background1" w:themeShade="80"/>
      </w:pBdr>
      <w:shd w:val="pct5" w:color="auto" w:fill="auto"/>
      <w:spacing w:before="40" w:after="40"/>
      <w:ind w:left="100" w:right="10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83169D"/>
    <w:rPr>
      <w:rFonts w:asciiTheme="majorHAnsi" w:eastAsiaTheme="majorEastAsia" w:hAnsiTheme="majorHAnsi" w:cstheme="majorBidi"/>
      <w:sz w:val="24"/>
      <w:szCs w:val="24"/>
      <w:shd w:val="pct5" w:color="auto" w:fill="auto"/>
    </w:rPr>
  </w:style>
  <w:style w:type="paragraph" w:styleId="Signature">
    <w:name w:val="Signature"/>
    <w:basedOn w:val="Normal"/>
    <w:link w:val="SignatureChar"/>
    <w:uiPriority w:val="10"/>
    <w:semiHidden/>
    <w:locked/>
    <w:rsid w:val="004C7F80"/>
    <w:pPr>
      <w:spacing w:before="624" w:after="1531"/>
    </w:pPr>
    <w:rPr>
      <w:rFonts w:asciiTheme="minorHAnsi" w:eastAsiaTheme="minorEastAsia" w:hAnsiTheme="minorHAnsi" w:cstheme="minorBidi"/>
      <w:sz w:val="22"/>
      <w:szCs w:val="22"/>
    </w:rPr>
  </w:style>
  <w:style w:type="character" w:customStyle="1" w:styleId="SignatureChar">
    <w:name w:val="Signature Char"/>
    <w:basedOn w:val="DefaultParagraphFont"/>
    <w:link w:val="Signature"/>
    <w:uiPriority w:val="10"/>
    <w:rsid w:val="0083169D"/>
  </w:style>
  <w:style w:type="character" w:styleId="FollowedHyperlink">
    <w:name w:val="FollowedHyperlink"/>
    <w:basedOn w:val="DefaultParagraphFont"/>
    <w:uiPriority w:val="99"/>
    <w:semiHidden/>
    <w:locked/>
    <w:rsid w:val="0088736F"/>
    <w:rPr>
      <w:color w:val="000000" w:themeColor="text1"/>
      <w:u w:val="single"/>
    </w:rPr>
  </w:style>
  <w:style w:type="character" w:styleId="IntenseReference">
    <w:name w:val="Intense Reference"/>
    <w:basedOn w:val="DefaultParagraphFont"/>
    <w:uiPriority w:val="32"/>
    <w:locked/>
    <w:rsid w:val="00C37C16"/>
    <w:rPr>
      <w:b/>
      <w:bCs/>
      <w:smallCaps/>
      <w:color w:val="3D3C42" w:themeColor="text2"/>
      <w:u w:val="single"/>
    </w:rPr>
  </w:style>
  <w:style w:type="character" w:styleId="SubtleReference">
    <w:name w:val="Subtle Reference"/>
    <w:basedOn w:val="DefaultParagraphFont"/>
    <w:uiPriority w:val="31"/>
    <w:locked/>
    <w:rsid w:val="00C37C16"/>
    <w:rPr>
      <w:smallCaps/>
      <w:color w:val="595959" w:themeColor="text1" w:themeTint="A6"/>
      <w:u w:val="none" w:color="7F7F7F" w:themeColor="text1" w:themeTint="80"/>
      <w:bdr w:val="none" w:sz="0" w:space="0" w:color="auto"/>
    </w:rPr>
  </w:style>
  <w:style w:type="paragraph" w:customStyle="1" w:styleId="spacer">
    <w:name w:val="spacer"/>
    <w:basedOn w:val="Footer"/>
    <w:uiPriority w:val="9"/>
    <w:semiHidden/>
    <w:locked/>
    <w:rsid w:val="00986606"/>
    <w:rPr>
      <w:sz w:val="2"/>
    </w:rPr>
  </w:style>
  <w:style w:type="character" w:styleId="FootnoteReference">
    <w:name w:val="footnote reference"/>
    <w:basedOn w:val="DefaultParagraphFont"/>
    <w:uiPriority w:val="99"/>
    <w:locked/>
    <w:rsid w:val="00207D5A"/>
    <w:rPr>
      <w:rFonts w:asciiTheme="minorHAnsi" w:hAnsiTheme="minorHAnsi"/>
      <w:b w:val="0"/>
      <w:sz w:val="20"/>
      <w:vertAlign w:val="superscript"/>
    </w:rPr>
  </w:style>
  <w:style w:type="paragraph" w:styleId="ListNumber4">
    <w:name w:val="List Number 4"/>
    <w:basedOn w:val="Normal"/>
    <w:uiPriority w:val="9"/>
    <w:semiHidden/>
    <w:locked/>
    <w:rsid w:val="0087183B"/>
    <w:pPr>
      <w:spacing w:before="40" w:after="120"/>
      <w:ind w:left="227" w:hanging="227"/>
      <w:contextualSpacing/>
    </w:pPr>
    <w:rPr>
      <w:rFonts w:asciiTheme="minorHAnsi" w:eastAsiaTheme="minorEastAsia" w:hAnsiTheme="minorHAnsi" w:cstheme="minorBidi"/>
      <w:sz w:val="22"/>
      <w:szCs w:val="22"/>
    </w:rPr>
  </w:style>
  <w:style w:type="paragraph" w:styleId="ListNumber5">
    <w:name w:val="List Number 5"/>
    <w:basedOn w:val="Normal"/>
    <w:uiPriority w:val="9"/>
    <w:semiHidden/>
    <w:locked/>
    <w:rsid w:val="00606E82"/>
    <w:pPr>
      <w:spacing w:before="40" w:after="120"/>
      <w:contextualSpacing/>
    </w:pPr>
    <w:rPr>
      <w:rFonts w:asciiTheme="minorHAnsi" w:eastAsiaTheme="minorEastAsia" w:hAnsiTheme="minorHAnsi" w:cstheme="minorBidi"/>
      <w:sz w:val="22"/>
      <w:szCs w:val="22"/>
    </w:rPr>
  </w:style>
  <w:style w:type="numbering" w:customStyle="1" w:styleId="AlphaList">
    <w:name w:val="_Alpha List"/>
    <w:uiPriority w:val="99"/>
    <w:semiHidden/>
    <w:rsid w:val="00C85F08"/>
    <w:pPr>
      <w:numPr>
        <w:numId w:val="3"/>
      </w:numPr>
    </w:pPr>
  </w:style>
  <w:style w:type="paragraph" w:customStyle="1" w:styleId="DocDetails">
    <w:name w:val="Doc Details"/>
    <w:basedOn w:val="DocType"/>
    <w:uiPriority w:val="4"/>
    <w:semiHidden/>
    <w:rsid w:val="0083396B"/>
    <w:pPr>
      <w:framePr w:wrap="around"/>
      <w:jc w:val="right"/>
    </w:pPr>
    <w:rPr>
      <w:b w:val="0"/>
      <w:caps w:val="0"/>
      <w:color w:val="FFFFFF" w:themeColor="background1"/>
      <w:sz w:val="24"/>
    </w:rPr>
  </w:style>
  <w:style w:type="paragraph" w:styleId="FootnoteText">
    <w:name w:val="footnote text"/>
    <w:basedOn w:val="Normal"/>
    <w:link w:val="FootnoteTextChar"/>
    <w:uiPriority w:val="99"/>
    <w:locked/>
    <w:rsid w:val="001E0D67"/>
    <w:pPr>
      <w:spacing w:before="40" w:after="60"/>
    </w:pPr>
    <w:rPr>
      <w:rFonts w:asciiTheme="minorHAnsi" w:eastAsiaTheme="minorEastAsia" w:hAnsiTheme="minorHAnsi"/>
      <w:sz w:val="14"/>
      <w:szCs w:val="22"/>
    </w:rPr>
  </w:style>
  <w:style w:type="character" w:customStyle="1" w:styleId="FootnoteTextChar">
    <w:name w:val="Footnote Text Char"/>
    <w:basedOn w:val="DefaultParagraphFont"/>
    <w:link w:val="FootnoteText"/>
    <w:uiPriority w:val="99"/>
    <w:rsid w:val="0083169D"/>
    <w:rPr>
      <w:rFonts w:eastAsiaTheme="minorEastAsia" w:cs="Times New Roman"/>
      <w:sz w:val="14"/>
    </w:rPr>
  </w:style>
  <w:style w:type="table" w:customStyle="1" w:styleId="StandardTable">
    <w:name w:val="Standard Table"/>
    <w:basedOn w:val="TableNormal"/>
    <w:uiPriority w:val="99"/>
    <w:semiHidden/>
    <w:rsid w:val="00A449FF"/>
    <w:rPr>
      <w:sz w:val="18"/>
    </w:rPr>
    <w:tblPr>
      <w:tblStyleRowBandSize w:val="1"/>
      <w:tblStyleColBandSize w:val="1"/>
      <w:tblBorders>
        <w:bottom w:val="single" w:sz="2" w:space="0" w:color="auto"/>
        <w:insideH w:val="single" w:sz="4" w:space="0" w:color="000000" w:themeColor="text1"/>
      </w:tblBorders>
      <w:tblCellMar>
        <w:top w:w="85" w:type="dxa"/>
        <w:left w:w="85" w:type="dxa"/>
        <w:bottom w:w="85" w:type="dxa"/>
        <w:right w:w="85" w:type="dxa"/>
      </w:tblCellMar>
    </w:tblPr>
    <w:tblStylePr w:type="firstRow">
      <w:pPr>
        <w:wordWrap/>
        <w:spacing w:beforeLines="0" w:before="0" w:beforeAutospacing="0" w:afterLines="0" w:after="0" w:afterAutospacing="0" w:line="240" w:lineRule="auto"/>
      </w:pPr>
      <w:rPr>
        <w:rFonts w:asciiTheme="majorHAnsi" w:hAnsiTheme="majorHAnsi"/>
        <w:b/>
        <w:color w:val="3D3C42" w:themeColor="text2"/>
      </w:rPr>
      <w:tblPr/>
      <w:tcPr>
        <w:tcBorders>
          <w:bottom w:val="nil"/>
        </w:tcBorders>
      </w:tcPr>
    </w:tblStylePr>
    <w:tblStylePr w:type="lastRow">
      <w:tblPr/>
      <w:tcPr>
        <w:tcBorders>
          <w:top w:val="double" w:sz="4" w:space="0" w:color="3D3C42" w:themeColor="text2"/>
        </w:tcBorders>
      </w:tcPr>
    </w:tblStylePr>
  </w:style>
  <w:style w:type="paragraph" w:customStyle="1" w:styleId="BasicParagraph">
    <w:name w:val="[Basic Paragraph]"/>
    <w:basedOn w:val="Normal"/>
    <w:uiPriority w:val="99"/>
    <w:semiHidden/>
    <w:rsid w:val="00302D06"/>
    <w:pPr>
      <w:autoSpaceDE w:val="0"/>
      <w:autoSpaceDN w:val="0"/>
      <w:adjustRightInd w:val="0"/>
      <w:spacing w:before="40" w:after="120" w:line="288" w:lineRule="auto"/>
      <w:textAlignment w:val="center"/>
    </w:pPr>
    <w:rPr>
      <w:rFonts w:ascii="Minion Pro" w:eastAsiaTheme="minorEastAsia" w:hAnsi="Minion Pro" w:cs="Minion Pro"/>
      <w:color w:val="000000"/>
      <w:lang w:val="en-US"/>
    </w:rPr>
  </w:style>
  <w:style w:type="table" w:customStyle="1" w:styleId="TableGrid1">
    <w:name w:val="Table Grid1"/>
    <w:basedOn w:val="TableNormal"/>
    <w:next w:val="TableGrid"/>
    <w:semiHidden/>
    <w:rsid w:val="00ED0464"/>
    <w:rPr>
      <w:rFonts w:ascii="Times New Roman" w:eastAsia="Times New Roman" w:hAnsi="Times New Roman" w:cs="Times New Roman"/>
      <w:color w:val="848589"/>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99"/>
    <w:rsid w:val="00F73C2D"/>
    <w:pPr>
      <w:spacing w:before="20" w:after="120"/>
    </w:pPr>
    <w:rPr>
      <w:rFonts w:asciiTheme="majorHAnsi" w:eastAsia="Calibri" w:hAnsiTheme="majorHAnsi" w:cstheme="minorBidi"/>
      <w:b/>
      <w:sz w:val="22"/>
      <w:szCs w:val="22"/>
    </w:rPr>
  </w:style>
  <w:style w:type="table" w:styleId="ColorfulGrid">
    <w:name w:val="Colorful Grid"/>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D6E9E7" w:themeFill="accent1" w:themeFillTint="33"/>
    </w:tcPr>
    <w:tblStylePr w:type="firstRow">
      <w:rPr>
        <w:b/>
        <w:bCs/>
      </w:rPr>
      <w:tblPr/>
      <w:tcPr>
        <w:shd w:val="clear" w:color="auto" w:fill="AFD3D0" w:themeFill="accent1" w:themeFillTint="66"/>
      </w:tcPr>
    </w:tblStylePr>
    <w:tblStylePr w:type="lastRow">
      <w:rPr>
        <w:b/>
        <w:bCs/>
        <w:color w:val="000000" w:themeColor="text1"/>
      </w:rPr>
      <w:tblPr/>
      <w:tcPr>
        <w:shd w:val="clear" w:color="auto" w:fill="AFD3D0" w:themeFill="accent1" w:themeFillTint="66"/>
      </w:tcPr>
    </w:tblStylePr>
    <w:tblStylePr w:type="firstCol">
      <w:rPr>
        <w:color w:val="FFFFFF" w:themeColor="background1"/>
      </w:rPr>
      <w:tblPr/>
      <w:tcPr>
        <w:shd w:val="clear" w:color="auto" w:fill="35615E" w:themeFill="accent1" w:themeFillShade="BF"/>
      </w:tcPr>
    </w:tblStylePr>
    <w:tblStylePr w:type="lastCol">
      <w:rPr>
        <w:color w:val="FFFFFF" w:themeColor="background1"/>
      </w:rPr>
      <w:tblPr/>
      <w:tcPr>
        <w:shd w:val="clear" w:color="auto" w:fill="35615E" w:themeFill="accent1" w:themeFillShade="BF"/>
      </w:tcPr>
    </w:tblStylePr>
    <w:tblStylePr w:type="band1Vert">
      <w:tblPr/>
      <w:tcPr>
        <w:shd w:val="clear" w:color="auto" w:fill="9BC8C5" w:themeFill="accent1" w:themeFillTint="7F"/>
      </w:tcPr>
    </w:tblStylePr>
    <w:tblStylePr w:type="band1Horz">
      <w:tblPr/>
      <w:tcPr>
        <w:shd w:val="clear" w:color="auto" w:fill="9BC8C5" w:themeFill="accent1" w:themeFillTint="7F"/>
      </w:tcPr>
    </w:tblStylePr>
  </w:style>
  <w:style w:type="table" w:styleId="ColorfulGrid-Accent2">
    <w:name w:val="Colorful Grid Accent 2"/>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CCDFE2" w:themeFill="accent2" w:themeFillTint="33"/>
    </w:tcPr>
    <w:tblStylePr w:type="firstRow">
      <w:rPr>
        <w:b/>
        <w:bCs/>
      </w:rPr>
      <w:tblPr/>
      <w:tcPr>
        <w:shd w:val="clear" w:color="auto" w:fill="99C0C6" w:themeFill="accent2" w:themeFillTint="66"/>
      </w:tcPr>
    </w:tblStylePr>
    <w:tblStylePr w:type="lastRow">
      <w:rPr>
        <w:b/>
        <w:bCs/>
        <w:color w:val="000000" w:themeColor="text1"/>
      </w:rPr>
      <w:tblPr/>
      <w:tcPr>
        <w:shd w:val="clear" w:color="auto" w:fill="99C0C6" w:themeFill="accent2" w:themeFillTint="66"/>
      </w:tcPr>
    </w:tblStylePr>
    <w:tblStylePr w:type="firstCol">
      <w:rPr>
        <w:color w:val="FFFFFF" w:themeColor="background1"/>
      </w:rPr>
      <w:tblPr/>
      <w:tcPr>
        <w:shd w:val="clear" w:color="auto" w:fill="1E3336" w:themeFill="accent2" w:themeFillShade="BF"/>
      </w:tcPr>
    </w:tblStylePr>
    <w:tblStylePr w:type="lastCol">
      <w:rPr>
        <w:color w:val="FFFFFF" w:themeColor="background1"/>
      </w:rPr>
      <w:tblPr/>
      <w:tcPr>
        <w:shd w:val="clear" w:color="auto" w:fill="1E3336" w:themeFill="accent2" w:themeFillShade="BF"/>
      </w:tcPr>
    </w:tblStylePr>
    <w:tblStylePr w:type="band1Vert">
      <w:tblPr/>
      <w:tcPr>
        <w:shd w:val="clear" w:color="auto" w:fill="80B1B8" w:themeFill="accent2" w:themeFillTint="7F"/>
      </w:tcPr>
    </w:tblStylePr>
    <w:tblStylePr w:type="band1Horz">
      <w:tblPr/>
      <w:tcPr>
        <w:shd w:val="clear" w:color="auto" w:fill="80B1B8" w:themeFill="accent2" w:themeFillTint="7F"/>
      </w:tcPr>
    </w:tblStylePr>
  </w:style>
  <w:style w:type="table" w:styleId="ColorfulGrid-Accent3">
    <w:name w:val="Colorful Grid Accent 3"/>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C7CEEA" w:themeFill="accent3" w:themeFillTint="33"/>
    </w:tcPr>
    <w:tblStylePr w:type="firstRow">
      <w:rPr>
        <w:b/>
        <w:bCs/>
      </w:rPr>
      <w:tblPr/>
      <w:tcPr>
        <w:shd w:val="clear" w:color="auto" w:fill="8F9DD5" w:themeFill="accent3" w:themeFillTint="66"/>
      </w:tcPr>
    </w:tblStylePr>
    <w:tblStylePr w:type="lastRow">
      <w:rPr>
        <w:b/>
        <w:bCs/>
        <w:color w:val="000000" w:themeColor="text1"/>
      </w:rPr>
      <w:tblPr/>
      <w:tcPr>
        <w:shd w:val="clear" w:color="auto" w:fill="8F9DD5" w:themeFill="accent3" w:themeFillTint="66"/>
      </w:tcPr>
    </w:tblStylePr>
    <w:tblStylePr w:type="firstCol">
      <w:rPr>
        <w:color w:val="FFFFFF" w:themeColor="background1"/>
      </w:rPr>
      <w:tblPr/>
      <w:tcPr>
        <w:shd w:val="clear" w:color="auto" w:fill="1A2345" w:themeFill="accent3" w:themeFillShade="BF"/>
      </w:tcPr>
    </w:tblStylePr>
    <w:tblStylePr w:type="lastCol">
      <w:rPr>
        <w:color w:val="FFFFFF" w:themeColor="background1"/>
      </w:rPr>
      <w:tblPr/>
      <w:tcPr>
        <w:shd w:val="clear" w:color="auto" w:fill="1A2345" w:themeFill="accent3" w:themeFillShade="BF"/>
      </w:tcPr>
    </w:tblStylePr>
    <w:tblStylePr w:type="band1Vert">
      <w:tblPr/>
      <w:tcPr>
        <w:shd w:val="clear" w:color="auto" w:fill="7486CB" w:themeFill="accent3" w:themeFillTint="7F"/>
      </w:tcPr>
    </w:tblStylePr>
    <w:tblStylePr w:type="band1Horz">
      <w:tblPr/>
      <w:tcPr>
        <w:shd w:val="clear" w:color="auto" w:fill="7486CB" w:themeFill="accent3" w:themeFillTint="7F"/>
      </w:tcPr>
    </w:tblStylePr>
  </w:style>
  <w:style w:type="table" w:styleId="ColorfulGrid-Accent4">
    <w:name w:val="Colorful Grid Accent 4"/>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D7D6DA" w:themeFill="accent4" w:themeFillTint="33"/>
    </w:tcPr>
    <w:tblStylePr w:type="firstRow">
      <w:rPr>
        <w:b/>
        <w:bCs/>
      </w:rPr>
      <w:tblPr/>
      <w:tcPr>
        <w:shd w:val="clear" w:color="auto" w:fill="AFAEB5" w:themeFill="accent4" w:themeFillTint="66"/>
      </w:tcPr>
    </w:tblStylePr>
    <w:tblStylePr w:type="lastRow">
      <w:rPr>
        <w:b/>
        <w:bCs/>
        <w:color w:val="000000" w:themeColor="text1"/>
      </w:rPr>
      <w:tblPr/>
      <w:tcPr>
        <w:shd w:val="clear" w:color="auto" w:fill="AFAEB5" w:themeFill="accent4" w:themeFillTint="66"/>
      </w:tcPr>
    </w:tblStylePr>
    <w:tblStylePr w:type="firstCol">
      <w:rPr>
        <w:color w:val="FFFFFF" w:themeColor="background1"/>
      </w:rPr>
      <w:tblPr/>
      <w:tcPr>
        <w:shd w:val="clear" w:color="auto" w:fill="2D2D31" w:themeFill="accent4" w:themeFillShade="BF"/>
      </w:tcPr>
    </w:tblStylePr>
    <w:tblStylePr w:type="lastCol">
      <w:rPr>
        <w:color w:val="FFFFFF" w:themeColor="background1"/>
      </w:rPr>
      <w:tblPr/>
      <w:tcPr>
        <w:shd w:val="clear" w:color="auto" w:fill="2D2D31" w:themeFill="accent4" w:themeFillShade="BF"/>
      </w:tcPr>
    </w:tblStylePr>
    <w:tblStylePr w:type="band1Vert">
      <w:tblPr/>
      <w:tcPr>
        <w:shd w:val="clear" w:color="auto" w:fill="9C9AA4" w:themeFill="accent4" w:themeFillTint="7F"/>
      </w:tcPr>
    </w:tblStylePr>
    <w:tblStylePr w:type="band1Horz">
      <w:tblPr/>
      <w:tcPr>
        <w:shd w:val="clear" w:color="auto" w:fill="9C9AA4" w:themeFill="accent4" w:themeFillTint="7F"/>
      </w:tcPr>
    </w:tblStylePr>
  </w:style>
  <w:style w:type="table" w:styleId="ColorfulGrid-Accent5">
    <w:name w:val="Colorful Grid Accent 5"/>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F7DEDB" w:themeFill="accent5" w:themeFillTint="33"/>
    </w:tcPr>
    <w:tblStylePr w:type="firstRow">
      <w:rPr>
        <w:b/>
        <w:bCs/>
      </w:rPr>
      <w:tblPr/>
      <w:tcPr>
        <w:shd w:val="clear" w:color="auto" w:fill="F0BEB8" w:themeFill="accent5" w:themeFillTint="66"/>
      </w:tcPr>
    </w:tblStylePr>
    <w:tblStylePr w:type="lastRow">
      <w:rPr>
        <w:b/>
        <w:bCs/>
        <w:color w:val="000000" w:themeColor="text1"/>
      </w:rPr>
      <w:tblPr/>
      <w:tcPr>
        <w:shd w:val="clear" w:color="auto" w:fill="F0BEB8" w:themeFill="accent5" w:themeFillTint="66"/>
      </w:tcPr>
    </w:tblStylePr>
    <w:tblStylePr w:type="firstCol">
      <w:rPr>
        <w:color w:val="FFFFFF" w:themeColor="background1"/>
      </w:rPr>
      <w:tblPr/>
      <w:tcPr>
        <w:shd w:val="clear" w:color="auto" w:fill="B73726" w:themeFill="accent5" w:themeFillShade="BF"/>
      </w:tcPr>
    </w:tblStylePr>
    <w:tblStylePr w:type="lastCol">
      <w:rPr>
        <w:color w:val="FFFFFF" w:themeColor="background1"/>
      </w:rPr>
      <w:tblPr/>
      <w:tcPr>
        <w:shd w:val="clear" w:color="auto" w:fill="B73726" w:themeFill="accent5" w:themeFillShade="BF"/>
      </w:tcPr>
    </w:tblStylePr>
    <w:tblStylePr w:type="band1Vert">
      <w:tblPr/>
      <w:tcPr>
        <w:shd w:val="clear" w:color="auto" w:fill="ECAEA7" w:themeFill="accent5" w:themeFillTint="7F"/>
      </w:tcPr>
    </w:tblStylePr>
    <w:tblStylePr w:type="band1Horz">
      <w:tblPr/>
      <w:tcPr>
        <w:shd w:val="clear" w:color="auto" w:fill="ECAEA7" w:themeFill="accent5" w:themeFillTint="7F"/>
      </w:tcPr>
    </w:tblStylePr>
  </w:style>
  <w:style w:type="table" w:styleId="ColorfulGrid-Accent6">
    <w:name w:val="Colorful Grid Accent 6"/>
    <w:basedOn w:val="TableNormal"/>
    <w:uiPriority w:val="73"/>
    <w:semiHidden/>
    <w:unhideWhenUsed/>
    <w:locked/>
    <w:rsid w:val="00C551E1"/>
    <w:rPr>
      <w:color w:val="000000" w:themeColor="text1"/>
    </w:rPr>
    <w:tblPr>
      <w:tblStyleRowBandSize w:val="1"/>
      <w:tblStyleColBandSize w:val="1"/>
      <w:tblBorders>
        <w:insideH w:val="single" w:sz="4" w:space="0" w:color="FFFFFF" w:themeColor="background1"/>
      </w:tblBorders>
    </w:tblPr>
    <w:tcPr>
      <w:shd w:val="clear" w:color="auto" w:fill="F5C0CE" w:themeFill="accent6" w:themeFillTint="33"/>
    </w:tcPr>
    <w:tblStylePr w:type="firstRow">
      <w:rPr>
        <w:b/>
        <w:bCs/>
      </w:rPr>
      <w:tblPr/>
      <w:tcPr>
        <w:shd w:val="clear" w:color="auto" w:fill="EB829D" w:themeFill="accent6" w:themeFillTint="66"/>
      </w:tcPr>
    </w:tblStylePr>
    <w:tblStylePr w:type="lastRow">
      <w:rPr>
        <w:b/>
        <w:bCs/>
        <w:color w:val="000000" w:themeColor="text1"/>
      </w:rPr>
      <w:tblPr/>
      <w:tcPr>
        <w:shd w:val="clear" w:color="auto" w:fill="EB829D" w:themeFill="accent6" w:themeFillTint="66"/>
      </w:tcPr>
    </w:tblStylePr>
    <w:tblStylePr w:type="firstCol">
      <w:rPr>
        <w:color w:val="FFFFFF" w:themeColor="background1"/>
      </w:rPr>
      <w:tblPr/>
      <w:tcPr>
        <w:shd w:val="clear" w:color="auto" w:fill="610F24" w:themeFill="accent6" w:themeFillShade="BF"/>
      </w:tcPr>
    </w:tblStylePr>
    <w:tblStylePr w:type="lastCol">
      <w:rPr>
        <w:color w:val="FFFFFF" w:themeColor="background1"/>
      </w:rPr>
      <w:tblPr/>
      <w:tcPr>
        <w:shd w:val="clear" w:color="auto" w:fill="610F24" w:themeFill="accent6" w:themeFillShade="BF"/>
      </w:tcPr>
    </w:tblStylePr>
    <w:tblStylePr w:type="band1Vert">
      <w:tblPr/>
      <w:tcPr>
        <w:shd w:val="clear" w:color="auto" w:fill="E76386" w:themeFill="accent6" w:themeFillTint="7F"/>
      </w:tcPr>
    </w:tblStylePr>
    <w:tblStylePr w:type="band1Horz">
      <w:tblPr/>
      <w:tcPr>
        <w:shd w:val="clear" w:color="auto" w:fill="E76386" w:themeFill="accent6" w:themeFillTint="7F"/>
      </w:tcPr>
    </w:tblStylePr>
  </w:style>
  <w:style w:type="table" w:styleId="ColorfulList">
    <w:name w:val="Colorful List"/>
    <w:basedOn w:val="TableNormal"/>
    <w:uiPriority w:val="72"/>
    <w:semiHidden/>
    <w:unhideWhenUsed/>
    <w:locked/>
    <w:rsid w:val="00C551E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0363A" w:themeFill="accent2" w:themeFillShade="CC"/>
      </w:tcPr>
    </w:tblStylePr>
    <w:tblStylePr w:type="lastRow">
      <w:rPr>
        <w:b/>
        <w:bCs/>
        <w:color w:val="2036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C551E1"/>
    <w:rPr>
      <w:color w:val="000000" w:themeColor="text1"/>
    </w:rPr>
    <w:tblPr>
      <w:tblStyleRowBandSize w:val="1"/>
      <w:tblStyleColBandSize w:val="1"/>
    </w:tblPr>
    <w:tcPr>
      <w:shd w:val="clear" w:color="auto" w:fill="EBF4F3" w:themeFill="accent1" w:themeFillTint="19"/>
    </w:tcPr>
    <w:tblStylePr w:type="firstRow">
      <w:rPr>
        <w:b/>
        <w:bCs/>
        <w:color w:val="FFFFFF" w:themeColor="background1"/>
      </w:rPr>
      <w:tblPr/>
      <w:tcPr>
        <w:tcBorders>
          <w:bottom w:val="single" w:sz="12" w:space="0" w:color="FFFFFF" w:themeColor="background1"/>
        </w:tcBorders>
        <w:shd w:val="clear" w:color="auto" w:fill="20363A" w:themeFill="accent2" w:themeFillShade="CC"/>
      </w:tcPr>
    </w:tblStylePr>
    <w:tblStylePr w:type="lastRow">
      <w:rPr>
        <w:b/>
        <w:bCs/>
        <w:color w:val="2036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4E2" w:themeFill="accent1" w:themeFillTint="3F"/>
      </w:tcPr>
    </w:tblStylePr>
    <w:tblStylePr w:type="band1Horz">
      <w:tblPr/>
      <w:tcPr>
        <w:shd w:val="clear" w:color="auto" w:fill="D6E9E7" w:themeFill="accent1" w:themeFillTint="33"/>
      </w:tcPr>
    </w:tblStylePr>
  </w:style>
  <w:style w:type="table" w:styleId="ColorfulList-Accent2">
    <w:name w:val="Colorful List Accent 2"/>
    <w:basedOn w:val="TableNormal"/>
    <w:uiPriority w:val="72"/>
    <w:semiHidden/>
    <w:unhideWhenUsed/>
    <w:locked/>
    <w:rsid w:val="00C551E1"/>
    <w:rPr>
      <w:color w:val="000000" w:themeColor="text1"/>
    </w:rPr>
    <w:tblPr>
      <w:tblStyleRowBandSize w:val="1"/>
      <w:tblStyleColBandSize w:val="1"/>
    </w:tblPr>
    <w:tcPr>
      <w:shd w:val="clear" w:color="auto" w:fill="E6EFF1" w:themeFill="accent2" w:themeFillTint="19"/>
    </w:tcPr>
    <w:tblStylePr w:type="firstRow">
      <w:rPr>
        <w:b/>
        <w:bCs/>
        <w:color w:val="FFFFFF" w:themeColor="background1"/>
      </w:rPr>
      <w:tblPr/>
      <w:tcPr>
        <w:tcBorders>
          <w:bottom w:val="single" w:sz="12" w:space="0" w:color="FFFFFF" w:themeColor="background1"/>
        </w:tcBorders>
        <w:shd w:val="clear" w:color="auto" w:fill="20363A" w:themeFill="accent2" w:themeFillShade="CC"/>
      </w:tcPr>
    </w:tblStylePr>
    <w:tblStylePr w:type="lastRow">
      <w:rPr>
        <w:b/>
        <w:bCs/>
        <w:color w:val="2036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8DB" w:themeFill="accent2" w:themeFillTint="3F"/>
      </w:tcPr>
    </w:tblStylePr>
    <w:tblStylePr w:type="band1Horz">
      <w:tblPr/>
      <w:tcPr>
        <w:shd w:val="clear" w:color="auto" w:fill="CCDFE2" w:themeFill="accent2" w:themeFillTint="33"/>
      </w:tcPr>
    </w:tblStylePr>
  </w:style>
  <w:style w:type="table" w:styleId="ColorfulList-Accent3">
    <w:name w:val="Colorful List Accent 3"/>
    <w:basedOn w:val="TableNormal"/>
    <w:uiPriority w:val="72"/>
    <w:semiHidden/>
    <w:unhideWhenUsed/>
    <w:locked/>
    <w:rsid w:val="00C551E1"/>
    <w:rPr>
      <w:color w:val="000000" w:themeColor="text1"/>
    </w:rPr>
    <w:tblPr>
      <w:tblStyleRowBandSize w:val="1"/>
      <w:tblStyleColBandSize w:val="1"/>
    </w:tblPr>
    <w:tcPr>
      <w:shd w:val="clear" w:color="auto" w:fill="E3E7F4" w:themeFill="accent3" w:themeFillTint="19"/>
    </w:tcPr>
    <w:tblStylePr w:type="firstRow">
      <w:rPr>
        <w:b/>
        <w:bCs/>
        <w:color w:val="FFFFFF" w:themeColor="background1"/>
      </w:rPr>
      <w:tblPr/>
      <w:tcPr>
        <w:tcBorders>
          <w:bottom w:val="single" w:sz="12" w:space="0" w:color="FFFFFF" w:themeColor="background1"/>
        </w:tcBorders>
        <w:shd w:val="clear" w:color="auto" w:fill="303034" w:themeFill="accent4" w:themeFillShade="CC"/>
      </w:tcPr>
    </w:tblStylePr>
    <w:tblStylePr w:type="lastRow">
      <w:rPr>
        <w:b/>
        <w:bCs/>
        <w:color w:val="3030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C2E5" w:themeFill="accent3" w:themeFillTint="3F"/>
      </w:tcPr>
    </w:tblStylePr>
    <w:tblStylePr w:type="band1Horz">
      <w:tblPr/>
      <w:tcPr>
        <w:shd w:val="clear" w:color="auto" w:fill="C7CEEA" w:themeFill="accent3" w:themeFillTint="33"/>
      </w:tcPr>
    </w:tblStylePr>
  </w:style>
  <w:style w:type="table" w:styleId="ColorfulList-Accent4">
    <w:name w:val="Colorful List Accent 4"/>
    <w:basedOn w:val="TableNormal"/>
    <w:uiPriority w:val="72"/>
    <w:semiHidden/>
    <w:unhideWhenUsed/>
    <w:locked/>
    <w:rsid w:val="00C551E1"/>
    <w:rPr>
      <w:color w:val="000000" w:themeColor="text1"/>
    </w:rPr>
    <w:tblPr>
      <w:tblStyleRowBandSize w:val="1"/>
      <w:tblStyleColBandSize w:val="1"/>
    </w:tblPr>
    <w:tcPr>
      <w:shd w:val="clear" w:color="auto" w:fill="EBEBED" w:themeFill="accent4" w:themeFillTint="19"/>
    </w:tcPr>
    <w:tblStylePr w:type="firstRow">
      <w:rPr>
        <w:b/>
        <w:bCs/>
        <w:color w:val="FFFFFF" w:themeColor="background1"/>
      </w:rPr>
      <w:tblPr/>
      <w:tcPr>
        <w:tcBorders>
          <w:bottom w:val="single" w:sz="12" w:space="0" w:color="FFFFFF" w:themeColor="background1"/>
        </w:tcBorders>
        <w:shd w:val="clear" w:color="auto" w:fill="1C254A" w:themeFill="accent3" w:themeFillShade="CC"/>
      </w:tcPr>
    </w:tblStylePr>
    <w:tblStylePr w:type="lastRow">
      <w:rPr>
        <w:b/>
        <w:bCs/>
        <w:color w:val="1C254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DD1" w:themeFill="accent4" w:themeFillTint="3F"/>
      </w:tcPr>
    </w:tblStylePr>
    <w:tblStylePr w:type="band1Horz">
      <w:tblPr/>
      <w:tcPr>
        <w:shd w:val="clear" w:color="auto" w:fill="D7D6DA" w:themeFill="accent4" w:themeFillTint="33"/>
      </w:tcPr>
    </w:tblStylePr>
  </w:style>
  <w:style w:type="table" w:styleId="ColorfulList-Accent5">
    <w:name w:val="Colorful List Accent 5"/>
    <w:basedOn w:val="TableNormal"/>
    <w:uiPriority w:val="72"/>
    <w:semiHidden/>
    <w:unhideWhenUsed/>
    <w:locked/>
    <w:rsid w:val="00C551E1"/>
    <w:rPr>
      <w:color w:val="000000" w:themeColor="text1"/>
    </w:rPr>
    <w:tblPr>
      <w:tblStyleRowBandSize w:val="1"/>
      <w:tblStyleColBandSize w:val="1"/>
    </w:tblPr>
    <w:tcPr>
      <w:shd w:val="clear" w:color="auto" w:fill="FBEFED" w:themeFill="accent5" w:themeFillTint="19"/>
    </w:tcPr>
    <w:tblStylePr w:type="firstRow">
      <w:rPr>
        <w:b/>
        <w:bCs/>
        <w:color w:val="FFFFFF" w:themeColor="background1"/>
      </w:rPr>
      <w:tblPr/>
      <w:tcPr>
        <w:tcBorders>
          <w:bottom w:val="single" w:sz="12" w:space="0" w:color="FFFFFF" w:themeColor="background1"/>
        </w:tcBorders>
        <w:shd w:val="clear" w:color="auto" w:fill="681027" w:themeFill="accent6" w:themeFillShade="CC"/>
      </w:tcPr>
    </w:tblStylePr>
    <w:tblStylePr w:type="lastRow">
      <w:rPr>
        <w:b/>
        <w:bCs/>
        <w:color w:val="6810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7D3" w:themeFill="accent5" w:themeFillTint="3F"/>
      </w:tcPr>
    </w:tblStylePr>
    <w:tblStylePr w:type="band1Horz">
      <w:tblPr/>
      <w:tcPr>
        <w:shd w:val="clear" w:color="auto" w:fill="F7DEDB" w:themeFill="accent5" w:themeFillTint="33"/>
      </w:tcPr>
    </w:tblStylePr>
  </w:style>
  <w:style w:type="table" w:styleId="ColorfulList-Accent6">
    <w:name w:val="Colorful List Accent 6"/>
    <w:basedOn w:val="TableNormal"/>
    <w:uiPriority w:val="72"/>
    <w:semiHidden/>
    <w:unhideWhenUsed/>
    <w:locked/>
    <w:rsid w:val="00C551E1"/>
    <w:rPr>
      <w:color w:val="000000" w:themeColor="text1"/>
    </w:rPr>
    <w:tblPr>
      <w:tblStyleRowBandSize w:val="1"/>
      <w:tblStyleColBandSize w:val="1"/>
    </w:tblPr>
    <w:tcPr>
      <w:shd w:val="clear" w:color="auto" w:fill="FAE0E7" w:themeFill="accent6" w:themeFillTint="19"/>
    </w:tcPr>
    <w:tblStylePr w:type="firstRow">
      <w:rPr>
        <w:b/>
        <w:bCs/>
        <w:color w:val="FFFFFF" w:themeColor="background1"/>
      </w:rPr>
      <w:tblPr/>
      <w:tcPr>
        <w:tcBorders>
          <w:bottom w:val="single" w:sz="12" w:space="0" w:color="FFFFFF" w:themeColor="background1"/>
        </w:tcBorders>
        <w:shd w:val="clear" w:color="auto" w:fill="C43A29" w:themeFill="accent5" w:themeFillShade="CC"/>
      </w:tcPr>
    </w:tblStylePr>
    <w:tblStylePr w:type="lastRow">
      <w:rPr>
        <w:b/>
        <w:bCs/>
        <w:color w:val="C43A2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B1C2" w:themeFill="accent6" w:themeFillTint="3F"/>
      </w:tcPr>
    </w:tblStylePr>
    <w:tblStylePr w:type="band1Horz">
      <w:tblPr/>
      <w:tcPr>
        <w:shd w:val="clear" w:color="auto" w:fill="F5C0CE" w:themeFill="accent6" w:themeFillTint="33"/>
      </w:tcPr>
    </w:tblStylePr>
  </w:style>
  <w:style w:type="table" w:styleId="ColorfulShading">
    <w:name w:val="Colorful Shading"/>
    <w:basedOn w:val="TableNormal"/>
    <w:uiPriority w:val="71"/>
    <w:semiHidden/>
    <w:unhideWhenUsed/>
    <w:locked/>
    <w:rsid w:val="00C551E1"/>
    <w:rPr>
      <w:color w:val="000000" w:themeColor="text1"/>
    </w:rPr>
    <w:tblPr>
      <w:tblStyleRowBandSize w:val="1"/>
      <w:tblStyleColBandSize w:val="1"/>
      <w:tblBorders>
        <w:top w:val="single" w:sz="24" w:space="0" w:color="29454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945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C551E1"/>
    <w:rPr>
      <w:color w:val="000000" w:themeColor="text1"/>
    </w:rPr>
    <w:tblPr>
      <w:tblStyleRowBandSize w:val="1"/>
      <w:tblStyleColBandSize w:val="1"/>
      <w:tblBorders>
        <w:top w:val="single" w:sz="24" w:space="0" w:color="294549" w:themeColor="accent2"/>
        <w:left w:val="single" w:sz="4" w:space="0" w:color="47827E" w:themeColor="accent1"/>
        <w:bottom w:val="single" w:sz="4" w:space="0" w:color="47827E" w:themeColor="accent1"/>
        <w:right w:val="single" w:sz="4" w:space="0" w:color="47827E" w:themeColor="accent1"/>
        <w:insideH w:val="single" w:sz="4" w:space="0" w:color="FFFFFF" w:themeColor="background1"/>
        <w:insideV w:val="single" w:sz="4" w:space="0" w:color="FFFFFF" w:themeColor="background1"/>
      </w:tblBorders>
    </w:tblPr>
    <w:tcPr>
      <w:shd w:val="clear" w:color="auto" w:fill="EBF4F3" w:themeFill="accent1" w:themeFillTint="19"/>
    </w:tcPr>
    <w:tblStylePr w:type="firstRow">
      <w:rPr>
        <w:b/>
        <w:bCs/>
      </w:rPr>
      <w:tblPr/>
      <w:tcPr>
        <w:tcBorders>
          <w:top w:val="nil"/>
          <w:left w:val="nil"/>
          <w:bottom w:val="single" w:sz="24" w:space="0" w:color="2945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4D4B" w:themeFill="accent1" w:themeFillShade="99"/>
      </w:tcPr>
    </w:tblStylePr>
    <w:tblStylePr w:type="firstCol">
      <w:rPr>
        <w:color w:val="FFFFFF" w:themeColor="background1"/>
      </w:rPr>
      <w:tblPr/>
      <w:tcPr>
        <w:tcBorders>
          <w:top w:val="nil"/>
          <w:left w:val="nil"/>
          <w:bottom w:val="nil"/>
          <w:right w:val="nil"/>
          <w:insideH w:val="single" w:sz="4" w:space="0" w:color="2A4D4B" w:themeColor="accent1" w:themeShade="99"/>
          <w:insideV w:val="nil"/>
        </w:tcBorders>
        <w:shd w:val="clear" w:color="auto" w:fill="2A4D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4D4B" w:themeFill="accent1" w:themeFillShade="99"/>
      </w:tcPr>
    </w:tblStylePr>
    <w:tblStylePr w:type="band1Vert">
      <w:tblPr/>
      <w:tcPr>
        <w:shd w:val="clear" w:color="auto" w:fill="AFD3D0" w:themeFill="accent1" w:themeFillTint="66"/>
      </w:tcPr>
    </w:tblStylePr>
    <w:tblStylePr w:type="band1Horz">
      <w:tblPr/>
      <w:tcPr>
        <w:shd w:val="clear" w:color="auto" w:fill="9BC8C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C551E1"/>
    <w:rPr>
      <w:color w:val="000000" w:themeColor="text1"/>
    </w:rPr>
    <w:tblPr>
      <w:tblStyleRowBandSize w:val="1"/>
      <w:tblStyleColBandSize w:val="1"/>
      <w:tblBorders>
        <w:top w:val="single" w:sz="24" w:space="0" w:color="294549" w:themeColor="accent2"/>
        <w:left w:val="single" w:sz="4" w:space="0" w:color="294549" w:themeColor="accent2"/>
        <w:bottom w:val="single" w:sz="4" w:space="0" w:color="294549" w:themeColor="accent2"/>
        <w:right w:val="single" w:sz="4" w:space="0" w:color="294549" w:themeColor="accent2"/>
        <w:insideH w:val="single" w:sz="4" w:space="0" w:color="FFFFFF" w:themeColor="background1"/>
        <w:insideV w:val="single" w:sz="4" w:space="0" w:color="FFFFFF" w:themeColor="background1"/>
      </w:tblBorders>
    </w:tblPr>
    <w:tcPr>
      <w:shd w:val="clear" w:color="auto" w:fill="E6EFF1" w:themeFill="accent2" w:themeFillTint="19"/>
    </w:tcPr>
    <w:tblStylePr w:type="firstRow">
      <w:rPr>
        <w:b/>
        <w:bCs/>
      </w:rPr>
      <w:tblPr/>
      <w:tcPr>
        <w:tcBorders>
          <w:top w:val="nil"/>
          <w:left w:val="nil"/>
          <w:bottom w:val="single" w:sz="24" w:space="0" w:color="29454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292B" w:themeFill="accent2" w:themeFillShade="99"/>
      </w:tcPr>
    </w:tblStylePr>
    <w:tblStylePr w:type="firstCol">
      <w:rPr>
        <w:color w:val="FFFFFF" w:themeColor="background1"/>
      </w:rPr>
      <w:tblPr/>
      <w:tcPr>
        <w:tcBorders>
          <w:top w:val="nil"/>
          <w:left w:val="nil"/>
          <w:bottom w:val="nil"/>
          <w:right w:val="nil"/>
          <w:insideH w:val="single" w:sz="4" w:space="0" w:color="18292B" w:themeColor="accent2" w:themeShade="99"/>
          <w:insideV w:val="nil"/>
        </w:tcBorders>
        <w:shd w:val="clear" w:color="auto" w:fill="1829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8292B" w:themeFill="accent2" w:themeFillShade="99"/>
      </w:tcPr>
    </w:tblStylePr>
    <w:tblStylePr w:type="band1Vert">
      <w:tblPr/>
      <w:tcPr>
        <w:shd w:val="clear" w:color="auto" w:fill="99C0C6" w:themeFill="accent2" w:themeFillTint="66"/>
      </w:tcPr>
    </w:tblStylePr>
    <w:tblStylePr w:type="band1Horz">
      <w:tblPr/>
      <w:tcPr>
        <w:shd w:val="clear" w:color="auto" w:fill="80B1B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C551E1"/>
    <w:rPr>
      <w:color w:val="000000" w:themeColor="text1"/>
    </w:rPr>
    <w:tblPr>
      <w:tblStyleRowBandSize w:val="1"/>
      <w:tblStyleColBandSize w:val="1"/>
      <w:tblBorders>
        <w:top w:val="single" w:sz="24" w:space="0" w:color="3D3C42" w:themeColor="accent4"/>
        <w:left w:val="single" w:sz="4" w:space="0" w:color="232F5D" w:themeColor="accent3"/>
        <w:bottom w:val="single" w:sz="4" w:space="0" w:color="232F5D" w:themeColor="accent3"/>
        <w:right w:val="single" w:sz="4" w:space="0" w:color="232F5D" w:themeColor="accent3"/>
        <w:insideH w:val="single" w:sz="4" w:space="0" w:color="FFFFFF" w:themeColor="background1"/>
        <w:insideV w:val="single" w:sz="4" w:space="0" w:color="FFFFFF" w:themeColor="background1"/>
      </w:tblBorders>
    </w:tblPr>
    <w:tcPr>
      <w:shd w:val="clear" w:color="auto" w:fill="E3E7F4" w:themeFill="accent3" w:themeFillTint="19"/>
    </w:tcPr>
    <w:tblStylePr w:type="firstRow">
      <w:rPr>
        <w:b/>
        <w:bCs/>
      </w:rPr>
      <w:tblPr/>
      <w:tcPr>
        <w:tcBorders>
          <w:top w:val="nil"/>
          <w:left w:val="nil"/>
          <w:bottom w:val="single" w:sz="24" w:space="0" w:color="3D3C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1C37" w:themeFill="accent3" w:themeFillShade="99"/>
      </w:tcPr>
    </w:tblStylePr>
    <w:tblStylePr w:type="firstCol">
      <w:rPr>
        <w:color w:val="FFFFFF" w:themeColor="background1"/>
      </w:rPr>
      <w:tblPr/>
      <w:tcPr>
        <w:tcBorders>
          <w:top w:val="nil"/>
          <w:left w:val="nil"/>
          <w:bottom w:val="nil"/>
          <w:right w:val="nil"/>
          <w:insideH w:val="single" w:sz="4" w:space="0" w:color="151C37" w:themeColor="accent3" w:themeShade="99"/>
          <w:insideV w:val="nil"/>
        </w:tcBorders>
        <w:shd w:val="clear" w:color="auto" w:fill="151C3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1C37" w:themeFill="accent3" w:themeFillShade="99"/>
      </w:tcPr>
    </w:tblStylePr>
    <w:tblStylePr w:type="band1Vert">
      <w:tblPr/>
      <w:tcPr>
        <w:shd w:val="clear" w:color="auto" w:fill="8F9DD5" w:themeFill="accent3" w:themeFillTint="66"/>
      </w:tcPr>
    </w:tblStylePr>
    <w:tblStylePr w:type="band1Horz">
      <w:tblPr/>
      <w:tcPr>
        <w:shd w:val="clear" w:color="auto" w:fill="7486CB" w:themeFill="accent3" w:themeFillTint="7F"/>
      </w:tcPr>
    </w:tblStylePr>
  </w:style>
  <w:style w:type="table" w:styleId="ColorfulShading-Accent4">
    <w:name w:val="Colorful Shading Accent 4"/>
    <w:basedOn w:val="TableNormal"/>
    <w:uiPriority w:val="71"/>
    <w:semiHidden/>
    <w:unhideWhenUsed/>
    <w:locked/>
    <w:rsid w:val="00C551E1"/>
    <w:rPr>
      <w:color w:val="000000" w:themeColor="text1"/>
    </w:rPr>
    <w:tblPr>
      <w:tblStyleRowBandSize w:val="1"/>
      <w:tblStyleColBandSize w:val="1"/>
      <w:tblBorders>
        <w:top w:val="single" w:sz="24" w:space="0" w:color="232F5D" w:themeColor="accent3"/>
        <w:left w:val="single" w:sz="4" w:space="0" w:color="3D3C42" w:themeColor="accent4"/>
        <w:bottom w:val="single" w:sz="4" w:space="0" w:color="3D3C42" w:themeColor="accent4"/>
        <w:right w:val="single" w:sz="4" w:space="0" w:color="3D3C42" w:themeColor="accent4"/>
        <w:insideH w:val="single" w:sz="4" w:space="0" w:color="FFFFFF" w:themeColor="background1"/>
        <w:insideV w:val="single" w:sz="4" w:space="0" w:color="FFFFFF" w:themeColor="background1"/>
      </w:tblBorders>
    </w:tblPr>
    <w:tcPr>
      <w:shd w:val="clear" w:color="auto" w:fill="EBEBED" w:themeFill="accent4" w:themeFillTint="19"/>
    </w:tcPr>
    <w:tblStylePr w:type="firstRow">
      <w:rPr>
        <w:b/>
        <w:bCs/>
      </w:rPr>
      <w:tblPr/>
      <w:tcPr>
        <w:tcBorders>
          <w:top w:val="nil"/>
          <w:left w:val="nil"/>
          <w:bottom w:val="single" w:sz="24" w:space="0" w:color="232F5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2427" w:themeFill="accent4" w:themeFillShade="99"/>
      </w:tcPr>
    </w:tblStylePr>
    <w:tblStylePr w:type="firstCol">
      <w:rPr>
        <w:color w:val="FFFFFF" w:themeColor="background1"/>
      </w:rPr>
      <w:tblPr/>
      <w:tcPr>
        <w:tcBorders>
          <w:top w:val="nil"/>
          <w:left w:val="nil"/>
          <w:bottom w:val="nil"/>
          <w:right w:val="nil"/>
          <w:insideH w:val="single" w:sz="4" w:space="0" w:color="242427" w:themeColor="accent4" w:themeShade="99"/>
          <w:insideV w:val="nil"/>
        </w:tcBorders>
        <w:shd w:val="clear" w:color="auto" w:fill="2424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42427" w:themeFill="accent4" w:themeFillShade="99"/>
      </w:tcPr>
    </w:tblStylePr>
    <w:tblStylePr w:type="band1Vert">
      <w:tblPr/>
      <w:tcPr>
        <w:shd w:val="clear" w:color="auto" w:fill="AFAEB5" w:themeFill="accent4" w:themeFillTint="66"/>
      </w:tcPr>
    </w:tblStylePr>
    <w:tblStylePr w:type="band1Horz">
      <w:tblPr/>
      <w:tcPr>
        <w:shd w:val="clear" w:color="auto" w:fill="9C9AA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C551E1"/>
    <w:rPr>
      <w:color w:val="000000" w:themeColor="text1"/>
    </w:rPr>
    <w:tblPr>
      <w:tblStyleRowBandSize w:val="1"/>
      <w:tblStyleColBandSize w:val="1"/>
      <w:tblBorders>
        <w:top w:val="single" w:sz="24" w:space="0" w:color="821431" w:themeColor="accent6"/>
        <w:left w:val="single" w:sz="4" w:space="0" w:color="DA5F4F" w:themeColor="accent5"/>
        <w:bottom w:val="single" w:sz="4" w:space="0" w:color="DA5F4F" w:themeColor="accent5"/>
        <w:right w:val="single" w:sz="4" w:space="0" w:color="DA5F4F" w:themeColor="accent5"/>
        <w:insideH w:val="single" w:sz="4" w:space="0" w:color="FFFFFF" w:themeColor="background1"/>
        <w:insideV w:val="single" w:sz="4" w:space="0" w:color="FFFFFF" w:themeColor="background1"/>
      </w:tblBorders>
    </w:tblPr>
    <w:tcPr>
      <w:shd w:val="clear" w:color="auto" w:fill="FBEFED" w:themeFill="accent5" w:themeFillTint="19"/>
    </w:tcPr>
    <w:tblStylePr w:type="firstRow">
      <w:rPr>
        <w:b/>
        <w:bCs/>
      </w:rPr>
      <w:tblPr/>
      <w:tcPr>
        <w:tcBorders>
          <w:top w:val="nil"/>
          <w:left w:val="nil"/>
          <w:bottom w:val="single" w:sz="24" w:space="0" w:color="82143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2C1F" w:themeFill="accent5" w:themeFillShade="99"/>
      </w:tcPr>
    </w:tblStylePr>
    <w:tblStylePr w:type="firstCol">
      <w:rPr>
        <w:color w:val="FFFFFF" w:themeColor="background1"/>
      </w:rPr>
      <w:tblPr/>
      <w:tcPr>
        <w:tcBorders>
          <w:top w:val="nil"/>
          <w:left w:val="nil"/>
          <w:bottom w:val="nil"/>
          <w:right w:val="nil"/>
          <w:insideH w:val="single" w:sz="4" w:space="0" w:color="932C1F" w:themeColor="accent5" w:themeShade="99"/>
          <w:insideV w:val="nil"/>
        </w:tcBorders>
        <w:shd w:val="clear" w:color="auto" w:fill="932C1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32C1F" w:themeFill="accent5" w:themeFillShade="99"/>
      </w:tcPr>
    </w:tblStylePr>
    <w:tblStylePr w:type="band1Vert">
      <w:tblPr/>
      <w:tcPr>
        <w:shd w:val="clear" w:color="auto" w:fill="F0BEB8" w:themeFill="accent5" w:themeFillTint="66"/>
      </w:tcPr>
    </w:tblStylePr>
    <w:tblStylePr w:type="band1Horz">
      <w:tblPr/>
      <w:tcPr>
        <w:shd w:val="clear" w:color="auto" w:fill="ECAEA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C551E1"/>
    <w:rPr>
      <w:color w:val="000000" w:themeColor="text1"/>
    </w:rPr>
    <w:tblPr>
      <w:tblStyleRowBandSize w:val="1"/>
      <w:tblStyleColBandSize w:val="1"/>
      <w:tblBorders>
        <w:top w:val="single" w:sz="24" w:space="0" w:color="DA5F4F" w:themeColor="accent5"/>
        <w:left w:val="single" w:sz="4" w:space="0" w:color="821431" w:themeColor="accent6"/>
        <w:bottom w:val="single" w:sz="4" w:space="0" w:color="821431" w:themeColor="accent6"/>
        <w:right w:val="single" w:sz="4" w:space="0" w:color="821431" w:themeColor="accent6"/>
        <w:insideH w:val="single" w:sz="4" w:space="0" w:color="FFFFFF" w:themeColor="background1"/>
        <w:insideV w:val="single" w:sz="4" w:space="0" w:color="FFFFFF" w:themeColor="background1"/>
      </w:tblBorders>
    </w:tblPr>
    <w:tcPr>
      <w:shd w:val="clear" w:color="auto" w:fill="FAE0E7" w:themeFill="accent6" w:themeFillTint="19"/>
    </w:tcPr>
    <w:tblStylePr w:type="firstRow">
      <w:rPr>
        <w:b/>
        <w:bCs/>
      </w:rPr>
      <w:tblPr/>
      <w:tcPr>
        <w:tcBorders>
          <w:top w:val="nil"/>
          <w:left w:val="nil"/>
          <w:bottom w:val="single" w:sz="24" w:space="0" w:color="DA5F4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0C1D" w:themeFill="accent6" w:themeFillShade="99"/>
      </w:tcPr>
    </w:tblStylePr>
    <w:tblStylePr w:type="firstCol">
      <w:rPr>
        <w:color w:val="FFFFFF" w:themeColor="background1"/>
      </w:rPr>
      <w:tblPr/>
      <w:tcPr>
        <w:tcBorders>
          <w:top w:val="nil"/>
          <w:left w:val="nil"/>
          <w:bottom w:val="nil"/>
          <w:right w:val="nil"/>
          <w:insideH w:val="single" w:sz="4" w:space="0" w:color="4E0C1D" w:themeColor="accent6" w:themeShade="99"/>
          <w:insideV w:val="nil"/>
        </w:tcBorders>
        <w:shd w:val="clear" w:color="auto" w:fill="4E0C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E0C1D" w:themeFill="accent6" w:themeFillShade="99"/>
      </w:tcPr>
    </w:tblStylePr>
    <w:tblStylePr w:type="band1Vert">
      <w:tblPr/>
      <w:tcPr>
        <w:shd w:val="clear" w:color="auto" w:fill="EB829D" w:themeFill="accent6" w:themeFillTint="66"/>
      </w:tcPr>
    </w:tblStylePr>
    <w:tblStylePr w:type="band1Horz">
      <w:tblPr/>
      <w:tcPr>
        <w:shd w:val="clear" w:color="auto" w:fill="E76386"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C551E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C551E1"/>
    <w:rPr>
      <w:color w:val="FFFFFF" w:themeColor="background1"/>
    </w:rPr>
    <w:tblPr>
      <w:tblStyleRowBandSize w:val="1"/>
      <w:tblStyleColBandSize w:val="1"/>
    </w:tblPr>
    <w:tcPr>
      <w:shd w:val="clear" w:color="auto" w:fill="4782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40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6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615E" w:themeFill="accent1" w:themeFillShade="BF"/>
      </w:tcPr>
    </w:tblStylePr>
    <w:tblStylePr w:type="band1Vert">
      <w:tblPr/>
      <w:tcPr>
        <w:tcBorders>
          <w:top w:val="nil"/>
          <w:left w:val="nil"/>
          <w:bottom w:val="nil"/>
          <w:right w:val="nil"/>
          <w:insideH w:val="nil"/>
          <w:insideV w:val="nil"/>
        </w:tcBorders>
        <w:shd w:val="clear" w:color="auto" w:fill="35615E" w:themeFill="accent1" w:themeFillShade="BF"/>
      </w:tcPr>
    </w:tblStylePr>
    <w:tblStylePr w:type="band1Horz">
      <w:tblPr/>
      <w:tcPr>
        <w:tcBorders>
          <w:top w:val="nil"/>
          <w:left w:val="nil"/>
          <w:bottom w:val="nil"/>
          <w:right w:val="nil"/>
          <w:insideH w:val="nil"/>
          <w:insideV w:val="nil"/>
        </w:tcBorders>
        <w:shd w:val="clear" w:color="auto" w:fill="35615E" w:themeFill="accent1" w:themeFillShade="BF"/>
      </w:tcPr>
    </w:tblStylePr>
  </w:style>
  <w:style w:type="table" w:styleId="DarkList-Accent2">
    <w:name w:val="Dark List Accent 2"/>
    <w:basedOn w:val="TableNormal"/>
    <w:uiPriority w:val="70"/>
    <w:semiHidden/>
    <w:unhideWhenUsed/>
    <w:locked/>
    <w:rsid w:val="00C551E1"/>
    <w:rPr>
      <w:color w:val="FFFFFF" w:themeColor="background1"/>
    </w:rPr>
    <w:tblPr>
      <w:tblStyleRowBandSize w:val="1"/>
      <w:tblStyleColBandSize w:val="1"/>
    </w:tblPr>
    <w:tcPr>
      <w:shd w:val="clear" w:color="auto" w:fill="29454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2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E33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E3336" w:themeFill="accent2" w:themeFillShade="BF"/>
      </w:tcPr>
    </w:tblStylePr>
    <w:tblStylePr w:type="band1Vert">
      <w:tblPr/>
      <w:tcPr>
        <w:tcBorders>
          <w:top w:val="nil"/>
          <w:left w:val="nil"/>
          <w:bottom w:val="nil"/>
          <w:right w:val="nil"/>
          <w:insideH w:val="nil"/>
          <w:insideV w:val="nil"/>
        </w:tcBorders>
        <w:shd w:val="clear" w:color="auto" w:fill="1E3336" w:themeFill="accent2" w:themeFillShade="BF"/>
      </w:tcPr>
    </w:tblStylePr>
    <w:tblStylePr w:type="band1Horz">
      <w:tblPr/>
      <w:tcPr>
        <w:tcBorders>
          <w:top w:val="nil"/>
          <w:left w:val="nil"/>
          <w:bottom w:val="nil"/>
          <w:right w:val="nil"/>
          <w:insideH w:val="nil"/>
          <w:insideV w:val="nil"/>
        </w:tcBorders>
        <w:shd w:val="clear" w:color="auto" w:fill="1E3336" w:themeFill="accent2" w:themeFillShade="BF"/>
      </w:tcPr>
    </w:tblStylePr>
  </w:style>
  <w:style w:type="table" w:styleId="DarkList-Accent3">
    <w:name w:val="Dark List Accent 3"/>
    <w:basedOn w:val="TableNormal"/>
    <w:uiPriority w:val="70"/>
    <w:semiHidden/>
    <w:unhideWhenUsed/>
    <w:locked/>
    <w:rsid w:val="00C551E1"/>
    <w:rPr>
      <w:color w:val="FFFFFF" w:themeColor="background1"/>
    </w:rPr>
    <w:tblPr>
      <w:tblStyleRowBandSize w:val="1"/>
      <w:tblStyleColBandSize w:val="1"/>
    </w:tblPr>
    <w:tcPr>
      <w:shd w:val="clear" w:color="auto" w:fill="232F5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172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234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2345" w:themeFill="accent3" w:themeFillShade="BF"/>
      </w:tcPr>
    </w:tblStylePr>
    <w:tblStylePr w:type="band1Vert">
      <w:tblPr/>
      <w:tcPr>
        <w:tcBorders>
          <w:top w:val="nil"/>
          <w:left w:val="nil"/>
          <w:bottom w:val="nil"/>
          <w:right w:val="nil"/>
          <w:insideH w:val="nil"/>
          <w:insideV w:val="nil"/>
        </w:tcBorders>
        <w:shd w:val="clear" w:color="auto" w:fill="1A2345" w:themeFill="accent3" w:themeFillShade="BF"/>
      </w:tcPr>
    </w:tblStylePr>
    <w:tblStylePr w:type="band1Horz">
      <w:tblPr/>
      <w:tcPr>
        <w:tcBorders>
          <w:top w:val="nil"/>
          <w:left w:val="nil"/>
          <w:bottom w:val="nil"/>
          <w:right w:val="nil"/>
          <w:insideH w:val="nil"/>
          <w:insideV w:val="nil"/>
        </w:tcBorders>
        <w:shd w:val="clear" w:color="auto" w:fill="1A2345" w:themeFill="accent3" w:themeFillShade="BF"/>
      </w:tcPr>
    </w:tblStylePr>
  </w:style>
  <w:style w:type="table" w:styleId="DarkList-Accent4">
    <w:name w:val="Dark List Accent 4"/>
    <w:basedOn w:val="TableNormal"/>
    <w:uiPriority w:val="70"/>
    <w:semiHidden/>
    <w:unhideWhenUsed/>
    <w:locked/>
    <w:rsid w:val="00C551E1"/>
    <w:rPr>
      <w:color w:val="FFFFFF" w:themeColor="background1"/>
    </w:rPr>
    <w:tblPr>
      <w:tblStyleRowBandSize w:val="1"/>
      <w:tblStyleColBandSize w:val="1"/>
    </w:tblPr>
    <w:tcPr>
      <w:shd w:val="clear" w:color="auto" w:fill="3D3C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E2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D2D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D2D31" w:themeFill="accent4" w:themeFillShade="BF"/>
      </w:tcPr>
    </w:tblStylePr>
    <w:tblStylePr w:type="band1Vert">
      <w:tblPr/>
      <w:tcPr>
        <w:tcBorders>
          <w:top w:val="nil"/>
          <w:left w:val="nil"/>
          <w:bottom w:val="nil"/>
          <w:right w:val="nil"/>
          <w:insideH w:val="nil"/>
          <w:insideV w:val="nil"/>
        </w:tcBorders>
        <w:shd w:val="clear" w:color="auto" w:fill="2D2D31" w:themeFill="accent4" w:themeFillShade="BF"/>
      </w:tcPr>
    </w:tblStylePr>
    <w:tblStylePr w:type="band1Horz">
      <w:tblPr/>
      <w:tcPr>
        <w:tcBorders>
          <w:top w:val="nil"/>
          <w:left w:val="nil"/>
          <w:bottom w:val="nil"/>
          <w:right w:val="nil"/>
          <w:insideH w:val="nil"/>
          <w:insideV w:val="nil"/>
        </w:tcBorders>
        <w:shd w:val="clear" w:color="auto" w:fill="2D2D31" w:themeFill="accent4" w:themeFillShade="BF"/>
      </w:tcPr>
    </w:tblStylePr>
  </w:style>
  <w:style w:type="table" w:styleId="DarkList-Accent5">
    <w:name w:val="Dark List Accent 5"/>
    <w:basedOn w:val="TableNormal"/>
    <w:uiPriority w:val="70"/>
    <w:semiHidden/>
    <w:unhideWhenUsed/>
    <w:locked/>
    <w:rsid w:val="00C551E1"/>
    <w:rPr>
      <w:color w:val="FFFFFF" w:themeColor="background1"/>
    </w:rPr>
    <w:tblPr>
      <w:tblStyleRowBandSize w:val="1"/>
      <w:tblStyleColBandSize w:val="1"/>
    </w:tblPr>
    <w:tcPr>
      <w:shd w:val="clear" w:color="auto" w:fill="DA5F4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241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7372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73726" w:themeFill="accent5" w:themeFillShade="BF"/>
      </w:tcPr>
    </w:tblStylePr>
    <w:tblStylePr w:type="band1Vert">
      <w:tblPr/>
      <w:tcPr>
        <w:tcBorders>
          <w:top w:val="nil"/>
          <w:left w:val="nil"/>
          <w:bottom w:val="nil"/>
          <w:right w:val="nil"/>
          <w:insideH w:val="nil"/>
          <w:insideV w:val="nil"/>
        </w:tcBorders>
        <w:shd w:val="clear" w:color="auto" w:fill="B73726" w:themeFill="accent5" w:themeFillShade="BF"/>
      </w:tcPr>
    </w:tblStylePr>
    <w:tblStylePr w:type="band1Horz">
      <w:tblPr/>
      <w:tcPr>
        <w:tcBorders>
          <w:top w:val="nil"/>
          <w:left w:val="nil"/>
          <w:bottom w:val="nil"/>
          <w:right w:val="nil"/>
          <w:insideH w:val="nil"/>
          <w:insideV w:val="nil"/>
        </w:tcBorders>
        <w:shd w:val="clear" w:color="auto" w:fill="B73726" w:themeFill="accent5" w:themeFillShade="BF"/>
      </w:tcPr>
    </w:tblStylePr>
  </w:style>
  <w:style w:type="table" w:styleId="DarkList-Accent6">
    <w:name w:val="Dark List Accent 6"/>
    <w:basedOn w:val="TableNormal"/>
    <w:uiPriority w:val="70"/>
    <w:semiHidden/>
    <w:unhideWhenUsed/>
    <w:locked/>
    <w:rsid w:val="00C551E1"/>
    <w:rPr>
      <w:color w:val="FFFFFF" w:themeColor="background1"/>
    </w:rPr>
    <w:tblPr>
      <w:tblStyleRowBandSize w:val="1"/>
      <w:tblStyleColBandSize w:val="1"/>
    </w:tblPr>
    <w:tcPr>
      <w:shd w:val="clear" w:color="auto" w:fill="82143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0A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10F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10F24" w:themeFill="accent6" w:themeFillShade="BF"/>
      </w:tcPr>
    </w:tblStylePr>
    <w:tblStylePr w:type="band1Vert">
      <w:tblPr/>
      <w:tcPr>
        <w:tcBorders>
          <w:top w:val="nil"/>
          <w:left w:val="nil"/>
          <w:bottom w:val="nil"/>
          <w:right w:val="nil"/>
          <w:insideH w:val="nil"/>
          <w:insideV w:val="nil"/>
        </w:tcBorders>
        <w:shd w:val="clear" w:color="auto" w:fill="610F24" w:themeFill="accent6" w:themeFillShade="BF"/>
      </w:tcPr>
    </w:tblStylePr>
    <w:tblStylePr w:type="band1Horz">
      <w:tblPr/>
      <w:tcPr>
        <w:tcBorders>
          <w:top w:val="nil"/>
          <w:left w:val="nil"/>
          <w:bottom w:val="nil"/>
          <w:right w:val="nil"/>
          <w:insideH w:val="nil"/>
          <w:insideV w:val="nil"/>
        </w:tcBorders>
        <w:shd w:val="clear" w:color="auto" w:fill="610F24" w:themeFill="accent6" w:themeFillShade="BF"/>
      </w:tcPr>
    </w:tblStylePr>
  </w:style>
  <w:style w:type="table" w:customStyle="1" w:styleId="GridTable1Light1">
    <w:name w:val="Grid Table 1 Light1"/>
    <w:basedOn w:val="TableNormal"/>
    <w:uiPriority w:val="46"/>
    <w:semiHidden/>
    <w:rsid w:val="00C551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C551E1"/>
    <w:tblPr>
      <w:tblStyleRowBandSize w:val="1"/>
      <w:tblStyleColBandSize w:val="1"/>
      <w:tblBorders>
        <w:top w:val="single" w:sz="4" w:space="0" w:color="AFD3D0" w:themeColor="accent1" w:themeTint="66"/>
        <w:left w:val="single" w:sz="4" w:space="0" w:color="AFD3D0" w:themeColor="accent1" w:themeTint="66"/>
        <w:bottom w:val="single" w:sz="4" w:space="0" w:color="AFD3D0" w:themeColor="accent1" w:themeTint="66"/>
        <w:right w:val="single" w:sz="4" w:space="0" w:color="AFD3D0" w:themeColor="accent1" w:themeTint="66"/>
        <w:insideH w:val="single" w:sz="4" w:space="0" w:color="AFD3D0" w:themeColor="accent1" w:themeTint="66"/>
        <w:insideV w:val="single" w:sz="4" w:space="0" w:color="AFD3D0" w:themeColor="accent1" w:themeTint="66"/>
      </w:tblBorders>
    </w:tblPr>
    <w:tblStylePr w:type="firstRow">
      <w:rPr>
        <w:b/>
        <w:bCs/>
      </w:rPr>
      <w:tblPr/>
      <w:tcPr>
        <w:tcBorders>
          <w:bottom w:val="single" w:sz="12" w:space="0" w:color="86BDB9" w:themeColor="accent1" w:themeTint="99"/>
        </w:tcBorders>
      </w:tcPr>
    </w:tblStylePr>
    <w:tblStylePr w:type="lastRow">
      <w:rPr>
        <w:b/>
        <w:bCs/>
      </w:rPr>
      <w:tblPr/>
      <w:tcPr>
        <w:tcBorders>
          <w:top w:val="double" w:sz="2" w:space="0" w:color="86BDB9"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C551E1"/>
    <w:tblPr>
      <w:tblStyleRowBandSize w:val="1"/>
      <w:tblStyleColBandSize w:val="1"/>
      <w:tblBorders>
        <w:top w:val="single" w:sz="4" w:space="0" w:color="99C0C6" w:themeColor="accent2" w:themeTint="66"/>
        <w:left w:val="single" w:sz="4" w:space="0" w:color="99C0C6" w:themeColor="accent2" w:themeTint="66"/>
        <w:bottom w:val="single" w:sz="4" w:space="0" w:color="99C0C6" w:themeColor="accent2" w:themeTint="66"/>
        <w:right w:val="single" w:sz="4" w:space="0" w:color="99C0C6" w:themeColor="accent2" w:themeTint="66"/>
        <w:insideH w:val="single" w:sz="4" w:space="0" w:color="99C0C6" w:themeColor="accent2" w:themeTint="66"/>
        <w:insideV w:val="single" w:sz="4" w:space="0" w:color="99C0C6" w:themeColor="accent2" w:themeTint="66"/>
      </w:tblBorders>
    </w:tblPr>
    <w:tblStylePr w:type="firstRow">
      <w:rPr>
        <w:b/>
        <w:bCs/>
      </w:rPr>
      <w:tblPr/>
      <w:tcPr>
        <w:tcBorders>
          <w:bottom w:val="single" w:sz="12" w:space="0" w:color="66A1A9" w:themeColor="accent2" w:themeTint="99"/>
        </w:tcBorders>
      </w:tcPr>
    </w:tblStylePr>
    <w:tblStylePr w:type="lastRow">
      <w:rPr>
        <w:b/>
        <w:bCs/>
      </w:rPr>
      <w:tblPr/>
      <w:tcPr>
        <w:tcBorders>
          <w:top w:val="double" w:sz="2" w:space="0" w:color="66A1A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C551E1"/>
    <w:tblPr>
      <w:tblStyleRowBandSize w:val="1"/>
      <w:tblStyleColBandSize w:val="1"/>
      <w:tblBorders>
        <w:top w:val="single" w:sz="4" w:space="0" w:color="8F9DD5" w:themeColor="accent3" w:themeTint="66"/>
        <w:left w:val="single" w:sz="4" w:space="0" w:color="8F9DD5" w:themeColor="accent3" w:themeTint="66"/>
        <w:bottom w:val="single" w:sz="4" w:space="0" w:color="8F9DD5" w:themeColor="accent3" w:themeTint="66"/>
        <w:right w:val="single" w:sz="4" w:space="0" w:color="8F9DD5" w:themeColor="accent3" w:themeTint="66"/>
        <w:insideH w:val="single" w:sz="4" w:space="0" w:color="8F9DD5" w:themeColor="accent3" w:themeTint="66"/>
        <w:insideV w:val="single" w:sz="4" w:space="0" w:color="8F9DD5" w:themeColor="accent3" w:themeTint="66"/>
      </w:tblBorders>
    </w:tblPr>
    <w:tblStylePr w:type="firstRow">
      <w:rPr>
        <w:b/>
        <w:bCs/>
      </w:rPr>
      <w:tblPr/>
      <w:tcPr>
        <w:tcBorders>
          <w:bottom w:val="single" w:sz="12" w:space="0" w:color="586DC0" w:themeColor="accent3" w:themeTint="99"/>
        </w:tcBorders>
      </w:tcPr>
    </w:tblStylePr>
    <w:tblStylePr w:type="lastRow">
      <w:rPr>
        <w:b/>
        <w:bCs/>
      </w:rPr>
      <w:tblPr/>
      <w:tcPr>
        <w:tcBorders>
          <w:top w:val="double" w:sz="2" w:space="0" w:color="586DC0"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C551E1"/>
    <w:tblPr>
      <w:tblStyleRowBandSize w:val="1"/>
      <w:tblStyleColBandSize w:val="1"/>
      <w:tblBorders>
        <w:top w:val="single" w:sz="4" w:space="0" w:color="AFAEB5" w:themeColor="accent4" w:themeTint="66"/>
        <w:left w:val="single" w:sz="4" w:space="0" w:color="AFAEB5" w:themeColor="accent4" w:themeTint="66"/>
        <w:bottom w:val="single" w:sz="4" w:space="0" w:color="AFAEB5" w:themeColor="accent4" w:themeTint="66"/>
        <w:right w:val="single" w:sz="4" w:space="0" w:color="AFAEB5" w:themeColor="accent4" w:themeTint="66"/>
        <w:insideH w:val="single" w:sz="4" w:space="0" w:color="AFAEB5" w:themeColor="accent4" w:themeTint="66"/>
        <w:insideV w:val="single" w:sz="4" w:space="0" w:color="AFAEB5" w:themeColor="accent4" w:themeTint="66"/>
      </w:tblBorders>
    </w:tblPr>
    <w:tblStylePr w:type="firstRow">
      <w:rPr>
        <w:b/>
        <w:bCs/>
      </w:rPr>
      <w:tblPr/>
      <w:tcPr>
        <w:tcBorders>
          <w:bottom w:val="single" w:sz="12" w:space="0" w:color="878691" w:themeColor="accent4" w:themeTint="99"/>
        </w:tcBorders>
      </w:tcPr>
    </w:tblStylePr>
    <w:tblStylePr w:type="lastRow">
      <w:rPr>
        <w:b/>
        <w:bCs/>
      </w:rPr>
      <w:tblPr/>
      <w:tcPr>
        <w:tcBorders>
          <w:top w:val="double" w:sz="2" w:space="0" w:color="8786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C551E1"/>
    <w:tblPr>
      <w:tblStyleRowBandSize w:val="1"/>
      <w:tblStyleColBandSize w:val="1"/>
      <w:tblBorders>
        <w:top w:val="single" w:sz="4" w:space="0" w:color="F0BEB8" w:themeColor="accent5" w:themeTint="66"/>
        <w:left w:val="single" w:sz="4" w:space="0" w:color="F0BEB8" w:themeColor="accent5" w:themeTint="66"/>
        <w:bottom w:val="single" w:sz="4" w:space="0" w:color="F0BEB8" w:themeColor="accent5" w:themeTint="66"/>
        <w:right w:val="single" w:sz="4" w:space="0" w:color="F0BEB8" w:themeColor="accent5" w:themeTint="66"/>
        <w:insideH w:val="single" w:sz="4" w:space="0" w:color="F0BEB8" w:themeColor="accent5" w:themeTint="66"/>
        <w:insideV w:val="single" w:sz="4" w:space="0" w:color="F0BEB8" w:themeColor="accent5" w:themeTint="66"/>
      </w:tblBorders>
    </w:tblPr>
    <w:tblStylePr w:type="firstRow">
      <w:rPr>
        <w:b/>
        <w:bCs/>
      </w:rPr>
      <w:tblPr/>
      <w:tcPr>
        <w:tcBorders>
          <w:bottom w:val="single" w:sz="12" w:space="0" w:color="E89E95" w:themeColor="accent5" w:themeTint="99"/>
        </w:tcBorders>
      </w:tcPr>
    </w:tblStylePr>
    <w:tblStylePr w:type="lastRow">
      <w:rPr>
        <w:b/>
        <w:bCs/>
      </w:rPr>
      <w:tblPr/>
      <w:tcPr>
        <w:tcBorders>
          <w:top w:val="double" w:sz="2" w:space="0" w:color="E89E9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C551E1"/>
    <w:tblPr>
      <w:tblStyleRowBandSize w:val="1"/>
      <w:tblStyleColBandSize w:val="1"/>
      <w:tblBorders>
        <w:top w:val="single" w:sz="4" w:space="0" w:color="EB829D" w:themeColor="accent6" w:themeTint="66"/>
        <w:left w:val="single" w:sz="4" w:space="0" w:color="EB829D" w:themeColor="accent6" w:themeTint="66"/>
        <w:bottom w:val="single" w:sz="4" w:space="0" w:color="EB829D" w:themeColor="accent6" w:themeTint="66"/>
        <w:right w:val="single" w:sz="4" w:space="0" w:color="EB829D" w:themeColor="accent6" w:themeTint="66"/>
        <w:insideH w:val="single" w:sz="4" w:space="0" w:color="EB829D" w:themeColor="accent6" w:themeTint="66"/>
        <w:insideV w:val="single" w:sz="4" w:space="0" w:color="EB829D" w:themeColor="accent6" w:themeTint="66"/>
      </w:tblBorders>
    </w:tblPr>
    <w:tblStylePr w:type="firstRow">
      <w:rPr>
        <w:b/>
        <w:bCs/>
      </w:rPr>
      <w:tblPr/>
      <w:tcPr>
        <w:tcBorders>
          <w:bottom w:val="single" w:sz="12" w:space="0" w:color="E2436D" w:themeColor="accent6" w:themeTint="99"/>
        </w:tcBorders>
      </w:tcPr>
    </w:tblStylePr>
    <w:tblStylePr w:type="lastRow">
      <w:rPr>
        <w:b/>
        <w:bCs/>
      </w:rPr>
      <w:tblPr/>
      <w:tcPr>
        <w:tcBorders>
          <w:top w:val="double" w:sz="2" w:space="0" w:color="E2436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C551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C551E1"/>
    <w:tblPr>
      <w:tblStyleRowBandSize w:val="1"/>
      <w:tblStyleColBandSize w:val="1"/>
      <w:tblBorders>
        <w:top w:val="single" w:sz="2" w:space="0" w:color="86BDB9" w:themeColor="accent1" w:themeTint="99"/>
        <w:bottom w:val="single" w:sz="2" w:space="0" w:color="86BDB9" w:themeColor="accent1" w:themeTint="99"/>
        <w:insideH w:val="single" w:sz="2" w:space="0" w:color="86BDB9" w:themeColor="accent1" w:themeTint="99"/>
        <w:insideV w:val="single" w:sz="2" w:space="0" w:color="86BDB9" w:themeColor="accent1" w:themeTint="99"/>
      </w:tblBorders>
    </w:tblPr>
    <w:tblStylePr w:type="firstRow">
      <w:rPr>
        <w:b/>
        <w:bCs/>
      </w:rPr>
      <w:tblPr/>
      <w:tcPr>
        <w:tcBorders>
          <w:top w:val="nil"/>
          <w:bottom w:val="single" w:sz="12" w:space="0" w:color="86BDB9" w:themeColor="accent1" w:themeTint="99"/>
          <w:insideH w:val="nil"/>
          <w:insideV w:val="nil"/>
        </w:tcBorders>
        <w:shd w:val="clear" w:color="auto" w:fill="FFFFFF" w:themeFill="background1"/>
      </w:tcPr>
    </w:tblStylePr>
    <w:tblStylePr w:type="lastRow">
      <w:rPr>
        <w:b/>
        <w:bCs/>
      </w:rPr>
      <w:tblPr/>
      <w:tcPr>
        <w:tcBorders>
          <w:top w:val="double" w:sz="2" w:space="0" w:color="86BD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GridTable2-Accent21">
    <w:name w:val="Grid Table 2 - Accent 21"/>
    <w:basedOn w:val="TableNormal"/>
    <w:uiPriority w:val="47"/>
    <w:semiHidden/>
    <w:rsid w:val="00C551E1"/>
    <w:tblPr>
      <w:tblStyleRowBandSize w:val="1"/>
      <w:tblStyleColBandSize w:val="1"/>
      <w:tblBorders>
        <w:top w:val="single" w:sz="2" w:space="0" w:color="66A1A9" w:themeColor="accent2" w:themeTint="99"/>
        <w:bottom w:val="single" w:sz="2" w:space="0" w:color="66A1A9" w:themeColor="accent2" w:themeTint="99"/>
        <w:insideH w:val="single" w:sz="2" w:space="0" w:color="66A1A9" w:themeColor="accent2" w:themeTint="99"/>
        <w:insideV w:val="single" w:sz="2" w:space="0" w:color="66A1A9" w:themeColor="accent2" w:themeTint="99"/>
      </w:tblBorders>
    </w:tblPr>
    <w:tblStylePr w:type="firstRow">
      <w:rPr>
        <w:b/>
        <w:bCs/>
      </w:rPr>
      <w:tblPr/>
      <w:tcPr>
        <w:tcBorders>
          <w:top w:val="nil"/>
          <w:bottom w:val="single" w:sz="12" w:space="0" w:color="66A1A9" w:themeColor="accent2" w:themeTint="99"/>
          <w:insideH w:val="nil"/>
          <w:insideV w:val="nil"/>
        </w:tcBorders>
        <w:shd w:val="clear" w:color="auto" w:fill="FFFFFF" w:themeFill="background1"/>
      </w:tcPr>
    </w:tblStylePr>
    <w:tblStylePr w:type="lastRow">
      <w:rPr>
        <w:b/>
        <w:bCs/>
      </w:rPr>
      <w:tblPr/>
      <w:tcPr>
        <w:tcBorders>
          <w:top w:val="double" w:sz="2" w:space="0" w:color="66A1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GridTable2-Accent31">
    <w:name w:val="Grid Table 2 - Accent 31"/>
    <w:basedOn w:val="TableNormal"/>
    <w:uiPriority w:val="47"/>
    <w:semiHidden/>
    <w:rsid w:val="00C551E1"/>
    <w:tblPr>
      <w:tblStyleRowBandSize w:val="1"/>
      <w:tblStyleColBandSize w:val="1"/>
      <w:tblBorders>
        <w:top w:val="single" w:sz="2" w:space="0" w:color="586DC0" w:themeColor="accent3" w:themeTint="99"/>
        <w:bottom w:val="single" w:sz="2" w:space="0" w:color="586DC0" w:themeColor="accent3" w:themeTint="99"/>
        <w:insideH w:val="single" w:sz="2" w:space="0" w:color="586DC0" w:themeColor="accent3" w:themeTint="99"/>
        <w:insideV w:val="single" w:sz="2" w:space="0" w:color="586DC0" w:themeColor="accent3" w:themeTint="99"/>
      </w:tblBorders>
    </w:tblPr>
    <w:tblStylePr w:type="firstRow">
      <w:rPr>
        <w:b/>
        <w:bCs/>
      </w:rPr>
      <w:tblPr/>
      <w:tcPr>
        <w:tcBorders>
          <w:top w:val="nil"/>
          <w:bottom w:val="single" w:sz="12" w:space="0" w:color="586DC0" w:themeColor="accent3" w:themeTint="99"/>
          <w:insideH w:val="nil"/>
          <w:insideV w:val="nil"/>
        </w:tcBorders>
        <w:shd w:val="clear" w:color="auto" w:fill="FFFFFF" w:themeFill="background1"/>
      </w:tcPr>
    </w:tblStylePr>
    <w:tblStylePr w:type="lastRow">
      <w:rPr>
        <w:b/>
        <w:bCs/>
      </w:rPr>
      <w:tblPr/>
      <w:tcPr>
        <w:tcBorders>
          <w:top w:val="double" w:sz="2" w:space="0" w:color="586D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GridTable2-Accent41">
    <w:name w:val="Grid Table 2 - Accent 41"/>
    <w:basedOn w:val="TableNormal"/>
    <w:uiPriority w:val="47"/>
    <w:semiHidden/>
    <w:rsid w:val="00C551E1"/>
    <w:tblPr>
      <w:tblStyleRowBandSize w:val="1"/>
      <w:tblStyleColBandSize w:val="1"/>
      <w:tblBorders>
        <w:top w:val="single" w:sz="2" w:space="0" w:color="878691" w:themeColor="accent4" w:themeTint="99"/>
        <w:bottom w:val="single" w:sz="2" w:space="0" w:color="878691" w:themeColor="accent4" w:themeTint="99"/>
        <w:insideH w:val="single" w:sz="2" w:space="0" w:color="878691" w:themeColor="accent4" w:themeTint="99"/>
        <w:insideV w:val="single" w:sz="2" w:space="0" w:color="878691" w:themeColor="accent4" w:themeTint="99"/>
      </w:tblBorders>
    </w:tblPr>
    <w:tblStylePr w:type="firstRow">
      <w:rPr>
        <w:b/>
        <w:bCs/>
      </w:rPr>
      <w:tblPr/>
      <w:tcPr>
        <w:tcBorders>
          <w:top w:val="nil"/>
          <w:bottom w:val="single" w:sz="12" w:space="0" w:color="878691" w:themeColor="accent4" w:themeTint="99"/>
          <w:insideH w:val="nil"/>
          <w:insideV w:val="nil"/>
        </w:tcBorders>
        <w:shd w:val="clear" w:color="auto" w:fill="FFFFFF" w:themeFill="background1"/>
      </w:tcPr>
    </w:tblStylePr>
    <w:tblStylePr w:type="lastRow">
      <w:rPr>
        <w:b/>
        <w:bCs/>
      </w:rPr>
      <w:tblPr/>
      <w:tcPr>
        <w:tcBorders>
          <w:top w:val="double" w:sz="2" w:space="0" w:color="8786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GridTable2-Accent51">
    <w:name w:val="Grid Table 2 - Accent 51"/>
    <w:basedOn w:val="TableNormal"/>
    <w:uiPriority w:val="47"/>
    <w:semiHidden/>
    <w:rsid w:val="00C551E1"/>
    <w:tblPr>
      <w:tblStyleRowBandSize w:val="1"/>
      <w:tblStyleColBandSize w:val="1"/>
      <w:tblBorders>
        <w:top w:val="single" w:sz="2" w:space="0" w:color="E89E95" w:themeColor="accent5" w:themeTint="99"/>
        <w:bottom w:val="single" w:sz="2" w:space="0" w:color="E89E95" w:themeColor="accent5" w:themeTint="99"/>
        <w:insideH w:val="single" w:sz="2" w:space="0" w:color="E89E95" w:themeColor="accent5" w:themeTint="99"/>
        <w:insideV w:val="single" w:sz="2" w:space="0" w:color="E89E95" w:themeColor="accent5" w:themeTint="99"/>
      </w:tblBorders>
    </w:tblPr>
    <w:tblStylePr w:type="firstRow">
      <w:rPr>
        <w:b/>
        <w:bCs/>
      </w:rPr>
      <w:tblPr/>
      <w:tcPr>
        <w:tcBorders>
          <w:top w:val="nil"/>
          <w:bottom w:val="single" w:sz="12" w:space="0" w:color="E89E95" w:themeColor="accent5" w:themeTint="99"/>
          <w:insideH w:val="nil"/>
          <w:insideV w:val="nil"/>
        </w:tcBorders>
        <w:shd w:val="clear" w:color="auto" w:fill="FFFFFF" w:themeFill="background1"/>
      </w:tcPr>
    </w:tblStylePr>
    <w:tblStylePr w:type="lastRow">
      <w:rPr>
        <w:b/>
        <w:bCs/>
      </w:rPr>
      <w:tblPr/>
      <w:tcPr>
        <w:tcBorders>
          <w:top w:val="double" w:sz="2" w:space="0" w:color="E89E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GridTable2-Accent61">
    <w:name w:val="Grid Table 2 - Accent 61"/>
    <w:basedOn w:val="TableNormal"/>
    <w:uiPriority w:val="47"/>
    <w:semiHidden/>
    <w:rsid w:val="00C551E1"/>
    <w:tblPr>
      <w:tblStyleRowBandSize w:val="1"/>
      <w:tblStyleColBandSize w:val="1"/>
      <w:tblBorders>
        <w:top w:val="single" w:sz="2" w:space="0" w:color="E2436D" w:themeColor="accent6" w:themeTint="99"/>
        <w:bottom w:val="single" w:sz="2" w:space="0" w:color="E2436D" w:themeColor="accent6" w:themeTint="99"/>
        <w:insideH w:val="single" w:sz="2" w:space="0" w:color="E2436D" w:themeColor="accent6" w:themeTint="99"/>
        <w:insideV w:val="single" w:sz="2" w:space="0" w:color="E2436D" w:themeColor="accent6" w:themeTint="99"/>
      </w:tblBorders>
    </w:tblPr>
    <w:tblStylePr w:type="firstRow">
      <w:rPr>
        <w:b/>
        <w:bCs/>
      </w:rPr>
      <w:tblPr/>
      <w:tcPr>
        <w:tcBorders>
          <w:top w:val="nil"/>
          <w:bottom w:val="single" w:sz="12" w:space="0" w:color="E2436D" w:themeColor="accent6" w:themeTint="99"/>
          <w:insideH w:val="nil"/>
          <w:insideV w:val="nil"/>
        </w:tcBorders>
        <w:shd w:val="clear" w:color="auto" w:fill="FFFFFF" w:themeFill="background1"/>
      </w:tcPr>
    </w:tblStylePr>
    <w:tblStylePr w:type="lastRow">
      <w:rPr>
        <w:b/>
        <w:bCs/>
      </w:rPr>
      <w:tblPr/>
      <w:tcPr>
        <w:tcBorders>
          <w:top w:val="double" w:sz="2" w:space="0" w:color="E2436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GridTable31">
    <w:name w:val="Grid Table 31"/>
    <w:basedOn w:val="TableNormal"/>
    <w:uiPriority w:val="48"/>
    <w:semiHidden/>
    <w:rsid w:val="00C551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C551E1"/>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bottom w:val="single" w:sz="4" w:space="0" w:color="86BDB9" w:themeColor="accent1" w:themeTint="99"/>
        </w:tcBorders>
      </w:tcPr>
    </w:tblStylePr>
    <w:tblStylePr w:type="nwCell">
      <w:tblPr/>
      <w:tcPr>
        <w:tcBorders>
          <w:bottom w:val="single" w:sz="4" w:space="0" w:color="86BDB9" w:themeColor="accent1" w:themeTint="99"/>
        </w:tcBorders>
      </w:tcPr>
    </w:tblStylePr>
    <w:tblStylePr w:type="seCell">
      <w:tblPr/>
      <w:tcPr>
        <w:tcBorders>
          <w:top w:val="single" w:sz="4" w:space="0" w:color="86BDB9" w:themeColor="accent1" w:themeTint="99"/>
        </w:tcBorders>
      </w:tcPr>
    </w:tblStylePr>
    <w:tblStylePr w:type="swCell">
      <w:tblPr/>
      <w:tcPr>
        <w:tcBorders>
          <w:top w:val="single" w:sz="4" w:space="0" w:color="86BDB9" w:themeColor="accent1" w:themeTint="99"/>
        </w:tcBorders>
      </w:tcPr>
    </w:tblStylePr>
  </w:style>
  <w:style w:type="table" w:customStyle="1" w:styleId="GridTable3-Accent21">
    <w:name w:val="Grid Table 3 - Accent 21"/>
    <w:basedOn w:val="TableNormal"/>
    <w:uiPriority w:val="48"/>
    <w:semiHidden/>
    <w:rsid w:val="00C551E1"/>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bottom w:val="single" w:sz="4" w:space="0" w:color="66A1A9" w:themeColor="accent2" w:themeTint="99"/>
        </w:tcBorders>
      </w:tcPr>
    </w:tblStylePr>
    <w:tblStylePr w:type="nwCell">
      <w:tblPr/>
      <w:tcPr>
        <w:tcBorders>
          <w:bottom w:val="single" w:sz="4" w:space="0" w:color="66A1A9" w:themeColor="accent2" w:themeTint="99"/>
        </w:tcBorders>
      </w:tcPr>
    </w:tblStylePr>
    <w:tblStylePr w:type="seCell">
      <w:tblPr/>
      <w:tcPr>
        <w:tcBorders>
          <w:top w:val="single" w:sz="4" w:space="0" w:color="66A1A9" w:themeColor="accent2" w:themeTint="99"/>
        </w:tcBorders>
      </w:tcPr>
    </w:tblStylePr>
    <w:tblStylePr w:type="swCell">
      <w:tblPr/>
      <w:tcPr>
        <w:tcBorders>
          <w:top w:val="single" w:sz="4" w:space="0" w:color="66A1A9" w:themeColor="accent2" w:themeTint="99"/>
        </w:tcBorders>
      </w:tcPr>
    </w:tblStylePr>
  </w:style>
  <w:style w:type="table" w:customStyle="1" w:styleId="GridTable3-Accent31">
    <w:name w:val="Grid Table 3 - Accent 31"/>
    <w:basedOn w:val="TableNormal"/>
    <w:uiPriority w:val="48"/>
    <w:semiHidden/>
    <w:rsid w:val="00C551E1"/>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bottom w:val="single" w:sz="4" w:space="0" w:color="586DC0" w:themeColor="accent3" w:themeTint="99"/>
        </w:tcBorders>
      </w:tcPr>
    </w:tblStylePr>
    <w:tblStylePr w:type="nwCell">
      <w:tblPr/>
      <w:tcPr>
        <w:tcBorders>
          <w:bottom w:val="single" w:sz="4" w:space="0" w:color="586DC0" w:themeColor="accent3" w:themeTint="99"/>
        </w:tcBorders>
      </w:tcPr>
    </w:tblStylePr>
    <w:tblStylePr w:type="seCell">
      <w:tblPr/>
      <w:tcPr>
        <w:tcBorders>
          <w:top w:val="single" w:sz="4" w:space="0" w:color="586DC0" w:themeColor="accent3" w:themeTint="99"/>
        </w:tcBorders>
      </w:tcPr>
    </w:tblStylePr>
    <w:tblStylePr w:type="swCell">
      <w:tblPr/>
      <w:tcPr>
        <w:tcBorders>
          <w:top w:val="single" w:sz="4" w:space="0" w:color="586DC0" w:themeColor="accent3" w:themeTint="99"/>
        </w:tcBorders>
      </w:tcPr>
    </w:tblStylePr>
  </w:style>
  <w:style w:type="table" w:customStyle="1" w:styleId="GridTable3-Accent41">
    <w:name w:val="Grid Table 3 - Accent 41"/>
    <w:basedOn w:val="TableNormal"/>
    <w:uiPriority w:val="48"/>
    <w:semiHidden/>
    <w:rsid w:val="00C551E1"/>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bottom w:val="single" w:sz="4" w:space="0" w:color="878691" w:themeColor="accent4" w:themeTint="99"/>
        </w:tcBorders>
      </w:tcPr>
    </w:tblStylePr>
    <w:tblStylePr w:type="nwCell">
      <w:tblPr/>
      <w:tcPr>
        <w:tcBorders>
          <w:bottom w:val="single" w:sz="4" w:space="0" w:color="878691" w:themeColor="accent4" w:themeTint="99"/>
        </w:tcBorders>
      </w:tcPr>
    </w:tblStylePr>
    <w:tblStylePr w:type="seCell">
      <w:tblPr/>
      <w:tcPr>
        <w:tcBorders>
          <w:top w:val="single" w:sz="4" w:space="0" w:color="878691" w:themeColor="accent4" w:themeTint="99"/>
        </w:tcBorders>
      </w:tcPr>
    </w:tblStylePr>
    <w:tblStylePr w:type="swCell">
      <w:tblPr/>
      <w:tcPr>
        <w:tcBorders>
          <w:top w:val="single" w:sz="4" w:space="0" w:color="878691" w:themeColor="accent4" w:themeTint="99"/>
        </w:tcBorders>
      </w:tcPr>
    </w:tblStylePr>
  </w:style>
  <w:style w:type="table" w:customStyle="1" w:styleId="GridTable3-Accent51">
    <w:name w:val="Grid Table 3 - Accent 51"/>
    <w:basedOn w:val="TableNormal"/>
    <w:uiPriority w:val="48"/>
    <w:semiHidden/>
    <w:rsid w:val="00C551E1"/>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bottom w:val="single" w:sz="4" w:space="0" w:color="E89E95" w:themeColor="accent5" w:themeTint="99"/>
        </w:tcBorders>
      </w:tcPr>
    </w:tblStylePr>
    <w:tblStylePr w:type="nwCell">
      <w:tblPr/>
      <w:tcPr>
        <w:tcBorders>
          <w:bottom w:val="single" w:sz="4" w:space="0" w:color="E89E95" w:themeColor="accent5" w:themeTint="99"/>
        </w:tcBorders>
      </w:tcPr>
    </w:tblStylePr>
    <w:tblStylePr w:type="seCell">
      <w:tblPr/>
      <w:tcPr>
        <w:tcBorders>
          <w:top w:val="single" w:sz="4" w:space="0" w:color="E89E95" w:themeColor="accent5" w:themeTint="99"/>
        </w:tcBorders>
      </w:tcPr>
    </w:tblStylePr>
    <w:tblStylePr w:type="swCell">
      <w:tblPr/>
      <w:tcPr>
        <w:tcBorders>
          <w:top w:val="single" w:sz="4" w:space="0" w:color="E89E95" w:themeColor="accent5" w:themeTint="99"/>
        </w:tcBorders>
      </w:tcPr>
    </w:tblStylePr>
  </w:style>
  <w:style w:type="table" w:customStyle="1" w:styleId="GridTable3-Accent61">
    <w:name w:val="Grid Table 3 - Accent 61"/>
    <w:basedOn w:val="TableNormal"/>
    <w:uiPriority w:val="48"/>
    <w:semiHidden/>
    <w:rsid w:val="00C551E1"/>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bottom w:val="single" w:sz="4" w:space="0" w:color="E2436D" w:themeColor="accent6" w:themeTint="99"/>
        </w:tcBorders>
      </w:tcPr>
    </w:tblStylePr>
    <w:tblStylePr w:type="nwCell">
      <w:tblPr/>
      <w:tcPr>
        <w:tcBorders>
          <w:bottom w:val="single" w:sz="4" w:space="0" w:color="E2436D" w:themeColor="accent6" w:themeTint="99"/>
        </w:tcBorders>
      </w:tcPr>
    </w:tblStylePr>
    <w:tblStylePr w:type="seCell">
      <w:tblPr/>
      <w:tcPr>
        <w:tcBorders>
          <w:top w:val="single" w:sz="4" w:space="0" w:color="E2436D" w:themeColor="accent6" w:themeTint="99"/>
        </w:tcBorders>
      </w:tcPr>
    </w:tblStylePr>
    <w:tblStylePr w:type="swCell">
      <w:tblPr/>
      <w:tcPr>
        <w:tcBorders>
          <w:top w:val="single" w:sz="4" w:space="0" w:color="E2436D" w:themeColor="accent6" w:themeTint="99"/>
        </w:tcBorders>
      </w:tcPr>
    </w:tblStylePr>
  </w:style>
  <w:style w:type="table" w:customStyle="1" w:styleId="GridTable41">
    <w:name w:val="Grid Table 41"/>
    <w:basedOn w:val="TableNormal"/>
    <w:uiPriority w:val="49"/>
    <w:semiHidden/>
    <w:rsid w:val="00C551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C551E1"/>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color w:val="FFFFFF" w:themeColor="background1"/>
      </w:rPr>
      <w:tblPr/>
      <w:tcPr>
        <w:tcBorders>
          <w:top w:val="single" w:sz="4" w:space="0" w:color="47827E" w:themeColor="accent1"/>
          <w:left w:val="single" w:sz="4" w:space="0" w:color="47827E" w:themeColor="accent1"/>
          <w:bottom w:val="single" w:sz="4" w:space="0" w:color="47827E" w:themeColor="accent1"/>
          <w:right w:val="single" w:sz="4" w:space="0" w:color="47827E" w:themeColor="accent1"/>
          <w:insideH w:val="nil"/>
          <w:insideV w:val="nil"/>
        </w:tcBorders>
        <w:shd w:val="clear" w:color="auto" w:fill="47827E" w:themeFill="accent1"/>
      </w:tcPr>
    </w:tblStylePr>
    <w:tblStylePr w:type="lastRow">
      <w:rPr>
        <w:b/>
        <w:bCs/>
      </w:rPr>
      <w:tblPr/>
      <w:tcPr>
        <w:tcBorders>
          <w:top w:val="double" w:sz="4" w:space="0" w:color="47827E" w:themeColor="accent1"/>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GridTable4-Accent21">
    <w:name w:val="Grid Table 4 - Accent 21"/>
    <w:basedOn w:val="TableNormal"/>
    <w:uiPriority w:val="49"/>
    <w:semiHidden/>
    <w:rsid w:val="00C551E1"/>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color w:val="FFFFFF" w:themeColor="background1"/>
      </w:rPr>
      <w:tblPr/>
      <w:tcPr>
        <w:tcBorders>
          <w:top w:val="single" w:sz="4" w:space="0" w:color="294549" w:themeColor="accent2"/>
          <w:left w:val="single" w:sz="4" w:space="0" w:color="294549" w:themeColor="accent2"/>
          <w:bottom w:val="single" w:sz="4" w:space="0" w:color="294549" w:themeColor="accent2"/>
          <w:right w:val="single" w:sz="4" w:space="0" w:color="294549" w:themeColor="accent2"/>
          <w:insideH w:val="nil"/>
          <w:insideV w:val="nil"/>
        </w:tcBorders>
        <w:shd w:val="clear" w:color="auto" w:fill="294549" w:themeFill="accent2"/>
      </w:tcPr>
    </w:tblStylePr>
    <w:tblStylePr w:type="lastRow">
      <w:rPr>
        <w:b/>
        <w:bCs/>
      </w:rPr>
      <w:tblPr/>
      <w:tcPr>
        <w:tcBorders>
          <w:top w:val="double" w:sz="4" w:space="0" w:color="294549" w:themeColor="accent2"/>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GridTable4-Accent31">
    <w:name w:val="Grid Table 4 - Accent 31"/>
    <w:basedOn w:val="TableNormal"/>
    <w:uiPriority w:val="49"/>
    <w:semiHidden/>
    <w:rsid w:val="00C551E1"/>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color w:val="FFFFFF" w:themeColor="background1"/>
      </w:rPr>
      <w:tblPr/>
      <w:tcPr>
        <w:tcBorders>
          <w:top w:val="single" w:sz="4" w:space="0" w:color="232F5D" w:themeColor="accent3"/>
          <w:left w:val="single" w:sz="4" w:space="0" w:color="232F5D" w:themeColor="accent3"/>
          <w:bottom w:val="single" w:sz="4" w:space="0" w:color="232F5D" w:themeColor="accent3"/>
          <w:right w:val="single" w:sz="4" w:space="0" w:color="232F5D" w:themeColor="accent3"/>
          <w:insideH w:val="nil"/>
          <w:insideV w:val="nil"/>
        </w:tcBorders>
        <w:shd w:val="clear" w:color="auto" w:fill="232F5D" w:themeFill="accent3"/>
      </w:tcPr>
    </w:tblStylePr>
    <w:tblStylePr w:type="lastRow">
      <w:rPr>
        <w:b/>
        <w:bCs/>
      </w:rPr>
      <w:tblPr/>
      <w:tcPr>
        <w:tcBorders>
          <w:top w:val="double" w:sz="4" w:space="0" w:color="232F5D" w:themeColor="accent3"/>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GridTable4-Accent41">
    <w:name w:val="Grid Table 4 - Accent 41"/>
    <w:basedOn w:val="TableNormal"/>
    <w:uiPriority w:val="49"/>
    <w:semiHidden/>
    <w:rsid w:val="00C551E1"/>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color w:val="FFFFFF" w:themeColor="background1"/>
      </w:rPr>
      <w:tblPr/>
      <w:tcPr>
        <w:tcBorders>
          <w:top w:val="single" w:sz="4" w:space="0" w:color="3D3C42" w:themeColor="accent4"/>
          <w:left w:val="single" w:sz="4" w:space="0" w:color="3D3C42" w:themeColor="accent4"/>
          <w:bottom w:val="single" w:sz="4" w:space="0" w:color="3D3C42" w:themeColor="accent4"/>
          <w:right w:val="single" w:sz="4" w:space="0" w:color="3D3C42" w:themeColor="accent4"/>
          <w:insideH w:val="nil"/>
          <w:insideV w:val="nil"/>
        </w:tcBorders>
        <w:shd w:val="clear" w:color="auto" w:fill="3D3C42" w:themeFill="accent4"/>
      </w:tcPr>
    </w:tblStylePr>
    <w:tblStylePr w:type="lastRow">
      <w:rPr>
        <w:b/>
        <w:bCs/>
      </w:rPr>
      <w:tblPr/>
      <w:tcPr>
        <w:tcBorders>
          <w:top w:val="double" w:sz="4" w:space="0" w:color="3D3C42" w:themeColor="accent4"/>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GridTable4-Accent51">
    <w:name w:val="Grid Table 4 - Accent 51"/>
    <w:basedOn w:val="TableNormal"/>
    <w:uiPriority w:val="49"/>
    <w:semiHidden/>
    <w:rsid w:val="00C551E1"/>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color w:val="FFFFFF" w:themeColor="background1"/>
      </w:rPr>
      <w:tblPr/>
      <w:tcPr>
        <w:tcBorders>
          <w:top w:val="single" w:sz="4" w:space="0" w:color="DA5F4F" w:themeColor="accent5"/>
          <w:left w:val="single" w:sz="4" w:space="0" w:color="DA5F4F" w:themeColor="accent5"/>
          <w:bottom w:val="single" w:sz="4" w:space="0" w:color="DA5F4F" w:themeColor="accent5"/>
          <w:right w:val="single" w:sz="4" w:space="0" w:color="DA5F4F" w:themeColor="accent5"/>
          <w:insideH w:val="nil"/>
          <w:insideV w:val="nil"/>
        </w:tcBorders>
        <w:shd w:val="clear" w:color="auto" w:fill="DA5F4F" w:themeFill="accent5"/>
      </w:tcPr>
    </w:tblStylePr>
    <w:tblStylePr w:type="lastRow">
      <w:rPr>
        <w:b/>
        <w:bCs/>
      </w:rPr>
      <w:tblPr/>
      <w:tcPr>
        <w:tcBorders>
          <w:top w:val="double" w:sz="4" w:space="0" w:color="DA5F4F" w:themeColor="accent5"/>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GridTable4-Accent61">
    <w:name w:val="Grid Table 4 - Accent 61"/>
    <w:basedOn w:val="TableNormal"/>
    <w:uiPriority w:val="49"/>
    <w:semiHidden/>
    <w:rsid w:val="00C551E1"/>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color w:val="FFFFFF" w:themeColor="background1"/>
      </w:rPr>
      <w:tblPr/>
      <w:tcPr>
        <w:tcBorders>
          <w:top w:val="single" w:sz="4" w:space="0" w:color="821431" w:themeColor="accent6"/>
          <w:left w:val="single" w:sz="4" w:space="0" w:color="821431" w:themeColor="accent6"/>
          <w:bottom w:val="single" w:sz="4" w:space="0" w:color="821431" w:themeColor="accent6"/>
          <w:right w:val="single" w:sz="4" w:space="0" w:color="821431" w:themeColor="accent6"/>
          <w:insideH w:val="nil"/>
          <w:insideV w:val="nil"/>
        </w:tcBorders>
        <w:shd w:val="clear" w:color="auto" w:fill="821431" w:themeFill="accent6"/>
      </w:tcPr>
    </w:tblStylePr>
    <w:tblStylePr w:type="lastRow">
      <w:rPr>
        <w:b/>
        <w:bCs/>
      </w:rPr>
      <w:tblPr/>
      <w:tcPr>
        <w:tcBorders>
          <w:top w:val="double" w:sz="4" w:space="0" w:color="821431" w:themeColor="accent6"/>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GridTable5Dark1">
    <w:name w:val="Grid Table 5 Dark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82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82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82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827E" w:themeFill="accent1"/>
      </w:tcPr>
    </w:tblStylePr>
    <w:tblStylePr w:type="band1Vert">
      <w:tblPr/>
      <w:tcPr>
        <w:shd w:val="clear" w:color="auto" w:fill="AFD3D0" w:themeFill="accent1" w:themeFillTint="66"/>
      </w:tcPr>
    </w:tblStylePr>
    <w:tblStylePr w:type="band1Horz">
      <w:tblPr/>
      <w:tcPr>
        <w:shd w:val="clear" w:color="auto" w:fill="AFD3D0" w:themeFill="accent1" w:themeFillTint="66"/>
      </w:tcPr>
    </w:tblStylePr>
  </w:style>
  <w:style w:type="table" w:customStyle="1" w:styleId="GridTable5Dark-Accent21">
    <w:name w:val="Grid Table 5 Dark - Accent 2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454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454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454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4549" w:themeFill="accent2"/>
      </w:tcPr>
    </w:tblStylePr>
    <w:tblStylePr w:type="band1Vert">
      <w:tblPr/>
      <w:tcPr>
        <w:shd w:val="clear" w:color="auto" w:fill="99C0C6" w:themeFill="accent2" w:themeFillTint="66"/>
      </w:tcPr>
    </w:tblStylePr>
    <w:tblStylePr w:type="band1Horz">
      <w:tblPr/>
      <w:tcPr>
        <w:shd w:val="clear" w:color="auto" w:fill="99C0C6" w:themeFill="accent2" w:themeFillTint="66"/>
      </w:tcPr>
    </w:tblStylePr>
  </w:style>
  <w:style w:type="table" w:customStyle="1" w:styleId="GridTable5Dark-Accent31">
    <w:name w:val="Grid Table 5 Dark - Accent 3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C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F5D" w:themeFill="accent3"/>
      </w:tcPr>
    </w:tblStylePr>
    <w:tblStylePr w:type="band1Vert">
      <w:tblPr/>
      <w:tcPr>
        <w:shd w:val="clear" w:color="auto" w:fill="8F9DD5" w:themeFill="accent3" w:themeFillTint="66"/>
      </w:tcPr>
    </w:tblStylePr>
    <w:tblStylePr w:type="band1Horz">
      <w:tblPr/>
      <w:tcPr>
        <w:shd w:val="clear" w:color="auto" w:fill="8F9DD5" w:themeFill="accent3" w:themeFillTint="66"/>
      </w:tcPr>
    </w:tblStylePr>
  </w:style>
  <w:style w:type="table" w:customStyle="1" w:styleId="GridTable5Dark-Accent41">
    <w:name w:val="Grid Table 5 Dark - Accent 4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3C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3C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3C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3C42" w:themeFill="accent4"/>
      </w:tcPr>
    </w:tblStylePr>
    <w:tblStylePr w:type="band1Vert">
      <w:tblPr/>
      <w:tcPr>
        <w:shd w:val="clear" w:color="auto" w:fill="AFAEB5" w:themeFill="accent4" w:themeFillTint="66"/>
      </w:tcPr>
    </w:tblStylePr>
    <w:tblStylePr w:type="band1Horz">
      <w:tblPr/>
      <w:tcPr>
        <w:shd w:val="clear" w:color="auto" w:fill="AFAEB5" w:themeFill="accent4" w:themeFillTint="66"/>
      </w:tcPr>
    </w:tblStylePr>
  </w:style>
  <w:style w:type="table" w:customStyle="1" w:styleId="GridTable5Dark-Accent51">
    <w:name w:val="Grid Table 5 Dark - Accent 5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E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5F4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5F4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5F4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5F4F" w:themeFill="accent5"/>
      </w:tcPr>
    </w:tblStylePr>
    <w:tblStylePr w:type="band1Vert">
      <w:tblPr/>
      <w:tcPr>
        <w:shd w:val="clear" w:color="auto" w:fill="F0BEB8" w:themeFill="accent5" w:themeFillTint="66"/>
      </w:tcPr>
    </w:tblStylePr>
    <w:tblStylePr w:type="band1Horz">
      <w:tblPr/>
      <w:tcPr>
        <w:shd w:val="clear" w:color="auto" w:fill="F0BEB8" w:themeFill="accent5" w:themeFillTint="66"/>
      </w:tcPr>
    </w:tblStylePr>
  </w:style>
  <w:style w:type="table" w:customStyle="1" w:styleId="GridTable5Dark-Accent61">
    <w:name w:val="Grid Table 5 Dark - Accent 61"/>
    <w:basedOn w:val="TableNormal"/>
    <w:uiPriority w:val="50"/>
    <w:semiHidden/>
    <w:rsid w:val="00C551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0C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143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143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143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1431" w:themeFill="accent6"/>
      </w:tcPr>
    </w:tblStylePr>
    <w:tblStylePr w:type="band1Vert">
      <w:tblPr/>
      <w:tcPr>
        <w:shd w:val="clear" w:color="auto" w:fill="EB829D" w:themeFill="accent6" w:themeFillTint="66"/>
      </w:tcPr>
    </w:tblStylePr>
    <w:tblStylePr w:type="band1Horz">
      <w:tblPr/>
      <w:tcPr>
        <w:shd w:val="clear" w:color="auto" w:fill="EB829D" w:themeFill="accent6" w:themeFillTint="66"/>
      </w:tcPr>
    </w:tblStylePr>
  </w:style>
  <w:style w:type="table" w:customStyle="1" w:styleId="GridTable6Colorful1">
    <w:name w:val="Grid Table 6 Colorful1"/>
    <w:basedOn w:val="TableNormal"/>
    <w:uiPriority w:val="51"/>
    <w:semiHidden/>
    <w:rsid w:val="00C551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C551E1"/>
    <w:rPr>
      <w:color w:val="35615E" w:themeColor="accent1" w:themeShade="BF"/>
    </w:rPr>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bottom w:val="single" w:sz="12" w:space="0" w:color="86BDB9" w:themeColor="accent1" w:themeTint="99"/>
        </w:tcBorders>
      </w:tcPr>
    </w:tblStylePr>
    <w:tblStylePr w:type="lastRow">
      <w:rPr>
        <w:b/>
        <w:bCs/>
      </w:rPr>
      <w:tblPr/>
      <w:tcPr>
        <w:tcBorders>
          <w:top w:val="doub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GridTable6Colorful-Accent21">
    <w:name w:val="Grid Table 6 Colorful - Accent 21"/>
    <w:basedOn w:val="TableNormal"/>
    <w:uiPriority w:val="51"/>
    <w:semiHidden/>
    <w:rsid w:val="00C551E1"/>
    <w:rPr>
      <w:color w:val="1E3336" w:themeColor="accent2" w:themeShade="BF"/>
    </w:rPr>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bottom w:val="single" w:sz="12" w:space="0" w:color="66A1A9" w:themeColor="accent2" w:themeTint="99"/>
        </w:tcBorders>
      </w:tcPr>
    </w:tblStylePr>
    <w:tblStylePr w:type="lastRow">
      <w:rPr>
        <w:b/>
        <w:bCs/>
      </w:rPr>
      <w:tblPr/>
      <w:tcPr>
        <w:tcBorders>
          <w:top w:val="doub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GridTable6Colorful-Accent31">
    <w:name w:val="Grid Table 6 Colorful - Accent 31"/>
    <w:basedOn w:val="TableNormal"/>
    <w:uiPriority w:val="51"/>
    <w:semiHidden/>
    <w:rsid w:val="00C551E1"/>
    <w:rPr>
      <w:color w:val="1A2345" w:themeColor="accent3" w:themeShade="BF"/>
    </w:rPr>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bottom w:val="single" w:sz="12" w:space="0" w:color="586DC0" w:themeColor="accent3" w:themeTint="99"/>
        </w:tcBorders>
      </w:tcPr>
    </w:tblStylePr>
    <w:tblStylePr w:type="lastRow">
      <w:rPr>
        <w:b/>
        <w:bCs/>
      </w:rPr>
      <w:tblPr/>
      <w:tcPr>
        <w:tcBorders>
          <w:top w:val="doub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GridTable6Colorful-Accent41">
    <w:name w:val="Grid Table 6 Colorful - Accent 41"/>
    <w:basedOn w:val="TableNormal"/>
    <w:uiPriority w:val="51"/>
    <w:semiHidden/>
    <w:rsid w:val="00C551E1"/>
    <w:rPr>
      <w:color w:val="2D2D31" w:themeColor="accent4" w:themeShade="BF"/>
    </w:rPr>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bottom w:val="single" w:sz="12" w:space="0" w:color="878691" w:themeColor="accent4" w:themeTint="99"/>
        </w:tcBorders>
      </w:tcPr>
    </w:tblStylePr>
    <w:tblStylePr w:type="lastRow">
      <w:rPr>
        <w:b/>
        <w:bCs/>
      </w:rPr>
      <w:tblPr/>
      <w:tcPr>
        <w:tcBorders>
          <w:top w:val="doub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GridTable6Colorful-Accent51">
    <w:name w:val="Grid Table 6 Colorful - Accent 51"/>
    <w:basedOn w:val="TableNormal"/>
    <w:uiPriority w:val="51"/>
    <w:semiHidden/>
    <w:rsid w:val="00C551E1"/>
    <w:rPr>
      <w:color w:val="B73726" w:themeColor="accent5" w:themeShade="BF"/>
    </w:rPr>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bottom w:val="single" w:sz="12" w:space="0" w:color="E89E95" w:themeColor="accent5" w:themeTint="99"/>
        </w:tcBorders>
      </w:tcPr>
    </w:tblStylePr>
    <w:tblStylePr w:type="lastRow">
      <w:rPr>
        <w:b/>
        <w:bCs/>
      </w:rPr>
      <w:tblPr/>
      <w:tcPr>
        <w:tcBorders>
          <w:top w:val="doub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GridTable6Colorful-Accent61">
    <w:name w:val="Grid Table 6 Colorful - Accent 61"/>
    <w:basedOn w:val="TableNormal"/>
    <w:uiPriority w:val="51"/>
    <w:semiHidden/>
    <w:rsid w:val="00C551E1"/>
    <w:rPr>
      <w:color w:val="610F24" w:themeColor="accent6" w:themeShade="BF"/>
    </w:rPr>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bottom w:val="single" w:sz="12" w:space="0" w:color="E2436D" w:themeColor="accent6" w:themeTint="99"/>
        </w:tcBorders>
      </w:tcPr>
    </w:tblStylePr>
    <w:tblStylePr w:type="lastRow">
      <w:rPr>
        <w:b/>
        <w:bCs/>
      </w:rPr>
      <w:tblPr/>
      <w:tcPr>
        <w:tcBorders>
          <w:top w:val="doub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GridTable7Colorful1">
    <w:name w:val="Grid Table 7 Colorful1"/>
    <w:basedOn w:val="TableNormal"/>
    <w:uiPriority w:val="52"/>
    <w:semiHidden/>
    <w:rsid w:val="00C551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C551E1"/>
    <w:rPr>
      <w:color w:val="35615E" w:themeColor="accent1" w:themeShade="BF"/>
    </w:rPr>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bottom w:val="single" w:sz="4" w:space="0" w:color="86BDB9" w:themeColor="accent1" w:themeTint="99"/>
        </w:tcBorders>
      </w:tcPr>
    </w:tblStylePr>
    <w:tblStylePr w:type="nwCell">
      <w:tblPr/>
      <w:tcPr>
        <w:tcBorders>
          <w:bottom w:val="single" w:sz="4" w:space="0" w:color="86BDB9" w:themeColor="accent1" w:themeTint="99"/>
        </w:tcBorders>
      </w:tcPr>
    </w:tblStylePr>
    <w:tblStylePr w:type="seCell">
      <w:tblPr/>
      <w:tcPr>
        <w:tcBorders>
          <w:top w:val="single" w:sz="4" w:space="0" w:color="86BDB9" w:themeColor="accent1" w:themeTint="99"/>
        </w:tcBorders>
      </w:tcPr>
    </w:tblStylePr>
    <w:tblStylePr w:type="swCell">
      <w:tblPr/>
      <w:tcPr>
        <w:tcBorders>
          <w:top w:val="single" w:sz="4" w:space="0" w:color="86BDB9" w:themeColor="accent1" w:themeTint="99"/>
        </w:tcBorders>
      </w:tcPr>
    </w:tblStylePr>
  </w:style>
  <w:style w:type="table" w:customStyle="1" w:styleId="GridTable7Colorful-Accent21">
    <w:name w:val="Grid Table 7 Colorful - Accent 21"/>
    <w:basedOn w:val="TableNormal"/>
    <w:uiPriority w:val="52"/>
    <w:semiHidden/>
    <w:rsid w:val="00C551E1"/>
    <w:rPr>
      <w:color w:val="1E3336" w:themeColor="accent2" w:themeShade="BF"/>
    </w:rPr>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bottom w:val="single" w:sz="4" w:space="0" w:color="66A1A9" w:themeColor="accent2" w:themeTint="99"/>
        </w:tcBorders>
      </w:tcPr>
    </w:tblStylePr>
    <w:tblStylePr w:type="nwCell">
      <w:tblPr/>
      <w:tcPr>
        <w:tcBorders>
          <w:bottom w:val="single" w:sz="4" w:space="0" w:color="66A1A9" w:themeColor="accent2" w:themeTint="99"/>
        </w:tcBorders>
      </w:tcPr>
    </w:tblStylePr>
    <w:tblStylePr w:type="seCell">
      <w:tblPr/>
      <w:tcPr>
        <w:tcBorders>
          <w:top w:val="single" w:sz="4" w:space="0" w:color="66A1A9" w:themeColor="accent2" w:themeTint="99"/>
        </w:tcBorders>
      </w:tcPr>
    </w:tblStylePr>
    <w:tblStylePr w:type="swCell">
      <w:tblPr/>
      <w:tcPr>
        <w:tcBorders>
          <w:top w:val="single" w:sz="4" w:space="0" w:color="66A1A9" w:themeColor="accent2" w:themeTint="99"/>
        </w:tcBorders>
      </w:tcPr>
    </w:tblStylePr>
  </w:style>
  <w:style w:type="table" w:customStyle="1" w:styleId="GridTable7Colorful-Accent31">
    <w:name w:val="Grid Table 7 Colorful - Accent 31"/>
    <w:basedOn w:val="TableNormal"/>
    <w:uiPriority w:val="52"/>
    <w:semiHidden/>
    <w:rsid w:val="00C551E1"/>
    <w:rPr>
      <w:color w:val="1A2345" w:themeColor="accent3" w:themeShade="BF"/>
    </w:rPr>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bottom w:val="single" w:sz="4" w:space="0" w:color="586DC0" w:themeColor="accent3" w:themeTint="99"/>
        </w:tcBorders>
      </w:tcPr>
    </w:tblStylePr>
    <w:tblStylePr w:type="nwCell">
      <w:tblPr/>
      <w:tcPr>
        <w:tcBorders>
          <w:bottom w:val="single" w:sz="4" w:space="0" w:color="586DC0" w:themeColor="accent3" w:themeTint="99"/>
        </w:tcBorders>
      </w:tcPr>
    </w:tblStylePr>
    <w:tblStylePr w:type="seCell">
      <w:tblPr/>
      <w:tcPr>
        <w:tcBorders>
          <w:top w:val="single" w:sz="4" w:space="0" w:color="586DC0" w:themeColor="accent3" w:themeTint="99"/>
        </w:tcBorders>
      </w:tcPr>
    </w:tblStylePr>
    <w:tblStylePr w:type="swCell">
      <w:tblPr/>
      <w:tcPr>
        <w:tcBorders>
          <w:top w:val="single" w:sz="4" w:space="0" w:color="586DC0" w:themeColor="accent3" w:themeTint="99"/>
        </w:tcBorders>
      </w:tcPr>
    </w:tblStylePr>
  </w:style>
  <w:style w:type="table" w:customStyle="1" w:styleId="GridTable7Colorful-Accent41">
    <w:name w:val="Grid Table 7 Colorful - Accent 41"/>
    <w:basedOn w:val="TableNormal"/>
    <w:uiPriority w:val="52"/>
    <w:semiHidden/>
    <w:rsid w:val="00C551E1"/>
    <w:rPr>
      <w:color w:val="2D2D31" w:themeColor="accent4" w:themeShade="BF"/>
    </w:rPr>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bottom w:val="single" w:sz="4" w:space="0" w:color="878691" w:themeColor="accent4" w:themeTint="99"/>
        </w:tcBorders>
      </w:tcPr>
    </w:tblStylePr>
    <w:tblStylePr w:type="nwCell">
      <w:tblPr/>
      <w:tcPr>
        <w:tcBorders>
          <w:bottom w:val="single" w:sz="4" w:space="0" w:color="878691" w:themeColor="accent4" w:themeTint="99"/>
        </w:tcBorders>
      </w:tcPr>
    </w:tblStylePr>
    <w:tblStylePr w:type="seCell">
      <w:tblPr/>
      <w:tcPr>
        <w:tcBorders>
          <w:top w:val="single" w:sz="4" w:space="0" w:color="878691" w:themeColor="accent4" w:themeTint="99"/>
        </w:tcBorders>
      </w:tcPr>
    </w:tblStylePr>
    <w:tblStylePr w:type="swCell">
      <w:tblPr/>
      <w:tcPr>
        <w:tcBorders>
          <w:top w:val="single" w:sz="4" w:space="0" w:color="878691" w:themeColor="accent4" w:themeTint="99"/>
        </w:tcBorders>
      </w:tcPr>
    </w:tblStylePr>
  </w:style>
  <w:style w:type="table" w:customStyle="1" w:styleId="GridTable7Colorful-Accent51">
    <w:name w:val="Grid Table 7 Colorful - Accent 51"/>
    <w:basedOn w:val="TableNormal"/>
    <w:uiPriority w:val="52"/>
    <w:semiHidden/>
    <w:rsid w:val="00C551E1"/>
    <w:rPr>
      <w:color w:val="B73726" w:themeColor="accent5" w:themeShade="BF"/>
    </w:rPr>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bottom w:val="single" w:sz="4" w:space="0" w:color="E89E95" w:themeColor="accent5" w:themeTint="99"/>
        </w:tcBorders>
      </w:tcPr>
    </w:tblStylePr>
    <w:tblStylePr w:type="nwCell">
      <w:tblPr/>
      <w:tcPr>
        <w:tcBorders>
          <w:bottom w:val="single" w:sz="4" w:space="0" w:color="E89E95" w:themeColor="accent5" w:themeTint="99"/>
        </w:tcBorders>
      </w:tcPr>
    </w:tblStylePr>
    <w:tblStylePr w:type="seCell">
      <w:tblPr/>
      <w:tcPr>
        <w:tcBorders>
          <w:top w:val="single" w:sz="4" w:space="0" w:color="E89E95" w:themeColor="accent5" w:themeTint="99"/>
        </w:tcBorders>
      </w:tcPr>
    </w:tblStylePr>
    <w:tblStylePr w:type="swCell">
      <w:tblPr/>
      <w:tcPr>
        <w:tcBorders>
          <w:top w:val="single" w:sz="4" w:space="0" w:color="E89E95" w:themeColor="accent5" w:themeTint="99"/>
        </w:tcBorders>
      </w:tcPr>
    </w:tblStylePr>
  </w:style>
  <w:style w:type="table" w:customStyle="1" w:styleId="GridTable7Colorful-Accent61">
    <w:name w:val="Grid Table 7 Colorful - Accent 61"/>
    <w:basedOn w:val="TableNormal"/>
    <w:uiPriority w:val="52"/>
    <w:semiHidden/>
    <w:rsid w:val="00C551E1"/>
    <w:rPr>
      <w:color w:val="610F24" w:themeColor="accent6" w:themeShade="BF"/>
    </w:rPr>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bottom w:val="single" w:sz="4" w:space="0" w:color="E2436D" w:themeColor="accent6" w:themeTint="99"/>
        </w:tcBorders>
      </w:tcPr>
    </w:tblStylePr>
    <w:tblStylePr w:type="nwCell">
      <w:tblPr/>
      <w:tcPr>
        <w:tcBorders>
          <w:bottom w:val="single" w:sz="4" w:space="0" w:color="E2436D" w:themeColor="accent6" w:themeTint="99"/>
        </w:tcBorders>
      </w:tcPr>
    </w:tblStylePr>
    <w:tblStylePr w:type="seCell">
      <w:tblPr/>
      <w:tcPr>
        <w:tcBorders>
          <w:top w:val="single" w:sz="4" w:space="0" w:color="E2436D" w:themeColor="accent6" w:themeTint="99"/>
        </w:tcBorders>
      </w:tcPr>
    </w:tblStylePr>
    <w:tblStylePr w:type="swCell">
      <w:tblPr/>
      <w:tcPr>
        <w:tcBorders>
          <w:top w:val="single" w:sz="4" w:space="0" w:color="E2436D" w:themeColor="accent6" w:themeTint="99"/>
        </w:tcBorders>
      </w:tcPr>
    </w:tblStylePr>
  </w:style>
  <w:style w:type="table" w:styleId="LightGrid">
    <w:name w:val="Light Grid"/>
    <w:basedOn w:val="TableNormal"/>
    <w:uiPriority w:val="62"/>
    <w:semiHidden/>
    <w:unhideWhenUsed/>
    <w:locked/>
    <w:rsid w:val="00C551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C551E1"/>
    <w:tblPr>
      <w:tblStyleRowBandSize w:val="1"/>
      <w:tblStyleColBandSize w:val="1"/>
      <w:tblBorders>
        <w:top w:val="single" w:sz="8" w:space="0" w:color="47827E" w:themeColor="accent1"/>
        <w:left w:val="single" w:sz="8" w:space="0" w:color="47827E" w:themeColor="accent1"/>
        <w:bottom w:val="single" w:sz="8" w:space="0" w:color="47827E" w:themeColor="accent1"/>
        <w:right w:val="single" w:sz="8" w:space="0" w:color="47827E" w:themeColor="accent1"/>
        <w:insideH w:val="single" w:sz="8" w:space="0" w:color="47827E" w:themeColor="accent1"/>
        <w:insideV w:val="single" w:sz="8" w:space="0" w:color="4782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827E" w:themeColor="accent1"/>
          <w:left w:val="single" w:sz="8" w:space="0" w:color="47827E" w:themeColor="accent1"/>
          <w:bottom w:val="single" w:sz="18" w:space="0" w:color="47827E" w:themeColor="accent1"/>
          <w:right w:val="single" w:sz="8" w:space="0" w:color="47827E" w:themeColor="accent1"/>
          <w:insideH w:val="nil"/>
          <w:insideV w:val="single" w:sz="8" w:space="0" w:color="4782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827E" w:themeColor="accent1"/>
          <w:left w:val="single" w:sz="8" w:space="0" w:color="47827E" w:themeColor="accent1"/>
          <w:bottom w:val="single" w:sz="8" w:space="0" w:color="47827E" w:themeColor="accent1"/>
          <w:right w:val="single" w:sz="8" w:space="0" w:color="47827E" w:themeColor="accent1"/>
          <w:insideH w:val="nil"/>
          <w:insideV w:val="single" w:sz="8" w:space="0" w:color="4782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827E" w:themeColor="accent1"/>
          <w:left w:val="single" w:sz="8" w:space="0" w:color="47827E" w:themeColor="accent1"/>
          <w:bottom w:val="single" w:sz="8" w:space="0" w:color="47827E" w:themeColor="accent1"/>
          <w:right w:val="single" w:sz="8" w:space="0" w:color="47827E" w:themeColor="accent1"/>
        </w:tcBorders>
      </w:tcPr>
    </w:tblStylePr>
    <w:tblStylePr w:type="band1Vert">
      <w:tblPr/>
      <w:tcPr>
        <w:tcBorders>
          <w:top w:val="single" w:sz="8" w:space="0" w:color="47827E" w:themeColor="accent1"/>
          <w:left w:val="single" w:sz="8" w:space="0" w:color="47827E" w:themeColor="accent1"/>
          <w:bottom w:val="single" w:sz="8" w:space="0" w:color="47827E" w:themeColor="accent1"/>
          <w:right w:val="single" w:sz="8" w:space="0" w:color="47827E" w:themeColor="accent1"/>
        </w:tcBorders>
        <w:shd w:val="clear" w:color="auto" w:fill="CDE4E2" w:themeFill="accent1" w:themeFillTint="3F"/>
      </w:tcPr>
    </w:tblStylePr>
    <w:tblStylePr w:type="band1Horz">
      <w:tblPr/>
      <w:tcPr>
        <w:tcBorders>
          <w:top w:val="single" w:sz="8" w:space="0" w:color="47827E" w:themeColor="accent1"/>
          <w:left w:val="single" w:sz="8" w:space="0" w:color="47827E" w:themeColor="accent1"/>
          <w:bottom w:val="single" w:sz="8" w:space="0" w:color="47827E" w:themeColor="accent1"/>
          <w:right w:val="single" w:sz="8" w:space="0" w:color="47827E" w:themeColor="accent1"/>
          <w:insideV w:val="single" w:sz="8" w:space="0" w:color="47827E" w:themeColor="accent1"/>
        </w:tcBorders>
        <w:shd w:val="clear" w:color="auto" w:fill="CDE4E2" w:themeFill="accent1" w:themeFillTint="3F"/>
      </w:tcPr>
    </w:tblStylePr>
    <w:tblStylePr w:type="band2Horz">
      <w:tblPr/>
      <w:tcPr>
        <w:tcBorders>
          <w:top w:val="single" w:sz="8" w:space="0" w:color="47827E" w:themeColor="accent1"/>
          <w:left w:val="single" w:sz="8" w:space="0" w:color="47827E" w:themeColor="accent1"/>
          <w:bottom w:val="single" w:sz="8" w:space="0" w:color="47827E" w:themeColor="accent1"/>
          <w:right w:val="single" w:sz="8" w:space="0" w:color="47827E" w:themeColor="accent1"/>
          <w:insideV w:val="single" w:sz="8" w:space="0" w:color="47827E" w:themeColor="accent1"/>
        </w:tcBorders>
      </w:tcPr>
    </w:tblStylePr>
  </w:style>
  <w:style w:type="table" w:styleId="LightGrid-Accent2">
    <w:name w:val="Light Grid Accent 2"/>
    <w:basedOn w:val="TableNormal"/>
    <w:uiPriority w:val="62"/>
    <w:semiHidden/>
    <w:unhideWhenUsed/>
    <w:locked/>
    <w:rsid w:val="00C551E1"/>
    <w:tblPr>
      <w:tblStyleRowBandSize w:val="1"/>
      <w:tblStyleColBandSize w:val="1"/>
      <w:tblBorders>
        <w:top w:val="single" w:sz="8" w:space="0" w:color="294549" w:themeColor="accent2"/>
        <w:left w:val="single" w:sz="8" w:space="0" w:color="294549" w:themeColor="accent2"/>
        <w:bottom w:val="single" w:sz="8" w:space="0" w:color="294549" w:themeColor="accent2"/>
        <w:right w:val="single" w:sz="8" w:space="0" w:color="294549" w:themeColor="accent2"/>
        <w:insideH w:val="single" w:sz="8" w:space="0" w:color="294549" w:themeColor="accent2"/>
        <w:insideV w:val="single" w:sz="8" w:space="0" w:color="29454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4549" w:themeColor="accent2"/>
          <w:left w:val="single" w:sz="8" w:space="0" w:color="294549" w:themeColor="accent2"/>
          <w:bottom w:val="single" w:sz="18" w:space="0" w:color="294549" w:themeColor="accent2"/>
          <w:right w:val="single" w:sz="8" w:space="0" w:color="294549" w:themeColor="accent2"/>
          <w:insideH w:val="nil"/>
          <w:insideV w:val="single" w:sz="8" w:space="0" w:color="29454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4549" w:themeColor="accent2"/>
          <w:left w:val="single" w:sz="8" w:space="0" w:color="294549" w:themeColor="accent2"/>
          <w:bottom w:val="single" w:sz="8" w:space="0" w:color="294549" w:themeColor="accent2"/>
          <w:right w:val="single" w:sz="8" w:space="0" w:color="294549" w:themeColor="accent2"/>
          <w:insideH w:val="nil"/>
          <w:insideV w:val="single" w:sz="8" w:space="0" w:color="29454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4549" w:themeColor="accent2"/>
          <w:left w:val="single" w:sz="8" w:space="0" w:color="294549" w:themeColor="accent2"/>
          <w:bottom w:val="single" w:sz="8" w:space="0" w:color="294549" w:themeColor="accent2"/>
          <w:right w:val="single" w:sz="8" w:space="0" w:color="294549" w:themeColor="accent2"/>
        </w:tcBorders>
      </w:tcPr>
    </w:tblStylePr>
    <w:tblStylePr w:type="band1Vert">
      <w:tblPr/>
      <w:tcPr>
        <w:tcBorders>
          <w:top w:val="single" w:sz="8" w:space="0" w:color="294549" w:themeColor="accent2"/>
          <w:left w:val="single" w:sz="8" w:space="0" w:color="294549" w:themeColor="accent2"/>
          <w:bottom w:val="single" w:sz="8" w:space="0" w:color="294549" w:themeColor="accent2"/>
          <w:right w:val="single" w:sz="8" w:space="0" w:color="294549" w:themeColor="accent2"/>
        </w:tcBorders>
        <w:shd w:val="clear" w:color="auto" w:fill="C0D8DB" w:themeFill="accent2" w:themeFillTint="3F"/>
      </w:tcPr>
    </w:tblStylePr>
    <w:tblStylePr w:type="band1Horz">
      <w:tblPr/>
      <w:tcPr>
        <w:tcBorders>
          <w:top w:val="single" w:sz="8" w:space="0" w:color="294549" w:themeColor="accent2"/>
          <w:left w:val="single" w:sz="8" w:space="0" w:color="294549" w:themeColor="accent2"/>
          <w:bottom w:val="single" w:sz="8" w:space="0" w:color="294549" w:themeColor="accent2"/>
          <w:right w:val="single" w:sz="8" w:space="0" w:color="294549" w:themeColor="accent2"/>
          <w:insideV w:val="single" w:sz="8" w:space="0" w:color="294549" w:themeColor="accent2"/>
        </w:tcBorders>
        <w:shd w:val="clear" w:color="auto" w:fill="C0D8DB" w:themeFill="accent2" w:themeFillTint="3F"/>
      </w:tcPr>
    </w:tblStylePr>
    <w:tblStylePr w:type="band2Horz">
      <w:tblPr/>
      <w:tcPr>
        <w:tcBorders>
          <w:top w:val="single" w:sz="8" w:space="0" w:color="294549" w:themeColor="accent2"/>
          <w:left w:val="single" w:sz="8" w:space="0" w:color="294549" w:themeColor="accent2"/>
          <w:bottom w:val="single" w:sz="8" w:space="0" w:color="294549" w:themeColor="accent2"/>
          <w:right w:val="single" w:sz="8" w:space="0" w:color="294549" w:themeColor="accent2"/>
          <w:insideV w:val="single" w:sz="8" w:space="0" w:color="294549" w:themeColor="accent2"/>
        </w:tcBorders>
      </w:tcPr>
    </w:tblStylePr>
  </w:style>
  <w:style w:type="table" w:styleId="LightGrid-Accent3">
    <w:name w:val="Light Grid Accent 3"/>
    <w:basedOn w:val="TableNormal"/>
    <w:uiPriority w:val="62"/>
    <w:semiHidden/>
    <w:unhideWhenUsed/>
    <w:locked/>
    <w:rsid w:val="00C551E1"/>
    <w:tblPr>
      <w:tblStyleRowBandSize w:val="1"/>
      <w:tblStyleColBandSize w:val="1"/>
      <w:tblBorders>
        <w:top w:val="single" w:sz="8" w:space="0" w:color="232F5D" w:themeColor="accent3"/>
        <w:left w:val="single" w:sz="8" w:space="0" w:color="232F5D" w:themeColor="accent3"/>
        <w:bottom w:val="single" w:sz="8" w:space="0" w:color="232F5D" w:themeColor="accent3"/>
        <w:right w:val="single" w:sz="8" w:space="0" w:color="232F5D" w:themeColor="accent3"/>
        <w:insideH w:val="single" w:sz="8" w:space="0" w:color="232F5D" w:themeColor="accent3"/>
        <w:insideV w:val="single" w:sz="8" w:space="0" w:color="232F5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F5D" w:themeColor="accent3"/>
          <w:left w:val="single" w:sz="8" w:space="0" w:color="232F5D" w:themeColor="accent3"/>
          <w:bottom w:val="single" w:sz="18" w:space="0" w:color="232F5D" w:themeColor="accent3"/>
          <w:right w:val="single" w:sz="8" w:space="0" w:color="232F5D" w:themeColor="accent3"/>
          <w:insideH w:val="nil"/>
          <w:insideV w:val="single" w:sz="8" w:space="0" w:color="232F5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F5D" w:themeColor="accent3"/>
          <w:left w:val="single" w:sz="8" w:space="0" w:color="232F5D" w:themeColor="accent3"/>
          <w:bottom w:val="single" w:sz="8" w:space="0" w:color="232F5D" w:themeColor="accent3"/>
          <w:right w:val="single" w:sz="8" w:space="0" w:color="232F5D" w:themeColor="accent3"/>
          <w:insideH w:val="nil"/>
          <w:insideV w:val="single" w:sz="8" w:space="0" w:color="232F5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F5D" w:themeColor="accent3"/>
          <w:left w:val="single" w:sz="8" w:space="0" w:color="232F5D" w:themeColor="accent3"/>
          <w:bottom w:val="single" w:sz="8" w:space="0" w:color="232F5D" w:themeColor="accent3"/>
          <w:right w:val="single" w:sz="8" w:space="0" w:color="232F5D" w:themeColor="accent3"/>
        </w:tcBorders>
      </w:tcPr>
    </w:tblStylePr>
    <w:tblStylePr w:type="band1Vert">
      <w:tblPr/>
      <w:tcPr>
        <w:tcBorders>
          <w:top w:val="single" w:sz="8" w:space="0" w:color="232F5D" w:themeColor="accent3"/>
          <w:left w:val="single" w:sz="8" w:space="0" w:color="232F5D" w:themeColor="accent3"/>
          <w:bottom w:val="single" w:sz="8" w:space="0" w:color="232F5D" w:themeColor="accent3"/>
          <w:right w:val="single" w:sz="8" w:space="0" w:color="232F5D" w:themeColor="accent3"/>
        </w:tcBorders>
        <w:shd w:val="clear" w:color="auto" w:fill="BAC2E5" w:themeFill="accent3" w:themeFillTint="3F"/>
      </w:tcPr>
    </w:tblStylePr>
    <w:tblStylePr w:type="band1Horz">
      <w:tblPr/>
      <w:tcPr>
        <w:tcBorders>
          <w:top w:val="single" w:sz="8" w:space="0" w:color="232F5D" w:themeColor="accent3"/>
          <w:left w:val="single" w:sz="8" w:space="0" w:color="232F5D" w:themeColor="accent3"/>
          <w:bottom w:val="single" w:sz="8" w:space="0" w:color="232F5D" w:themeColor="accent3"/>
          <w:right w:val="single" w:sz="8" w:space="0" w:color="232F5D" w:themeColor="accent3"/>
          <w:insideV w:val="single" w:sz="8" w:space="0" w:color="232F5D" w:themeColor="accent3"/>
        </w:tcBorders>
        <w:shd w:val="clear" w:color="auto" w:fill="BAC2E5" w:themeFill="accent3" w:themeFillTint="3F"/>
      </w:tcPr>
    </w:tblStylePr>
    <w:tblStylePr w:type="band2Horz">
      <w:tblPr/>
      <w:tcPr>
        <w:tcBorders>
          <w:top w:val="single" w:sz="8" w:space="0" w:color="232F5D" w:themeColor="accent3"/>
          <w:left w:val="single" w:sz="8" w:space="0" w:color="232F5D" w:themeColor="accent3"/>
          <w:bottom w:val="single" w:sz="8" w:space="0" w:color="232F5D" w:themeColor="accent3"/>
          <w:right w:val="single" w:sz="8" w:space="0" w:color="232F5D" w:themeColor="accent3"/>
          <w:insideV w:val="single" w:sz="8" w:space="0" w:color="232F5D" w:themeColor="accent3"/>
        </w:tcBorders>
      </w:tcPr>
    </w:tblStylePr>
  </w:style>
  <w:style w:type="table" w:styleId="LightGrid-Accent4">
    <w:name w:val="Light Grid Accent 4"/>
    <w:basedOn w:val="TableNormal"/>
    <w:uiPriority w:val="62"/>
    <w:semiHidden/>
    <w:unhideWhenUsed/>
    <w:locked/>
    <w:rsid w:val="00C551E1"/>
    <w:tblPr>
      <w:tblStyleRowBandSize w:val="1"/>
      <w:tblStyleColBandSize w:val="1"/>
      <w:tblBorders>
        <w:top w:val="single" w:sz="8" w:space="0" w:color="3D3C42" w:themeColor="accent4"/>
        <w:left w:val="single" w:sz="8" w:space="0" w:color="3D3C42" w:themeColor="accent4"/>
        <w:bottom w:val="single" w:sz="8" w:space="0" w:color="3D3C42" w:themeColor="accent4"/>
        <w:right w:val="single" w:sz="8" w:space="0" w:color="3D3C42" w:themeColor="accent4"/>
        <w:insideH w:val="single" w:sz="8" w:space="0" w:color="3D3C42" w:themeColor="accent4"/>
        <w:insideV w:val="single" w:sz="8" w:space="0" w:color="3D3C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3C42" w:themeColor="accent4"/>
          <w:left w:val="single" w:sz="8" w:space="0" w:color="3D3C42" w:themeColor="accent4"/>
          <w:bottom w:val="single" w:sz="18" w:space="0" w:color="3D3C42" w:themeColor="accent4"/>
          <w:right w:val="single" w:sz="8" w:space="0" w:color="3D3C42" w:themeColor="accent4"/>
          <w:insideH w:val="nil"/>
          <w:insideV w:val="single" w:sz="8" w:space="0" w:color="3D3C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3C42" w:themeColor="accent4"/>
          <w:left w:val="single" w:sz="8" w:space="0" w:color="3D3C42" w:themeColor="accent4"/>
          <w:bottom w:val="single" w:sz="8" w:space="0" w:color="3D3C42" w:themeColor="accent4"/>
          <w:right w:val="single" w:sz="8" w:space="0" w:color="3D3C42" w:themeColor="accent4"/>
          <w:insideH w:val="nil"/>
          <w:insideV w:val="single" w:sz="8" w:space="0" w:color="3D3C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3C42" w:themeColor="accent4"/>
          <w:left w:val="single" w:sz="8" w:space="0" w:color="3D3C42" w:themeColor="accent4"/>
          <w:bottom w:val="single" w:sz="8" w:space="0" w:color="3D3C42" w:themeColor="accent4"/>
          <w:right w:val="single" w:sz="8" w:space="0" w:color="3D3C42" w:themeColor="accent4"/>
        </w:tcBorders>
      </w:tcPr>
    </w:tblStylePr>
    <w:tblStylePr w:type="band1Vert">
      <w:tblPr/>
      <w:tcPr>
        <w:tcBorders>
          <w:top w:val="single" w:sz="8" w:space="0" w:color="3D3C42" w:themeColor="accent4"/>
          <w:left w:val="single" w:sz="8" w:space="0" w:color="3D3C42" w:themeColor="accent4"/>
          <w:bottom w:val="single" w:sz="8" w:space="0" w:color="3D3C42" w:themeColor="accent4"/>
          <w:right w:val="single" w:sz="8" w:space="0" w:color="3D3C42" w:themeColor="accent4"/>
        </w:tcBorders>
        <w:shd w:val="clear" w:color="auto" w:fill="CDCDD1" w:themeFill="accent4" w:themeFillTint="3F"/>
      </w:tcPr>
    </w:tblStylePr>
    <w:tblStylePr w:type="band1Horz">
      <w:tblPr/>
      <w:tcPr>
        <w:tcBorders>
          <w:top w:val="single" w:sz="8" w:space="0" w:color="3D3C42" w:themeColor="accent4"/>
          <w:left w:val="single" w:sz="8" w:space="0" w:color="3D3C42" w:themeColor="accent4"/>
          <w:bottom w:val="single" w:sz="8" w:space="0" w:color="3D3C42" w:themeColor="accent4"/>
          <w:right w:val="single" w:sz="8" w:space="0" w:color="3D3C42" w:themeColor="accent4"/>
          <w:insideV w:val="single" w:sz="8" w:space="0" w:color="3D3C42" w:themeColor="accent4"/>
        </w:tcBorders>
        <w:shd w:val="clear" w:color="auto" w:fill="CDCDD1" w:themeFill="accent4" w:themeFillTint="3F"/>
      </w:tcPr>
    </w:tblStylePr>
    <w:tblStylePr w:type="band2Horz">
      <w:tblPr/>
      <w:tcPr>
        <w:tcBorders>
          <w:top w:val="single" w:sz="8" w:space="0" w:color="3D3C42" w:themeColor="accent4"/>
          <w:left w:val="single" w:sz="8" w:space="0" w:color="3D3C42" w:themeColor="accent4"/>
          <w:bottom w:val="single" w:sz="8" w:space="0" w:color="3D3C42" w:themeColor="accent4"/>
          <w:right w:val="single" w:sz="8" w:space="0" w:color="3D3C42" w:themeColor="accent4"/>
          <w:insideV w:val="single" w:sz="8" w:space="0" w:color="3D3C42" w:themeColor="accent4"/>
        </w:tcBorders>
      </w:tcPr>
    </w:tblStylePr>
  </w:style>
  <w:style w:type="table" w:styleId="LightGrid-Accent5">
    <w:name w:val="Light Grid Accent 5"/>
    <w:basedOn w:val="TableNormal"/>
    <w:uiPriority w:val="62"/>
    <w:semiHidden/>
    <w:unhideWhenUsed/>
    <w:locked/>
    <w:rsid w:val="00C551E1"/>
    <w:tblPr>
      <w:tblStyleRowBandSize w:val="1"/>
      <w:tblStyleColBandSize w:val="1"/>
      <w:tblBorders>
        <w:top w:val="single" w:sz="8" w:space="0" w:color="DA5F4F" w:themeColor="accent5"/>
        <w:left w:val="single" w:sz="8" w:space="0" w:color="DA5F4F" w:themeColor="accent5"/>
        <w:bottom w:val="single" w:sz="8" w:space="0" w:color="DA5F4F" w:themeColor="accent5"/>
        <w:right w:val="single" w:sz="8" w:space="0" w:color="DA5F4F" w:themeColor="accent5"/>
        <w:insideH w:val="single" w:sz="8" w:space="0" w:color="DA5F4F" w:themeColor="accent5"/>
        <w:insideV w:val="single" w:sz="8" w:space="0" w:color="DA5F4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5F4F" w:themeColor="accent5"/>
          <w:left w:val="single" w:sz="8" w:space="0" w:color="DA5F4F" w:themeColor="accent5"/>
          <w:bottom w:val="single" w:sz="18" w:space="0" w:color="DA5F4F" w:themeColor="accent5"/>
          <w:right w:val="single" w:sz="8" w:space="0" w:color="DA5F4F" w:themeColor="accent5"/>
          <w:insideH w:val="nil"/>
          <w:insideV w:val="single" w:sz="8" w:space="0" w:color="DA5F4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5F4F" w:themeColor="accent5"/>
          <w:left w:val="single" w:sz="8" w:space="0" w:color="DA5F4F" w:themeColor="accent5"/>
          <w:bottom w:val="single" w:sz="8" w:space="0" w:color="DA5F4F" w:themeColor="accent5"/>
          <w:right w:val="single" w:sz="8" w:space="0" w:color="DA5F4F" w:themeColor="accent5"/>
          <w:insideH w:val="nil"/>
          <w:insideV w:val="single" w:sz="8" w:space="0" w:color="DA5F4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5F4F" w:themeColor="accent5"/>
          <w:left w:val="single" w:sz="8" w:space="0" w:color="DA5F4F" w:themeColor="accent5"/>
          <w:bottom w:val="single" w:sz="8" w:space="0" w:color="DA5F4F" w:themeColor="accent5"/>
          <w:right w:val="single" w:sz="8" w:space="0" w:color="DA5F4F" w:themeColor="accent5"/>
        </w:tcBorders>
      </w:tcPr>
    </w:tblStylePr>
    <w:tblStylePr w:type="band1Vert">
      <w:tblPr/>
      <w:tcPr>
        <w:tcBorders>
          <w:top w:val="single" w:sz="8" w:space="0" w:color="DA5F4F" w:themeColor="accent5"/>
          <w:left w:val="single" w:sz="8" w:space="0" w:color="DA5F4F" w:themeColor="accent5"/>
          <w:bottom w:val="single" w:sz="8" w:space="0" w:color="DA5F4F" w:themeColor="accent5"/>
          <w:right w:val="single" w:sz="8" w:space="0" w:color="DA5F4F" w:themeColor="accent5"/>
        </w:tcBorders>
        <w:shd w:val="clear" w:color="auto" w:fill="F6D7D3" w:themeFill="accent5" w:themeFillTint="3F"/>
      </w:tcPr>
    </w:tblStylePr>
    <w:tblStylePr w:type="band1Horz">
      <w:tblPr/>
      <w:tcPr>
        <w:tcBorders>
          <w:top w:val="single" w:sz="8" w:space="0" w:color="DA5F4F" w:themeColor="accent5"/>
          <w:left w:val="single" w:sz="8" w:space="0" w:color="DA5F4F" w:themeColor="accent5"/>
          <w:bottom w:val="single" w:sz="8" w:space="0" w:color="DA5F4F" w:themeColor="accent5"/>
          <w:right w:val="single" w:sz="8" w:space="0" w:color="DA5F4F" w:themeColor="accent5"/>
          <w:insideV w:val="single" w:sz="8" w:space="0" w:color="DA5F4F" w:themeColor="accent5"/>
        </w:tcBorders>
        <w:shd w:val="clear" w:color="auto" w:fill="F6D7D3" w:themeFill="accent5" w:themeFillTint="3F"/>
      </w:tcPr>
    </w:tblStylePr>
    <w:tblStylePr w:type="band2Horz">
      <w:tblPr/>
      <w:tcPr>
        <w:tcBorders>
          <w:top w:val="single" w:sz="8" w:space="0" w:color="DA5F4F" w:themeColor="accent5"/>
          <w:left w:val="single" w:sz="8" w:space="0" w:color="DA5F4F" w:themeColor="accent5"/>
          <w:bottom w:val="single" w:sz="8" w:space="0" w:color="DA5F4F" w:themeColor="accent5"/>
          <w:right w:val="single" w:sz="8" w:space="0" w:color="DA5F4F" w:themeColor="accent5"/>
          <w:insideV w:val="single" w:sz="8" w:space="0" w:color="DA5F4F" w:themeColor="accent5"/>
        </w:tcBorders>
      </w:tcPr>
    </w:tblStylePr>
  </w:style>
  <w:style w:type="table" w:styleId="LightGrid-Accent6">
    <w:name w:val="Light Grid Accent 6"/>
    <w:basedOn w:val="TableNormal"/>
    <w:uiPriority w:val="62"/>
    <w:semiHidden/>
    <w:unhideWhenUsed/>
    <w:locked/>
    <w:rsid w:val="00C551E1"/>
    <w:tblPr>
      <w:tblStyleRowBandSize w:val="1"/>
      <w:tblStyleColBandSize w:val="1"/>
      <w:tblBorders>
        <w:top w:val="single" w:sz="8" w:space="0" w:color="821431" w:themeColor="accent6"/>
        <w:left w:val="single" w:sz="8" w:space="0" w:color="821431" w:themeColor="accent6"/>
        <w:bottom w:val="single" w:sz="8" w:space="0" w:color="821431" w:themeColor="accent6"/>
        <w:right w:val="single" w:sz="8" w:space="0" w:color="821431" w:themeColor="accent6"/>
        <w:insideH w:val="single" w:sz="8" w:space="0" w:color="821431" w:themeColor="accent6"/>
        <w:insideV w:val="single" w:sz="8" w:space="0" w:color="82143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1431" w:themeColor="accent6"/>
          <w:left w:val="single" w:sz="8" w:space="0" w:color="821431" w:themeColor="accent6"/>
          <w:bottom w:val="single" w:sz="18" w:space="0" w:color="821431" w:themeColor="accent6"/>
          <w:right w:val="single" w:sz="8" w:space="0" w:color="821431" w:themeColor="accent6"/>
          <w:insideH w:val="nil"/>
          <w:insideV w:val="single" w:sz="8" w:space="0" w:color="82143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1431" w:themeColor="accent6"/>
          <w:left w:val="single" w:sz="8" w:space="0" w:color="821431" w:themeColor="accent6"/>
          <w:bottom w:val="single" w:sz="8" w:space="0" w:color="821431" w:themeColor="accent6"/>
          <w:right w:val="single" w:sz="8" w:space="0" w:color="821431" w:themeColor="accent6"/>
          <w:insideH w:val="nil"/>
          <w:insideV w:val="single" w:sz="8" w:space="0" w:color="82143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1431" w:themeColor="accent6"/>
          <w:left w:val="single" w:sz="8" w:space="0" w:color="821431" w:themeColor="accent6"/>
          <w:bottom w:val="single" w:sz="8" w:space="0" w:color="821431" w:themeColor="accent6"/>
          <w:right w:val="single" w:sz="8" w:space="0" w:color="821431" w:themeColor="accent6"/>
        </w:tcBorders>
      </w:tcPr>
    </w:tblStylePr>
    <w:tblStylePr w:type="band1Vert">
      <w:tblPr/>
      <w:tcPr>
        <w:tcBorders>
          <w:top w:val="single" w:sz="8" w:space="0" w:color="821431" w:themeColor="accent6"/>
          <w:left w:val="single" w:sz="8" w:space="0" w:color="821431" w:themeColor="accent6"/>
          <w:bottom w:val="single" w:sz="8" w:space="0" w:color="821431" w:themeColor="accent6"/>
          <w:right w:val="single" w:sz="8" w:space="0" w:color="821431" w:themeColor="accent6"/>
        </w:tcBorders>
        <w:shd w:val="clear" w:color="auto" w:fill="F3B1C2" w:themeFill="accent6" w:themeFillTint="3F"/>
      </w:tcPr>
    </w:tblStylePr>
    <w:tblStylePr w:type="band1Horz">
      <w:tblPr/>
      <w:tcPr>
        <w:tcBorders>
          <w:top w:val="single" w:sz="8" w:space="0" w:color="821431" w:themeColor="accent6"/>
          <w:left w:val="single" w:sz="8" w:space="0" w:color="821431" w:themeColor="accent6"/>
          <w:bottom w:val="single" w:sz="8" w:space="0" w:color="821431" w:themeColor="accent6"/>
          <w:right w:val="single" w:sz="8" w:space="0" w:color="821431" w:themeColor="accent6"/>
          <w:insideV w:val="single" w:sz="8" w:space="0" w:color="821431" w:themeColor="accent6"/>
        </w:tcBorders>
        <w:shd w:val="clear" w:color="auto" w:fill="F3B1C2" w:themeFill="accent6" w:themeFillTint="3F"/>
      </w:tcPr>
    </w:tblStylePr>
    <w:tblStylePr w:type="band2Horz">
      <w:tblPr/>
      <w:tcPr>
        <w:tcBorders>
          <w:top w:val="single" w:sz="8" w:space="0" w:color="821431" w:themeColor="accent6"/>
          <w:left w:val="single" w:sz="8" w:space="0" w:color="821431" w:themeColor="accent6"/>
          <w:bottom w:val="single" w:sz="8" w:space="0" w:color="821431" w:themeColor="accent6"/>
          <w:right w:val="single" w:sz="8" w:space="0" w:color="821431" w:themeColor="accent6"/>
          <w:insideV w:val="single" w:sz="8" w:space="0" w:color="821431" w:themeColor="accent6"/>
        </w:tcBorders>
      </w:tcPr>
    </w:tblStylePr>
  </w:style>
  <w:style w:type="table" w:styleId="LightList">
    <w:name w:val="Light List"/>
    <w:basedOn w:val="TableNormal"/>
    <w:uiPriority w:val="61"/>
    <w:semiHidden/>
    <w:unhideWhenUsed/>
    <w:locked/>
    <w:rsid w:val="00C551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C551E1"/>
    <w:tblPr>
      <w:tblStyleRowBandSize w:val="1"/>
      <w:tblStyleColBandSize w:val="1"/>
      <w:tblBorders>
        <w:top w:val="single" w:sz="8" w:space="0" w:color="47827E" w:themeColor="accent1"/>
        <w:left w:val="single" w:sz="8" w:space="0" w:color="47827E" w:themeColor="accent1"/>
        <w:bottom w:val="single" w:sz="8" w:space="0" w:color="47827E" w:themeColor="accent1"/>
        <w:right w:val="single" w:sz="8" w:space="0" w:color="47827E" w:themeColor="accent1"/>
      </w:tblBorders>
    </w:tblPr>
    <w:tblStylePr w:type="firstRow">
      <w:pPr>
        <w:spacing w:before="0" w:after="0" w:line="240" w:lineRule="auto"/>
      </w:pPr>
      <w:rPr>
        <w:b/>
        <w:bCs/>
        <w:color w:val="FFFFFF" w:themeColor="background1"/>
      </w:rPr>
      <w:tblPr/>
      <w:tcPr>
        <w:shd w:val="clear" w:color="auto" w:fill="47827E" w:themeFill="accent1"/>
      </w:tcPr>
    </w:tblStylePr>
    <w:tblStylePr w:type="lastRow">
      <w:pPr>
        <w:spacing w:before="0" w:after="0" w:line="240" w:lineRule="auto"/>
      </w:pPr>
      <w:rPr>
        <w:b/>
        <w:bCs/>
      </w:rPr>
      <w:tblPr/>
      <w:tcPr>
        <w:tcBorders>
          <w:top w:val="double" w:sz="6" w:space="0" w:color="47827E" w:themeColor="accent1"/>
          <w:left w:val="single" w:sz="8" w:space="0" w:color="47827E" w:themeColor="accent1"/>
          <w:bottom w:val="single" w:sz="8" w:space="0" w:color="47827E" w:themeColor="accent1"/>
          <w:right w:val="single" w:sz="8" w:space="0" w:color="47827E" w:themeColor="accent1"/>
        </w:tcBorders>
      </w:tcPr>
    </w:tblStylePr>
    <w:tblStylePr w:type="firstCol">
      <w:rPr>
        <w:b/>
        <w:bCs/>
      </w:rPr>
    </w:tblStylePr>
    <w:tblStylePr w:type="lastCol">
      <w:rPr>
        <w:b/>
        <w:bCs/>
      </w:rPr>
    </w:tblStylePr>
    <w:tblStylePr w:type="band1Vert">
      <w:tblPr/>
      <w:tcPr>
        <w:tcBorders>
          <w:top w:val="single" w:sz="8" w:space="0" w:color="47827E" w:themeColor="accent1"/>
          <w:left w:val="single" w:sz="8" w:space="0" w:color="47827E" w:themeColor="accent1"/>
          <w:bottom w:val="single" w:sz="8" w:space="0" w:color="47827E" w:themeColor="accent1"/>
          <w:right w:val="single" w:sz="8" w:space="0" w:color="47827E" w:themeColor="accent1"/>
        </w:tcBorders>
      </w:tcPr>
    </w:tblStylePr>
    <w:tblStylePr w:type="band1Horz">
      <w:tblPr/>
      <w:tcPr>
        <w:tcBorders>
          <w:top w:val="single" w:sz="8" w:space="0" w:color="47827E" w:themeColor="accent1"/>
          <w:left w:val="single" w:sz="8" w:space="0" w:color="47827E" w:themeColor="accent1"/>
          <w:bottom w:val="single" w:sz="8" w:space="0" w:color="47827E" w:themeColor="accent1"/>
          <w:right w:val="single" w:sz="8" w:space="0" w:color="47827E" w:themeColor="accent1"/>
        </w:tcBorders>
      </w:tcPr>
    </w:tblStylePr>
  </w:style>
  <w:style w:type="table" w:styleId="LightList-Accent2">
    <w:name w:val="Light List Accent 2"/>
    <w:basedOn w:val="TableNormal"/>
    <w:uiPriority w:val="61"/>
    <w:semiHidden/>
    <w:unhideWhenUsed/>
    <w:locked/>
    <w:rsid w:val="00C551E1"/>
    <w:tblPr>
      <w:tblStyleRowBandSize w:val="1"/>
      <w:tblStyleColBandSize w:val="1"/>
      <w:tblBorders>
        <w:top w:val="single" w:sz="8" w:space="0" w:color="294549" w:themeColor="accent2"/>
        <w:left w:val="single" w:sz="8" w:space="0" w:color="294549" w:themeColor="accent2"/>
        <w:bottom w:val="single" w:sz="8" w:space="0" w:color="294549" w:themeColor="accent2"/>
        <w:right w:val="single" w:sz="8" w:space="0" w:color="294549" w:themeColor="accent2"/>
      </w:tblBorders>
    </w:tblPr>
    <w:tblStylePr w:type="firstRow">
      <w:pPr>
        <w:spacing w:before="0" w:after="0" w:line="240" w:lineRule="auto"/>
      </w:pPr>
      <w:rPr>
        <w:b/>
        <w:bCs/>
        <w:color w:val="FFFFFF" w:themeColor="background1"/>
      </w:rPr>
      <w:tblPr/>
      <w:tcPr>
        <w:shd w:val="clear" w:color="auto" w:fill="294549" w:themeFill="accent2"/>
      </w:tcPr>
    </w:tblStylePr>
    <w:tblStylePr w:type="lastRow">
      <w:pPr>
        <w:spacing w:before="0" w:after="0" w:line="240" w:lineRule="auto"/>
      </w:pPr>
      <w:rPr>
        <w:b/>
        <w:bCs/>
      </w:rPr>
      <w:tblPr/>
      <w:tcPr>
        <w:tcBorders>
          <w:top w:val="double" w:sz="6" w:space="0" w:color="294549" w:themeColor="accent2"/>
          <w:left w:val="single" w:sz="8" w:space="0" w:color="294549" w:themeColor="accent2"/>
          <w:bottom w:val="single" w:sz="8" w:space="0" w:color="294549" w:themeColor="accent2"/>
          <w:right w:val="single" w:sz="8" w:space="0" w:color="294549" w:themeColor="accent2"/>
        </w:tcBorders>
      </w:tcPr>
    </w:tblStylePr>
    <w:tblStylePr w:type="firstCol">
      <w:rPr>
        <w:b/>
        <w:bCs/>
      </w:rPr>
    </w:tblStylePr>
    <w:tblStylePr w:type="lastCol">
      <w:rPr>
        <w:b/>
        <w:bCs/>
      </w:rPr>
    </w:tblStylePr>
    <w:tblStylePr w:type="band1Vert">
      <w:tblPr/>
      <w:tcPr>
        <w:tcBorders>
          <w:top w:val="single" w:sz="8" w:space="0" w:color="294549" w:themeColor="accent2"/>
          <w:left w:val="single" w:sz="8" w:space="0" w:color="294549" w:themeColor="accent2"/>
          <w:bottom w:val="single" w:sz="8" w:space="0" w:color="294549" w:themeColor="accent2"/>
          <w:right w:val="single" w:sz="8" w:space="0" w:color="294549" w:themeColor="accent2"/>
        </w:tcBorders>
      </w:tcPr>
    </w:tblStylePr>
    <w:tblStylePr w:type="band1Horz">
      <w:tblPr/>
      <w:tcPr>
        <w:tcBorders>
          <w:top w:val="single" w:sz="8" w:space="0" w:color="294549" w:themeColor="accent2"/>
          <w:left w:val="single" w:sz="8" w:space="0" w:color="294549" w:themeColor="accent2"/>
          <w:bottom w:val="single" w:sz="8" w:space="0" w:color="294549" w:themeColor="accent2"/>
          <w:right w:val="single" w:sz="8" w:space="0" w:color="294549" w:themeColor="accent2"/>
        </w:tcBorders>
      </w:tcPr>
    </w:tblStylePr>
  </w:style>
  <w:style w:type="table" w:styleId="LightList-Accent3">
    <w:name w:val="Light List Accent 3"/>
    <w:basedOn w:val="TableNormal"/>
    <w:uiPriority w:val="61"/>
    <w:semiHidden/>
    <w:unhideWhenUsed/>
    <w:locked/>
    <w:rsid w:val="00C551E1"/>
    <w:tblPr>
      <w:tblStyleRowBandSize w:val="1"/>
      <w:tblStyleColBandSize w:val="1"/>
      <w:tblBorders>
        <w:top w:val="single" w:sz="8" w:space="0" w:color="232F5D" w:themeColor="accent3"/>
        <w:left w:val="single" w:sz="8" w:space="0" w:color="232F5D" w:themeColor="accent3"/>
        <w:bottom w:val="single" w:sz="8" w:space="0" w:color="232F5D" w:themeColor="accent3"/>
        <w:right w:val="single" w:sz="8" w:space="0" w:color="232F5D" w:themeColor="accent3"/>
      </w:tblBorders>
    </w:tblPr>
    <w:tblStylePr w:type="firstRow">
      <w:pPr>
        <w:spacing w:before="0" w:after="0" w:line="240" w:lineRule="auto"/>
      </w:pPr>
      <w:rPr>
        <w:b/>
        <w:bCs/>
        <w:color w:val="FFFFFF" w:themeColor="background1"/>
      </w:rPr>
      <w:tblPr/>
      <w:tcPr>
        <w:shd w:val="clear" w:color="auto" w:fill="232F5D" w:themeFill="accent3"/>
      </w:tcPr>
    </w:tblStylePr>
    <w:tblStylePr w:type="lastRow">
      <w:pPr>
        <w:spacing w:before="0" w:after="0" w:line="240" w:lineRule="auto"/>
      </w:pPr>
      <w:rPr>
        <w:b/>
        <w:bCs/>
      </w:rPr>
      <w:tblPr/>
      <w:tcPr>
        <w:tcBorders>
          <w:top w:val="double" w:sz="6" w:space="0" w:color="232F5D" w:themeColor="accent3"/>
          <w:left w:val="single" w:sz="8" w:space="0" w:color="232F5D" w:themeColor="accent3"/>
          <w:bottom w:val="single" w:sz="8" w:space="0" w:color="232F5D" w:themeColor="accent3"/>
          <w:right w:val="single" w:sz="8" w:space="0" w:color="232F5D" w:themeColor="accent3"/>
        </w:tcBorders>
      </w:tcPr>
    </w:tblStylePr>
    <w:tblStylePr w:type="firstCol">
      <w:rPr>
        <w:b/>
        <w:bCs/>
      </w:rPr>
    </w:tblStylePr>
    <w:tblStylePr w:type="lastCol">
      <w:rPr>
        <w:b/>
        <w:bCs/>
      </w:rPr>
    </w:tblStylePr>
    <w:tblStylePr w:type="band1Vert">
      <w:tblPr/>
      <w:tcPr>
        <w:tcBorders>
          <w:top w:val="single" w:sz="8" w:space="0" w:color="232F5D" w:themeColor="accent3"/>
          <w:left w:val="single" w:sz="8" w:space="0" w:color="232F5D" w:themeColor="accent3"/>
          <w:bottom w:val="single" w:sz="8" w:space="0" w:color="232F5D" w:themeColor="accent3"/>
          <w:right w:val="single" w:sz="8" w:space="0" w:color="232F5D" w:themeColor="accent3"/>
        </w:tcBorders>
      </w:tcPr>
    </w:tblStylePr>
    <w:tblStylePr w:type="band1Horz">
      <w:tblPr/>
      <w:tcPr>
        <w:tcBorders>
          <w:top w:val="single" w:sz="8" w:space="0" w:color="232F5D" w:themeColor="accent3"/>
          <w:left w:val="single" w:sz="8" w:space="0" w:color="232F5D" w:themeColor="accent3"/>
          <w:bottom w:val="single" w:sz="8" w:space="0" w:color="232F5D" w:themeColor="accent3"/>
          <w:right w:val="single" w:sz="8" w:space="0" w:color="232F5D" w:themeColor="accent3"/>
        </w:tcBorders>
      </w:tcPr>
    </w:tblStylePr>
  </w:style>
  <w:style w:type="table" w:styleId="LightList-Accent4">
    <w:name w:val="Light List Accent 4"/>
    <w:basedOn w:val="TableNormal"/>
    <w:uiPriority w:val="61"/>
    <w:semiHidden/>
    <w:unhideWhenUsed/>
    <w:locked/>
    <w:rsid w:val="00C551E1"/>
    <w:tblPr>
      <w:tblStyleRowBandSize w:val="1"/>
      <w:tblStyleColBandSize w:val="1"/>
      <w:tblBorders>
        <w:top w:val="single" w:sz="8" w:space="0" w:color="3D3C42" w:themeColor="accent4"/>
        <w:left w:val="single" w:sz="8" w:space="0" w:color="3D3C42" w:themeColor="accent4"/>
        <w:bottom w:val="single" w:sz="8" w:space="0" w:color="3D3C42" w:themeColor="accent4"/>
        <w:right w:val="single" w:sz="8" w:space="0" w:color="3D3C42" w:themeColor="accent4"/>
      </w:tblBorders>
    </w:tblPr>
    <w:tblStylePr w:type="firstRow">
      <w:pPr>
        <w:spacing w:before="0" w:after="0" w:line="240" w:lineRule="auto"/>
      </w:pPr>
      <w:rPr>
        <w:b/>
        <w:bCs/>
        <w:color w:val="FFFFFF" w:themeColor="background1"/>
      </w:rPr>
      <w:tblPr/>
      <w:tcPr>
        <w:shd w:val="clear" w:color="auto" w:fill="3D3C42" w:themeFill="accent4"/>
      </w:tcPr>
    </w:tblStylePr>
    <w:tblStylePr w:type="lastRow">
      <w:pPr>
        <w:spacing w:before="0" w:after="0" w:line="240" w:lineRule="auto"/>
      </w:pPr>
      <w:rPr>
        <w:b/>
        <w:bCs/>
      </w:rPr>
      <w:tblPr/>
      <w:tcPr>
        <w:tcBorders>
          <w:top w:val="double" w:sz="6" w:space="0" w:color="3D3C42" w:themeColor="accent4"/>
          <w:left w:val="single" w:sz="8" w:space="0" w:color="3D3C42" w:themeColor="accent4"/>
          <w:bottom w:val="single" w:sz="8" w:space="0" w:color="3D3C42" w:themeColor="accent4"/>
          <w:right w:val="single" w:sz="8" w:space="0" w:color="3D3C42" w:themeColor="accent4"/>
        </w:tcBorders>
      </w:tcPr>
    </w:tblStylePr>
    <w:tblStylePr w:type="firstCol">
      <w:rPr>
        <w:b/>
        <w:bCs/>
      </w:rPr>
    </w:tblStylePr>
    <w:tblStylePr w:type="lastCol">
      <w:rPr>
        <w:b/>
        <w:bCs/>
      </w:rPr>
    </w:tblStylePr>
    <w:tblStylePr w:type="band1Vert">
      <w:tblPr/>
      <w:tcPr>
        <w:tcBorders>
          <w:top w:val="single" w:sz="8" w:space="0" w:color="3D3C42" w:themeColor="accent4"/>
          <w:left w:val="single" w:sz="8" w:space="0" w:color="3D3C42" w:themeColor="accent4"/>
          <w:bottom w:val="single" w:sz="8" w:space="0" w:color="3D3C42" w:themeColor="accent4"/>
          <w:right w:val="single" w:sz="8" w:space="0" w:color="3D3C42" w:themeColor="accent4"/>
        </w:tcBorders>
      </w:tcPr>
    </w:tblStylePr>
    <w:tblStylePr w:type="band1Horz">
      <w:tblPr/>
      <w:tcPr>
        <w:tcBorders>
          <w:top w:val="single" w:sz="8" w:space="0" w:color="3D3C42" w:themeColor="accent4"/>
          <w:left w:val="single" w:sz="8" w:space="0" w:color="3D3C42" w:themeColor="accent4"/>
          <w:bottom w:val="single" w:sz="8" w:space="0" w:color="3D3C42" w:themeColor="accent4"/>
          <w:right w:val="single" w:sz="8" w:space="0" w:color="3D3C42" w:themeColor="accent4"/>
        </w:tcBorders>
      </w:tcPr>
    </w:tblStylePr>
  </w:style>
  <w:style w:type="table" w:styleId="LightList-Accent5">
    <w:name w:val="Light List Accent 5"/>
    <w:basedOn w:val="TableNormal"/>
    <w:uiPriority w:val="61"/>
    <w:semiHidden/>
    <w:unhideWhenUsed/>
    <w:locked/>
    <w:rsid w:val="00C551E1"/>
    <w:tblPr>
      <w:tblStyleRowBandSize w:val="1"/>
      <w:tblStyleColBandSize w:val="1"/>
      <w:tblBorders>
        <w:top w:val="single" w:sz="8" w:space="0" w:color="DA5F4F" w:themeColor="accent5"/>
        <w:left w:val="single" w:sz="8" w:space="0" w:color="DA5F4F" w:themeColor="accent5"/>
        <w:bottom w:val="single" w:sz="8" w:space="0" w:color="DA5F4F" w:themeColor="accent5"/>
        <w:right w:val="single" w:sz="8" w:space="0" w:color="DA5F4F" w:themeColor="accent5"/>
      </w:tblBorders>
    </w:tblPr>
    <w:tblStylePr w:type="firstRow">
      <w:pPr>
        <w:spacing w:before="0" w:after="0" w:line="240" w:lineRule="auto"/>
      </w:pPr>
      <w:rPr>
        <w:b/>
        <w:bCs/>
        <w:color w:val="FFFFFF" w:themeColor="background1"/>
      </w:rPr>
      <w:tblPr/>
      <w:tcPr>
        <w:shd w:val="clear" w:color="auto" w:fill="DA5F4F" w:themeFill="accent5"/>
      </w:tcPr>
    </w:tblStylePr>
    <w:tblStylePr w:type="lastRow">
      <w:pPr>
        <w:spacing w:before="0" w:after="0" w:line="240" w:lineRule="auto"/>
      </w:pPr>
      <w:rPr>
        <w:b/>
        <w:bCs/>
      </w:rPr>
      <w:tblPr/>
      <w:tcPr>
        <w:tcBorders>
          <w:top w:val="double" w:sz="6" w:space="0" w:color="DA5F4F" w:themeColor="accent5"/>
          <w:left w:val="single" w:sz="8" w:space="0" w:color="DA5F4F" w:themeColor="accent5"/>
          <w:bottom w:val="single" w:sz="8" w:space="0" w:color="DA5F4F" w:themeColor="accent5"/>
          <w:right w:val="single" w:sz="8" w:space="0" w:color="DA5F4F" w:themeColor="accent5"/>
        </w:tcBorders>
      </w:tcPr>
    </w:tblStylePr>
    <w:tblStylePr w:type="firstCol">
      <w:rPr>
        <w:b/>
        <w:bCs/>
      </w:rPr>
    </w:tblStylePr>
    <w:tblStylePr w:type="lastCol">
      <w:rPr>
        <w:b/>
        <w:bCs/>
      </w:rPr>
    </w:tblStylePr>
    <w:tblStylePr w:type="band1Vert">
      <w:tblPr/>
      <w:tcPr>
        <w:tcBorders>
          <w:top w:val="single" w:sz="8" w:space="0" w:color="DA5F4F" w:themeColor="accent5"/>
          <w:left w:val="single" w:sz="8" w:space="0" w:color="DA5F4F" w:themeColor="accent5"/>
          <w:bottom w:val="single" w:sz="8" w:space="0" w:color="DA5F4F" w:themeColor="accent5"/>
          <w:right w:val="single" w:sz="8" w:space="0" w:color="DA5F4F" w:themeColor="accent5"/>
        </w:tcBorders>
      </w:tcPr>
    </w:tblStylePr>
    <w:tblStylePr w:type="band1Horz">
      <w:tblPr/>
      <w:tcPr>
        <w:tcBorders>
          <w:top w:val="single" w:sz="8" w:space="0" w:color="DA5F4F" w:themeColor="accent5"/>
          <w:left w:val="single" w:sz="8" w:space="0" w:color="DA5F4F" w:themeColor="accent5"/>
          <w:bottom w:val="single" w:sz="8" w:space="0" w:color="DA5F4F" w:themeColor="accent5"/>
          <w:right w:val="single" w:sz="8" w:space="0" w:color="DA5F4F" w:themeColor="accent5"/>
        </w:tcBorders>
      </w:tcPr>
    </w:tblStylePr>
  </w:style>
  <w:style w:type="table" w:styleId="LightList-Accent6">
    <w:name w:val="Light List Accent 6"/>
    <w:basedOn w:val="TableNormal"/>
    <w:uiPriority w:val="61"/>
    <w:semiHidden/>
    <w:unhideWhenUsed/>
    <w:locked/>
    <w:rsid w:val="00C551E1"/>
    <w:tblPr>
      <w:tblStyleRowBandSize w:val="1"/>
      <w:tblStyleColBandSize w:val="1"/>
      <w:tblBorders>
        <w:top w:val="single" w:sz="8" w:space="0" w:color="821431" w:themeColor="accent6"/>
        <w:left w:val="single" w:sz="8" w:space="0" w:color="821431" w:themeColor="accent6"/>
        <w:bottom w:val="single" w:sz="8" w:space="0" w:color="821431" w:themeColor="accent6"/>
        <w:right w:val="single" w:sz="8" w:space="0" w:color="821431" w:themeColor="accent6"/>
      </w:tblBorders>
    </w:tblPr>
    <w:tblStylePr w:type="firstRow">
      <w:pPr>
        <w:spacing w:before="0" w:after="0" w:line="240" w:lineRule="auto"/>
      </w:pPr>
      <w:rPr>
        <w:b/>
        <w:bCs/>
        <w:color w:val="FFFFFF" w:themeColor="background1"/>
      </w:rPr>
      <w:tblPr/>
      <w:tcPr>
        <w:shd w:val="clear" w:color="auto" w:fill="821431" w:themeFill="accent6"/>
      </w:tcPr>
    </w:tblStylePr>
    <w:tblStylePr w:type="lastRow">
      <w:pPr>
        <w:spacing w:before="0" w:after="0" w:line="240" w:lineRule="auto"/>
      </w:pPr>
      <w:rPr>
        <w:b/>
        <w:bCs/>
      </w:rPr>
      <w:tblPr/>
      <w:tcPr>
        <w:tcBorders>
          <w:top w:val="double" w:sz="6" w:space="0" w:color="821431" w:themeColor="accent6"/>
          <w:left w:val="single" w:sz="8" w:space="0" w:color="821431" w:themeColor="accent6"/>
          <w:bottom w:val="single" w:sz="8" w:space="0" w:color="821431" w:themeColor="accent6"/>
          <w:right w:val="single" w:sz="8" w:space="0" w:color="821431" w:themeColor="accent6"/>
        </w:tcBorders>
      </w:tcPr>
    </w:tblStylePr>
    <w:tblStylePr w:type="firstCol">
      <w:rPr>
        <w:b/>
        <w:bCs/>
      </w:rPr>
    </w:tblStylePr>
    <w:tblStylePr w:type="lastCol">
      <w:rPr>
        <w:b/>
        <w:bCs/>
      </w:rPr>
    </w:tblStylePr>
    <w:tblStylePr w:type="band1Vert">
      <w:tblPr/>
      <w:tcPr>
        <w:tcBorders>
          <w:top w:val="single" w:sz="8" w:space="0" w:color="821431" w:themeColor="accent6"/>
          <w:left w:val="single" w:sz="8" w:space="0" w:color="821431" w:themeColor="accent6"/>
          <w:bottom w:val="single" w:sz="8" w:space="0" w:color="821431" w:themeColor="accent6"/>
          <w:right w:val="single" w:sz="8" w:space="0" w:color="821431" w:themeColor="accent6"/>
        </w:tcBorders>
      </w:tcPr>
    </w:tblStylePr>
    <w:tblStylePr w:type="band1Horz">
      <w:tblPr/>
      <w:tcPr>
        <w:tcBorders>
          <w:top w:val="single" w:sz="8" w:space="0" w:color="821431" w:themeColor="accent6"/>
          <w:left w:val="single" w:sz="8" w:space="0" w:color="821431" w:themeColor="accent6"/>
          <w:bottom w:val="single" w:sz="8" w:space="0" w:color="821431" w:themeColor="accent6"/>
          <w:right w:val="single" w:sz="8" w:space="0" w:color="821431" w:themeColor="accent6"/>
        </w:tcBorders>
      </w:tcPr>
    </w:tblStylePr>
  </w:style>
  <w:style w:type="table" w:styleId="LightShading">
    <w:name w:val="Light Shading"/>
    <w:basedOn w:val="TableNormal"/>
    <w:uiPriority w:val="60"/>
    <w:semiHidden/>
    <w:unhideWhenUsed/>
    <w:locked/>
    <w:rsid w:val="00C551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C551E1"/>
    <w:rPr>
      <w:color w:val="35615E" w:themeColor="accent1" w:themeShade="BF"/>
    </w:rPr>
    <w:tblPr>
      <w:tblStyleRowBandSize w:val="1"/>
      <w:tblStyleColBandSize w:val="1"/>
      <w:tblBorders>
        <w:top w:val="single" w:sz="8" w:space="0" w:color="47827E" w:themeColor="accent1"/>
        <w:bottom w:val="single" w:sz="8" w:space="0" w:color="47827E" w:themeColor="accent1"/>
      </w:tblBorders>
    </w:tblPr>
    <w:tblStylePr w:type="firstRow">
      <w:pPr>
        <w:spacing w:before="0" w:after="0" w:line="240" w:lineRule="auto"/>
      </w:pPr>
      <w:rPr>
        <w:b/>
        <w:bCs/>
      </w:rPr>
      <w:tblPr/>
      <w:tcPr>
        <w:tcBorders>
          <w:top w:val="single" w:sz="8" w:space="0" w:color="47827E" w:themeColor="accent1"/>
          <w:left w:val="nil"/>
          <w:bottom w:val="single" w:sz="8" w:space="0" w:color="47827E" w:themeColor="accent1"/>
          <w:right w:val="nil"/>
          <w:insideH w:val="nil"/>
          <w:insideV w:val="nil"/>
        </w:tcBorders>
      </w:tcPr>
    </w:tblStylePr>
    <w:tblStylePr w:type="lastRow">
      <w:pPr>
        <w:spacing w:before="0" w:after="0" w:line="240" w:lineRule="auto"/>
      </w:pPr>
      <w:rPr>
        <w:b/>
        <w:bCs/>
      </w:rPr>
      <w:tblPr/>
      <w:tcPr>
        <w:tcBorders>
          <w:top w:val="single" w:sz="8" w:space="0" w:color="47827E" w:themeColor="accent1"/>
          <w:left w:val="nil"/>
          <w:bottom w:val="single" w:sz="8" w:space="0" w:color="4782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4E2" w:themeFill="accent1" w:themeFillTint="3F"/>
      </w:tcPr>
    </w:tblStylePr>
    <w:tblStylePr w:type="band1Horz">
      <w:tblPr/>
      <w:tcPr>
        <w:tcBorders>
          <w:left w:val="nil"/>
          <w:right w:val="nil"/>
          <w:insideH w:val="nil"/>
          <w:insideV w:val="nil"/>
        </w:tcBorders>
        <w:shd w:val="clear" w:color="auto" w:fill="CDE4E2" w:themeFill="accent1" w:themeFillTint="3F"/>
      </w:tcPr>
    </w:tblStylePr>
  </w:style>
  <w:style w:type="table" w:styleId="LightShading-Accent2">
    <w:name w:val="Light Shading Accent 2"/>
    <w:basedOn w:val="TableNormal"/>
    <w:uiPriority w:val="60"/>
    <w:semiHidden/>
    <w:unhideWhenUsed/>
    <w:locked/>
    <w:rsid w:val="00C551E1"/>
    <w:rPr>
      <w:color w:val="1E3336" w:themeColor="accent2" w:themeShade="BF"/>
    </w:rPr>
    <w:tblPr>
      <w:tblStyleRowBandSize w:val="1"/>
      <w:tblStyleColBandSize w:val="1"/>
      <w:tblBorders>
        <w:top w:val="single" w:sz="8" w:space="0" w:color="294549" w:themeColor="accent2"/>
        <w:bottom w:val="single" w:sz="8" w:space="0" w:color="294549" w:themeColor="accent2"/>
      </w:tblBorders>
    </w:tblPr>
    <w:tblStylePr w:type="firstRow">
      <w:pPr>
        <w:spacing w:before="0" w:after="0" w:line="240" w:lineRule="auto"/>
      </w:pPr>
      <w:rPr>
        <w:b/>
        <w:bCs/>
      </w:rPr>
      <w:tblPr/>
      <w:tcPr>
        <w:tcBorders>
          <w:top w:val="single" w:sz="8" w:space="0" w:color="294549" w:themeColor="accent2"/>
          <w:left w:val="nil"/>
          <w:bottom w:val="single" w:sz="8" w:space="0" w:color="294549" w:themeColor="accent2"/>
          <w:right w:val="nil"/>
          <w:insideH w:val="nil"/>
          <w:insideV w:val="nil"/>
        </w:tcBorders>
      </w:tcPr>
    </w:tblStylePr>
    <w:tblStylePr w:type="lastRow">
      <w:pPr>
        <w:spacing w:before="0" w:after="0" w:line="240" w:lineRule="auto"/>
      </w:pPr>
      <w:rPr>
        <w:b/>
        <w:bCs/>
      </w:rPr>
      <w:tblPr/>
      <w:tcPr>
        <w:tcBorders>
          <w:top w:val="single" w:sz="8" w:space="0" w:color="294549" w:themeColor="accent2"/>
          <w:left w:val="nil"/>
          <w:bottom w:val="single" w:sz="8" w:space="0" w:color="29454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8DB" w:themeFill="accent2" w:themeFillTint="3F"/>
      </w:tcPr>
    </w:tblStylePr>
    <w:tblStylePr w:type="band1Horz">
      <w:tblPr/>
      <w:tcPr>
        <w:tcBorders>
          <w:left w:val="nil"/>
          <w:right w:val="nil"/>
          <w:insideH w:val="nil"/>
          <w:insideV w:val="nil"/>
        </w:tcBorders>
        <w:shd w:val="clear" w:color="auto" w:fill="C0D8DB" w:themeFill="accent2" w:themeFillTint="3F"/>
      </w:tcPr>
    </w:tblStylePr>
  </w:style>
  <w:style w:type="table" w:styleId="LightShading-Accent3">
    <w:name w:val="Light Shading Accent 3"/>
    <w:basedOn w:val="TableNormal"/>
    <w:uiPriority w:val="60"/>
    <w:semiHidden/>
    <w:unhideWhenUsed/>
    <w:locked/>
    <w:rsid w:val="00C551E1"/>
    <w:rPr>
      <w:color w:val="1A2345" w:themeColor="accent3" w:themeShade="BF"/>
    </w:rPr>
    <w:tblPr>
      <w:tblStyleRowBandSize w:val="1"/>
      <w:tblStyleColBandSize w:val="1"/>
      <w:tblBorders>
        <w:top w:val="single" w:sz="8" w:space="0" w:color="232F5D" w:themeColor="accent3"/>
        <w:bottom w:val="single" w:sz="8" w:space="0" w:color="232F5D" w:themeColor="accent3"/>
      </w:tblBorders>
    </w:tblPr>
    <w:tblStylePr w:type="firstRow">
      <w:pPr>
        <w:spacing w:before="0" w:after="0" w:line="240" w:lineRule="auto"/>
      </w:pPr>
      <w:rPr>
        <w:b/>
        <w:bCs/>
      </w:rPr>
      <w:tblPr/>
      <w:tcPr>
        <w:tcBorders>
          <w:top w:val="single" w:sz="8" w:space="0" w:color="232F5D" w:themeColor="accent3"/>
          <w:left w:val="nil"/>
          <w:bottom w:val="single" w:sz="8" w:space="0" w:color="232F5D" w:themeColor="accent3"/>
          <w:right w:val="nil"/>
          <w:insideH w:val="nil"/>
          <w:insideV w:val="nil"/>
        </w:tcBorders>
      </w:tcPr>
    </w:tblStylePr>
    <w:tblStylePr w:type="lastRow">
      <w:pPr>
        <w:spacing w:before="0" w:after="0" w:line="240" w:lineRule="auto"/>
      </w:pPr>
      <w:rPr>
        <w:b/>
        <w:bCs/>
      </w:rPr>
      <w:tblPr/>
      <w:tcPr>
        <w:tcBorders>
          <w:top w:val="single" w:sz="8" w:space="0" w:color="232F5D" w:themeColor="accent3"/>
          <w:left w:val="nil"/>
          <w:bottom w:val="single" w:sz="8" w:space="0" w:color="232F5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2E5" w:themeFill="accent3" w:themeFillTint="3F"/>
      </w:tcPr>
    </w:tblStylePr>
    <w:tblStylePr w:type="band1Horz">
      <w:tblPr/>
      <w:tcPr>
        <w:tcBorders>
          <w:left w:val="nil"/>
          <w:right w:val="nil"/>
          <w:insideH w:val="nil"/>
          <w:insideV w:val="nil"/>
        </w:tcBorders>
        <w:shd w:val="clear" w:color="auto" w:fill="BAC2E5" w:themeFill="accent3" w:themeFillTint="3F"/>
      </w:tcPr>
    </w:tblStylePr>
  </w:style>
  <w:style w:type="table" w:styleId="LightShading-Accent4">
    <w:name w:val="Light Shading Accent 4"/>
    <w:basedOn w:val="TableNormal"/>
    <w:uiPriority w:val="60"/>
    <w:semiHidden/>
    <w:unhideWhenUsed/>
    <w:locked/>
    <w:rsid w:val="00C551E1"/>
    <w:rPr>
      <w:color w:val="2D2D31" w:themeColor="accent4" w:themeShade="BF"/>
    </w:rPr>
    <w:tblPr>
      <w:tblStyleRowBandSize w:val="1"/>
      <w:tblStyleColBandSize w:val="1"/>
      <w:tblBorders>
        <w:top w:val="single" w:sz="8" w:space="0" w:color="3D3C42" w:themeColor="accent4"/>
        <w:bottom w:val="single" w:sz="8" w:space="0" w:color="3D3C42" w:themeColor="accent4"/>
      </w:tblBorders>
    </w:tblPr>
    <w:tblStylePr w:type="firstRow">
      <w:pPr>
        <w:spacing w:before="0" w:after="0" w:line="240" w:lineRule="auto"/>
      </w:pPr>
      <w:rPr>
        <w:b/>
        <w:bCs/>
      </w:rPr>
      <w:tblPr/>
      <w:tcPr>
        <w:tcBorders>
          <w:top w:val="single" w:sz="8" w:space="0" w:color="3D3C42" w:themeColor="accent4"/>
          <w:left w:val="nil"/>
          <w:bottom w:val="single" w:sz="8" w:space="0" w:color="3D3C42" w:themeColor="accent4"/>
          <w:right w:val="nil"/>
          <w:insideH w:val="nil"/>
          <w:insideV w:val="nil"/>
        </w:tcBorders>
      </w:tcPr>
    </w:tblStylePr>
    <w:tblStylePr w:type="lastRow">
      <w:pPr>
        <w:spacing w:before="0" w:after="0" w:line="240" w:lineRule="auto"/>
      </w:pPr>
      <w:rPr>
        <w:b/>
        <w:bCs/>
      </w:rPr>
      <w:tblPr/>
      <w:tcPr>
        <w:tcBorders>
          <w:top w:val="single" w:sz="8" w:space="0" w:color="3D3C42" w:themeColor="accent4"/>
          <w:left w:val="nil"/>
          <w:bottom w:val="single" w:sz="8" w:space="0" w:color="3D3C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D1" w:themeFill="accent4" w:themeFillTint="3F"/>
      </w:tcPr>
    </w:tblStylePr>
    <w:tblStylePr w:type="band1Horz">
      <w:tblPr/>
      <w:tcPr>
        <w:tcBorders>
          <w:left w:val="nil"/>
          <w:right w:val="nil"/>
          <w:insideH w:val="nil"/>
          <w:insideV w:val="nil"/>
        </w:tcBorders>
        <w:shd w:val="clear" w:color="auto" w:fill="CDCDD1" w:themeFill="accent4" w:themeFillTint="3F"/>
      </w:tcPr>
    </w:tblStylePr>
  </w:style>
  <w:style w:type="table" w:styleId="LightShading-Accent5">
    <w:name w:val="Light Shading Accent 5"/>
    <w:basedOn w:val="TableNormal"/>
    <w:uiPriority w:val="60"/>
    <w:semiHidden/>
    <w:unhideWhenUsed/>
    <w:locked/>
    <w:rsid w:val="00C551E1"/>
    <w:rPr>
      <w:color w:val="B73726" w:themeColor="accent5" w:themeShade="BF"/>
    </w:rPr>
    <w:tblPr>
      <w:tblStyleRowBandSize w:val="1"/>
      <w:tblStyleColBandSize w:val="1"/>
      <w:tblBorders>
        <w:top w:val="single" w:sz="8" w:space="0" w:color="DA5F4F" w:themeColor="accent5"/>
        <w:bottom w:val="single" w:sz="8" w:space="0" w:color="DA5F4F" w:themeColor="accent5"/>
      </w:tblBorders>
    </w:tblPr>
    <w:tblStylePr w:type="firstRow">
      <w:pPr>
        <w:spacing w:before="0" w:after="0" w:line="240" w:lineRule="auto"/>
      </w:pPr>
      <w:rPr>
        <w:b/>
        <w:bCs/>
      </w:rPr>
      <w:tblPr/>
      <w:tcPr>
        <w:tcBorders>
          <w:top w:val="single" w:sz="8" w:space="0" w:color="DA5F4F" w:themeColor="accent5"/>
          <w:left w:val="nil"/>
          <w:bottom w:val="single" w:sz="8" w:space="0" w:color="DA5F4F" w:themeColor="accent5"/>
          <w:right w:val="nil"/>
          <w:insideH w:val="nil"/>
          <w:insideV w:val="nil"/>
        </w:tcBorders>
      </w:tcPr>
    </w:tblStylePr>
    <w:tblStylePr w:type="lastRow">
      <w:pPr>
        <w:spacing w:before="0" w:after="0" w:line="240" w:lineRule="auto"/>
      </w:pPr>
      <w:rPr>
        <w:b/>
        <w:bCs/>
      </w:rPr>
      <w:tblPr/>
      <w:tcPr>
        <w:tcBorders>
          <w:top w:val="single" w:sz="8" w:space="0" w:color="DA5F4F" w:themeColor="accent5"/>
          <w:left w:val="nil"/>
          <w:bottom w:val="single" w:sz="8" w:space="0" w:color="DA5F4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7D3" w:themeFill="accent5" w:themeFillTint="3F"/>
      </w:tcPr>
    </w:tblStylePr>
    <w:tblStylePr w:type="band1Horz">
      <w:tblPr/>
      <w:tcPr>
        <w:tcBorders>
          <w:left w:val="nil"/>
          <w:right w:val="nil"/>
          <w:insideH w:val="nil"/>
          <w:insideV w:val="nil"/>
        </w:tcBorders>
        <w:shd w:val="clear" w:color="auto" w:fill="F6D7D3" w:themeFill="accent5" w:themeFillTint="3F"/>
      </w:tcPr>
    </w:tblStylePr>
  </w:style>
  <w:style w:type="table" w:styleId="LightShading-Accent6">
    <w:name w:val="Light Shading Accent 6"/>
    <w:basedOn w:val="TableNormal"/>
    <w:uiPriority w:val="60"/>
    <w:semiHidden/>
    <w:unhideWhenUsed/>
    <w:locked/>
    <w:rsid w:val="00C551E1"/>
    <w:rPr>
      <w:color w:val="610F24" w:themeColor="accent6" w:themeShade="BF"/>
    </w:rPr>
    <w:tblPr>
      <w:tblStyleRowBandSize w:val="1"/>
      <w:tblStyleColBandSize w:val="1"/>
      <w:tblBorders>
        <w:top w:val="single" w:sz="8" w:space="0" w:color="821431" w:themeColor="accent6"/>
        <w:bottom w:val="single" w:sz="8" w:space="0" w:color="821431" w:themeColor="accent6"/>
      </w:tblBorders>
    </w:tblPr>
    <w:tblStylePr w:type="firstRow">
      <w:pPr>
        <w:spacing w:before="0" w:after="0" w:line="240" w:lineRule="auto"/>
      </w:pPr>
      <w:rPr>
        <w:b/>
        <w:bCs/>
      </w:rPr>
      <w:tblPr/>
      <w:tcPr>
        <w:tcBorders>
          <w:top w:val="single" w:sz="8" w:space="0" w:color="821431" w:themeColor="accent6"/>
          <w:left w:val="nil"/>
          <w:bottom w:val="single" w:sz="8" w:space="0" w:color="821431" w:themeColor="accent6"/>
          <w:right w:val="nil"/>
          <w:insideH w:val="nil"/>
          <w:insideV w:val="nil"/>
        </w:tcBorders>
      </w:tcPr>
    </w:tblStylePr>
    <w:tblStylePr w:type="lastRow">
      <w:pPr>
        <w:spacing w:before="0" w:after="0" w:line="240" w:lineRule="auto"/>
      </w:pPr>
      <w:rPr>
        <w:b/>
        <w:bCs/>
      </w:rPr>
      <w:tblPr/>
      <w:tcPr>
        <w:tcBorders>
          <w:top w:val="single" w:sz="8" w:space="0" w:color="821431" w:themeColor="accent6"/>
          <w:left w:val="nil"/>
          <w:bottom w:val="single" w:sz="8" w:space="0" w:color="82143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1C2" w:themeFill="accent6" w:themeFillTint="3F"/>
      </w:tcPr>
    </w:tblStylePr>
    <w:tblStylePr w:type="band1Horz">
      <w:tblPr/>
      <w:tcPr>
        <w:tcBorders>
          <w:left w:val="nil"/>
          <w:right w:val="nil"/>
          <w:insideH w:val="nil"/>
          <w:insideV w:val="nil"/>
        </w:tcBorders>
        <w:shd w:val="clear" w:color="auto" w:fill="F3B1C2" w:themeFill="accent6" w:themeFillTint="3F"/>
      </w:tcPr>
    </w:tblStylePr>
  </w:style>
  <w:style w:type="table" w:customStyle="1" w:styleId="ListTable1Light1">
    <w:name w:val="List Table 1 Light1"/>
    <w:basedOn w:val="TableNormal"/>
    <w:uiPriority w:val="46"/>
    <w:semiHidden/>
    <w:rsid w:val="00C551E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C551E1"/>
    <w:tblPr>
      <w:tblStyleRowBandSize w:val="1"/>
      <w:tblStyleColBandSize w:val="1"/>
    </w:tblPr>
    <w:tblStylePr w:type="firstRow">
      <w:rPr>
        <w:b/>
        <w:bCs/>
      </w:rPr>
      <w:tblPr/>
      <w:tcPr>
        <w:tcBorders>
          <w:bottom w:val="single" w:sz="4" w:space="0" w:color="86BDB9" w:themeColor="accent1" w:themeTint="99"/>
        </w:tcBorders>
      </w:tcPr>
    </w:tblStylePr>
    <w:tblStylePr w:type="lastRow">
      <w:rPr>
        <w:b/>
        <w:bCs/>
      </w:rPr>
      <w:tblPr/>
      <w:tcPr>
        <w:tcBorders>
          <w:top w:val="sing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ListTable1Light-Accent21">
    <w:name w:val="List Table 1 Light - Accent 21"/>
    <w:basedOn w:val="TableNormal"/>
    <w:uiPriority w:val="46"/>
    <w:semiHidden/>
    <w:rsid w:val="00C551E1"/>
    <w:tblPr>
      <w:tblStyleRowBandSize w:val="1"/>
      <w:tblStyleColBandSize w:val="1"/>
    </w:tblPr>
    <w:tblStylePr w:type="firstRow">
      <w:rPr>
        <w:b/>
        <w:bCs/>
      </w:rPr>
      <w:tblPr/>
      <w:tcPr>
        <w:tcBorders>
          <w:bottom w:val="single" w:sz="4" w:space="0" w:color="66A1A9" w:themeColor="accent2" w:themeTint="99"/>
        </w:tcBorders>
      </w:tcPr>
    </w:tblStylePr>
    <w:tblStylePr w:type="lastRow">
      <w:rPr>
        <w:b/>
        <w:bCs/>
      </w:rPr>
      <w:tblPr/>
      <w:tcPr>
        <w:tcBorders>
          <w:top w:val="sing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ListTable1Light-Accent31">
    <w:name w:val="List Table 1 Light - Accent 31"/>
    <w:basedOn w:val="TableNormal"/>
    <w:uiPriority w:val="46"/>
    <w:semiHidden/>
    <w:rsid w:val="00C551E1"/>
    <w:tblPr>
      <w:tblStyleRowBandSize w:val="1"/>
      <w:tblStyleColBandSize w:val="1"/>
    </w:tblPr>
    <w:tblStylePr w:type="firstRow">
      <w:rPr>
        <w:b/>
        <w:bCs/>
      </w:rPr>
      <w:tblPr/>
      <w:tcPr>
        <w:tcBorders>
          <w:bottom w:val="single" w:sz="4" w:space="0" w:color="586DC0" w:themeColor="accent3" w:themeTint="99"/>
        </w:tcBorders>
      </w:tcPr>
    </w:tblStylePr>
    <w:tblStylePr w:type="lastRow">
      <w:rPr>
        <w:b/>
        <w:bCs/>
      </w:rPr>
      <w:tblPr/>
      <w:tcPr>
        <w:tcBorders>
          <w:top w:val="sing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ListTable1Light-Accent41">
    <w:name w:val="List Table 1 Light - Accent 41"/>
    <w:basedOn w:val="TableNormal"/>
    <w:uiPriority w:val="46"/>
    <w:semiHidden/>
    <w:rsid w:val="00C551E1"/>
    <w:tblPr>
      <w:tblStyleRowBandSize w:val="1"/>
      <w:tblStyleColBandSize w:val="1"/>
    </w:tblPr>
    <w:tblStylePr w:type="firstRow">
      <w:rPr>
        <w:b/>
        <w:bCs/>
      </w:rPr>
      <w:tblPr/>
      <w:tcPr>
        <w:tcBorders>
          <w:bottom w:val="single" w:sz="4" w:space="0" w:color="878691" w:themeColor="accent4" w:themeTint="99"/>
        </w:tcBorders>
      </w:tcPr>
    </w:tblStylePr>
    <w:tblStylePr w:type="lastRow">
      <w:rPr>
        <w:b/>
        <w:bCs/>
      </w:rPr>
      <w:tblPr/>
      <w:tcPr>
        <w:tcBorders>
          <w:top w:val="sing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ListTable1Light-Accent51">
    <w:name w:val="List Table 1 Light - Accent 51"/>
    <w:basedOn w:val="TableNormal"/>
    <w:uiPriority w:val="46"/>
    <w:semiHidden/>
    <w:rsid w:val="00C551E1"/>
    <w:tblPr>
      <w:tblStyleRowBandSize w:val="1"/>
      <w:tblStyleColBandSize w:val="1"/>
    </w:tblPr>
    <w:tblStylePr w:type="firstRow">
      <w:rPr>
        <w:b/>
        <w:bCs/>
      </w:rPr>
      <w:tblPr/>
      <w:tcPr>
        <w:tcBorders>
          <w:bottom w:val="single" w:sz="4" w:space="0" w:color="E89E95" w:themeColor="accent5" w:themeTint="99"/>
        </w:tcBorders>
      </w:tcPr>
    </w:tblStylePr>
    <w:tblStylePr w:type="lastRow">
      <w:rPr>
        <w:b/>
        <w:bCs/>
      </w:rPr>
      <w:tblPr/>
      <w:tcPr>
        <w:tcBorders>
          <w:top w:val="sing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ListTable1Light-Accent61">
    <w:name w:val="List Table 1 Light - Accent 61"/>
    <w:basedOn w:val="TableNormal"/>
    <w:uiPriority w:val="46"/>
    <w:semiHidden/>
    <w:rsid w:val="00C551E1"/>
    <w:tblPr>
      <w:tblStyleRowBandSize w:val="1"/>
      <w:tblStyleColBandSize w:val="1"/>
    </w:tblPr>
    <w:tblStylePr w:type="firstRow">
      <w:rPr>
        <w:b/>
        <w:bCs/>
      </w:rPr>
      <w:tblPr/>
      <w:tcPr>
        <w:tcBorders>
          <w:bottom w:val="single" w:sz="4" w:space="0" w:color="E2436D" w:themeColor="accent6" w:themeTint="99"/>
        </w:tcBorders>
      </w:tcPr>
    </w:tblStylePr>
    <w:tblStylePr w:type="lastRow">
      <w:rPr>
        <w:b/>
        <w:bCs/>
      </w:rPr>
      <w:tblPr/>
      <w:tcPr>
        <w:tcBorders>
          <w:top w:val="sing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ListTable21">
    <w:name w:val="List Table 21"/>
    <w:basedOn w:val="TableNormal"/>
    <w:uiPriority w:val="47"/>
    <w:semiHidden/>
    <w:rsid w:val="00C551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C551E1"/>
    <w:tblPr>
      <w:tblStyleRowBandSize w:val="1"/>
      <w:tblStyleColBandSize w:val="1"/>
      <w:tblBorders>
        <w:top w:val="single" w:sz="4" w:space="0" w:color="86BDB9" w:themeColor="accent1" w:themeTint="99"/>
        <w:bottom w:val="single" w:sz="4" w:space="0" w:color="86BDB9" w:themeColor="accent1" w:themeTint="99"/>
        <w:insideH w:val="single" w:sz="4" w:space="0" w:color="86BDB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ListTable2-Accent21">
    <w:name w:val="List Table 2 - Accent 21"/>
    <w:basedOn w:val="TableNormal"/>
    <w:uiPriority w:val="47"/>
    <w:semiHidden/>
    <w:rsid w:val="00C551E1"/>
    <w:tblPr>
      <w:tblStyleRowBandSize w:val="1"/>
      <w:tblStyleColBandSize w:val="1"/>
      <w:tblBorders>
        <w:top w:val="single" w:sz="4" w:space="0" w:color="66A1A9" w:themeColor="accent2" w:themeTint="99"/>
        <w:bottom w:val="single" w:sz="4" w:space="0" w:color="66A1A9" w:themeColor="accent2" w:themeTint="99"/>
        <w:insideH w:val="single" w:sz="4" w:space="0" w:color="66A1A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ListTable2-Accent31">
    <w:name w:val="List Table 2 - Accent 31"/>
    <w:basedOn w:val="TableNormal"/>
    <w:uiPriority w:val="47"/>
    <w:semiHidden/>
    <w:rsid w:val="00C551E1"/>
    <w:tblPr>
      <w:tblStyleRowBandSize w:val="1"/>
      <w:tblStyleColBandSize w:val="1"/>
      <w:tblBorders>
        <w:top w:val="single" w:sz="4" w:space="0" w:color="586DC0" w:themeColor="accent3" w:themeTint="99"/>
        <w:bottom w:val="single" w:sz="4" w:space="0" w:color="586DC0" w:themeColor="accent3" w:themeTint="99"/>
        <w:insideH w:val="single" w:sz="4" w:space="0" w:color="586D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ListTable2-Accent41">
    <w:name w:val="List Table 2 - Accent 41"/>
    <w:basedOn w:val="TableNormal"/>
    <w:uiPriority w:val="47"/>
    <w:semiHidden/>
    <w:rsid w:val="00C551E1"/>
    <w:tblPr>
      <w:tblStyleRowBandSize w:val="1"/>
      <w:tblStyleColBandSize w:val="1"/>
      <w:tblBorders>
        <w:top w:val="single" w:sz="4" w:space="0" w:color="878691" w:themeColor="accent4" w:themeTint="99"/>
        <w:bottom w:val="single" w:sz="4" w:space="0" w:color="878691" w:themeColor="accent4" w:themeTint="99"/>
        <w:insideH w:val="single" w:sz="4" w:space="0" w:color="8786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ListTable2-Accent51">
    <w:name w:val="List Table 2 - Accent 51"/>
    <w:basedOn w:val="TableNormal"/>
    <w:uiPriority w:val="47"/>
    <w:semiHidden/>
    <w:rsid w:val="00C551E1"/>
    <w:tblPr>
      <w:tblStyleRowBandSize w:val="1"/>
      <w:tblStyleColBandSize w:val="1"/>
      <w:tblBorders>
        <w:top w:val="single" w:sz="4" w:space="0" w:color="E89E95" w:themeColor="accent5" w:themeTint="99"/>
        <w:bottom w:val="single" w:sz="4" w:space="0" w:color="E89E95" w:themeColor="accent5" w:themeTint="99"/>
        <w:insideH w:val="single" w:sz="4" w:space="0" w:color="E89E9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ListTable2-Accent61">
    <w:name w:val="List Table 2 - Accent 61"/>
    <w:basedOn w:val="TableNormal"/>
    <w:uiPriority w:val="47"/>
    <w:semiHidden/>
    <w:rsid w:val="00C551E1"/>
    <w:tblPr>
      <w:tblStyleRowBandSize w:val="1"/>
      <w:tblStyleColBandSize w:val="1"/>
      <w:tblBorders>
        <w:top w:val="single" w:sz="4" w:space="0" w:color="E2436D" w:themeColor="accent6" w:themeTint="99"/>
        <w:bottom w:val="single" w:sz="4" w:space="0" w:color="E2436D" w:themeColor="accent6" w:themeTint="99"/>
        <w:insideH w:val="single" w:sz="4" w:space="0" w:color="E2436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ListTable31">
    <w:name w:val="List Table 31"/>
    <w:basedOn w:val="TableNormal"/>
    <w:uiPriority w:val="48"/>
    <w:semiHidden/>
    <w:rsid w:val="00C551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C551E1"/>
    <w:tblPr>
      <w:tblStyleRowBandSize w:val="1"/>
      <w:tblStyleColBandSize w:val="1"/>
      <w:tblBorders>
        <w:top w:val="single" w:sz="4" w:space="0" w:color="47827E" w:themeColor="accent1"/>
        <w:left w:val="single" w:sz="4" w:space="0" w:color="47827E" w:themeColor="accent1"/>
        <w:bottom w:val="single" w:sz="4" w:space="0" w:color="47827E" w:themeColor="accent1"/>
        <w:right w:val="single" w:sz="4" w:space="0" w:color="47827E" w:themeColor="accent1"/>
      </w:tblBorders>
    </w:tblPr>
    <w:tblStylePr w:type="firstRow">
      <w:rPr>
        <w:b/>
        <w:bCs/>
        <w:color w:val="FFFFFF" w:themeColor="background1"/>
      </w:rPr>
      <w:tblPr/>
      <w:tcPr>
        <w:shd w:val="clear" w:color="auto" w:fill="47827E" w:themeFill="accent1"/>
      </w:tcPr>
    </w:tblStylePr>
    <w:tblStylePr w:type="lastRow">
      <w:rPr>
        <w:b/>
        <w:bCs/>
      </w:rPr>
      <w:tblPr/>
      <w:tcPr>
        <w:tcBorders>
          <w:top w:val="double" w:sz="4" w:space="0" w:color="4782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827E" w:themeColor="accent1"/>
          <w:right w:val="single" w:sz="4" w:space="0" w:color="47827E" w:themeColor="accent1"/>
        </w:tcBorders>
      </w:tcPr>
    </w:tblStylePr>
    <w:tblStylePr w:type="band1Horz">
      <w:tblPr/>
      <w:tcPr>
        <w:tcBorders>
          <w:top w:val="single" w:sz="4" w:space="0" w:color="47827E" w:themeColor="accent1"/>
          <w:bottom w:val="single" w:sz="4" w:space="0" w:color="4782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827E" w:themeColor="accent1"/>
          <w:left w:val="nil"/>
        </w:tcBorders>
      </w:tcPr>
    </w:tblStylePr>
    <w:tblStylePr w:type="swCell">
      <w:tblPr/>
      <w:tcPr>
        <w:tcBorders>
          <w:top w:val="double" w:sz="4" w:space="0" w:color="47827E" w:themeColor="accent1"/>
          <w:right w:val="nil"/>
        </w:tcBorders>
      </w:tcPr>
    </w:tblStylePr>
  </w:style>
  <w:style w:type="table" w:customStyle="1" w:styleId="ListTable3-Accent21">
    <w:name w:val="List Table 3 - Accent 21"/>
    <w:basedOn w:val="TableNormal"/>
    <w:uiPriority w:val="48"/>
    <w:semiHidden/>
    <w:rsid w:val="00C551E1"/>
    <w:tblPr>
      <w:tblStyleRowBandSize w:val="1"/>
      <w:tblStyleColBandSize w:val="1"/>
      <w:tblBorders>
        <w:top w:val="single" w:sz="4" w:space="0" w:color="294549" w:themeColor="accent2"/>
        <w:left w:val="single" w:sz="4" w:space="0" w:color="294549" w:themeColor="accent2"/>
        <w:bottom w:val="single" w:sz="4" w:space="0" w:color="294549" w:themeColor="accent2"/>
        <w:right w:val="single" w:sz="4" w:space="0" w:color="294549" w:themeColor="accent2"/>
      </w:tblBorders>
    </w:tblPr>
    <w:tblStylePr w:type="firstRow">
      <w:rPr>
        <w:b/>
        <w:bCs/>
        <w:color w:val="FFFFFF" w:themeColor="background1"/>
      </w:rPr>
      <w:tblPr/>
      <w:tcPr>
        <w:shd w:val="clear" w:color="auto" w:fill="294549" w:themeFill="accent2"/>
      </w:tcPr>
    </w:tblStylePr>
    <w:tblStylePr w:type="lastRow">
      <w:rPr>
        <w:b/>
        <w:bCs/>
      </w:rPr>
      <w:tblPr/>
      <w:tcPr>
        <w:tcBorders>
          <w:top w:val="double" w:sz="4" w:space="0" w:color="29454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4549" w:themeColor="accent2"/>
          <w:right w:val="single" w:sz="4" w:space="0" w:color="294549" w:themeColor="accent2"/>
        </w:tcBorders>
      </w:tcPr>
    </w:tblStylePr>
    <w:tblStylePr w:type="band1Horz">
      <w:tblPr/>
      <w:tcPr>
        <w:tcBorders>
          <w:top w:val="single" w:sz="4" w:space="0" w:color="294549" w:themeColor="accent2"/>
          <w:bottom w:val="single" w:sz="4" w:space="0" w:color="29454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4549" w:themeColor="accent2"/>
          <w:left w:val="nil"/>
        </w:tcBorders>
      </w:tcPr>
    </w:tblStylePr>
    <w:tblStylePr w:type="swCell">
      <w:tblPr/>
      <w:tcPr>
        <w:tcBorders>
          <w:top w:val="double" w:sz="4" w:space="0" w:color="294549" w:themeColor="accent2"/>
          <w:right w:val="nil"/>
        </w:tcBorders>
      </w:tcPr>
    </w:tblStylePr>
  </w:style>
  <w:style w:type="table" w:customStyle="1" w:styleId="ListTable3-Accent31">
    <w:name w:val="List Table 3 - Accent 31"/>
    <w:basedOn w:val="TableNormal"/>
    <w:uiPriority w:val="48"/>
    <w:semiHidden/>
    <w:rsid w:val="00C551E1"/>
    <w:tblPr>
      <w:tblStyleRowBandSize w:val="1"/>
      <w:tblStyleColBandSize w:val="1"/>
      <w:tblBorders>
        <w:top w:val="single" w:sz="4" w:space="0" w:color="232F5D" w:themeColor="accent3"/>
        <w:left w:val="single" w:sz="4" w:space="0" w:color="232F5D" w:themeColor="accent3"/>
        <w:bottom w:val="single" w:sz="4" w:space="0" w:color="232F5D" w:themeColor="accent3"/>
        <w:right w:val="single" w:sz="4" w:space="0" w:color="232F5D" w:themeColor="accent3"/>
      </w:tblBorders>
    </w:tblPr>
    <w:tblStylePr w:type="firstRow">
      <w:rPr>
        <w:b/>
        <w:bCs/>
        <w:color w:val="FFFFFF" w:themeColor="background1"/>
      </w:rPr>
      <w:tblPr/>
      <w:tcPr>
        <w:shd w:val="clear" w:color="auto" w:fill="232F5D" w:themeFill="accent3"/>
      </w:tcPr>
    </w:tblStylePr>
    <w:tblStylePr w:type="lastRow">
      <w:rPr>
        <w:b/>
        <w:bCs/>
      </w:rPr>
      <w:tblPr/>
      <w:tcPr>
        <w:tcBorders>
          <w:top w:val="double" w:sz="4" w:space="0" w:color="232F5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F5D" w:themeColor="accent3"/>
          <w:right w:val="single" w:sz="4" w:space="0" w:color="232F5D" w:themeColor="accent3"/>
        </w:tcBorders>
      </w:tcPr>
    </w:tblStylePr>
    <w:tblStylePr w:type="band1Horz">
      <w:tblPr/>
      <w:tcPr>
        <w:tcBorders>
          <w:top w:val="single" w:sz="4" w:space="0" w:color="232F5D" w:themeColor="accent3"/>
          <w:bottom w:val="single" w:sz="4" w:space="0" w:color="232F5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F5D" w:themeColor="accent3"/>
          <w:left w:val="nil"/>
        </w:tcBorders>
      </w:tcPr>
    </w:tblStylePr>
    <w:tblStylePr w:type="swCell">
      <w:tblPr/>
      <w:tcPr>
        <w:tcBorders>
          <w:top w:val="double" w:sz="4" w:space="0" w:color="232F5D" w:themeColor="accent3"/>
          <w:right w:val="nil"/>
        </w:tcBorders>
      </w:tcPr>
    </w:tblStylePr>
  </w:style>
  <w:style w:type="table" w:customStyle="1" w:styleId="ListTable3-Accent41">
    <w:name w:val="List Table 3 - Accent 41"/>
    <w:basedOn w:val="TableNormal"/>
    <w:uiPriority w:val="48"/>
    <w:semiHidden/>
    <w:rsid w:val="00C551E1"/>
    <w:tblPr>
      <w:tblStyleRowBandSize w:val="1"/>
      <w:tblStyleColBandSize w:val="1"/>
      <w:tblBorders>
        <w:top w:val="single" w:sz="4" w:space="0" w:color="3D3C42" w:themeColor="accent4"/>
        <w:left w:val="single" w:sz="4" w:space="0" w:color="3D3C42" w:themeColor="accent4"/>
        <w:bottom w:val="single" w:sz="4" w:space="0" w:color="3D3C42" w:themeColor="accent4"/>
        <w:right w:val="single" w:sz="4" w:space="0" w:color="3D3C42" w:themeColor="accent4"/>
      </w:tblBorders>
    </w:tblPr>
    <w:tblStylePr w:type="firstRow">
      <w:rPr>
        <w:b/>
        <w:bCs/>
        <w:color w:val="FFFFFF" w:themeColor="background1"/>
      </w:rPr>
      <w:tblPr/>
      <w:tcPr>
        <w:shd w:val="clear" w:color="auto" w:fill="3D3C42" w:themeFill="accent4"/>
      </w:tcPr>
    </w:tblStylePr>
    <w:tblStylePr w:type="lastRow">
      <w:rPr>
        <w:b/>
        <w:bCs/>
      </w:rPr>
      <w:tblPr/>
      <w:tcPr>
        <w:tcBorders>
          <w:top w:val="double" w:sz="4" w:space="0" w:color="3D3C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3C42" w:themeColor="accent4"/>
          <w:right w:val="single" w:sz="4" w:space="0" w:color="3D3C42" w:themeColor="accent4"/>
        </w:tcBorders>
      </w:tcPr>
    </w:tblStylePr>
    <w:tblStylePr w:type="band1Horz">
      <w:tblPr/>
      <w:tcPr>
        <w:tcBorders>
          <w:top w:val="single" w:sz="4" w:space="0" w:color="3D3C42" w:themeColor="accent4"/>
          <w:bottom w:val="single" w:sz="4" w:space="0" w:color="3D3C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3C42" w:themeColor="accent4"/>
          <w:left w:val="nil"/>
        </w:tcBorders>
      </w:tcPr>
    </w:tblStylePr>
    <w:tblStylePr w:type="swCell">
      <w:tblPr/>
      <w:tcPr>
        <w:tcBorders>
          <w:top w:val="double" w:sz="4" w:space="0" w:color="3D3C42" w:themeColor="accent4"/>
          <w:right w:val="nil"/>
        </w:tcBorders>
      </w:tcPr>
    </w:tblStylePr>
  </w:style>
  <w:style w:type="table" w:customStyle="1" w:styleId="ListTable3-Accent51">
    <w:name w:val="List Table 3 - Accent 51"/>
    <w:basedOn w:val="TableNormal"/>
    <w:uiPriority w:val="48"/>
    <w:semiHidden/>
    <w:rsid w:val="00C551E1"/>
    <w:tblPr>
      <w:tblStyleRowBandSize w:val="1"/>
      <w:tblStyleColBandSize w:val="1"/>
      <w:tblBorders>
        <w:top w:val="single" w:sz="4" w:space="0" w:color="DA5F4F" w:themeColor="accent5"/>
        <w:left w:val="single" w:sz="4" w:space="0" w:color="DA5F4F" w:themeColor="accent5"/>
        <w:bottom w:val="single" w:sz="4" w:space="0" w:color="DA5F4F" w:themeColor="accent5"/>
        <w:right w:val="single" w:sz="4" w:space="0" w:color="DA5F4F" w:themeColor="accent5"/>
      </w:tblBorders>
    </w:tblPr>
    <w:tblStylePr w:type="firstRow">
      <w:rPr>
        <w:b/>
        <w:bCs/>
        <w:color w:val="FFFFFF" w:themeColor="background1"/>
      </w:rPr>
      <w:tblPr/>
      <w:tcPr>
        <w:shd w:val="clear" w:color="auto" w:fill="DA5F4F" w:themeFill="accent5"/>
      </w:tcPr>
    </w:tblStylePr>
    <w:tblStylePr w:type="lastRow">
      <w:rPr>
        <w:b/>
        <w:bCs/>
      </w:rPr>
      <w:tblPr/>
      <w:tcPr>
        <w:tcBorders>
          <w:top w:val="double" w:sz="4" w:space="0" w:color="DA5F4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5F4F" w:themeColor="accent5"/>
          <w:right w:val="single" w:sz="4" w:space="0" w:color="DA5F4F" w:themeColor="accent5"/>
        </w:tcBorders>
      </w:tcPr>
    </w:tblStylePr>
    <w:tblStylePr w:type="band1Horz">
      <w:tblPr/>
      <w:tcPr>
        <w:tcBorders>
          <w:top w:val="single" w:sz="4" w:space="0" w:color="DA5F4F" w:themeColor="accent5"/>
          <w:bottom w:val="single" w:sz="4" w:space="0" w:color="DA5F4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5F4F" w:themeColor="accent5"/>
          <w:left w:val="nil"/>
        </w:tcBorders>
      </w:tcPr>
    </w:tblStylePr>
    <w:tblStylePr w:type="swCell">
      <w:tblPr/>
      <w:tcPr>
        <w:tcBorders>
          <w:top w:val="double" w:sz="4" w:space="0" w:color="DA5F4F" w:themeColor="accent5"/>
          <w:right w:val="nil"/>
        </w:tcBorders>
      </w:tcPr>
    </w:tblStylePr>
  </w:style>
  <w:style w:type="table" w:customStyle="1" w:styleId="ListTable3-Accent61">
    <w:name w:val="List Table 3 - Accent 61"/>
    <w:basedOn w:val="TableNormal"/>
    <w:uiPriority w:val="48"/>
    <w:semiHidden/>
    <w:rsid w:val="00C551E1"/>
    <w:tblPr>
      <w:tblStyleRowBandSize w:val="1"/>
      <w:tblStyleColBandSize w:val="1"/>
      <w:tblBorders>
        <w:top w:val="single" w:sz="4" w:space="0" w:color="821431" w:themeColor="accent6"/>
        <w:left w:val="single" w:sz="4" w:space="0" w:color="821431" w:themeColor="accent6"/>
        <w:bottom w:val="single" w:sz="4" w:space="0" w:color="821431" w:themeColor="accent6"/>
        <w:right w:val="single" w:sz="4" w:space="0" w:color="821431" w:themeColor="accent6"/>
      </w:tblBorders>
    </w:tblPr>
    <w:tblStylePr w:type="firstRow">
      <w:rPr>
        <w:b/>
        <w:bCs/>
        <w:color w:val="FFFFFF" w:themeColor="background1"/>
      </w:rPr>
      <w:tblPr/>
      <w:tcPr>
        <w:shd w:val="clear" w:color="auto" w:fill="821431" w:themeFill="accent6"/>
      </w:tcPr>
    </w:tblStylePr>
    <w:tblStylePr w:type="lastRow">
      <w:rPr>
        <w:b/>
        <w:bCs/>
      </w:rPr>
      <w:tblPr/>
      <w:tcPr>
        <w:tcBorders>
          <w:top w:val="double" w:sz="4" w:space="0" w:color="82143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1431" w:themeColor="accent6"/>
          <w:right w:val="single" w:sz="4" w:space="0" w:color="821431" w:themeColor="accent6"/>
        </w:tcBorders>
      </w:tcPr>
    </w:tblStylePr>
    <w:tblStylePr w:type="band1Horz">
      <w:tblPr/>
      <w:tcPr>
        <w:tcBorders>
          <w:top w:val="single" w:sz="4" w:space="0" w:color="821431" w:themeColor="accent6"/>
          <w:bottom w:val="single" w:sz="4" w:space="0" w:color="82143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1431" w:themeColor="accent6"/>
          <w:left w:val="nil"/>
        </w:tcBorders>
      </w:tcPr>
    </w:tblStylePr>
    <w:tblStylePr w:type="swCell">
      <w:tblPr/>
      <w:tcPr>
        <w:tcBorders>
          <w:top w:val="double" w:sz="4" w:space="0" w:color="821431" w:themeColor="accent6"/>
          <w:right w:val="nil"/>
        </w:tcBorders>
      </w:tcPr>
    </w:tblStylePr>
  </w:style>
  <w:style w:type="table" w:customStyle="1" w:styleId="ListTable41">
    <w:name w:val="List Table 41"/>
    <w:basedOn w:val="TableNormal"/>
    <w:uiPriority w:val="49"/>
    <w:semiHidden/>
    <w:rsid w:val="00C551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C551E1"/>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tblBorders>
    </w:tblPr>
    <w:tblStylePr w:type="firstRow">
      <w:rPr>
        <w:b/>
        <w:bCs/>
        <w:color w:val="FFFFFF" w:themeColor="background1"/>
      </w:rPr>
      <w:tblPr/>
      <w:tcPr>
        <w:tcBorders>
          <w:top w:val="single" w:sz="4" w:space="0" w:color="47827E" w:themeColor="accent1"/>
          <w:left w:val="single" w:sz="4" w:space="0" w:color="47827E" w:themeColor="accent1"/>
          <w:bottom w:val="single" w:sz="4" w:space="0" w:color="47827E" w:themeColor="accent1"/>
          <w:right w:val="single" w:sz="4" w:space="0" w:color="47827E" w:themeColor="accent1"/>
          <w:insideH w:val="nil"/>
        </w:tcBorders>
        <w:shd w:val="clear" w:color="auto" w:fill="47827E" w:themeFill="accent1"/>
      </w:tcPr>
    </w:tblStylePr>
    <w:tblStylePr w:type="lastRow">
      <w:rPr>
        <w:b/>
        <w:bCs/>
      </w:rPr>
      <w:tblPr/>
      <w:tcPr>
        <w:tcBorders>
          <w:top w:val="doub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ListTable4-Accent21">
    <w:name w:val="List Table 4 - Accent 21"/>
    <w:basedOn w:val="TableNormal"/>
    <w:uiPriority w:val="49"/>
    <w:semiHidden/>
    <w:rsid w:val="00C551E1"/>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tblBorders>
    </w:tblPr>
    <w:tblStylePr w:type="firstRow">
      <w:rPr>
        <w:b/>
        <w:bCs/>
        <w:color w:val="FFFFFF" w:themeColor="background1"/>
      </w:rPr>
      <w:tblPr/>
      <w:tcPr>
        <w:tcBorders>
          <w:top w:val="single" w:sz="4" w:space="0" w:color="294549" w:themeColor="accent2"/>
          <w:left w:val="single" w:sz="4" w:space="0" w:color="294549" w:themeColor="accent2"/>
          <w:bottom w:val="single" w:sz="4" w:space="0" w:color="294549" w:themeColor="accent2"/>
          <w:right w:val="single" w:sz="4" w:space="0" w:color="294549" w:themeColor="accent2"/>
          <w:insideH w:val="nil"/>
        </w:tcBorders>
        <w:shd w:val="clear" w:color="auto" w:fill="294549" w:themeFill="accent2"/>
      </w:tcPr>
    </w:tblStylePr>
    <w:tblStylePr w:type="lastRow">
      <w:rPr>
        <w:b/>
        <w:bCs/>
      </w:rPr>
      <w:tblPr/>
      <w:tcPr>
        <w:tcBorders>
          <w:top w:val="doub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ListTable4-Accent31">
    <w:name w:val="List Table 4 - Accent 31"/>
    <w:basedOn w:val="TableNormal"/>
    <w:uiPriority w:val="49"/>
    <w:semiHidden/>
    <w:rsid w:val="00C551E1"/>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tblBorders>
    </w:tblPr>
    <w:tblStylePr w:type="firstRow">
      <w:rPr>
        <w:b/>
        <w:bCs/>
        <w:color w:val="FFFFFF" w:themeColor="background1"/>
      </w:rPr>
      <w:tblPr/>
      <w:tcPr>
        <w:tcBorders>
          <w:top w:val="single" w:sz="4" w:space="0" w:color="232F5D" w:themeColor="accent3"/>
          <w:left w:val="single" w:sz="4" w:space="0" w:color="232F5D" w:themeColor="accent3"/>
          <w:bottom w:val="single" w:sz="4" w:space="0" w:color="232F5D" w:themeColor="accent3"/>
          <w:right w:val="single" w:sz="4" w:space="0" w:color="232F5D" w:themeColor="accent3"/>
          <w:insideH w:val="nil"/>
        </w:tcBorders>
        <w:shd w:val="clear" w:color="auto" w:fill="232F5D" w:themeFill="accent3"/>
      </w:tcPr>
    </w:tblStylePr>
    <w:tblStylePr w:type="lastRow">
      <w:rPr>
        <w:b/>
        <w:bCs/>
      </w:rPr>
      <w:tblPr/>
      <w:tcPr>
        <w:tcBorders>
          <w:top w:val="doub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ListTable4-Accent41">
    <w:name w:val="List Table 4 - Accent 41"/>
    <w:basedOn w:val="TableNormal"/>
    <w:uiPriority w:val="49"/>
    <w:semiHidden/>
    <w:rsid w:val="00C551E1"/>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tblBorders>
    </w:tblPr>
    <w:tblStylePr w:type="firstRow">
      <w:rPr>
        <w:b/>
        <w:bCs/>
        <w:color w:val="FFFFFF" w:themeColor="background1"/>
      </w:rPr>
      <w:tblPr/>
      <w:tcPr>
        <w:tcBorders>
          <w:top w:val="single" w:sz="4" w:space="0" w:color="3D3C42" w:themeColor="accent4"/>
          <w:left w:val="single" w:sz="4" w:space="0" w:color="3D3C42" w:themeColor="accent4"/>
          <w:bottom w:val="single" w:sz="4" w:space="0" w:color="3D3C42" w:themeColor="accent4"/>
          <w:right w:val="single" w:sz="4" w:space="0" w:color="3D3C42" w:themeColor="accent4"/>
          <w:insideH w:val="nil"/>
        </w:tcBorders>
        <w:shd w:val="clear" w:color="auto" w:fill="3D3C42" w:themeFill="accent4"/>
      </w:tcPr>
    </w:tblStylePr>
    <w:tblStylePr w:type="lastRow">
      <w:rPr>
        <w:b/>
        <w:bCs/>
      </w:rPr>
      <w:tblPr/>
      <w:tcPr>
        <w:tcBorders>
          <w:top w:val="doub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ListTable4-Accent51">
    <w:name w:val="List Table 4 - Accent 51"/>
    <w:basedOn w:val="TableNormal"/>
    <w:uiPriority w:val="49"/>
    <w:semiHidden/>
    <w:rsid w:val="00C551E1"/>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tblBorders>
    </w:tblPr>
    <w:tblStylePr w:type="firstRow">
      <w:rPr>
        <w:b/>
        <w:bCs/>
        <w:color w:val="FFFFFF" w:themeColor="background1"/>
      </w:rPr>
      <w:tblPr/>
      <w:tcPr>
        <w:tcBorders>
          <w:top w:val="single" w:sz="4" w:space="0" w:color="DA5F4F" w:themeColor="accent5"/>
          <w:left w:val="single" w:sz="4" w:space="0" w:color="DA5F4F" w:themeColor="accent5"/>
          <w:bottom w:val="single" w:sz="4" w:space="0" w:color="DA5F4F" w:themeColor="accent5"/>
          <w:right w:val="single" w:sz="4" w:space="0" w:color="DA5F4F" w:themeColor="accent5"/>
          <w:insideH w:val="nil"/>
        </w:tcBorders>
        <w:shd w:val="clear" w:color="auto" w:fill="DA5F4F" w:themeFill="accent5"/>
      </w:tcPr>
    </w:tblStylePr>
    <w:tblStylePr w:type="lastRow">
      <w:rPr>
        <w:b/>
        <w:bCs/>
      </w:rPr>
      <w:tblPr/>
      <w:tcPr>
        <w:tcBorders>
          <w:top w:val="doub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ListTable4-Accent61">
    <w:name w:val="List Table 4 - Accent 61"/>
    <w:basedOn w:val="TableNormal"/>
    <w:uiPriority w:val="49"/>
    <w:semiHidden/>
    <w:rsid w:val="00C551E1"/>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tblBorders>
    </w:tblPr>
    <w:tblStylePr w:type="firstRow">
      <w:rPr>
        <w:b/>
        <w:bCs/>
        <w:color w:val="FFFFFF" w:themeColor="background1"/>
      </w:rPr>
      <w:tblPr/>
      <w:tcPr>
        <w:tcBorders>
          <w:top w:val="single" w:sz="4" w:space="0" w:color="821431" w:themeColor="accent6"/>
          <w:left w:val="single" w:sz="4" w:space="0" w:color="821431" w:themeColor="accent6"/>
          <w:bottom w:val="single" w:sz="4" w:space="0" w:color="821431" w:themeColor="accent6"/>
          <w:right w:val="single" w:sz="4" w:space="0" w:color="821431" w:themeColor="accent6"/>
          <w:insideH w:val="nil"/>
        </w:tcBorders>
        <w:shd w:val="clear" w:color="auto" w:fill="821431" w:themeFill="accent6"/>
      </w:tcPr>
    </w:tblStylePr>
    <w:tblStylePr w:type="lastRow">
      <w:rPr>
        <w:b/>
        <w:bCs/>
      </w:rPr>
      <w:tblPr/>
      <w:tcPr>
        <w:tcBorders>
          <w:top w:val="doub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ListTable5Dark1">
    <w:name w:val="List Table 5 Dark1"/>
    <w:basedOn w:val="TableNormal"/>
    <w:uiPriority w:val="50"/>
    <w:semiHidden/>
    <w:rsid w:val="00C551E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C551E1"/>
    <w:rPr>
      <w:color w:val="FFFFFF" w:themeColor="background1"/>
    </w:rPr>
    <w:tblPr>
      <w:tblStyleRowBandSize w:val="1"/>
      <w:tblStyleColBandSize w:val="1"/>
      <w:tblBorders>
        <w:top w:val="single" w:sz="24" w:space="0" w:color="47827E" w:themeColor="accent1"/>
        <w:left w:val="single" w:sz="24" w:space="0" w:color="47827E" w:themeColor="accent1"/>
        <w:bottom w:val="single" w:sz="24" w:space="0" w:color="47827E" w:themeColor="accent1"/>
        <w:right w:val="single" w:sz="24" w:space="0" w:color="47827E" w:themeColor="accent1"/>
      </w:tblBorders>
    </w:tblPr>
    <w:tcPr>
      <w:shd w:val="clear" w:color="auto" w:fill="47827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C551E1"/>
    <w:rPr>
      <w:color w:val="FFFFFF" w:themeColor="background1"/>
    </w:rPr>
    <w:tblPr>
      <w:tblStyleRowBandSize w:val="1"/>
      <w:tblStyleColBandSize w:val="1"/>
      <w:tblBorders>
        <w:top w:val="single" w:sz="24" w:space="0" w:color="294549" w:themeColor="accent2"/>
        <w:left w:val="single" w:sz="24" w:space="0" w:color="294549" w:themeColor="accent2"/>
        <w:bottom w:val="single" w:sz="24" w:space="0" w:color="294549" w:themeColor="accent2"/>
        <w:right w:val="single" w:sz="24" w:space="0" w:color="294549" w:themeColor="accent2"/>
      </w:tblBorders>
    </w:tblPr>
    <w:tcPr>
      <w:shd w:val="clear" w:color="auto" w:fill="29454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C551E1"/>
    <w:rPr>
      <w:color w:val="FFFFFF" w:themeColor="background1"/>
    </w:rPr>
    <w:tblPr>
      <w:tblStyleRowBandSize w:val="1"/>
      <w:tblStyleColBandSize w:val="1"/>
      <w:tblBorders>
        <w:top w:val="single" w:sz="24" w:space="0" w:color="232F5D" w:themeColor="accent3"/>
        <w:left w:val="single" w:sz="24" w:space="0" w:color="232F5D" w:themeColor="accent3"/>
        <w:bottom w:val="single" w:sz="24" w:space="0" w:color="232F5D" w:themeColor="accent3"/>
        <w:right w:val="single" w:sz="24" w:space="0" w:color="232F5D" w:themeColor="accent3"/>
      </w:tblBorders>
    </w:tblPr>
    <w:tcPr>
      <w:shd w:val="clear" w:color="auto" w:fill="232F5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C551E1"/>
    <w:rPr>
      <w:color w:val="FFFFFF" w:themeColor="background1"/>
    </w:rPr>
    <w:tblPr>
      <w:tblStyleRowBandSize w:val="1"/>
      <w:tblStyleColBandSize w:val="1"/>
      <w:tblBorders>
        <w:top w:val="single" w:sz="24" w:space="0" w:color="3D3C42" w:themeColor="accent4"/>
        <w:left w:val="single" w:sz="24" w:space="0" w:color="3D3C42" w:themeColor="accent4"/>
        <w:bottom w:val="single" w:sz="24" w:space="0" w:color="3D3C42" w:themeColor="accent4"/>
        <w:right w:val="single" w:sz="24" w:space="0" w:color="3D3C42" w:themeColor="accent4"/>
      </w:tblBorders>
    </w:tblPr>
    <w:tcPr>
      <w:shd w:val="clear" w:color="auto" w:fill="3D3C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C551E1"/>
    <w:rPr>
      <w:color w:val="FFFFFF" w:themeColor="background1"/>
    </w:rPr>
    <w:tblPr>
      <w:tblStyleRowBandSize w:val="1"/>
      <w:tblStyleColBandSize w:val="1"/>
      <w:tblBorders>
        <w:top w:val="single" w:sz="24" w:space="0" w:color="DA5F4F" w:themeColor="accent5"/>
        <w:left w:val="single" w:sz="24" w:space="0" w:color="DA5F4F" w:themeColor="accent5"/>
        <w:bottom w:val="single" w:sz="24" w:space="0" w:color="DA5F4F" w:themeColor="accent5"/>
        <w:right w:val="single" w:sz="24" w:space="0" w:color="DA5F4F" w:themeColor="accent5"/>
      </w:tblBorders>
    </w:tblPr>
    <w:tcPr>
      <w:shd w:val="clear" w:color="auto" w:fill="DA5F4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C551E1"/>
    <w:rPr>
      <w:color w:val="FFFFFF" w:themeColor="background1"/>
    </w:rPr>
    <w:tblPr>
      <w:tblStyleRowBandSize w:val="1"/>
      <w:tblStyleColBandSize w:val="1"/>
      <w:tblBorders>
        <w:top w:val="single" w:sz="24" w:space="0" w:color="821431" w:themeColor="accent6"/>
        <w:left w:val="single" w:sz="24" w:space="0" w:color="821431" w:themeColor="accent6"/>
        <w:bottom w:val="single" w:sz="24" w:space="0" w:color="821431" w:themeColor="accent6"/>
        <w:right w:val="single" w:sz="24" w:space="0" w:color="821431" w:themeColor="accent6"/>
      </w:tblBorders>
    </w:tblPr>
    <w:tcPr>
      <w:shd w:val="clear" w:color="auto" w:fill="82143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C551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C551E1"/>
    <w:rPr>
      <w:color w:val="35615E" w:themeColor="accent1" w:themeShade="BF"/>
    </w:rPr>
    <w:tblPr>
      <w:tblStyleRowBandSize w:val="1"/>
      <w:tblStyleColBandSize w:val="1"/>
      <w:tblBorders>
        <w:top w:val="single" w:sz="4" w:space="0" w:color="47827E" w:themeColor="accent1"/>
        <w:bottom w:val="single" w:sz="4" w:space="0" w:color="47827E" w:themeColor="accent1"/>
      </w:tblBorders>
    </w:tblPr>
    <w:tblStylePr w:type="firstRow">
      <w:rPr>
        <w:b/>
        <w:bCs/>
      </w:rPr>
      <w:tblPr/>
      <w:tcPr>
        <w:tcBorders>
          <w:bottom w:val="single" w:sz="4" w:space="0" w:color="47827E" w:themeColor="accent1"/>
        </w:tcBorders>
      </w:tcPr>
    </w:tblStylePr>
    <w:tblStylePr w:type="lastRow">
      <w:rPr>
        <w:b/>
        <w:bCs/>
      </w:rPr>
      <w:tblPr/>
      <w:tcPr>
        <w:tcBorders>
          <w:top w:val="double" w:sz="4" w:space="0" w:color="47827E" w:themeColor="accent1"/>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customStyle="1" w:styleId="ListTable6Colorful-Accent21">
    <w:name w:val="List Table 6 Colorful - Accent 21"/>
    <w:basedOn w:val="TableNormal"/>
    <w:uiPriority w:val="51"/>
    <w:semiHidden/>
    <w:rsid w:val="00C551E1"/>
    <w:rPr>
      <w:color w:val="1E3336" w:themeColor="accent2" w:themeShade="BF"/>
    </w:rPr>
    <w:tblPr>
      <w:tblStyleRowBandSize w:val="1"/>
      <w:tblStyleColBandSize w:val="1"/>
      <w:tblBorders>
        <w:top w:val="single" w:sz="4" w:space="0" w:color="294549" w:themeColor="accent2"/>
        <w:bottom w:val="single" w:sz="4" w:space="0" w:color="294549" w:themeColor="accent2"/>
      </w:tblBorders>
    </w:tblPr>
    <w:tblStylePr w:type="firstRow">
      <w:rPr>
        <w:b/>
        <w:bCs/>
      </w:rPr>
      <w:tblPr/>
      <w:tcPr>
        <w:tcBorders>
          <w:bottom w:val="single" w:sz="4" w:space="0" w:color="294549" w:themeColor="accent2"/>
        </w:tcBorders>
      </w:tcPr>
    </w:tblStylePr>
    <w:tblStylePr w:type="lastRow">
      <w:rPr>
        <w:b/>
        <w:bCs/>
      </w:rPr>
      <w:tblPr/>
      <w:tcPr>
        <w:tcBorders>
          <w:top w:val="double" w:sz="4" w:space="0" w:color="294549" w:themeColor="accent2"/>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customStyle="1" w:styleId="ListTable6Colorful-Accent31">
    <w:name w:val="List Table 6 Colorful - Accent 31"/>
    <w:basedOn w:val="TableNormal"/>
    <w:uiPriority w:val="51"/>
    <w:semiHidden/>
    <w:rsid w:val="00C551E1"/>
    <w:rPr>
      <w:color w:val="1A2345" w:themeColor="accent3" w:themeShade="BF"/>
    </w:rPr>
    <w:tblPr>
      <w:tblStyleRowBandSize w:val="1"/>
      <w:tblStyleColBandSize w:val="1"/>
      <w:tblBorders>
        <w:top w:val="single" w:sz="4" w:space="0" w:color="232F5D" w:themeColor="accent3"/>
        <w:bottom w:val="single" w:sz="4" w:space="0" w:color="232F5D" w:themeColor="accent3"/>
      </w:tblBorders>
    </w:tblPr>
    <w:tblStylePr w:type="firstRow">
      <w:rPr>
        <w:b/>
        <w:bCs/>
      </w:rPr>
      <w:tblPr/>
      <w:tcPr>
        <w:tcBorders>
          <w:bottom w:val="single" w:sz="4" w:space="0" w:color="232F5D" w:themeColor="accent3"/>
        </w:tcBorders>
      </w:tcPr>
    </w:tblStylePr>
    <w:tblStylePr w:type="lastRow">
      <w:rPr>
        <w:b/>
        <w:bCs/>
      </w:rPr>
      <w:tblPr/>
      <w:tcPr>
        <w:tcBorders>
          <w:top w:val="double" w:sz="4" w:space="0" w:color="232F5D" w:themeColor="accent3"/>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customStyle="1" w:styleId="ListTable6Colorful-Accent41">
    <w:name w:val="List Table 6 Colorful - Accent 41"/>
    <w:basedOn w:val="TableNormal"/>
    <w:uiPriority w:val="51"/>
    <w:semiHidden/>
    <w:rsid w:val="00C551E1"/>
    <w:rPr>
      <w:color w:val="2D2D31" w:themeColor="accent4" w:themeShade="BF"/>
    </w:rPr>
    <w:tblPr>
      <w:tblStyleRowBandSize w:val="1"/>
      <w:tblStyleColBandSize w:val="1"/>
      <w:tblBorders>
        <w:top w:val="single" w:sz="4" w:space="0" w:color="3D3C42" w:themeColor="accent4"/>
        <w:bottom w:val="single" w:sz="4" w:space="0" w:color="3D3C42" w:themeColor="accent4"/>
      </w:tblBorders>
    </w:tblPr>
    <w:tblStylePr w:type="firstRow">
      <w:rPr>
        <w:b/>
        <w:bCs/>
      </w:rPr>
      <w:tblPr/>
      <w:tcPr>
        <w:tcBorders>
          <w:bottom w:val="single" w:sz="4" w:space="0" w:color="3D3C42" w:themeColor="accent4"/>
        </w:tcBorders>
      </w:tcPr>
    </w:tblStylePr>
    <w:tblStylePr w:type="lastRow">
      <w:rPr>
        <w:b/>
        <w:bCs/>
      </w:rPr>
      <w:tblPr/>
      <w:tcPr>
        <w:tcBorders>
          <w:top w:val="double" w:sz="4" w:space="0" w:color="3D3C42" w:themeColor="accent4"/>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customStyle="1" w:styleId="ListTable6Colorful-Accent51">
    <w:name w:val="List Table 6 Colorful - Accent 51"/>
    <w:basedOn w:val="TableNormal"/>
    <w:uiPriority w:val="51"/>
    <w:semiHidden/>
    <w:rsid w:val="00C551E1"/>
    <w:rPr>
      <w:color w:val="B73726" w:themeColor="accent5" w:themeShade="BF"/>
    </w:rPr>
    <w:tblPr>
      <w:tblStyleRowBandSize w:val="1"/>
      <w:tblStyleColBandSize w:val="1"/>
      <w:tblBorders>
        <w:top w:val="single" w:sz="4" w:space="0" w:color="DA5F4F" w:themeColor="accent5"/>
        <w:bottom w:val="single" w:sz="4" w:space="0" w:color="DA5F4F" w:themeColor="accent5"/>
      </w:tblBorders>
    </w:tblPr>
    <w:tblStylePr w:type="firstRow">
      <w:rPr>
        <w:b/>
        <w:bCs/>
      </w:rPr>
      <w:tblPr/>
      <w:tcPr>
        <w:tcBorders>
          <w:bottom w:val="single" w:sz="4" w:space="0" w:color="DA5F4F" w:themeColor="accent5"/>
        </w:tcBorders>
      </w:tcPr>
    </w:tblStylePr>
    <w:tblStylePr w:type="lastRow">
      <w:rPr>
        <w:b/>
        <w:bCs/>
      </w:rPr>
      <w:tblPr/>
      <w:tcPr>
        <w:tcBorders>
          <w:top w:val="double" w:sz="4" w:space="0" w:color="DA5F4F" w:themeColor="accent5"/>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customStyle="1" w:styleId="ListTable6Colorful-Accent61">
    <w:name w:val="List Table 6 Colorful - Accent 61"/>
    <w:basedOn w:val="TableNormal"/>
    <w:uiPriority w:val="51"/>
    <w:semiHidden/>
    <w:rsid w:val="00C551E1"/>
    <w:rPr>
      <w:color w:val="610F24" w:themeColor="accent6" w:themeShade="BF"/>
    </w:rPr>
    <w:tblPr>
      <w:tblStyleRowBandSize w:val="1"/>
      <w:tblStyleColBandSize w:val="1"/>
      <w:tblBorders>
        <w:top w:val="single" w:sz="4" w:space="0" w:color="821431" w:themeColor="accent6"/>
        <w:bottom w:val="single" w:sz="4" w:space="0" w:color="821431" w:themeColor="accent6"/>
      </w:tblBorders>
    </w:tblPr>
    <w:tblStylePr w:type="firstRow">
      <w:rPr>
        <w:b/>
        <w:bCs/>
      </w:rPr>
      <w:tblPr/>
      <w:tcPr>
        <w:tcBorders>
          <w:bottom w:val="single" w:sz="4" w:space="0" w:color="821431" w:themeColor="accent6"/>
        </w:tcBorders>
      </w:tcPr>
    </w:tblStylePr>
    <w:tblStylePr w:type="lastRow">
      <w:rPr>
        <w:b/>
        <w:bCs/>
      </w:rPr>
      <w:tblPr/>
      <w:tcPr>
        <w:tcBorders>
          <w:top w:val="double" w:sz="4" w:space="0" w:color="821431" w:themeColor="accent6"/>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customStyle="1" w:styleId="ListTable7Colorful1">
    <w:name w:val="List Table 7 Colorful1"/>
    <w:basedOn w:val="TableNormal"/>
    <w:uiPriority w:val="52"/>
    <w:semiHidden/>
    <w:rsid w:val="00C551E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C551E1"/>
    <w:rPr>
      <w:color w:val="3561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827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827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827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827E" w:themeColor="accent1"/>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C551E1"/>
    <w:rPr>
      <w:color w:val="1E33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454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454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454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4549" w:themeColor="accent2"/>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C551E1"/>
    <w:rPr>
      <w:color w:val="1A2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F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F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F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F5D" w:themeColor="accent3"/>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C551E1"/>
    <w:rPr>
      <w:color w:val="2D2D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3C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3C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3C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3C42" w:themeColor="accent4"/>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C551E1"/>
    <w:rPr>
      <w:color w:val="B7372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5F4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5F4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5F4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5F4F" w:themeColor="accent5"/>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C551E1"/>
    <w:rPr>
      <w:color w:val="610F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143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143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143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1431" w:themeColor="accent6"/>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locked/>
    <w:rsid w:val="00C551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C551E1"/>
    <w:tblPr>
      <w:tblStyleRowBandSize w:val="1"/>
      <w:tblStyleColBandSize w:val="1"/>
      <w:tblBorders>
        <w:top w:val="single" w:sz="8" w:space="0" w:color="69ADA8" w:themeColor="accent1" w:themeTint="BF"/>
        <w:left w:val="single" w:sz="8" w:space="0" w:color="69ADA8" w:themeColor="accent1" w:themeTint="BF"/>
        <w:bottom w:val="single" w:sz="8" w:space="0" w:color="69ADA8" w:themeColor="accent1" w:themeTint="BF"/>
        <w:right w:val="single" w:sz="8" w:space="0" w:color="69ADA8" w:themeColor="accent1" w:themeTint="BF"/>
        <w:insideH w:val="single" w:sz="8" w:space="0" w:color="69ADA8" w:themeColor="accent1" w:themeTint="BF"/>
        <w:insideV w:val="single" w:sz="8" w:space="0" w:color="69ADA8" w:themeColor="accent1" w:themeTint="BF"/>
      </w:tblBorders>
    </w:tblPr>
    <w:tcPr>
      <w:shd w:val="clear" w:color="auto" w:fill="CDE4E2" w:themeFill="accent1" w:themeFillTint="3F"/>
    </w:tcPr>
    <w:tblStylePr w:type="firstRow">
      <w:rPr>
        <w:b/>
        <w:bCs/>
      </w:rPr>
    </w:tblStylePr>
    <w:tblStylePr w:type="lastRow">
      <w:rPr>
        <w:b/>
        <w:bCs/>
      </w:rPr>
      <w:tblPr/>
      <w:tcPr>
        <w:tcBorders>
          <w:top w:val="single" w:sz="18" w:space="0" w:color="69ADA8" w:themeColor="accent1" w:themeTint="BF"/>
        </w:tcBorders>
      </w:tcPr>
    </w:tblStylePr>
    <w:tblStylePr w:type="firstCol">
      <w:rPr>
        <w:b/>
        <w:bCs/>
      </w:rPr>
    </w:tblStylePr>
    <w:tblStylePr w:type="lastCol">
      <w:rPr>
        <w:b/>
        <w:bCs/>
      </w:rPr>
    </w:tblStylePr>
    <w:tblStylePr w:type="band1Vert">
      <w:tblPr/>
      <w:tcPr>
        <w:shd w:val="clear" w:color="auto" w:fill="9BC8C5" w:themeFill="accent1" w:themeFillTint="7F"/>
      </w:tcPr>
    </w:tblStylePr>
    <w:tblStylePr w:type="band1Horz">
      <w:tblPr/>
      <w:tcPr>
        <w:shd w:val="clear" w:color="auto" w:fill="9BC8C5" w:themeFill="accent1" w:themeFillTint="7F"/>
      </w:tcPr>
    </w:tblStylePr>
  </w:style>
  <w:style w:type="table" w:styleId="MediumGrid1-Accent2">
    <w:name w:val="Medium Grid 1 Accent 2"/>
    <w:basedOn w:val="TableNormal"/>
    <w:uiPriority w:val="67"/>
    <w:semiHidden/>
    <w:unhideWhenUsed/>
    <w:locked/>
    <w:rsid w:val="00C551E1"/>
    <w:tblPr>
      <w:tblStyleRowBandSize w:val="1"/>
      <w:tblStyleColBandSize w:val="1"/>
      <w:tblBorders>
        <w:top w:val="single" w:sz="8" w:space="0" w:color="4C8188" w:themeColor="accent2" w:themeTint="BF"/>
        <w:left w:val="single" w:sz="8" w:space="0" w:color="4C8188" w:themeColor="accent2" w:themeTint="BF"/>
        <w:bottom w:val="single" w:sz="8" w:space="0" w:color="4C8188" w:themeColor="accent2" w:themeTint="BF"/>
        <w:right w:val="single" w:sz="8" w:space="0" w:color="4C8188" w:themeColor="accent2" w:themeTint="BF"/>
        <w:insideH w:val="single" w:sz="8" w:space="0" w:color="4C8188" w:themeColor="accent2" w:themeTint="BF"/>
        <w:insideV w:val="single" w:sz="8" w:space="0" w:color="4C8188" w:themeColor="accent2" w:themeTint="BF"/>
      </w:tblBorders>
    </w:tblPr>
    <w:tcPr>
      <w:shd w:val="clear" w:color="auto" w:fill="C0D8DB" w:themeFill="accent2" w:themeFillTint="3F"/>
    </w:tcPr>
    <w:tblStylePr w:type="firstRow">
      <w:rPr>
        <w:b/>
        <w:bCs/>
      </w:rPr>
    </w:tblStylePr>
    <w:tblStylePr w:type="lastRow">
      <w:rPr>
        <w:b/>
        <w:bCs/>
      </w:rPr>
      <w:tblPr/>
      <w:tcPr>
        <w:tcBorders>
          <w:top w:val="single" w:sz="18" w:space="0" w:color="4C8188" w:themeColor="accent2" w:themeTint="BF"/>
        </w:tcBorders>
      </w:tcPr>
    </w:tblStylePr>
    <w:tblStylePr w:type="firstCol">
      <w:rPr>
        <w:b/>
        <w:bCs/>
      </w:rPr>
    </w:tblStylePr>
    <w:tblStylePr w:type="lastCol">
      <w:rPr>
        <w:b/>
        <w:bCs/>
      </w:rPr>
    </w:tblStylePr>
    <w:tblStylePr w:type="band1Vert">
      <w:tblPr/>
      <w:tcPr>
        <w:shd w:val="clear" w:color="auto" w:fill="80B1B8" w:themeFill="accent2" w:themeFillTint="7F"/>
      </w:tcPr>
    </w:tblStylePr>
    <w:tblStylePr w:type="band1Horz">
      <w:tblPr/>
      <w:tcPr>
        <w:shd w:val="clear" w:color="auto" w:fill="80B1B8" w:themeFill="accent2" w:themeFillTint="7F"/>
      </w:tcPr>
    </w:tblStylePr>
  </w:style>
  <w:style w:type="table" w:styleId="MediumGrid1-Accent3">
    <w:name w:val="Medium Grid 1 Accent 3"/>
    <w:basedOn w:val="TableNormal"/>
    <w:uiPriority w:val="67"/>
    <w:semiHidden/>
    <w:unhideWhenUsed/>
    <w:locked/>
    <w:rsid w:val="00C551E1"/>
    <w:tblPr>
      <w:tblStyleRowBandSize w:val="1"/>
      <w:tblStyleColBandSize w:val="1"/>
      <w:tblBorders>
        <w:top w:val="single" w:sz="8" w:space="0" w:color="3D51A2" w:themeColor="accent3" w:themeTint="BF"/>
        <w:left w:val="single" w:sz="8" w:space="0" w:color="3D51A2" w:themeColor="accent3" w:themeTint="BF"/>
        <w:bottom w:val="single" w:sz="8" w:space="0" w:color="3D51A2" w:themeColor="accent3" w:themeTint="BF"/>
        <w:right w:val="single" w:sz="8" w:space="0" w:color="3D51A2" w:themeColor="accent3" w:themeTint="BF"/>
        <w:insideH w:val="single" w:sz="8" w:space="0" w:color="3D51A2" w:themeColor="accent3" w:themeTint="BF"/>
        <w:insideV w:val="single" w:sz="8" w:space="0" w:color="3D51A2" w:themeColor="accent3" w:themeTint="BF"/>
      </w:tblBorders>
    </w:tblPr>
    <w:tcPr>
      <w:shd w:val="clear" w:color="auto" w:fill="BAC2E5" w:themeFill="accent3" w:themeFillTint="3F"/>
    </w:tcPr>
    <w:tblStylePr w:type="firstRow">
      <w:rPr>
        <w:b/>
        <w:bCs/>
      </w:rPr>
    </w:tblStylePr>
    <w:tblStylePr w:type="lastRow">
      <w:rPr>
        <w:b/>
        <w:bCs/>
      </w:rPr>
      <w:tblPr/>
      <w:tcPr>
        <w:tcBorders>
          <w:top w:val="single" w:sz="18" w:space="0" w:color="3D51A2" w:themeColor="accent3" w:themeTint="BF"/>
        </w:tcBorders>
      </w:tcPr>
    </w:tblStylePr>
    <w:tblStylePr w:type="firstCol">
      <w:rPr>
        <w:b/>
        <w:bCs/>
      </w:rPr>
    </w:tblStylePr>
    <w:tblStylePr w:type="lastCol">
      <w:rPr>
        <w:b/>
        <w:bCs/>
      </w:rPr>
    </w:tblStylePr>
    <w:tblStylePr w:type="band1Vert">
      <w:tblPr/>
      <w:tcPr>
        <w:shd w:val="clear" w:color="auto" w:fill="7486CB" w:themeFill="accent3" w:themeFillTint="7F"/>
      </w:tcPr>
    </w:tblStylePr>
    <w:tblStylePr w:type="band1Horz">
      <w:tblPr/>
      <w:tcPr>
        <w:shd w:val="clear" w:color="auto" w:fill="7486CB" w:themeFill="accent3" w:themeFillTint="7F"/>
      </w:tcPr>
    </w:tblStylePr>
  </w:style>
  <w:style w:type="table" w:styleId="MediumGrid1-Accent4">
    <w:name w:val="Medium Grid 1 Accent 4"/>
    <w:basedOn w:val="TableNormal"/>
    <w:uiPriority w:val="67"/>
    <w:semiHidden/>
    <w:unhideWhenUsed/>
    <w:locked/>
    <w:rsid w:val="00C551E1"/>
    <w:tblPr>
      <w:tblStyleRowBandSize w:val="1"/>
      <w:tblStyleColBandSize w:val="1"/>
      <w:tblBorders>
        <w:top w:val="single" w:sz="8" w:space="0" w:color="6B6A74" w:themeColor="accent4" w:themeTint="BF"/>
        <w:left w:val="single" w:sz="8" w:space="0" w:color="6B6A74" w:themeColor="accent4" w:themeTint="BF"/>
        <w:bottom w:val="single" w:sz="8" w:space="0" w:color="6B6A74" w:themeColor="accent4" w:themeTint="BF"/>
        <w:right w:val="single" w:sz="8" w:space="0" w:color="6B6A74" w:themeColor="accent4" w:themeTint="BF"/>
        <w:insideH w:val="single" w:sz="8" w:space="0" w:color="6B6A74" w:themeColor="accent4" w:themeTint="BF"/>
        <w:insideV w:val="single" w:sz="8" w:space="0" w:color="6B6A74" w:themeColor="accent4" w:themeTint="BF"/>
      </w:tblBorders>
    </w:tblPr>
    <w:tcPr>
      <w:shd w:val="clear" w:color="auto" w:fill="CDCDD1" w:themeFill="accent4" w:themeFillTint="3F"/>
    </w:tcPr>
    <w:tblStylePr w:type="firstRow">
      <w:rPr>
        <w:b/>
        <w:bCs/>
      </w:rPr>
    </w:tblStylePr>
    <w:tblStylePr w:type="lastRow">
      <w:rPr>
        <w:b/>
        <w:bCs/>
      </w:rPr>
      <w:tblPr/>
      <w:tcPr>
        <w:tcBorders>
          <w:top w:val="single" w:sz="18" w:space="0" w:color="6B6A74" w:themeColor="accent4" w:themeTint="BF"/>
        </w:tcBorders>
      </w:tcPr>
    </w:tblStylePr>
    <w:tblStylePr w:type="firstCol">
      <w:rPr>
        <w:b/>
        <w:bCs/>
      </w:rPr>
    </w:tblStylePr>
    <w:tblStylePr w:type="lastCol">
      <w:rPr>
        <w:b/>
        <w:bCs/>
      </w:rPr>
    </w:tblStylePr>
    <w:tblStylePr w:type="band1Vert">
      <w:tblPr/>
      <w:tcPr>
        <w:shd w:val="clear" w:color="auto" w:fill="9C9AA4" w:themeFill="accent4" w:themeFillTint="7F"/>
      </w:tcPr>
    </w:tblStylePr>
    <w:tblStylePr w:type="band1Horz">
      <w:tblPr/>
      <w:tcPr>
        <w:shd w:val="clear" w:color="auto" w:fill="9C9AA4" w:themeFill="accent4" w:themeFillTint="7F"/>
      </w:tcPr>
    </w:tblStylePr>
  </w:style>
  <w:style w:type="table" w:styleId="MediumGrid1-Accent5">
    <w:name w:val="Medium Grid 1 Accent 5"/>
    <w:basedOn w:val="TableNormal"/>
    <w:uiPriority w:val="67"/>
    <w:semiHidden/>
    <w:unhideWhenUsed/>
    <w:locked/>
    <w:rsid w:val="00C551E1"/>
    <w:tblPr>
      <w:tblStyleRowBandSize w:val="1"/>
      <w:tblStyleColBandSize w:val="1"/>
      <w:tblBorders>
        <w:top w:val="single" w:sz="8" w:space="0" w:color="E3867B" w:themeColor="accent5" w:themeTint="BF"/>
        <w:left w:val="single" w:sz="8" w:space="0" w:color="E3867B" w:themeColor="accent5" w:themeTint="BF"/>
        <w:bottom w:val="single" w:sz="8" w:space="0" w:color="E3867B" w:themeColor="accent5" w:themeTint="BF"/>
        <w:right w:val="single" w:sz="8" w:space="0" w:color="E3867B" w:themeColor="accent5" w:themeTint="BF"/>
        <w:insideH w:val="single" w:sz="8" w:space="0" w:color="E3867B" w:themeColor="accent5" w:themeTint="BF"/>
        <w:insideV w:val="single" w:sz="8" w:space="0" w:color="E3867B" w:themeColor="accent5" w:themeTint="BF"/>
      </w:tblBorders>
    </w:tblPr>
    <w:tcPr>
      <w:shd w:val="clear" w:color="auto" w:fill="F6D7D3" w:themeFill="accent5" w:themeFillTint="3F"/>
    </w:tcPr>
    <w:tblStylePr w:type="firstRow">
      <w:rPr>
        <w:b/>
        <w:bCs/>
      </w:rPr>
    </w:tblStylePr>
    <w:tblStylePr w:type="lastRow">
      <w:rPr>
        <w:b/>
        <w:bCs/>
      </w:rPr>
      <w:tblPr/>
      <w:tcPr>
        <w:tcBorders>
          <w:top w:val="single" w:sz="18" w:space="0" w:color="E3867B" w:themeColor="accent5" w:themeTint="BF"/>
        </w:tcBorders>
      </w:tcPr>
    </w:tblStylePr>
    <w:tblStylePr w:type="firstCol">
      <w:rPr>
        <w:b/>
        <w:bCs/>
      </w:rPr>
    </w:tblStylePr>
    <w:tblStylePr w:type="lastCol">
      <w:rPr>
        <w:b/>
        <w:bCs/>
      </w:rPr>
    </w:tblStylePr>
    <w:tblStylePr w:type="band1Vert">
      <w:tblPr/>
      <w:tcPr>
        <w:shd w:val="clear" w:color="auto" w:fill="ECAEA7" w:themeFill="accent5" w:themeFillTint="7F"/>
      </w:tcPr>
    </w:tblStylePr>
    <w:tblStylePr w:type="band1Horz">
      <w:tblPr/>
      <w:tcPr>
        <w:shd w:val="clear" w:color="auto" w:fill="ECAEA7" w:themeFill="accent5" w:themeFillTint="7F"/>
      </w:tcPr>
    </w:tblStylePr>
  </w:style>
  <w:style w:type="table" w:styleId="MediumGrid1-Accent6">
    <w:name w:val="Medium Grid 1 Accent 6"/>
    <w:basedOn w:val="TableNormal"/>
    <w:uiPriority w:val="67"/>
    <w:semiHidden/>
    <w:unhideWhenUsed/>
    <w:locked/>
    <w:rsid w:val="00C551E1"/>
    <w:tblPr>
      <w:tblStyleRowBandSize w:val="1"/>
      <w:tblStyleColBandSize w:val="1"/>
      <w:tblBorders>
        <w:top w:val="single" w:sz="8" w:space="0" w:color="D0204E" w:themeColor="accent6" w:themeTint="BF"/>
        <w:left w:val="single" w:sz="8" w:space="0" w:color="D0204E" w:themeColor="accent6" w:themeTint="BF"/>
        <w:bottom w:val="single" w:sz="8" w:space="0" w:color="D0204E" w:themeColor="accent6" w:themeTint="BF"/>
        <w:right w:val="single" w:sz="8" w:space="0" w:color="D0204E" w:themeColor="accent6" w:themeTint="BF"/>
        <w:insideH w:val="single" w:sz="8" w:space="0" w:color="D0204E" w:themeColor="accent6" w:themeTint="BF"/>
        <w:insideV w:val="single" w:sz="8" w:space="0" w:color="D0204E" w:themeColor="accent6" w:themeTint="BF"/>
      </w:tblBorders>
    </w:tblPr>
    <w:tcPr>
      <w:shd w:val="clear" w:color="auto" w:fill="F3B1C2" w:themeFill="accent6" w:themeFillTint="3F"/>
    </w:tcPr>
    <w:tblStylePr w:type="firstRow">
      <w:rPr>
        <w:b/>
        <w:bCs/>
      </w:rPr>
    </w:tblStylePr>
    <w:tblStylePr w:type="lastRow">
      <w:rPr>
        <w:b/>
        <w:bCs/>
      </w:rPr>
      <w:tblPr/>
      <w:tcPr>
        <w:tcBorders>
          <w:top w:val="single" w:sz="18" w:space="0" w:color="D0204E" w:themeColor="accent6" w:themeTint="BF"/>
        </w:tcBorders>
      </w:tcPr>
    </w:tblStylePr>
    <w:tblStylePr w:type="firstCol">
      <w:rPr>
        <w:b/>
        <w:bCs/>
      </w:rPr>
    </w:tblStylePr>
    <w:tblStylePr w:type="lastCol">
      <w:rPr>
        <w:b/>
        <w:bCs/>
      </w:rPr>
    </w:tblStylePr>
    <w:tblStylePr w:type="band1Vert">
      <w:tblPr/>
      <w:tcPr>
        <w:shd w:val="clear" w:color="auto" w:fill="E76386" w:themeFill="accent6" w:themeFillTint="7F"/>
      </w:tcPr>
    </w:tblStylePr>
    <w:tblStylePr w:type="band1Horz">
      <w:tblPr/>
      <w:tcPr>
        <w:shd w:val="clear" w:color="auto" w:fill="E76386" w:themeFill="accent6" w:themeFillTint="7F"/>
      </w:tcPr>
    </w:tblStylePr>
  </w:style>
  <w:style w:type="table" w:styleId="MediumGrid2">
    <w:name w:val="Medium Grid 2"/>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47827E" w:themeColor="accent1"/>
        <w:left w:val="single" w:sz="8" w:space="0" w:color="47827E" w:themeColor="accent1"/>
        <w:bottom w:val="single" w:sz="8" w:space="0" w:color="47827E" w:themeColor="accent1"/>
        <w:right w:val="single" w:sz="8" w:space="0" w:color="47827E" w:themeColor="accent1"/>
        <w:insideH w:val="single" w:sz="8" w:space="0" w:color="47827E" w:themeColor="accent1"/>
        <w:insideV w:val="single" w:sz="8" w:space="0" w:color="47827E" w:themeColor="accent1"/>
      </w:tblBorders>
    </w:tblPr>
    <w:tcPr>
      <w:shd w:val="clear" w:color="auto" w:fill="CDE4E2" w:themeFill="accent1" w:themeFillTint="3F"/>
    </w:tcPr>
    <w:tblStylePr w:type="firstRow">
      <w:rPr>
        <w:b/>
        <w:bCs/>
        <w:color w:val="000000" w:themeColor="text1"/>
      </w:rPr>
      <w:tblPr/>
      <w:tcPr>
        <w:shd w:val="clear" w:color="auto" w:fill="EBF4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9E7" w:themeFill="accent1" w:themeFillTint="33"/>
      </w:tcPr>
    </w:tblStylePr>
    <w:tblStylePr w:type="band1Vert">
      <w:tblPr/>
      <w:tcPr>
        <w:shd w:val="clear" w:color="auto" w:fill="9BC8C5" w:themeFill="accent1" w:themeFillTint="7F"/>
      </w:tcPr>
    </w:tblStylePr>
    <w:tblStylePr w:type="band1Horz">
      <w:tblPr/>
      <w:tcPr>
        <w:tcBorders>
          <w:insideH w:val="single" w:sz="6" w:space="0" w:color="47827E" w:themeColor="accent1"/>
          <w:insideV w:val="single" w:sz="6" w:space="0" w:color="47827E" w:themeColor="accent1"/>
        </w:tcBorders>
        <w:shd w:val="clear" w:color="auto" w:fill="9BC8C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294549" w:themeColor="accent2"/>
        <w:left w:val="single" w:sz="8" w:space="0" w:color="294549" w:themeColor="accent2"/>
        <w:bottom w:val="single" w:sz="8" w:space="0" w:color="294549" w:themeColor="accent2"/>
        <w:right w:val="single" w:sz="8" w:space="0" w:color="294549" w:themeColor="accent2"/>
        <w:insideH w:val="single" w:sz="8" w:space="0" w:color="294549" w:themeColor="accent2"/>
        <w:insideV w:val="single" w:sz="8" w:space="0" w:color="294549" w:themeColor="accent2"/>
      </w:tblBorders>
    </w:tblPr>
    <w:tcPr>
      <w:shd w:val="clear" w:color="auto" w:fill="C0D8DB" w:themeFill="accent2" w:themeFillTint="3F"/>
    </w:tcPr>
    <w:tblStylePr w:type="firstRow">
      <w:rPr>
        <w:b/>
        <w:bCs/>
        <w:color w:val="000000" w:themeColor="text1"/>
      </w:rPr>
      <w:tblPr/>
      <w:tcPr>
        <w:shd w:val="clear" w:color="auto" w:fill="E6EF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FE2" w:themeFill="accent2" w:themeFillTint="33"/>
      </w:tcPr>
    </w:tblStylePr>
    <w:tblStylePr w:type="band1Vert">
      <w:tblPr/>
      <w:tcPr>
        <w:shd w:val="clear" w:color="auto" w:fill="80B1B8" w:themeFill="accent2" w:themeFillTint="7F"/>
      </w:tcPr>
    </w:tblStylePr>
    <w:tblStylePr w:type="band1Horz">
      <w:tblPr/>
      <w:tcPr>
        <w:tcBorders>
          <w:insideH w:val="single" w:sz="6" w:space="0" w:color="294549" w:themeColor="accent2"/>
          <w:insideV w:val="single" w:sz="6" w:space="0" w:color="294549" w:themeColor="accent2"/>
        </w:tcBorders>
        <w:shd w:val="clear" w:color="auto" w:fill="80B1B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232F5D" w:themeColor="accent3"/>
        <w:left w:val="single" w:sz="8" w:space="0" w:color="232F5D" w:themeColor="accent3"/>
        <w:bottom w:val="single" w:sz="8" w:space="0" w:color="232F5D" w:themeColor="accent3"/>
        <w:right w:val="single" w:sz="8" w:space="0" w:color="232F5D" w:themeColor="accent3"/>
        <w:insideH w:val="single" w:sz="8" w:space="0" w:color="232F5D" w:themeColor="accent3"/>
        <w:insideV w:val="single" w:sz="8" w:space="0" w:color="232F5D" w:themeColor="accent3"/>
      </w:tblBorders>
    </w:tblPr>
    <w:tcPr>
      <w:shd w:val="clear" w:color="auto" w:fill="BAC2E5" w:themeFill="accent3" w:themeFillTint="3F"/>
    </w:tcPr>
    <w:tblStylePr w:type="firstRow">
      <w:rPr>
        <w:b/>
        <w:bCs/>
        <w:color w:val="000000" w:themeColor="text1"/>
      </w:rPr>
      <w:tblPr/>
      <w:tcPr>
        <w:shd w:val="clear" w:color="auto" w:fill="E3E7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CEEA" w:themeFill="accent3" w:themeFillTint="33"/>
      </w:tcPr>
    </w:tblStylePr>
    <w:tblStylePr w:type="band1Vert">
      <w:tblPr/>
      <w:tcPr>
        <w:shd w:val="clear" w:color="auto" w:fill="7486CB" w:themeFill="accent3" w:themeFillTint="7F"/>
      </w:tcPr>
    </w:tblStylePr>
    <w:tblStylePr w:type="band1Horz">
      <w:tblPr/>
      <w:tcPr>
        <w:tcBorders>
          <w:insideH w:val="single" w:sz="6" w:space="0" w:color="232F5D" w:themeColor="accent3"/>
          <w:insideV w:val="single" w:sz="6" w:space="0" w:color="232F5D" w:themeColor="accent3"/>
        </w:tcBorders>
        <w:shd w:val="clear" w:color="auto" w:fill="7486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3D3C42" w:themeColor="accent4"/>
        <w:left w:val="single" w:sz="8" w:space="0" w:color="3D3C42" w:themeColor="accent4"/>
        <w:bottom w:val="single" w:sz="8" w:space="0" w:color="3D3C42" w:themeColor="accent4"/>
        <w:right w:val="single" w:sz="8" w:space="0" w:color="3D3C42" w:themeColor="accent4"/>
        <w:insideH w:val="single" w:sz="8" w:space="0" w:color="3D3C42" w:themeColor="accent4"/>
        <w:insideV w:val="single" w:sz="8" w:space="0" w:color="3D3C42" w:themeColor="accent4"/>
      </w:tblBorders>
    </w:tblPr>
    <w:tcPr>
      <w:shd w:val="clear" w:color="auto" w:fill="CDCDD1" w:themeFill="accent4" w:themeFillTint="3F"/>
    </w:tcPr>
    <w:tblStylePr w:type="firstRow">
      <w:rPr>
        <w:b/>
        <w:bCs/>
        <w:color w:val="000000" w:themeColor="text1"/>
      </w:rPr>
      <w:tblPr/>
      <w:tcPr>
        <w:shd w:val="clear" w:color="auto" w:fill="EBEB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6DA" w:themeFill="accent4" w:themeFillTint="33"/>
      </w:tcPr>
    </w:tblStylePr>
    <w:tblStylePr w:type="band1Vert">
      <w:tblPr/>
      <w:tcPr>
        <w:shd w:val="clear" w:color="auto" w:fill="9C9AA4" w:themeFill="accent4" w:themeFillTint="7F"/>
      </w:tcPr>
    </w:tblStylePr>
    <w:tblStylePr w:type="band1Horz">
      <w:tblPr/>
      <w:tcPr>
        <w:tcBorders>
          <w:insideH w:val="single" w:sz="6" w:space="0" w:color="3D3C42" w:themeColor="accent4"/>
          <w:insideV w:val="single" w:sz="6" w:space="0" w:color="3D3C42" w:themeColor="accent4"/>
        </w:tcBorders>
        <w:shd w:val="clear" w:color="auto" w:fill="9C9AA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DA5F4F" w:themeColor="accent5"/>
        <w:left w:val="single" w:sz="8" w:space="0" w:color="DA5F4F" w:themeColor="accent5"/>
        <w:bottom w:val="single" w:sz="8" w:space="0" w:color="DA5F4F" w:themeColor="accent5"/>
        <w:right w:val="single" w:sz="8" w:space="0" w:color="DA5F4F" w:themeColor="accent5"/>
        <w:insideH w:val="single" w:sz="8" w:space="0" w:color="DA5F4F" w:themeColor="accent5"/>
        <w:insideV w:val="single" w:sz="8" w:space="0" w:color="DA5F4F" w:themeColor="accent5"/>
      </w:tblBorders>
    </w:tblPr>
    <w:tcPr>
      <w:shd w:val="clear" w:color="auto" w:fill="F6D7D3" w:themeFill="accent5" w:themeFillTint="3F"/>
    </w:tcPr>
    <w:tblStylePr w:type="firstRow">
      <w:rPr>
        <w:b/>
        <w:bCs/>
        <w:color w:val="000000" w:themeColor="text1"/>
      </w:rPr>
      <w:tblPr/>
      <w:tcPr>
        <w:shd w:val="clear" w:color="auto" w:fill="FBEF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B" w:themeFill="accent5" w:themeFillTint="33"/>
      </w:tcPr>
    </w:tblStylePr>
    <w:tblStylePr w:type="band1Vert">
      <w:tblPr/>
      <w:tcPr>
        <w:shd w:val="clear" w:color="auto" w:fill="ECAEA7" w:themeFill="accent5" w:themeFillTint="7F"/>
      </w:tcPr>
    </w:tblStylePr>
    <w:tblStylePr w:type="band1Horz">
      <w:tblPr/>
      <w:tcPr>
        <w:tcBorders>
          <w:insideH w:val="single" w:sz="6" w:space="0" w:color="DA5F4F" w:themeColor="accent5"/>
          <w:insideV w:val="single" w:sz="6" w:space="0" w:color="DA5F4F" w:themeColor="accent5"/>
        </w:tcBorders>
        <w:shd w:val="clear" w:color="auto" w:fill="ECAEA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821431" w:themeColor="accent6"/>
        <w:left w:val="single" w:sz="8" w:space="0" w:color="821431" w:themeColor="accent6"/>
        <w:bottom w:val="single" w:sz="8" w:space="0" w:color="821431" w:themeColor="accent6"/>
        <w:right w:val="single" w:sz="8" w:space="0" w:color="821431" w:themeColor="accent6"/>
        <w:insideH w:val="single" w:sz="8" w:space="0" w:color="821431" w:themeColor="accent6"/>
        <w:insideV w:val="single" w:sz="8" w:space="0" w:color="821431" w:themeColor="accent6"/>
      </w:tblBorders>
    </w:tblPr>
    <w:tcPr>
      <w:shd w:val="clear" w:color="auto" w:fill="F3B1C2" w:themeFill="accent6" w:themeFillTint="3F"/>
    </w:tcPr>
    <w:tblStylePr w:type="firstRow">
      <w:rPr>
        <w:b/>
        <w:bCs/>
        <w:color w:val="000000" w:themeColor="text1"/>
      </w:rPr>
      <w:tblPr/>
      <w:tcPr>
        <w:shd w:val="clear" w:color="auto" w:fill="FAE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C0CE" w:themeFill="accent6" w:themeFillTint="33"/>
      </w:tcPr>
    </w:tblStylePr>
    <w:tblStylePr w:type="band1Vert">
      <w:tblPr/>
      <w:tcPr>
        <w:shd w:val="clear" w:color="auto" w:fill="E76386" w:themeFill="accent6" w:themeFillTint="7F"/>
      </w:tcPr>
    </w:tblStylePr>
    <w:tblStylePr w:type="band1Horz">
      <w:tblPr/>
      <w:tcPr>
        <w:tcBorders>
          <w:insideH w:val="single" w:sz="6" w:space="0" w:color="821431" w:themeColor="accent6"/>
          <w:insideV w:val="single" w:sz="6" w:space="0" w:color="821431" w:themeColor="accent6"/>
        </w:tcBorders>
        <w:shd w:val="clear" w:color="auto" w:fill="E7638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4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82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82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82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82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C8C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C8C5" w:themeFill="accent1" w:themeFillTint="7F"/>
      </w:tcPr>
    </w:tblStylePr>
  </w:style>
  <w:style w:type="table" w:styleId="MediumGrid3-Accent2">
    <w:name w:val="Medium Grid 3 Accent 2"/>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8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454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454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454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454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B1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B1B8" w:themeFill="accent2" w:themeFillTint="7F"/>
      </w:tcPr>
    </w:tblStylePr>
  </w:style>
  <w:style w:type="table" w:styleId="MediumGrid3-Accent3">
    <w:name w:val="Medium Grid 3 Accent 3"/>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C2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F5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F5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F5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F5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86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86CB" w:themeFill="accent3" w:themeFillTint="7F"/>
      </w:tcPr>
    </w:tblStylePr>
  </w:style>
  <w:style w:type="table" w:styleId="MediumGrid3-Accent4">
    <w:name w:val="Medium Grid 3 Accent 4"/>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D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3C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3C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3C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3C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A4" w:themeFill="accent4" w:themeFillTint="7F"/>
      </w:tcPr>
    </w:tblStylePr>
  </w:style>
  <w:style w:type="table" w:styleId="MediumGrid3-Accent5">
    <w:name w:val="Medium Grid 3 Accent 5"/>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7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5F4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5F4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5F4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5F4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AEA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AEA7" w:themeFill="accent5" w:themeFillTint="7F"/>
      </w:tcPr>
    </w:tblStylePr>
  </w:style>
  <w:style w:type="table" w:styleId="MediumGrid3-Accent6">
    <w:name w:val="Medium Grid 3 Accent 6"/>
    <w:basedOn w:val="TableNormal"/>
    <w:uiPriority w:val="69"/>
    <w:semiHidden/>
    <w:unhideWhenUsed/>
    <w:locked/>
    <w:rsid w:val="00C551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B1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143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143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143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143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638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6386" w:themeFill="accent6" w:themeFillTint="7F"/>
      </w:tcPr>
    </w:tblStylePr>
  </w:style>
  <w:style w:type="table" w:styleId="MediumList1">
    <w:name w:val="Medium List 1"/>
    <w:basedOn w:val="TableNormal"/>
    <w:uiPriority w:val="65"/>
    <w:semiHidden/>
    <w:unhideWhenUsed/>
    <w:locked/>
    <w:rsid w:val="00C551E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D3C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C551E1"/>
    <w:rPr>
      <w:color w:val="000000" w:themeColor="text1"/>
    </w:rPr>
    <w:tblPr>
      <w:tblStyleRowBandSize w:val="1"/>
      <w:tblStyleColBandSize w:val="1"/>
      <w:tblBorders>
        <w:top w:val="single" w:sz="8" w:space="0" w:color="47827E" w:themeColor="accent1"/>
        <w:bottom w:val="single" w:sz="8" w:space="0" w:color="47827E" w:themeColor="accent1"/>
      </w:tblBorders>
    </w:tblPr>
    <w:tblStylePr w:type="firstRow">
      <w:rPr>
        <w:rFonts w:asciiTheme="majorHAnsi" w:eastAsiaTheme="majorEastAsia" w:hAnsiTheme="majorHAnsi" w:cstheme="majorBidi"/>
      </w:rPr>
      <w:tblPr/>
      <w:tcPr>
        <w:tcBorders>
          <w:top w:val="nil"/>
          <w:bottom w:val="single" w:sz="8" w:space="0" w:color="47827E" w:themeColor="accent1"/>
        </w:tcBorders>
      </w:tcPr>
    </w:tblStylePr>
    <w:tblStylePr w:type="lastRow">
      <w:rPr>
        <w:b/>
        <w:bCs/>
        <w:color w:val="3D3C42" w:themeColor="text2"/>
      </w:rPr>
      <w:tblPr/>
      <w:tcPr>
        <w:tcBorders>
          <w:top w:val="single" w:sz="8" w:space="0" w:color="47827E" w:themeColor="accent1"/>
          <w:bottom w:val="single" w:sz="8" w:space="0" w:color="47827E" w:themeColor="accent1"/>
        </w:tcBorders>
      </w:tcPr>
    </w:tblStylePr>
    <w:tblStylePr w:type="firstCol">
      <w:rPr>
        <w:b/>
        <w:bCs/>
      </w:rPr>
    </w:tblStylePr>
    <w:tblStylePr w:type="lastCol">
      <w:rPr>
        <w:b/>
        <w:bCs/>
      </w:rPr>
      <w:tblPr/>
      <w:tcPr>
        <w:tcBorders>
          <w:top w:val="single" w:sz="8" w:space="0" w:color="47827E" w:themeColor="accent1"/>
          <w:bottom w:val="single" w:sz="8" w:space="0" w:color="47827E" w:themeColor="accent1"/>
        </w:tcBorders>
      </w:tcPr>
    </w:tblStylePr>
    <w:tblStylePr w:type="band1Vert">
      <w:tblPr/>
      <w:tcPr>
        <w:shd w:val="clear" w:color="auto" w:fill="CDE4E2" w:themeFill="accent1" w:themeFillTint="3F"/>
      </w:tcPr>
    </w:tblStylePr>
    <w:tblStylePr w:type="band1Horz">
      <w:tblPr/>
      <w:tcPr>
        <w:shd w:val="clear" w:color="auto" w:fill="CDE4E2" w:themeFill="accent1" w:themeFillTint="3F"/>
      </w:tcPr>
    </w:tblStylePr>
  </w:style>
  <w:style w:type="table" w:styleId="MediumList1-Accent2">
    <w:name w:val="Medium List 1 Accent 2"/>
    <w:basedOn w:val="TableNormal"/>
    <w:uiPriority w:val="65"/>
    <w:semiHidden/>
    <w:unhideWhenUsed/>
    <w:locked/>
    <w:rsid w:val="00C551E1"/>
    <w:rPr>
      <w:color w:val="000000" w:themeColor="text1"/>
    </w:rPr>
    <w:tblPr>
      <w:tblStyleRowBandSize w:val="1"/>
      <w:tblStyleColBandSize w:val="1"/>
      <w:tblBorders>
        <w:top w:val="single" w:sz="8" w:space="0" w:color="294549" w:themeColor="accent2"/>
        <w:bottom w:val="single" w:sz="8" w:space="0" w:color="294549" w:themeColor="accent2"/>
      </w:tblBorders>
    </w:tblPr>
    <w:tblStylePr w:type="firstRow">
      <w:rPr>
        <w:rFonts w:asciiTheme="majorHAnsi" w:eastAsiaTheme="majorEastAsia" w:hAnsiTheme="majorHAnsi" w:cstheme="majorBidi"/>
      </w:rPr>
      <w:tblPr/>
      <w:tcPr>
        <w:tcBorders>
          <w:top w:val="nil"/>
          <w:bottom w:val="single" w:sz="8" w:space="0" w:color="294549" w:themeColor="accent2"/>
        </w:tcBorders>
      </w:tcPr>
    </w:tblStylePr>
    <w:tblStylePr w:type="lastRow">
      <w:rPr>
        <w:b/>
        <w:bCs/>
        <w:color w:val="3D3C42" w:themeColor="text2"/>
      </w:rPr>
      <w:tblPr/>
      <w:tcPr>
        <w:tcBorders>
          <w:top w:val="single" w:sz="8" w:space="0" w:color="294549" w:themeColor="accent2"/>
          <w:bottom w:val="single" w:sz="8" w:space="0" w:color="294549" w:themeColor="accent2"/>
        </w:tcBorders>
      </w:tcPr>
    </w:tblStylePr>
    <w:tblStylePr w:type="firstCol">
      <w:rPr>
        <w:b/>
        <w:bCs/>
      </w:rPr>
    </w:tblStylePr>
    <w:tblStylePr w:type="lastCol">
      <w:rPr>
        <w:b/>
        <w:bCs/>
      </w:rPr>
      <w:tblPr/>
      <w:tcPr>
        <w:tcBorders>
          <w:top w:val="single" w:sz="8" w:space="0" w:color="294549" w:themeColor="accent2"/>
          <w:bottom w:val="single" w:sz="8" w:space="0" w:color="294549" w:themeColor="accent2"/>
        </w:tcBorders>
      </w:tcPr>
    </w:tblStylePr>
    <w:tblStylePr w:type="band1Vert">
      <w:tblPr/>
      <w:tcPr>
        <w:shd w:val="clear" w:color="auto" w:fill="C0D8DB" w:themeFill="accent2" w:themeFillTint="3F"/>
      </w:tcPr>
    </w:tblStylePr>
    <w:tblStylePr w:type="band1Horz">
      <w:tblPr/>
      <w:tcPr>
        <w:shd w:val="clear" w:color="auto" w:fill="C0D8DB" w:themeFill="accent2" w:themeFillTint="3F"/>
      </w:tcPr>
    </w:tblStylePr>
  </w:style>
  <w:style w:type="table" w:styleId="MediumList1-Accent3">
    <w:name w:val="Medium List 1 Accent 3"/>
    <w:basedOn w:val="TableNormal"/>
    <w:uiPriority w:val="65"/>
    <w:semiHidden/>
    <w:unhideWhenUsed/>
    <w:locked/>
    <w:rsid w:val="00C551E1"/>
    <w:rPr>
      <w:color w:val="000000" w:themeColor="text1"/>
    </w:rPr>
    <w:tblPr>
      <w:tblStyleRowBandSize w:val="1"/>
      <w:tblStyleColBandSize w:val="1"/>
      <w:tblBorders>
        <w:top w:val="single" w:sz="8" w:space="0" w:color="232F5D" w:themeColor="accent3"/>
        <w:bottom w:val="single" w:sz="8" w:space="0" w:color="232F5D" w:themeColor="accent3"/>
      </w:tblBorders>
    </w:tblPr>
    <w:tblStylePr w:type="firstRow">
      <w:rPr>
        <w:rFonts w:asciiTheme="majorHAnsi" w:eastAsiaTheme="majorEastAsia" w:hAnsiTheme="majorHAnsi" w:cstheme="majorBidi"/>
      </w:rPr>
      <w:tblPr/>
      <w:tcPr>
        <w:tcBorders>
          <w:top w:val="nil"/>
          <w:bottom w:val="single" w:sz="8" w:space="0" w:color="232F5D" w:themeColor="accent3"/>
        </w:tcBorders>
      </w:tcPr>
    </w:tblStylePr>
    <w:tblStylePr w:type="lastRow">
      <w:rPr>
        <w:b/>
        <w:bCs/>
        <w:color w:val="3D3C42" w:themeColor="text2"/>
      </w:rPr>
      <w:tblPr/>
      <w:tcPr>
        <w:tcBorders>
          <w:top w:val="single" w:sz="8" w:space="0" w:color="232F5D" w:themeColor="accent3"/>
          <w:bottom w:val="single" w:sz="8" w:space="0" w:color="232F5D" w:themeColor="accent3"/>
        </w:tcBorders>
      </w:tcPr>
    </w:tblStylePr>
    <w:tblStylePr w:type="firstCol">
      <w:rPr>
        <w:b/>
        <w:bCs/>
      </w:rPr>
    </w:tblStylePr>
    <w:tblStylePr w:type="lastCol">
      <w:rPr>
        <w:b/>
        <w:bCs/>
      </w:rPr>
      <w:tblPr/>
      <w:tcPr>
        <w:tcBorders>
          <w:top w:val="single" w:sz="8" w:space="0" w:color="232F5D" w:themeColor="accent3"/>
          <w:bottom w:val="single" w:sz="8" w:space="0" w:color="232F5D" w:themeColor="accent3"/>
        </w:tcBorders>
      </w:tcPr>
    </w:tblStylePr>
    <w:tblStylePr w:type="band1Vert">
      <w:tblPr/>
      <w:tcPr>
        <w:shd w:val="clear" w:color="auto" w:fill="BAC2E5" w:themeFill="accent3" w:themeFillTint="3F"/>
      </w:tcPr>
    </w:tblStylePr>
    <w:tblStylePr w:type="band1Horz">
      <w:tblPr/>
      <w:tcPr>
        <w:shd w:val="clear" w:color="auto" w:fill="BAC2E5" w:themeFill="accent3" w:themeFillTint="3F"/>
      </w:tcPr>
    </w:tblStylePr>
  </w:style>
  <w:style w:type="table" w:styleId="MediumList1-Accent4">
    <w:name w:val="Medium List 1 Accent 4"/>
    <w:basedOn w:val="TableNormal"/>
    <w:uiPriority w:val="65"/>
    <w:semiHidden/>
    <w:unhideWhenUsed/>
    <w:locked/>
    <w:rsid w:val="00C551E1"/>
    <w:rPr>
      <w:color w:val="000000" w:themeColor="text1"/>
    </w:rPr>
    <w:tblPr>
      <w:tblStyleRowBandSize w:val="1"/>
      <w:tblStyleColBandSize w:val="1"/>
      <w:tblBorders>
        <w:top w:val="single" w:sz="8" w:space="0" w:color="3D3C42" w:themeColor="accent4"/>
        <w:bottom w:val="single" w:sz="8" w:space="0" w:color="3D3C42" w:themeColor="accent4"/>
      </w:tblBorders>
    </w:tblPr>
    <w:tblStylePr w:type="firstRow">
      <w:rPr>
        <w:rFonts w:asciiTheme="majorHAnsi" w:eastAsiaTheme="majorEastAsia" w:hAnsiTheme="majorHAnsi" w:cstheme="majorBidi"/>
      </w:rPr>
      <w:tblPr/>
      <w:tcPr>
        <w:tcBorders>
          <w:top w:val="nil"/>
          <w:bottom w:val="single" w:sz="8" w:space="0" w:color="3D3C42" w:themeColor="accent4"/>
        </w:tcBorders>
      </w:tcPr>
    </w:tblStylePr>
    <w:tblStylePr w:type="lastRow">
      <w:rPr>
        <w:b/>
        <w:bCs/>
        <w:color w:val="3D3C42" w:themeColor="text2"/>
      </w:rPr>
      <w:tblPr/>
      <w:tcPr>
        <w:tcBorders>
          <w:top w:val="single" w:sz="8" w:space="0" w:color="3D3C42" w:themeColor="accent4"/>
          <w:bottom w:val="single" w:sz="8" w:space="0" w:color="3D3C42" w:themeColor="accent4"/>
        </w:tcBorders>
      </w:tcPr>
    </w:tblStylePr>
    <w:tblStylePr w:type="firstCol">
      <w:rPr>
        <w:b/>
        <w:bCs/>
      </w:rPr>
    </w:tblStylePr>
    <w:tblStylePr w:type="lastCol">
      <w:rPr>
        <w:b/>
        <w:bCs/>
      </w:rPr>
      <w:tblPr/>
      <w:tcPr>
        <w:tcBorders>
          <w:top w:val="single" w:sz="8" w:space="0" w:color="3D3C42" w:themeColor="accent4"/>
          <w:bottom w:val="single" w:sz="8" w:space="0" w:color="3D3C42" w:themeColor="accent4"/>
        </w:tcBorders>
      </w:tcPr>
    </w:tblStylePr>
    <w:tblStylePr w:type="band1Vert">
      <w:tblPr/>
      <w:tcPr>
        <w:shd w:val="clear" w:color="auto" w:fill="CDCDD1" w:themeFill="accent4" w:themeFillTint="3F"/>
      </w:tcPr>
    </w:tblStylePr>
    <w:tblStylePr w:type="band1Horz">
      <w:tblPr/>
      <w:tcPr>
        <w:shd w:val="clear" w:color="auto" w:fill="CDCDD1" w:themeFill="accent4" w:themeFillTint="3F"/>
      </w:tcPr>
    </w:tblStylePr>
  </w:style>
  <w:style w:type="table" w:styleId="MediumList1-Accent5">
    <w:name w:val="Medium List 1 Accent 5"/>
    <w:basedOn w:val="TableNormal"/>
    <w:uiPriority w:val="65"/>
    <w:semiHidden/>
    <w:unhideWhenUsed/>
    <w:locked/>
    <w:rsid w:val="00C551E1"/>
    <w:rPr>
      <w:color w:val="000000" w:themeColor="text1"/>
    </w:rPr>
    <w:tblPr>
      <w:tblStyleRowBandSize w:val="1"/>
      <w:tblStyleColBandSize w:val="1"/>
      <w:tblBorders>
        <w:top w:val="single" w:sz="8" w:space="0" w:color="DA5F4F" w:themeColor="accent5"/>
        <w:bottom w:val="single" w:sz="8" w:space="0" w:color="DA5F4F" w:themeColor="accent5"/>
      </w:tblBorders>
    </w:tblPr>
    <w:tblStylePr w:type="firstRow">
      <w:rPr>
        <w:rFonts w:asciiTheme="majorHAnsi" w:eastAsiaTheme="majorEastAsia" w:hAnsiTheme="majorHAnsi" w:cstheme="majorBidi"/>
      </w:rPr>
      <w:tblPr/>
      <w:tcPr>
        <w:tcBorders>
          <w:top w:val="nil"/>
          <w:bottom w:val="single" w:sz="8" w:space="0" w:color="DA5F4F" w:themeColor="accent5"/>
        </w:tcBorders>
      </w:tcPr>
    </w:tblStylePr>
    <w:tblStylePr w:type="lastRow">
      <w:rPr>
        <w:b/>
        <w:bCs/>
        <w:color w:val="3D3C42" w:themeColor="text2"/>
      </w:rPr>
      <w:tblPr/>
      <w:tcPr>
        <w:tcBorders>
          <w:top w:val="single" w:sz="8" w:space="0" w:color="DA5F4F" w:themeColor="accent5"/>
          <w:bottom w:val="single" w:sz="8" w:space="0" w:color="DA5F4F" w:themeColor="accent5"/>
        </w:tcBorders>
      </w:tcPr>
    </w:tblStylePr>
    <w:tblStylePr w:type="firstCol">
      <w:rPr>
        <w:b/>
        <w:bCs/>
      </w:rPr>
    </w:tblStylePr>
    <w:tblStylePr w:type="lastCol">
      <w:rPr>
        <w:b/>
        <w:bCs/>
      </w:rPr>
      <w:tblPr/>
      <w:tcPr>
        <w:tcBorders>
          <w:top w:val="single" w:sz="8" w:space="0" w:color="DA5F4F" w:themeColor="accent5"/>
          <w:bottom w:val="single" w:sz="8" w:space="0" w:color="DA5F4F" w:themeColor="accent5"/>
        </w:tcBorders>
      </w:tcPr>
    </w:tblStylePr>
    <w:tblStylePr w:type="band1Vert">
      <w:tblPr/>
      <w:tcPr>
        <w:shd w:val="clear" w:color="auto" w:fill="F6D7D3" w:themeFill="accent5" w:themeFillTint="3F"/>
      </w:tcPr>
    </w:tblStylePr>
    <w:tblStylePr w:type="band1Horz">
      <w:tblPr/>
      <w:tcPr>
        <w:shd w:val="clear" w:color="auto" w:fill="F6D7D3" w:themeFill="accent5" w:themeFillTint="3F"/>
      </w:tcPr>
    </w:tblStylePr>
  </w:style>
  <w:style w:type="table" w:styleId="MediumList1-Accent6">
    <w:name w:val="Medium List 1 Accent 6"/>
    <w:basedOn w:val="TableNormal"/>
    <w:uiPriority w:val="65"/>
    <w:semiHidden/>
    <w:unhideWhenUsed/>
    <w:locked/>
    <w:rsid w:val="00C551E1"/>
    <w:rPr>
      <w:color w:val="000000" w:themeColor="text1"/>
    </w:rPr>
    <w:tblPr>
      <w:tblStyleRowBandSize w:val="1"/>
      <w:tblStyleColBandSize w:val="1"/>
      <w:tblBorders>
        <w:top w:val="single" w:sz="8" w:space="0" w:color="821431" w:themeColor="accent6"/>
        <w:bottom w:val="single" w:sz="8" w:space="0" w:color="821431" w:themeColor="accent6"/>
      </w:tblBorders>
    </w:tblPr>
    <w:tblStylePr w:type="firstRow">
      <w:rPr>
        <w:rFonts w:asciiTheme="majorHAnsi" w:eastAsiaTheme="majorEastAsia" w:hAnsiTheme="majorHAnsi" w:cstheme="majorBidi"/>
      </w:rPr>
      <w:tblPr/>
      <w:tcPr>
        <w:tcBorders>
          <w:top w:val="nil"/>
          <w:bottom w:val="single" w:sz="8" w:space="0" w:color="821431" w:themeColor="accent6"/>
        </w:tcBorders>
      </w:tcPr>
    </w:tblStylePr>
    <w:tblStylePr w:type="lastRow">
      <w:rPr>
        <w:b/>
        <w:bCs/>
        <w:color w:val="3D3C42" w:themeColor="text2"/>
      </w:rPr>
      <w:tblPr/>
      <w:tcPr>
        <w:tcBorders>
          <w:top w:val="single" w:sz="8" w:space="0" w:color="821431" w:themeColor="accent6"/>
          <w:bottom w:val="single" w:sz="8" w:space="0" w:color="821431" w:themeColor="accent6"/>
        </w:tcBorders>
      </w:tcPr>
    </w:tblStylePr>
    <w:tblStylePr w:type="firstCol">
      <w:rPr>
        <w:b/>
        <w:bCs/>
      </w:rPr>
    </w:tblStylePr>
    <w:tblStylePr w:type="lastCol">
      <w:rPr>
        <w:b/>
        <w:bCs/>
      </w:rPr>
      <w:tblPr/>
      <w:tcPr>
        <w:tcBorders>
          <w:top w:val="single" w:sz="8" w:space="0" w:color="821431" w:themeColor="accent6"/>
          <w:bottom w:val="single" w:sz="8" w:space="0" w:color="821431" w:themeColor="accent6"/>
        </w:tcBorders>
      </w:tcPr>
    </w:tblStylePr>
    <w:tblStylePr w:type="band1Vert">
      <w:tblPr/>
      <w:tcPr>
        <w:shd w:val="clear" w:color="auto" w:fill="F3B1C2" w:themeFill="accent6" w:themeFillTint="3F"/>
      </w:tcPr>
    </w:tblStylePr>
    <w:tblStylePr w:type="band1Horz">
      <w:tblPr/>
      <w:tcPr>
        <w:shd w:val="clear" w:color="auto" w:fill="F3B1C2" w:themeFill="accent6" w:themeFillTint="3F"/>
      </w:tcPr>
    </w:tblStylePr>
  </w:style>
  <w:style w:type="table" w:styleId="MediumList2">
    <w:name w:val="Medium List 2"/>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47827E" w:themeColor="accent1"/>
        <w:left w:val="single" w:sz="8" w:space="0" w:color="47827E" w:themeColor="accent1"/>
        <w:bottom w:val="single" w:sz="8" w:space="0" w:color="47827E" w:themeColor="accent1"/>
        <w:right w:val="single" w:sz="8" w:space="0" w:color="47827E" w:themeColor="accent1"/>
      </w:tblBorders>
    </w:tblPr>
    <w:tblStylePr w:type="firstRow">
      <w:rPr>
        <w:sz w:val="24"/>
        <w:szCs w:val="24"/>
      </w:rPr>
      <w:tblPr/>
      <w:tcPr>
        <w:tcBorders>
          <w:top w:val="nil"/>
          <w:left w:val="nil"/>
          <w:bottom w:val="single" w:sz="24" w:space="0" w:color="47827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827E" w:themeColor="accent1"/>
          <w:insideH w:val="nil"/>
          <w:insideV w:val="nil"/>
        </w:tcBorders>
        <w:shd w:val="clear" w:color="auto" w:fill="FFFFFF" w:themeFill="background1"/>
      </w:tcPr>
    </w:tblStylePr>
    <w:tblStylePr w:type="lastCol">
      <w:tblPr/>
      <w:tcPr>
        <w:tcBorders>
          <w:top w:val="nil"/>
          <w:left w:val="single" w:sz="8" w:space="0" w:color="4782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4E2" w:themeFill="accent1" w:themeFillTint="3F"/>
      </w:tcPr>
    </w:tblStylePr>
    <w:tblStylePr w:type="band1Horz">
      <w:tblPr/>
      <w:tcPr>
        <w:tcBorders>
          <w:top w:val="nil"/>
          <w:bottom w:val="nil"/>
          <w:insideH w:val="nil"/>
          <w:insideV w:val="nil"/>
        </w:tcBorders>
        <w:shd w:val="clear" w:color="auto" w:fill="CDE4E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294549" w:themeColor="accent2"/>
        <w:left w:val="single" w:sz="8" w:space="0" w:color="294549" w:themeColor="accent2"/>
        <w:bottom w:val="single" w:sz="8" w:space="0" w:color="294549" w:themeColor="accent2"/>
        <w:right w:val="single" w:sz="8" w:space="0" w:color="294549" w:themeColor="accent2"/>
      </w:tblBorders>
    </w:tblPr>
    <w:tblStylePr w:type="firstRow">
      <w:rPr>
        <w:sz w:val="24"/>
        <w:szCs w:val="24"/>
      </w:rPr>
      <w:tblPr/>
      <w:tcPr>
        <w:tcBorders>
          <w:top w:val="nil"/>
          <w:left w:val="nil"/>
          <w:bottom w:val="single" w:sz="24" w:space="0" w:color="29454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4549" w:themeColor="accent2"/>
          <w:insideH w:val="nil"/>
          <w:insideV w:val="nil"/>
        </w:tcBorders>
        <w:shd w:val="clear" w:color="auto" w:fill="FFFFFF" w:themeFill="background1"/>
      </w:tcPr>
    </w:tblStylePr>
    <w:tblStylePr w:type="lastCol">
      <w:tblPr/>
      <w:tcPr>
        <w:tcBorders>
          <w:top w:val="nil"/>
          <w:left w:val="single" w:sz="8" w:space="0" w:color="29454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8DB" w:themeFill="accent2" w:themeFillTint="3F"/>
      </w:tcPr>
    </w:tblStylePr>
    <w:tblStylePr w:type="band1Horz">
      <w:tblPr/>
      <w:tcPr>
        <w:tcBorders>
          <w:top w:val="nil"/>
          <w:bottom w:val="nil"/>
          <w:insideH w:val="nil"/>
          <w:insideV w:val="nil"/>
        </w:tcBorders>
        <w:shd w:val="clear" w:color="auto" w:fill="C0D8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232F5D" w:themeColor="accent3"/>
        <w:left w:val="single" w:sz="8" w:space="0" w:color="232F5D" w:themeColor="accent3"/>
        <w:bottom w:val="single" w:sz="8" w:space="0" w:color="232F5D" w:themeColor="accent3"/>
        <w:right w:val="single" w:sz="8" w:space="0" w:color="232F5D" w:themeColor="accent3"/>
      </w:tblBorders>
    </w:tblPr>
    <w:tblStylePr w:type="firstRow">
      <w:rPr>
        <w:sz w:val="24"/>
        <w:szCs w:val="24"/>
      </w:rPr>
      <w:tblPr/>
      <w:tcPr>
        <w:tcBorders>
          <w:top w:val="nil"/>
          <w:left w:val="nil"/>
          <w:bottom w:val="single" w:sz="24" w:space="0" w:color="232F5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F5D" w:themeColor="accent3"/>
          <w:insideH w:val="nil"/>
          <w:insideV w:val="nil"/>
        </w:tcBorders>
        <w:shd w:val="clear" w:color="auto" w:fill="FFFFFF" w:themeFill="background1"/>
      </w:tcPr>
    </w:tblStylePr>
    <w:tblStylePr w:type="lastCol">
      <w:tblPr/>
      <w:tcPr>
        <w:tcBorders>
          <w:top w:val="nil"/>
          <w:left w:val="single" w:sz="8" w:space="0" w:color="232F5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C2E5" w:themeFill="accent3" w:themeFillTint="3F"/>
      </w:tcPr>
    </w:tblStylePr>
    <w:tblStylePr w:type="band1Horz">
      <w:tblPr/>
      <w:tcPr>
        <w:tcBorders>
          <w:top w:val="nil"/>
          <w:bottom w:val="nil"/>
          <w:insideH w:val="nil"/>
          <w:insideV w:val="nil"/>
        </w:tcBorders>
        <w:shd w:val="clear" w:color="auto" w:fill="BAC2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3D3C42" w:themeColor="accent4"/>
        <w:left w:val="single" w:sz="8" w:space="0" w:color="3D3C42" w:themeColor="accent4"/>
        <w:bottom w:val="single" w:sz="8" w:space="0" w:color="3D3C42" w:themeColor="accent4"/>
        <w:right w:val="single" w:sz="8" w:space="0" w:color="3D3C42" w:themeColor="accent4"/>
      </w:tblBorders>
    </w:tblPr>
    <w:tblStylePr w:type="firstRow">
      <w:rPr>
        <w:sz w:val="24"/>
        <w:szCs w:val="24"/>
      </w:rPr>
      <w:tblPr/>
      <w:tcPr>
        <w:tcBorders>
          <w:top w:val="nil"/>
          <w:left w:val="nil"/>
          <w:bottom w:val="single" w:sz="24" w:space="0" w:color="3D3C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3C42" w:themeColor="accent4"/>
          <w:insideH w:val="nil"/>
          <w:insideV w:val="nil"/>
        </w:tcBorders>
        <w:shd w:val="clear" w:color="auto" w:fill="FFFFFF" w:themeFill="background1"/>
      </w:tcPr>
    </w:tblStylePr>
    <w:tblStylePr w:type="lastCol">
      <w:tblPr/>
      <w:tcPr>
        <w:tcBorders>
          <w:top w:val="nil"/>
          <w:left w:val="single" w:sz="8" w:space="0" w:color="3D3C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DD1" w:themeFill="accent4" w:themeFillTint="3F"/>
      </w:tcPr>
    </w:tblStylePr>
    <w:tblStylePr w:type="band1Horz">
      <w:tblPr/>
      <w:tcPr>
        <w:tcBorders>
          <w:top w:val="nil"/>
          <w:bottom w:val="nil"/>
          <w:insideH w:val="nil"/>
          <w:insideV w:val="nil"/>
        </w:tcBorders>
        <w:shd w:val="clear" w:color="auto" w:fill="CDCD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DA5F4F" w:themeColor="accent5"/>
        <w:left w:val="single" w:sz="8" w:space="0" w:color="DA5F4F" w:themeColor="accent5"/>
        <w:bottom w:val="single" w:sz="8" w:space="0" w:color="DA5F4F" w:themeColor="accent5"/>
        <w:right w:val="single" w:sz="8" w:space="0" w:color="DA5F4F" w:themeColor="accent5"/>
      </w:tblBorders>
    </w:tblPr>
    <w:tblStylePr w:type="firstRow">
      <w:rPr>
        <w:sz w:val="24"/>
        <w:szCs w:val="24"/>
      </w:rPr>
      <w:tblPr/>
      <w:tcPr>
        <w:tcBorders>
          <w:top w:val="nil"/>
          <w:left w:val="nil"/>
          <w:bottom w:val="single" w:sz="24" w:space="0" w:color="DA5F4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5F4F" w:themeColor="accent5"/>
          <w:insideH w:val="nil"/>
          <w:insideV w:val="nil"/>
        </w:tcBorders>
        <w:shd w:val="clear" w:color="auto" w:fill="FFFFFF" w:themeFill="background1"/>
      </w:tcPr>
    </w:tblStylePr>
    <w:tblStylePr w:type="lastCol">
      <w:tblPr/>
      <w:tcPr>
        <w:tcBorders>
          <w:top w:val="nil"/>
          <w:left w:val="single" w:sz="8" w:space="0" w:color="DA5F4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7D3" w:themeFill="accent5" w:themeFillTint="3F"/>
      </w:tcPr>
    </w:tblStylePr>
    <w:tblStylePr w:type="band1Horz">
      <w:tblPr/>
      <w:tcPr>
        <w:tcBorders>
          <w:top w:val="nil"/>
          <w:bottom w:val="nil"/>
          <w:insideH w:val="nil"/>
          <w:insideV w:val="nil"/>
        </w:tcBorders>
        <w:shd w:val="clear" w:color="auto" w:fill="F6D7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C551E1"/>
    <w:rPr>
      <w:rFonts w:asciiTheme="majorHAnsi" w:eastAsiaTheme="majorEastAsia" w:hAnsiTheme="majorHAnsi" w:cstheme="majorBidi"/>
      <w:color w:val="000000" w:themeColor="text1"/>
    </w:rPr>
    <w:tblPr>
      <w:tblStyleRowBandSize w:val="1"/>
      <w:tblStyleColBandSize w:val="1"/>
      <w:tblBorders>
        <w:top w:val="single" w:sz="8" w:space="0" w:color="821431" w:themeColor="accent6"/>
        <w:left w:val="single" w:sz="8" w:space="0" w:color="821431" w:themeColor="accent6"/>
        <w:bottom w:val="single" w:sz="8" w:space="0" w:color="821431" w:themeColor="accent6"/>
        <w:right w:val="single" w:sz="8" w:space="0" w:color="821431" w:themeColor="accent6"/>
      </w:tblBorders>
    </w:tblPr>
    <w:tblStylePr w:type="firstRow">
      <w:rPr>
        <w:sz w:val="24"/>
        <w:szCs w:val="24"/>
      </w:rPr>
      <w:tblPr/>
      <w:tcPr>
        <w:tcBorders>
          <w:top w:val="nil"/>
          <w:left w:val="nil"/>
          <w:bottom w:val="single" w:sz="24" w:space="0" w:color="82143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1431" w:themeColor="accent6"/>
          <w:insideH w:val="nil"/>
          <w:insideV w:val="nil"/>
        </w:tcBorders>
        <w:shd w:val="clear" w:color="auto" w:fill="FFFFFF" w:themeFill="background1"/>
      </w:tcPr>
    </w:tblStylePr>
    <w:tblStylePr w:type="lastCol">
      <w:tblPr/>
      <w:tcPr>
        <w:tcBorders>
          <w:top w:val="nil"/>
          <w:left w:val="single" w:sz="8" w:space="0" w:color="82143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1C2" w:themeFill="accent6" w:themeFillTint="3F"/>
      </w:tcPr>
    </w:tblStylePr>
    <w:tblStylePr w:type="band1Horz">
      <w:tblPr/>
      <w:tcPr>
        <w:tcBorders>
          <w:top w:val="nil"/>
          <w:bottom w:val="nil"/>
          <w:insideH w:val="nil"/>
          <w:insideV w:val="nil"/>
        </w:tcBorders>
        <w:shd w:val="clear" w:color="auto" w:fill="F3B1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C551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C551E1"/>
    <w:tblPr>
      <w:tblStyleRowBandSize w:val="1"/>
      <w:tblStyleColBandSize w:val="1"/>
      <w:tblBorders>
        <w:top w:val="single" w:sz="8" w:space="0" w:color="69ADA8" w:themeColor="accent1" w:themeTint="BF"/>
        <w:left w:val="single" w:sz="8" w:space="0" w:color="69ADA8" w:themeColor="accent1" w:themeTint="BF"/>
        <w:bottom w:val="single" w:sz="8" w:space="0" w:color="69ADA8" w:themeColor="accent1" w:themeTint="BF"/>
        <w:right w:val="single" w:sz="8" w:space="0" w:color="69ADA8" w:themeColor="accent1" w:themeTint="BF"/>
        <w:insideH w:val="single" w:sz="8" w:space="0" w:color="69ADA8" w:themeColor="accent1" w:themeTint="BF"/>
      </w:tblBorders>
    </w:tblPr>
    <w:tblStylePr w:type="firstRow">
      <w:pPr>
        <w:spacing w:before="0" w:after="0" w:line="240" w:lineRule="auto"/>
      </w:pPr>
      <w:rPr>
        <w:b/>
        <w:bCs/>
        <w:color w:val="FFFFFF" w:themeColor="background1"/>
      </w:rPr>
      <w:tblPr/>
      <w:tcPr>
        <w:tcBorders>
          <w:top w:val="single" w:sz="8" w:space="0" w:color="69ADA8" w:themeColor="accent1" w:themeTint="BF"/>
          <w:left w:val="single" w:sz="8" w:space="0" w:color="69ADA8" w:themeColor="accent1" w:themeTint="BF"/>
          <w:bottom w:val="single" w:sz="8" w:space="0" w:color="69ADA8" w:themeColor="accent1" w:themeTint="BF"/>
          <w:right w:val="single" w:sz="8" w:space="0" w:color="69ADA8" w:themeColor="accent1" w:themeTint="BF"/>
          <w:insideH w:val="nil"/>
          <w:insideV w:val="nil"/>
        </w:tcBorders>
        <w:shd w:val="clear" w:color="auto" w:fill="47827E" w:themeFill="accent1"/>
      </w:tcPr>
    </w:tblStylePr>
    <w:tblStylePr w:type="lastRow">
      <w:pPr>
        <w:spacing w:before="0" w:after="0" w:line="240" w:lineRule="auto"/>
      </w:pPr>
      <w:rPr>
        <w:b/>
        <w:bCs/>
      </w:rPr>
      <w:tblPr/>
      <w:tcPr>
        <w:tcBorders>
          <w:top w:val="double" w:sz="6" w:space="0" w:color="69ADA8" w:themeColor="accent1" w:themeTint="BF"/>
          <w:left w:val="single" w:sz="8" w:space="0" w:color="69ADA8" w:themeColor="accent1" w:themeTint="BF"/>
          <w:bottom w:val="single" w:sz="8" w:space="0" w:color="69ADA8" w:themeColor="accent1" w:themeTint="BF"/>
          <w:right w:val="single" w:sz="8" w:space="0" w:color="69AD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4E2" w:themeFill="accent1" w:themeFillTint="3F"/>
      </w:tcPr>
    </w:tblStylePr>
    <w:tblStylePr w:type="band1Horz">
      <w:tblPr/>
      <w:tcPr>
        <w:tcBorders>
          <w:insideH w:val="nil"/>
          <w:insideV w:val="nil"/>
        </w:tcBorders>
        <w:shd w:val="clear" w:color="auto" w:fill="CDE4E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C551E1"/>
    <w:tblPr>
      <w:tblStyleRowBandSize w:val="1"/>
      <w:tblStyleColBandSize w:val="1"/>
      <w:tblBorders>
        <w:top w:val="single" w:sz="8" w:space="0" w:color="4C8188" w:themeColor="accent2" w:themeTint="BF"/>
        <w:left w:val="single" w:sz="8" w:space="0" w:color="4C8188" w:themeColor="accent2" w:themeTint="BF"/>
        <w:bottom w:val="single" w:sz="8" w:space="0" w:color="4C8188" w:themeColor="accent2" w:themeTint="BF"/>
        <w:right w:val="single" w:sz="8" w:space="0" w:color="4C8188" w:themeColor="accent2" w:themeTint="BF"/>
        <w:insideH w:val="single" w:sz="8" w:space="0" w:color="4C8188" w:themeColor="accent2" w:themeTint="BF"/>
      </w:tblBorders>
    </w:tblPr>
    <w:tblStylePr w:type="firstRow">
      <w:pPr>
        <w:spacing w:before="0" w:after="0" w:line="240" w:lineRule="auto"/>
      </w:pPr>
      <w:rPr>
        <w:b/>
        <w:bCs/>
        <w:color w:val="FFFFFF" w:themeColor="background1"/>
      </w:rPr>
      <w:tblPr/>
      <w:tcPr>
        <w:tcBorders>
          <w:top w:val="single" w:sz="8" w:space="0" w:color="4C8188" w:themeColor="accent2" w:themeTint="BF"/>
          <w:left w:val="single" w:sz="8" w:space="0" w:color="4C8188" w:themeColor="accent2" w:themeTint="BF"/>
          <w:bottom w:val="single" w:sz="8" w:space="0" w:color="4C8188" w:themeColor="accent2" w:themeTint="BF"/>
          <w:right w:val="single" w:sz="8" w:space="0" w:color="4C8188" w:themeColor="accent2" w:themeTint="BF"/>
          <w:insideH w:val="nil"/>
          <w:insideV w:val="nil"/>
        </w:tcBorders>
        <w:shd w:val="clear" w:color="auto" w:fill="294549" w:themeFill="accent2"/>
      </w:tcPr>
    </w:tblStylePr>
    <w:tblStylePr w:type="lastRow">
      <w:pPr>
        <w:spacing w:before="0" w:after="0" w:line="240" w:lineRule="auto"/>
      </w:pPr>
      <w:rPr>
        <w:b/>
        <w:bCs/>
      </w:rPr>
      <w:tblPr/>
      <w:tcPr>
        <w:tcBorders>
          <w:top w:val="double" w:sz="6" w:space="0" w:color="4C8188" w:themeColor="accent2" w:themeTint="BF"/>
          <w:left w:val="single" w:sz="8" w:space="0" w:color="4C8188" w:themeColor="accent2" w:themeTint="BF"/>
          <w:bottom w:val="single" w:sz="8" w:space="0" w:color="4C8188" w:themeColor="accent2" w:themeTint="BF"/>
          <w:right w:val="single" w:sz="8" w:space="0" w:color="4C81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D8DB" w:themeFill="accent2" w:themeFillTint="3F"/>
      </w:tcPr>
    </w:tblStylePr>
    <w:tblStylePr w:type="band1Horz">
      <w:tblPr/>
      <w:tcPr>
        <w:tcBorders>
          <w:insideH w:val="nil"/>
          <w:insideV w:val="nil"/>
        </w:tcBorders>
        <w:shd w:val="clear" w:color="auto" w:fill="C0D8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C551E1"/>
    <w:tblPr>
      <w:tblStyleRowBandSize w:val="1"/>
      <w:tblStyleColBandSize w:val="1"/>
      <w:tblBorders>
        <w:top w:val="single" w:sz="8" w:space="0" w:color="3D51A2" w:themeColor="accent3" w:themeTint="BF"/>
        <w:left w:val="single" w:sz="8" w:space="0" w:color="3D51A2" w:themeColor="accent3" w:themeTint="BF"/>
        <w:bottom w:val="single" w:sz="8" w:space="0" w:color="3D51A2" w:themeColor="accent3" w:themeTint="BF"/>
        <w:right w:val="single" w:sz="8" w:space="0" w:color="3D51A2" w:themeColor="accent3" w:themeTint="BF"/>
        <w:insideH w:val="single" w:sz="8" w:space="0" w:color="3D51A2" w:themeColor="accent3" w:themeTint="BF"/>
      </w:tblBorders>
    </w:tblPr>
    <w:tblStylePr w:type="firstRow">
      <w:pPr>
        <w:spacing w:before="0" w:after="0" w:line="240" w:lineRule="auto"/>
      </w:pPr>
      <w:rPr>
        <w:b/>
        <w:bCs/>
        <w:color w:val="FFFFFF" w:themeColor="background1"/>
      </w:rPr>
      <w:tblPr/>
      <w:tcPr>
        <w:tcBorders>
          <w:top w:val="single" w:sz="8" w:space="0" w:color="3D51A2" w:themeColor="accent3" w:themeTint="BF"/>
          <w:left w:val="single" w:sz="8" w:space="0" w:color="3D51A2" w:themeColor="accent3" w:themeTint="BF"/>
          <w:bottom w:val="single" w:sz="8" w:space="0" w:color="3D51A2" w:themeColor="accent3" w:themeTint="BF"/>
          <w:right w:val="single" w:sz="8" w:space="0" w:color="3D51A2" w:themeColor="accent3" w:themeTint="BF"/>
          <w:insideH w:val="nil"/>
          <w:insideV w:val="nil"/>
        </w:tcBorders>
        <w:shd w:val="clear" w:color="auto" w:fill="232F5D" w:themeFill="accent3"/>
      </w:tcPr>
    </w:tblStylePr>
    <w:tblStylePr w:type="lastRow">
      <w:pPr>
        <w:spacing w:before="0" w:after="0" w:line="240" w:lineRule="auto"/>
      </w:pPr>
      <w:rPr>
        <w:b/>
        <w:bCs/>
      </w:rPr>
      <w:tblPr/>
      <w:tcPr>
        <w:tcBorders>
          <w:top w:val="double" w:sz="6" w:space="0" w:color="3D51A2" w:themeColor="accent3" w:themeTint="BF"/>
          <w:left w:val="single" w:sz="8" w:space="0" w:color="3D51A2" w:themeColor="accent3" w:themeTint="BF"/>
          <w:bottom w:val="single" w:sz="8" w:space="0" w:color="3D51A2" w:themeColor="accent3" w:themeTint="BF"/>
          <w:right w:val="single" w:sz="8" w:space="0" w:color="3D51A2"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C2E5" w:themeFill="accent3" w:themeFillTint="3F"/>
      </w:tcPr>
    </w:tblStylePr>
    <w:tblStylePr w:type="band1Horz">
      <w:tblPr/>
      <w:tcPr>
        <w:tcBorders>
          <w:insideH w:val="nil"/>
          <w:insideV w:val="nil"/>
        </w:tcBorders>
        <w:shd w:val="clear" w:color="auto" w:fill="BAC2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C551E1"/>
    <w:tblPr>
      <w:tblStyleRowBandSize w:val="1"/>
      <w:tblStyleColBandSize w:val="1"/>
      <w:tblBorders>
        <w:top w:val="single" w:sz="8" w:space="0" w:color="6B6A74" w:themeColor="accent4" w:themeTint="BF"/>
        <w:left w:val="single" w:sz="8" w:space="0" w:color="6B6A74" w:themeColor="accent4" w:themeTint="BF"/>
        <w:bottom w:val="single" w:sz="8" w:space="0" w:color="6B6A74" w:themeColor="accent4" w:themeTint="BF"/>
        <w:right w:val="single" w:sz="8" w:space="0" w:color="6B6A74" w:themeColor="accent4" w:themeTint="BF"/>
        <w:insideH w:val="single" w:sz="8" w:space="0" w:color="6B6A74" w:themeColor="accent4" w:themeTint="BF"/>
      </w:tblBorders>
    </w:tblPr>
    <w:tblStylePr w:type="firstRow">
      <w:pPr>
        <w:spacing w:before="0" w:after="0" w:line="240" w:lineRule="auto"/>
      </w:pPr>
      <w:rPr>
        <w:b/>
        <w:bCs/>
        <w:color w:val="FFFFFF" w:themeColor="background1"/>
      </w:rPr>
      <w:tblPr/>
      <w:tcPr>
        <w:tcBorders>
          <w:top w:val="single" w:sz="8" w:space="0" w:color="6B6A74" w:themeColor="accent4" w:themeTint="BF"/>
          <w:left w:val="single" w:sz="8" w:space="0" w:color="6B6A74" w:themeColor="accent4" w:themeTint="BF"/>
          <w:bottom w:val="single" w:sz="8" w:space="0" w:color="6B6A74" w:themeColor="accent4" w:themeTint="BF"/>
          <w:right w:val="single" w:sz="8" w:space="0" w:color="6B6A74" w:themeColor="accent4" w:themeTint="BF"/>
          <w:insideH w:val="nil"/>
          <w:insideV w:val="nil"/>
        </w:tcBorders>
        <w:shd w:val="clear" w:color="auto" w:fill="3D3C42" w:themeFill="accent4"/>
      </w:tcPr>
    </w:tblStylePr>
    <w:tblStylePr w:type="lastRow">
      <w:pPr>
        <w:spacing w:before="0" w:after="0" w:line="240" w:lineRule="auto"/>
      </w:pPr>
      <w:rPr>
        <w:b/>
        <w:bCs/>
      </w:rPr>
      <w:tblPr/>
      <w:tcPr>
        <w:tcBorders>
          <w:top w:val="double" w:sz="6" w:space="0" w:color="6B6A74" w:themeColor="accent4" w:themeTint="BF"/>
          <w:left w:val="single" w:sz="8" w:space="0" w:color="6B6A74" w:themeColor="accent4" w:themeTint="BF"/>
          <w:bottom w:val="single" w:sz="8" w:space="0" w:color="6B6A74" w:themeColor="accent4" w:themeTint="BF"/>
          <w:right w:val="single" w:sz="8" w:space="0" w:color="6B6A7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CDD1" w:themeFill="accent4" w:themeFillTint="3F"/>
      </w:tcPr>
    </w:tblStylePr>
    <w:tblStylePr w:type="band1Horz">
      <w:tblPr/>
      <w:tcPr>
        <w:tcBorders>
          <w:insideH w:val="nil"/>
          <w:insideV w:val="nil"/>
        </w:tcBorders>
        <w:shd w:val="clear" w:color="auto" w:fill="CDCD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C551E1"/>
    <w:tblPr>
      <w:tblStyleRowBandSize w:val="1"/>
      <w:tblStyleColBandSize w:val="1"/>
      <w:tblBorders>
        <w:top w:val="single" w:sz="8" w:space="0" w:color="E3867B" w:themeColor="accent5" w:themeTint="BF"/>
        <w:left w:val="single" w:sz="8" w:space="0" w:color="E3867B" w:themeColor="accent5" w:themeTint="BF"/>
        <w:bottom w:val="single" w:sz="8" w:space="0" w:color="E3867B" w:themeColor="accent5" w:themeTint="BF"/>
        <w:right w:val="single" w:sz="8" w:space="0" w:color="E3867B" w:themeColor="accent5" w:themeTint="BF"/>
        <w:insideH w:val="single" w:sz="8" w:space="0" w:color="E3867B" w:themeColor="accent5" w:themeTint="BF"/>
      </w:tblBorders>
    </w:tblPr>
    <w:tblStylePr w:type="firstRow">
      <w:pPr>
        <w:spacing w:before="0" w:after="0" w:line="240" w:lineRule="auto"/>
      </w:pPr>
      <w:rPr>
        <w:b/>
        <w:bCs/>
        <w:color w:val="FFFFFF" w:themeColor="background1"/>
      </w:rPr>
      <w:tblPr/>
      <w:tcPr>
        <w:tcBorders>
          <w:top w:val="single" w:sz="8" w:space="0" w:color="E3867B" w:themeColor="accent5" w:themeTint="BF"/>
          <w:left w:val="single" w:sz="8" w:space="0" w:color="E3867B" w:themeColor="accent5" w:themeTint="BF"/>
          <w:bottom w:val="single" w:sz="8" w:space="0" w:color="E3867B" w:themeColor="accent5" w:themeTint="BF"/>
          <w:right w:val="single" w:sz="8" w:space="0" w:color="E3867B" w:themeColor="accent5" w:themeTint="BF"/>
          <w:insideH w:val="nil"/>
          <w:insideV w:val="nil"/>
        </w:tcBorders>
        <w:shd w:val="clear" w:color="auto" w:fill="DA5F4F" w:themeFill="accent5"/>
      </w:tcPr>
    </w:tblStylePr>
    <w:tblStylePr w:type="lastRow">
      <w:pPr>
        <w:spacing w:before="0" w:after="0" w:line="240" w:lineRule="auto"/>
      </w:pPr>
      <w:rPr>
        <w:b/>
        <w:bCs/>
      </w:rPr>
      <w:tblPr/>
      <w:tcPr>
        <w:tcBorders>
          <w:top w:val="double" w:sz="6" w:space="0" w:color="E3867B" w:themeColor="accent5" w:themeTint="BF"/>
          <w:left w:val="single" w:sz="8" w:space="0" w:color="E3867B" w:themeColor="accent5" w:themeTint="BF"/>
          <w:bottom w:val="single" w:sz="8" w:space="0" w:color="E3867B" w:themeColor="accent5" w:themeTint="BF"/>
          <w:right w:val="single" w:sz="8" w:space="0" w:color="E3867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D7D3" w:themeFill="accent5" w:themeFillTint="3F"/>
      </w:tcPr>
    </w:tblStylePr>
    <w:tblStylePr w:type="band1Horz">
      <w:tblPr/>
      <w:tcPr>
        <w:tcBorders>
          <w:insideH w:val="nil"/>
          <w:insideV w:val="nil"/>
        </w:tcBorders>
        <w:shd w:val="clear" w:color="auto" w:fill="F6D7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C551E1"/>
    <w:tblPr>
      <w:tblStyleRowBandSize w:val="1"/>
      <w:tblStyleColBandSize w:val="1"/>
      <w:tblBorders>
        <w:top w:val="single" w:sz="8" w:space="0" w:color="D0204E" w:themeColor="accent6" w:themeTint="BF"/>
        <w:left w:val="single" w:sz="8" w:space="0" w:color="D0204E" w:themeColor="accent6" w:themeTint="BF"/>
        <w:bottom w:val="single" w:sz="8" w:space="0" w:color="D0204E" w:themeColor="accent6" w:themeTint="BF"/>
        <w:right w:val="single" w:sz="8" w:space="0" w:color="D0204E" w:themeColor="accent6" w:themeTint="BF"/>
        <w:insideH w:val="single" w:sz="8" w:space="0" w:color="D0204E" w:themeColor="accent6" w:themeTint="BF"/>
      </w:tblBorders>
    </w:tblPr>
    <w:tblStylePr w:type="firstRow">
      <w:pPr>
        <w:spacing w:before="0" w:after="0" w:line="240" w:lineRule="auto"/>
      </w:pPr>
      <w:rPr>
        <w:b/>
        <w:bCs/>
        <w:color w:val="FFFFFF" w:themeColor="background1"/>
      </w:rPr>
      <w:tblPr/>
      <w:tcPr>
        <w:tcBorders>
          <w:top w:val="single" w:sz="8" w:space="0" w:color="D0204E" w:themeColor="accent6" w:themeTint="BF"/>
          <w:left w:val="single" w:sz="8" w:space="0" w:color="D0204E" w:themeColor="accent6" w:themeTint="BF"/>
          <w:bottom w:val="single" w:sz="8" w:space="0" w:color="D0204E" w:themeColor="accent6" w:themeTint="BF"/>
          <w:right w:val="single" w:sz="8" w:space="0" w:color="D0204E" w:themeColor="accent6" w:themeTint="BF"/>
          <w:insideH w:val="nil"/>
          <w:insideV w:val="nil"/>
        </w:tcBorders>
        <w:shd w:val="clear" w:color="auto" w:fill="821431" w:themeFill="accent6"/>
      </w:tcPr>
    </w:tblStylePr>
    <w:tblStylePr w:type="lastRow">
      <w:pPr>
        <w:spacing w:before="0" w:after="0" w:line="240" w:lineRule="auto"/>
      </w:pPr>
      <w:rPr>
        <w:b/>
        <w:bCs/>
      </w:rPr>
      <w:tblPr/>
      <w:tcPr>
        <w:tcBorders>
          <w:top w:val="double" w:sz="6" w:space="0" w:color="D0204E" w:themeColor="accent6" w:themeTint="BF"/>
          <w:left w:val="single" w:sz="8" w:space="0" w:color="D0204E" w:themeColor="accent6" w:themeTint="BF"/>
          <w:bottom w:val="single" w:sz="8" w:space="0" w:color="D0204E" w:themeColor="accent6" w:themeTint="BF"/>
          <w:right w:val="single" w:sz="8" w:space="0" w:color="D0204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B1C2" w:themeFill="accent6" w:themeFillTint="3F"/>
      </w:tcPr>
    </w:tblStylePr>
    <w:tblStylePr w:type="band1Horz">
      <w:tblPr/>
      <w:tcPr>
        <w:tcBorders>
          <w:insideH w:val="nil"/>
          <w:insideV w:val="nil"/>
        </w:tcBorders>
        <w:shd w:val="clear" w:color="auto" w:fill="F3B1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82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827E" w:themeFill="accent1"/>
      </w:tcPr>
    </w:tblStylePr>
    <w:tblStylePr w:type="lastCol">
      <w:rPr>
        <w:b/>
        <w:bCs/>
        <w:color w:val="FFFFFF" w:themeColor="background1"/>
      </w:rPr>
      <w:tblPr/>
      <w:tcPr>
        <w:tcBorders>
          <w:left w:val="nil"/>
          <w:right w:val="nil"/>
          <w:insideH w:val="nil"/>
          <w:insideV w:val="nil"/>
        </w:tcBorders>
        <w:shd w:val="clear" w:color="auto" w:fill="4782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454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4549" w:themeFill="accent2"/>
      </w:tcPr>
    </w:tblStylePr>
    <w:tblStylePr w:type="lastCol">
      <w:rPr>
        <w:b/>
        <w:bCs/>
        <w:color w:val="FFFFFF" w:themeColor="background1"/>
      </w:rPr>
      <w:tblPr/>
      <w:tcPr>
        <w:tcBorders>
          <w:left w:val="nil"/>
          <w:right w:val="nil"/>
          <w:insideH w:val="nil"/>
          <w:insideV w:val="nil"/>
        </w:tcBorders>
        <w:shd w:val="clear" w:color="auto" w:fill="29454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F5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2F5D" w:themeFill="accent3"/>
      </w:tcPr>
    </w:tblStylePr>
    <w:tblStylePr w:type="lastCol">
      <w:rPr>
        <w:b/>
        <w:bCs/>
        <w:color w:val="FFFFFF" w:themeColor="background1"/>
      </w:rPr>
      <w:tblPr/>
      <w:tcPr>
        <w:tcBorders>
          <w:left w:val="nil"/>
          <w:right w:val="nil"/>
          <w:insideH w:val="nil"/>
          <w:insideV w:val="nil"/>
        </w:tcBorders>
        <w:shd w:val="clear" w:color="auto" w:fill="232F5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3C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3C42" w:themeFill="accent4"/>
      </w:tcPr>
    </w:tblStylePr>
    <w:tblStylePr w:type="lastCol">
      <w:rPr>
        <w:b/>
        <w:bCs/>
        <w:color w:val="FFFFFF" w:themeColor="background1"/>
      </w:rPr>
      <w:tblPr/>
      <w:tcPr>
        <w:tcBorders>
          <w:left w:val="nil"/>
          <w:right w:val="nil"/>
          <w:insideH w:val="nil"/>
          <w:insideV w:val="nil"/>
        </w:tcBorders>
        <w:shd w:val="clear" w:color="auto" w:fill="3D3C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5F4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A5F4F" w:themeFill="accent5"/>
      </w:tcPr>
    </w:tblStylePr>
    <w:tblStylePr w:type="lastCol">
      <w:rPr>
        <w:b/>
        <w:bCs/>
        <w:color w:val="FFFFFF" w:themeColor="background1"/>
      </w:rPr>
      <w:tblPr/>
      <w:tcPr>
        <w:tcBorders>
          <w:left w:val="nil"/>
          <w:right w:val="nil"/>
          <w:insideH w:val="nil"/>
          <w:insideV w:val="nil"/>
        </w:tcBorders>
        <w:shd w:val="clear" w:color="auto" w:fill="DA5F4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C551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143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1431" w:themeFill="accent6"/>
      </w:tcPr>
    </w:tblStylePr>
    <w:tblStylePr w:type="lastCol">
      <w:rPr>
        <w:b/>
        <w:bCs/>
        <w:color w:val="FFFFFF" w:themeColor="background1"/>
      </w:rPr>
      <w:tblPr/>
      <w:tcPr>
        <w:tcBorders>
          <w:left w:val="nil"/>
          <w:right w:val="nil"/>
          <w:insideH w:val="nil"/>
          <w:insideV w:val="nil"/>
        </w:tcBorders>
        <w:shd w:val="clear" w:color="auto" w:fill="82143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semiHidden/>
    <w:rsid w:val="00C551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C551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C551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C551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C551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locked/>
    <w:rsid w:val="00C551E1"/>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C551E1"/>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C551E1"/>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C551E1"/>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C551E1"/>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C551E1"/>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C551E1"/>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C551E1"/>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C551E1"/>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C551E1"/>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C551E1"/>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C551E1"/>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C551E1"/>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C551E1"/>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C551E1"/>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C551E1"/>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C551E1"/>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C551E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C551E1"/>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C551E1"/>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C551E1"/>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C551E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C551E1"/>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C551E1"/>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C551E1"/>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semiHidden/>
    <w:rsid w:val="00C551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C551E1"/>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C551E1"/>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C551E1"/>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C551E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C551E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C551E1"/>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C551E1"/>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C551E1"/>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C551E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C551E1"/>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C551E1"/>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C551E1"/>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C551E1"/>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C551E1"/>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C551E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C551E1"/>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C551E1"/>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C551E1"/>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locked/>
    <w:rsid w:val="001954D2"/>
    <w:pPr>
      <w:keepNext/>
      <w:spacing w:before="240" w:after="120"/>
      <w:ind w:left="1134" w:hanging="1134"/>
    </w:pPr>
    <w:rPr>
      <w:rFonts w:asciiTheme="minorHAnsi" w:eastAsiaTheme="minorEastAsia" w:hAnsiTheme="minorHAnsi" w:cstheme="minorBidi"/>
      <w:b/>
      <w:bCs/>
      <w:color w:val="3D3C42" w:themeColor="text2"/>
      <w:sz w:val="18"/>
      <w:szCs w:val="22"/>
    </w:rPr>
  </w:style>
  <w:style w:type="paragraph" w:customStyle="1" w:styleId="Source">
    <w:name w:val="Source"/>
    <w:basedOn w:val="Normal"/>
    <w:uiPriority w:val="6"/>
    <w:rsid w:val="00774A66"/>
    <w:pPr>
      <w:spacing w:before="120" w:after="360"/>
      <w:contextualSpacing/>
    </w:pPr>
    <w:rPr>
      <w:rFonts w:asciiTheme="minorHAnsi" w:eastAsiaTheme="minorEastAsia" w:hAnsiTheme="minorHAnsi" w:cstheme="minorBidi"/>
      <w:bCs/>
      <w:noProof/>
      <w:sz w:val="16"/>
      <w:szCs w:val="22"/>
    </w:rPr>
  </w:style>
  <w:style w:type="paragraph" w:customStyle="1" w:styleId="SignOffSender">
    <w:name w:val="Sign Off Sender"/>
    <w:basedOn w:val="SignOff"/>
    <w:uiPriority w:val="9"/>
    <w:semiHidden/>
    <w:rsid w:val="009C2F02"/>
    <w:pPr>
      <w:spacing w:before="0" w:line="200" w:lineRule="atLeast"/>
    </w:pPr>
    <w:rPr>
      <w:rFonts w:asciiTheme="majorHAnsi" w:hAnsiTheme="majorHAnsi"/>
      <w:caps/>
    </w:rPr>
  </w:style>
  <w:style w:type="paragraph" w:customStyle="1" w:styleId="DocumentTitle">
    <w:name w:val="Document Title"/>
    <w:uiPriority w:val="9"/>
    <w:semiHidden/>
    <w:rsid w:val="0078267A"/>
    <w:pPr>
      <w:spacing w:line="280" w:lineRule="atLeast"/>
      <w:ind w:right="1021"/>
      <w:jc w:val="center"/>
    </w:pPr>
    <w:rPr>
      <w:rFonts w:cs="Century Gothic"/>
      <w:caps/>
      <w:noProof/>
      <w:color w:val="47827E" w:themeColor="accent1"/>
      <w:lang w:eastAsia="en-AU"/>
    </w:rPr>
  </w:style>
  <w:style w:type="character" w:customStyle="1" w:styleId="A-GOOD">
    <w:name w:val="A-GOOD"/>
    <w:basedOn w:val="A-ADEQUATE"/>
    <w:uiPriority w:val="1"/>
    <w:qFormat/>
    <w:rsid w:val="00530188"/>
    <w:rPr>
      <w:b/>
      <w:color w:val="FFFFFF" w:themeColor="background1"/>
      <w:bdr w:val="single" w:sz="24" w:space="0" w:color="47827E" w:themeColor="accent1"/>
      <w:shd w:val="clear" w:color="auto" w:fill="47827E" w:themeFill="accent1"/>
    </w:rPr>
  </w:style>
  <w:style w:type="table" w:styleId="GridTable1Light-Accent2">
    <w:name w:val="Grid Table 1 Light Accent 2"/>
    <w:basedOn w:val="TableNormal"/>
    <w:uiPriority w:val="46"/>
    <w:rsid w:val="00A449FF"/>
    <w:tblPr>
      <w:tblStyleRowBandSize w:val="1"/>
      <w:tblStyleColBandSize w:val="1"/>
      <w:tblBorders>
        <w:top w:val="single" w:sz="4" w:space="0" w:color="99C0C6" w:themeColor="accent2" w:themeTint="66"/>
        <w:left w:val="single" w:sz="4" w:space="0" w:color="99C0C6" w:themeColor="accent2" w:themeTint="66"/>
        <w:bottom w:val="single" w:sz="4" w:space="0" w:color="99C0C6" w:themeColor="accent2" w:themeTint="66"/>
        <w:right w:val="single" w:sz="4" w:space="0" w:color="99C0C6" w:themeColor="accent2" w:themeTint="66"/>
        <w:insideH w:val="single" w:sz="4" w:space="0" w:color="99C0C6" w:themeColor="accent2" w:themeTint="66"/>
        <w:insideV w:val="single" w:sz="4" w:space="0" w:color="99C0C6" w:themeColor="accent2" w:themeTint="66"/>
      </w:tblBorders>
    </w:tblPr>
    <w:tblStylePr w:type="firstRow">
      <w:rPr>
        <w:b/>
        <w:bCs/>
      </w:rPr>
      <w:tblPr/>
      <w:tcPr>
        <w:tcBorders>
          <w:bottom w:val="single" w:sz="12" w:space="0" w:color="66A1A9" w:themeColor="accent2" w:themeTint="99"/>
        </w:tcBorders>
      </w:tcPr>
    </w:tblStylePr>
    <w:tblStylePr w:type="lastRow">
      <w:rPr>
        <w:b/>
        <w:bCs/>
      </w:rPr>
      <w:tblPr/>
      <w:tcPr>
        <w:tcBorders>
          <w:top w:val="double" w:sz="2" w:space="0" w:color="66A1A9" w:themeColor="accent2" w:themeTint="99"/>
        </w:tcBorders>
      </w:tcPr>
    </w:tblStylePr>
    <w:tblStylePr w:type="firstCol">
      <w:rPr>
        <w:b/>
        <w:bCs/>
      </w:rPr>
    </w:tblStylePr>
    <w:tblStylePr w:type="lastCol">
      <w:rPr>
        <w:b/>
        <w:bCs/>
      </w:rPr>
    </w:tblStylePr>
  </w:style>
  <w:style w:type="character" w:customStyle="1" w:styleId="A-CHALLENGING">
    <w:name w:val="A-CHALLENGING"/>
    <w:basedOn w:val="A-EXCELLENT"/>
    <w:uiPriority w:val="1"/>
    <w:qFormat/>
    <w:rsid w:val="00530188"/>
    <w:rPr>
      <w:b/>
      <w:color w:val="auto"/>
      <w:bdr w:val="single" w:sz="24" w:space="0" w:color="F0BEB8" w:themeColor="accent5" w:themeTint="66"/>
      <w:shd w:val="clear" w:color="auto" w:fill="F0BEB8" w:themeFill="accent5" w:themeFillTint="66"/>
    </w:rPr>
  </w:style>
  <w:style w:type="paragraph" w:styleId="TOC3">
    <w:name w:val="toc 3"/>
    <w:basedOn w:val="Normal"/>
    <w:next w:val="Normal"/>
    <w:autoRedefine/>
    <w:uiPriority w:val="39"/>
    <w:locked/>
    <w:rsid w:val="003771CE"/>
    <w:pPr>
      <w:tabs>
        <w:tab w:val="right" w:leader="dot" w:pos="10204"/>
      </w:tabs>
      <w:spacing w:before="40" w:after="120"/>
      <w:ind w:left="567" w:hanging="567"/>
    </w:pPr>
    <w:rPr>
      <w:rFonts w:asciiTheme="minorHAnsi" w:eastAsiaTheme="minorEastAsia" w:hAnsiTheme="minorHAnsi" w:cstheme="minorBidi"/>
      <w:i/>
      <w:sz w:val="22"/>
      <w:szCs w:val="22"/>
    </w:rPr>
  </w:style>
  <w:style w:type="paragraph" w:customStyle="1" w:styleId="SourceNotes">
    <w:name w:val="Source Notes"/>
    <w:basedOn w:val="Normal"/>
    <w:uiPriority w:val="19"/>
    <w:semiHidden/>
    <w:rsid w:val="002F0583"/>
    <w:pPr>
      <w:spacing w:before="40" w:after="120"/>
    </w:pPr>
    <w:rPr>
      <w:rFonts w:asciiTheme="minorHAnsi" w:eastAsiaTheme="minorEastAsia" w:hAnsiTheme="minorHAnsi" w:cstheme="minorBidi"/>
      <w:i/>
      <w:sz w:val="16"/>
      <w:szCs w:val="22"/>
    </w:rPr>
  </w:style>
  <w:style w:type="table" w:styleId="GridTable1Light">
    <w:name w:val="Grid Table 1 Light"/>
    <w:basedOn w:val="TableNormal"/>
    <w:uiPriority w:val="46"/>
    <w:rsid w:val="00776A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76AC3"/>
    <w:tblPr>
      <w:tblStyleRowBandSize w:val="1"/>
      <w:tblStyleColBandSize w:val="1"/>
      <w:tblBorders>
        <w:top w:val="single" w:sz="4" w:space="0" w:color="AFD3D0" w:themeColor="accent1" w:themeTint="66"/>
        <w:left w:val="single" w:sz="4" w:space="0" w:color="AFD3D0" w:themeColor="accent1" w:themeTint="66"/>
        <w:bottom w:val="single" w:sz="4" w:space="0" w:color="AFD3D0" w:themeColor="accent1" w:themeTint="66"/>
        <w:right w:val="single" w:sz="4" w:space="0" w:color="AFD3D0" w:themeColor="accent1" w:themeTint="66"/>
        <w:insideH w:val="single" w:sz="4" w:space="0" w:color="AFD3D0" w:themeColor="accent1" w:themeTint="66"/>
        <w:insideV w:val="single" w:sz="4" w:space="0" w:color="AFD3D0" w:themeColor="accent1" w:themeTint="66"/>
      </w:tblBorders>
    </w:tblPr>
    <w:tblStylePr w:type="firstRow">
      <w:rPr>
        <w:b/>
        <w:bCs/>
      </w:rPr>
      <w:tblPr/>
      <w:tcPr>
        <w:tcBorders>
          <w:bottom w:val="single" w:sz="12" w:space="0" w:color="86BDB9" w:themeColor="accent1" w:themeTint="99"/>
        </w:tcBorders>
      </w:tcPr>
    </w:tblStylePr>
    <w:tblStylePr w:type="lastRow">
      <w:rPr>
        <w:b/>
        <w:bCs/>
      </w:rPr>
      <w:tblPr/>
      <w:tcPr>
        <w:tcBorders>
          <w:top w:val="double" w:sz="2" w:space="0" w:color="86BDB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76AC3"/>
    <w:tblPr>
      <w:tblStyleRowBandSize w:val="1"/>
      <w:tblStyleColBandSize w:val="1"/>
      <w:tblBorders>
        <w:top w:val="single" w:sz="4" w:space="0" w:color="8F9DD5" w:themeColor="accent3" w:themeTint="66"/>
        <w:left w:val="single" w:sz="4" w:space="0" w:color="8F9DD5" w:themeColor="accent3" w:themeTint="66"/>
        <w:bottom w:val="single" w:sz="4" w:space="0" w:color="8F9DD5" w:themeColor="accent3" w:themeTint="66"/>
        <w:right w:val="single" w:sz="4" w:space="0" w:color="8F9DD5" w:themeColor="accent3" w:themeTint="66"/>
        <w:insideH w:val="single" w:sz="4" w:space="0" w:color="8F9DD5" w:themeColor="accent3" w:themeTint="66"/>
        <w:insideV w:val="single" w:sz="4" w:space="0" w:color="8F9DD5" w:themeColor="accent3" w:themeTint="66"/>
      </w:tblBorders>
    </w:tblPr>
    <w:tblStylePr w:type="firstRow">
      <w:rPr>
        <w:b/>
        <w:bCs/>
      </w:rPr>
      <w:tblPr/>
      <w:tcPr>
        <w:tcBorders>
          <w:bottom w:val="single" w:sz="12" w:space="0" w:color="586DC0" w:themeColor="accent3" w:themeTint="99"/>
        </w:tcBorders>
      </w:tcPr>
    </w:tblStylePr>
    <w:tblStylePr w:type="lastRow">
      <w:rPr>
        <w:b/>
        <w:bCs/>
      </w:rPr>
      <w:tblPr/>
      <w:tcPr>
        <w:tcBorders>
          <w:top w:val="double" w:sz="2" w:space="0" w:color="586D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76AC3"/>
    <w:tblPr>
      <w:tblStyleRowBandSize w:val="1"/>
      <w:tblStyleColBandSize w:val="1"/>
      <w:tblBorders>
        <w:top w:val="single" w:sz="4" w:space="0" w:color="AFAEB5" w:themeColor="accent4" w:themeTint="66"/>
        <w:left w:val="single" w:sz="4" w:space="0" w:color="AFAEB5" w:themeColor="accent4" w:themeTint="66"/>
        <w:bottom w:val="single" w:sz="4" w:space="0" w:color="AFAEB5" w:themeColor="accent4" w:themeTint="66"/>
        <w:right w:val="single" w:sz="4" w:space="0" w:color="AFAEB5" w:themeColor="accent4" w:themeTint="66"/>
        <w:insideH w:val="single" w:sz="4" w:space="0" w:color="AFAEB5" w:themeColor="accent4" w:themeTint="66"/>
        <w:insideV w:val="single" w:sz="4" w:space="0" w:color="AFAEB5" w:themeColor="accent4" w:themeTint="66"/>
      </w:tblBorders>
    </w:tblPr>
    <w:tblStylePr w:type="firstRow">
      <w:rPr>
        <w:b/>
        <w:bCs/>
      </w:rPr>
      <w:tblPr/>
      <w:tcPr>
        <w:tcBorders>
          <w:bottom w:val="single" w:sz="12" w:space="0" w:color="878691" w:themeColor="accent4" w:themeTint="99"/>
        </w:tcBorders>
      </w:tcPr>
    </w:tblStylePr>
    <w:tblStylePr w:type="lastRow">
      <w:rPr>
        <w:b/>
        <w:bCs/>
      </w:rPr>
      <w:tblPr/>
      <w:tcPr>
        <w:tcBorders>
          <w:top w:val="double" w:sz="2" w:space="0" w:color="87869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76AC3"/>
    <w:tblPr>
      <w:tblStyleRowBandSize w:val="1"/>
      <w:tblStyleColBandSize w:val="1"/>
      <w:tblBorders>
        <w:top w:val="single" w:sz="4" w:space="0" w:color="F0BEB8" w:themeColor="accent5" w:themeTint="66"/>
        <w:left w:val="single" w:sz="4" w:space="0" w:color="F0BEB8" w:themeColor="accent5" w:themeTint="66"/>
        <w:bottom w:val="single" w:sz="4" w:space="0" w:color="F0BEB8" w:themeColor="accent5" w:themeTint="66"/>
        <w:right w:val="single" w:sz="4" w:space="0" w:color="F0BEB8" w:themeColor="accent5" w:themeTint="66"/>
        <w:insideH w:val="single" w:sz="4" w:space="0" w:color="F0BEB8" w:themeColor="accent5" w:themeTint="66"/>
        <w:insideV w:val="single" w:sz="4" w:space="0" w:color="F0BEB8" w:themeColor="accent5" w:themeTint="66"/>
      </w:tblBorders>
    </w:tblPr>
    <w:tblStylePr w:type="firstRow">
      <w:rPr>
        <w:b/>
        <w:bCs/>
      </w:rPr>
      <w:tblPr/>
      <w:tcPr>
        <w:tcBorders>
          <w:bottom w:val="single" w:sz="12" w:space="0" w:color="E89E95" w:themeColor="accent5" w:themeTint="99"/>
        </w:tcBorders>
      </w:tcPr>
    </w:tblStylePr>
    <w:tblStylePr w:type="lastRow">
      <w:rPr>
        <w:b/>
        <w:bCs/>
      </w:rPr>
      <w:tblPr/>
      <w:tcPr>
        <w:tcBorders>
          <w:top w:val="double" w:sz="2" w:space="0" w:color="E89E9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76AC3"/>
    <w:tblPr>
      <w:tblStyleRowBandSize w:val="1"/>
      <w:tblStyleColBandSize w:val="1"/>
      <w:tblBorders>
        <w:top w:val="single" w:sz="4" w:space="0" w:color="EB829D" w:themeColor="accent6" w:themeTint="66"/>
        <w:left w:val="single" w:sz="4" w:space="0" w:color="EB829D" w:themeColor="accent6" w:themeTint="66"/>
        <w:bottom w:val="single" w:sz="4" w:space="0" w:color="EB829D" w:themeColor="accent6" w:themeTint="66"/>
        <w:right w:val="single" w:sz="4" w:space="0" w:color="EB829D" w:themeColor="accent6" w:themeTint="66"/>
        <w:insideH w:val="single" w:sz="4" w:space="0" w:color="EB829D" w:themeColor="accent6" w:themeTint="66"/>
        <w:insideV w:val="single" w:sz="4" w:space="0" w:color="EB829D" w:themeColor="accent6" w:themeTint="66"/>
      </w:tblBorders>
    </w:tblPr>
    <w:tblStylePr w:type="firstRow">
      <w:rPr>
        <w:b/>
        <w:bCs/>
      </w:rPr>
      <w:tblPr/>
      <w:tcPr>
        <w:tcBorders>
          <w:bottom w:val="single" w:sz="12" w:space="0" w:color="E2436D" w:themeColor="accent6" w:themeTint="99"/>
        </w:tcBorders>
      </w:tcPr>
    </w:tblStylePr>
    <w:tblStylePr w:type="lastRow">
      <w:rPr>
        <w:b/>
        <w:bCs/>
      </w:rPr>
      <w:tblPr/>
      <w:tcPr>
        <w:tcBorders>
          <w:top w:val="double" w:sz="2" w:space="0" w:color="E2436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76AC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76AC3"/>
    <w:tblPr>
      <w:tblStyleRowBandSize w:val="1"/>
      <w:tblStyleColBandSize w:val="1"/>
      <w:tblBorders>
        <w:top w:val="single" w:sz="2" w:space="0" w:color="86BDB9" w:themeColor="accent1" w:themeTint="99"/>
        <w:bottom w:val="single" w:sz="2" w:space="0" w:color="86BDB9" w:themeColor="accent1" w:themeTint="99"/>
        <w:insideH w:val="single" w:sz="2" w:space="0" w:color="86BDB9" w:themeColor="accent1" w:themeTint="99"/>
        <w:insideV w:val="single" w:sz="2" w:space="0" w:color="86BDB9" w:themeColor="accent1" w:themeTint="99"/>
      </w:tblBorders>
    </w:tblPr>
    <w:tblStylePr w:type="firstRow">
      <w:rPr>
        <w:b/>
        <w:bCs/>
      </w:rPr>
      <w:tblPr/>
      <w:tcPr>
        <w:tcBorders>
          <w:top w:val="nil"/>
          <w:bottom w:val="single" w:sz="12" w:space="0" w:color="86BDB9" w:themeColor="accent1" w:themeTint="99"/>
          <w:insideH w:val="nil"/>
          <w:insideV w:val="nil"/>
        </w:tcBorders>
        <w:shd w:val="clear" w:color="auto" w:fill="FFFFFF" w:themeFill="background1"/>
      </w:tcPr>
    </w:tblStylePr>
    <w:tblStylePr w:type="lastRow">
      <w:rPr>
        <w:b/>
        <w:bCs/>
      </w:rPr>
      <w:tblPr/>
      <w:tcPr>
        <w:tcBorders>
          <w:top w:val="double" w:sz="2" w:space="0" w:color="86BD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GridTable2-Accent2">
    <w:name w:val="Grid Table 2 Accent 2"/>
    <w:basedOn w:val="TableNormal"/>
    <w:uiPriority w:val="47"/>
    <w:rsid w:val="00776AC3"/>
    <w:tblPr>
      <w:tblStyleRowBandSize w:val="1"/>
      <w:tblStyleColBandSize w:val="1"/>
      <w:tblBorders>
        <w:top w:val="single" w:sz="2" w:space="0" w:color="66A1A9" w:themeColor="accent2" w:themeTint="99"/>
        <w:bottom w:val="single" w:sz="2" w:space="0" w:color="66A1A9" w:themeColor="accent2" w:themeTint="99"/>
        <w:insideH w:val="single" w:sz="2" w:space="0" w:color="66A1A9" w:themeColor="accent2" w:themeTint="99"/>
        <w:insideV w:val="single" w:sz="2" w:space="0" w:color="66A1A9" w:themeColor="accent2" w:themeTint="99"/>
      </w:tblBorders>
    </w:tblPr>
    <w:tblStylePr w:type="firstRow">
      <w:rPr>
        <w:b/>
        <w:bCs/>
      </w:rPr>
      <w:tblPr/>
      <w:tcPr>
        <w:tcBorders>
          <w:top w:val="nil"/>
          <w:bottom w:val="single" w:sz="12" w:space="0" w:color="66A1A9" w:themeColor="accent2" w:themeTint="99"/>
          <w:insideH w:val="nil"/>
          <w:insideV w:val="nil"/>
        </w:tcBorders>
        <w:shd w:val="clear" w:color="auto" w:fill="FFFFFF" w:themeFill="background1"/>
      </w:tcPr>
    </w:tblStylePr>
    <w:tblStylePr w:type="lastRow">
      <w:rPr>
        <w:b/>
        <w:bCs/>
      </w:rPr>
      <w:tblPr/>
      <w:tcPr>
        <w:tcBorders>
          <w:top w:val="double" w:sz="2" w:space="0" w:color="66A1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GridTable2-Accent3">
    <w:name w:val="Grid Table 2 Accent 3"/>
    <w:basedOn w:val="TableNormal"/>
    <w:uiPriority w:val="47"/>
    <w:rsid w:val="00776AC3"/>
    <w:tblPr>
      <w:tblStyleRowBandSize w:val="1"/>
      <w:tblStyleColBandSize w:val="1"/>
      <w:tblBorders>
        <w:top w:val="single" w:sz="2" w:space="0" w:color="586DC0" w:themeColor="accent3" w:themeTint="99"/>
        <w:bottom w:val="single" w:sz="2" w:space="0" w:color="586DC0" w:themeColor="accent3" w:themeTint="99"/>
        <w:insideH w:val="single" w:sz="2" w:space="0" w:color="586DC0" w:themeColor="accent3" w:themeTint="99"/>
        <w:insideV w:val="single" w:sz="2" w:space="0" w:color="586DC0" w:themeColor="accent3" w:themeTint="99"/>
      </w:tblBorders>
    </w:tblPr>
    <w:tblStylePr w:type="firstRow">
      <w:rPr>
        <w:b/>
        <w:bCs/>
      </w:rPr>
      <w:tblPr/>
      <w:tcPr>
        <w:tcBorders>
          <w:top w:val="nil"/>
          <w:bottom w:val="single" w:sz="12" w:space="0" w:color="586DC0" w:themeColor="accent3" w:themeTint="99"/>
          <w:insideH w:val="nil"/>
          <w:insideV w:val="nil"/>
        </w:tcBorders>
        <w:shd w:val="clear" w:color="auto" w:fill="FFFFFF" w:themeFill="background1"/>
      </w:tcPr>
    </w:tblStylePr>
    <w:tblStylePr w:type="lastRow">
      <w:rPr>
        <w:b/>
        <w:bCs/>
      </w:rPr>
      <w:tblPr/>
      <w:tcPr>
        <w:tcBorders>
          <w:top w:val="double" w:sz="2" w:space="0" w:color="586D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GridTable2-Accent4">
    <w:name w:val="Grid Table 2 Accent 4"/>
    <w:basedOn w:val="TableNormal"/>
    <w:uiPriority w:val="47"/>
    <w:rsid w:val="00776AC3"/>
    <w:tblPr>
      <w:tblStyleRowBandSize w:val="1"/>
      <w:tblStyleColBandSize w:val="1"/>
      <w:tblBorders>
        <w:top w:val="single" w:sz="2" w:space="0" w:color="878691" w:themeColor="accent4" w:themeTint="99"/>
        <w:bottom w:val="single" w:sz="2" w:space="0" w:color="878691" w:themeColor="accent4" w:themeTint="99"/>
        <w:insideH w:val="single" w:sz="2" w:space="0" w:color="878691" w:themeColor="accent4" w:themeTint="99"/>
        <w:insideV w:val="single" w:sz="2" w:space="0" w:color="878691" w:themeColor="accent4" w:themeTint="99"/>
      </w:tblBorders>
    </w:tblPr>
    <w:tblStylePr w:type="firstRow">
      <w:rPr>
        <w:b/>
        <w:bCs/>
      </w:rPr>
      <w:tblPr/>
      <w:tcPr>
        <w:tcBorders>
          <w:top w:val="nil"/>
          <w:bottom w:val="single" w:sz="12" w:space="0" w:color="878691" w:themeColor="accent4" w:themeTint="99"/>
          <w:insideH w:val="nil"/>
          <w:insideV w:val="nil"/>
        </w:tcBorders>
        <w:shd w:val="clear" w:color="auto" w:fill="FFFFFF" w:themeFill="background1"/>
      </w:tcPr>
    </w:tblStylePr>
    <w:tblStylePr w:type="lastRow">
      <w:rPr>
        <w:b/>
        <w:bCs/>
      </w:rPr>
      <w:tblPr/>
      <w:tcPr>
        <w:tcBorders>
          <w:top w:val="double" w:sz="2" w:space="0" w:color="8786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GridTable2-Accent5">
    <w:name w:val="Grid Table 2 Accent 5"/>
    <w:basedOn w:val="TableNormal"/>
    <w:uiPriority w:val="47"/>
    <w:rsid w:val="00776AC3"/>
    <w:tblPr>
      <w:tblStyleRowBandSize w:val="1"/>
      <w:tblStyleColBandSize w:val="1"/>
      <w:tblBorders>
        <w:top w:val="single" w:sz="2" w:space="0" w:color="E89E95" w:themeColor="accent5" w:themeTint="99"/>
        <w:bottom w:val="single" w:sz="2" w:space="0" w:color="E89E95" w:themeColor="accent5" w:themeTint="99"/>
        <w:insideH w:val="single" w:sz="2" w:space="0" w:color="E89E95" w:themeColor="accent5" w:themeTint="99"/>
        <w:insideV w:val="single" w:sz="2" w:space="0" w:color="E89E95" w:themeColor="accent5" w:themeTint="99"/>
      </w:tblBorders>
    </w:tblPr>
    <w:tblStylePr w:type="firstRow">
      <w:rPr>
        <w:b/>
        <w:bCs/>
      </w:rPr>
      <w:tblPr/>
      <w:tcPr>
        <w:tcBorders>
          <w:top w:val="nil"/>
          <w:bottom w:val="single" w:sz="12" w:space="0" w:color="E89E95" w:themeColor="accent5" w:themeTint="99"/>
          <w:insideH w:val="nil"/>
          <w:insideV w:val="nil"/>
        </w:tcBorders>
        <w:shd w:val="clear" w:color="auto" w:fill="FFFFFF" w:themeFill="background1"/>
      </w:tcPr>
    </w:tblStylePr>
    <w:tblStylePr w:type="lastRow">
      <w:rPr>
        <w:b/>
        <w:bCs/>
      </w:rPr>
      <w:tblPr/>
      <w:tcPr>
        <w:tcBorders>
          <w:top w:val="double" w:sz="2" w:space="0" w:color="E89E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GridTable2-Accent6">
    <w:name w:val="Grid Table 2 Accent 6"/>
    <w:basedOn w:val="TableNormal"/>
    <w:uiPriority w:val="47"/>
    <w:rsid w:val="00776AC3"/>
    <w:tblPr>
      <w:tblStyleRowBandSize w:val="1"/>
      <w:tblStyleColBandSize w:val="1"/>
      <w:tblBorders>
        <w:top w:val="single" w:sz="2" w:space="0" w:color="E2436D" w:themeColor="accent6" w:themeTint="99"/>
        <w:bottom w:val="single" w:sz="2" w:space="0" w:color="E2436D" w:themeColor="accent6" w:themeTint="99"/>
        <w:insideH w:val="single" w:sz="2" w:space="0" w:color="E2436D" w:themeColor="accent6" w:themeTint="99"/>
        <w:insideV w:val="single" w:sz="2" w:space="0" w:color="E2436D" w:themeColor="accent6" w:themeTint="99"/>
      </w:tblBorders>
    </w:tblPr>
    <w:tblStylePr w:type="firstRow">
      <w:rPr>
        <w:b/>
        <w:bCs/>
      </w:rPr>
      <w:tblPr/>
      <w:tcPr>
        <w:tcBorders>
          <w:top w:val="nil"/>
          <w:bottom w:val="single" w:sz="12" w:space="0" w:color="E2436D" w:themeColor="accent6" w:themeTint="99"/>
          <w:insideH w:val="nil"/>
          <w:insideV w:val="nil"/>
        </w:tcBorders>
        <w:shd w:val="clear" w:color="auto" w:fill="FFFFFF" w:themeFill="background1"/>
      </w:tcPr>
    </w:tblStylePr>
    <w:tblStylePr w:type="lastRow">
      <w:rPr>
        <w:b/>
        <w:bCs/>
      </w:rPr>
      <w:tblPr/>
      <w:tcPr>
        <w:tcBorders>
          <w:top w:val="double" w:sz="2" w:space="0" w:color="E2436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GridTable3">
    <w:name w:val="Grid Table 3"/>
    <w:basedOn w:val="TableNormal"/>
    <w:uiPriority w:val="48"/>
    <w:rsid w:val="00776A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76AC3"/>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bottom w:val="single" w:sz="4" w:space="0" w:color="86BDB9" w:themeColor="accent1" w:themeTint="99"/>
        </w:tcBorders>
      </w:tcPr>
    </w:tblStylePr>
    <w:tblStylePr w:type="nwCell">
      <w:tblPr/>
      <w:tcPr>
        <w:tcBorders>
          <w:bottom w:val="single" w:sz="4" w:space="0" w:color="86BDB9" w:themeColor="accent1" w:themeTint="99"/>
        </w:tcBorders>
      </w:tcPr>
    </w:tblStylePr>
    <w:tblStylePr w:type="seCell">
      <w:tblPr/>
      <w:tcPr>
        <w:tcBorders>
          <w:top w:val="single" w:sz="4" w:space="0" w:color="86BDB9" w:themeColor="accent1" w:themeTint="99"/>
        </w:tcBorders>
      </w:tcPr>
    </w:tblStylePr>
    <w:tblStylePr w:type="swCell">
      <w:tblPr/>
      <w:tcPr>
        <w:tcBorders>
          <w:top w:val="single" w:sz="4" w:space="0" w:color="86BDB9" w:themeColor="accent1" w:themeTint="99"/>
        </w:tcBorders>
      </w:tcPr>
    </w:tblStylePr>
  </w:style>
  <w:style w:type="table" w:styleId="GridTable3-Accent2">
    <w:name w:val="Grid Table 3 Accent 2"/>
    <w:basedOn w:val="TableNormal"/>
    <w:uiPriority w:val="48"/>
    <w:rsid w:val="00776AC3"/>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bottom w:val="single" w:sz="4" w:space="0" w:color="66A1A9" w:themeColor="accent2" w:themeTint="99"/>
        </w:tcBorders>
      </w:tcPr>
    </w:tblStylePr>
    <w:tblStylePr w:type="nwCell">
      <w:tblPr/>
      <w:tcPr>
        <w:tcBorders>
          <w:bottom w:val="single" w:sz="4" w:space="0" w:color="66A1A9" w:themeColor="accent2" w:themeTint="99"/>
        </w:tcBorders>
      </w:tcPr>
    </w:tblStylePr>
    <w:tblStylePr w:type="seCell">
      <w:tblPr/>
      <w:tcPr>
        <w:tcBorders>
          <w:top w:val="single" w:sz="4" w:space="0" w:color="66A1A9" w:themeColor="accent2" w:themeTint="99"/>
        </w:tcBorders>
      </w:tcPr>
    </w:tblStylePr>
    <w:tblStylePr w:type="swCell">
      <w:tblPr/>
      <w:tcPr>
        <w:tcBorders>
          <w:top w:val="single" w:sz="4" w:space="0" w:color="66A1A9" w:themeColor="accent2" w:themeTint="99"/>
        </w:tcBorders>
      </w:tcPr>
    </w:tblStylePr>
  </w:style>
  <w:style w:type="table" w:styleId="GridTable3-Accent3">
    <w:name w:val="Grid Table 3 Accent 3"/>
    <w:basedOn w:val="TableNormal"/>
    <w:uiPriority w:val="48"/>
    <w:rsid w:val="00776AC3"/>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bottom w:val="single" w:sz="4" w:space="0" w:color="586DC0" w:themeColor="accent3" w:themeTint="99"/>
        </w:tcBorders>
      </w:tcPr>
    </w:tblStylePr>
    <w:tblStylePr w:type="nwCell">
      <w:tblPr/>
      <w:tcPr>
        <w:tcBorders>
          <w:bottom w:val="single" w:sz="4" w:space="0" w:color="586DC0" w:themeColor="accent3" w:themeTint="99"/>
        </w:tcBorders>
      </w:tcPr>
    </w:tblStylePr>
    <w:tblStylePr w:type="seCell">
      <w:tblPr/>
      <w:tcPr>
        <w:tcBorders>
          <w:top w:val="single" w:sz="4" w:space="0" w:color="586DC0" w:themeColor="accent3" w:themeTint="99"/>
        </w:tcBorders>
      </w:tcPr>
    </w:tblStylePr>
    <w:tblStylePr w:type="swCell">
      <w:tblPr/>
      <w:tcPr>
        <w:tcBorders>
          <w:top w:val="single" w:sz="4" w:space="0" w:color="586DC0" w:themeColor="accent3" w:themeTint="99"/>
        </w:tcBorders>
      </w:tcPr>
    </w:tblStylePr>
  </w:style>
  <w:style w:type="table" w:styleId="GridTable3-Accent4">
    <w:name w:val="Grid Table 3 Accent 4"/>
    <w:basedOn w:val="TableNormal"/>
    <w:uiPriority w:val="48"/>
    <w:rsid w:val="00776AC3"/>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bottom w:val="single" w:sz="4" w:space="0" w:color="878691" w:themeColor="accent4" w:themeTint="99"/>
        </w:tcBorders>
      </w:tcPr>
    </w:tblStylePr>
    <w:tblStylePr w:type="nwCell">
      <w:tblPr/>
      <w:tcPr>
        <w:tcBorders>
          <w:bottom w:val="single" w:sz="4" w:space="0" w:color="878691" w:themeColor="accent4" w:themeTint="99"/>
        </w:tcBorders>
      </w:tcPr>
    </w:tblStylePr>
    <w:tblStylePr w:type="seCell">
      <w:tblPr/>
      <w:tcPr>
        <w:tcBorders>
          <w:top w:val="single" w:sz="4" w:space="0" w:color="878691" w:themeColor="accent4" w:themeTint="99"/>
        </w:tcBorders>
      </w:tcPr>
    </w:tblStylePr>
    <w:tblStylePr w:type="swCell">
      <w:tblPr/>
      <w:tcPr>
        <w:tcBorders>
          <w:top w:val="single" w:sz="4" w:space="0" w:color="878691" w:themeColor="accent4" w:themeTint="99"/>
        </w:tcBorders>
      </w:tcPr>
    </w:tblStylePr>
  </w:style>
  <w:style w:type="table" w:styleId="GridTable3-Accent5">
    <w:name w:val="Grid Table 3 Accent 5"/>
    <w:basedOn w:val="TableNormal"/>
    <w:uiPriority w:val="48"/>
    <w:rsid w:val="00776AC3"/>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bottom w:val="single" w:sz="4" w:space="0" w:color="E89E95" w:themeColor="accent5" w:themeTint="99"/>
        </w:tcBorders>
      </w:tcPr>
    </w:tblStylePr>
    <w:tblStylePr w:type="nwCell">
      <w:tblPr/>
      <w:tcPr>
        <w:tcBorders>
          <w:bottom w:val="single" w:sz="4" w:space="0" w:color="E89E95" w:themeColor="accent5" w:themeTint="99"/>
        </w:tcBorders>
      </w:tcPr>
    </w:tblStylePr>
    <w:tblStylePr w:type="seCell">
      <w:tblPr/>
      <w:tcPr>
        <w:tcBorders>
          <w:top w:val="single" w:sz="4" w:space="0" w:color="E89E95" w:themeColor="accent5" w:themeTint="99"/>
        </w:tcBorders>
      </w:tcPr>
    </w:tblStylePr>
    <w:tblStylePr w:type="swCell">
      <w:tblPr/>
      <w:tcPr>
        <w:tcBorders>
          <w:top w:val="single" w:sz="4" w:space="0" w:color="E89E95" w:themeColor="accent5" w:themeTint="99"/>
        </w:tcBorders>
      </w:tcPr>
    </w:tblStylePr>
  </w:style>
  <w:style w:type="table" w:styleId="GridTable3-Accent6">
    <w:name w:val="Grid Table 3 Accent 6"/>
    <w:basedOn w:val="TableNormal"/>
    <w:uiPriority w:val="48"/>
    <w:rsid w:val="00776AC3"/>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bottom w:val="single" w:sz="4" w:space="0" w:color="E2436D" w:themeColor="accent6" w:themeTint="99"/>
        </w:tcBorders>
      </w:tcPr>
    </w:tblStylePr>
    <w:tblStylePr w:type="nwCell">
      <w:tblPr/>
      <w:tcPr>
        <w:tcBorders>
          <w:bottom w:val="single" w:sz="4" w:space="0" w:color="E2436D" w:themeColor="accent6" w:themeTint="99"/>
        </w:tcBorders>
      </w:tcPr>
    </w:tblStylePr>
    <w:tblStylePr w:type="seCell">
      <w:tblPr/>
      <w:tcPr>
        <w:tcBorders>
          <w:top w:val="single" w:sz="4" w:space="0" w:color="E2436D" w:themeColor="accent6" w:themeTint="99"/>
        </w:tcBorders>
      </w:tcPr>
    </w:tblStylePr>
    <w:tblStylePr w:type="swCell">
      <w:tblPr/>
      <w:tcPr>
        <w:tcBorders>
          <w:top w:val="single" w:sz="4" w:space="0" w:color="E2436D" w:themeColor="accent6" w:themeTint="99"/>
        </w:tcBorders>
      </w:tcPr>
    </w:tblStylePr>
  </w:style>
  <w:style w:type="table" w:styleId="GridTable4">
    <w:name w:val="Grid Table 4"/>
    <w:basedOn w:val="TableNormal"/>
    <w:uiPriority w:val="49"/>
    <w:rsid w:val="00776A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76AC3"/>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color w:val="FFFFFF" w:themeColor="background1"/>
      </w:rPr>
      <w:tblPr/>
      <w:tcPr>
        <w:tcBorders>
          <w:top w:val="single" w:sz="4" w:space="0" w:color="47827E" w:themeColor="accent1"/>
          <w:left w:val="single" w:sz="4" w:space="0" w:color="47827E" w:themeColor="accent1"/>
          <w:bottom w:val="single" w:sz="4" w:space="0" w:color="47827E" w:themeColor="accent1"/>
          <w:right w:val="single" w:sz="4" w:space="0" w:color="47827E" w:themeColor="accent1"/>
          <w:insideH w:val="nil"/>
          <w:insideV w:val="nil"/>
        </w:tcBorders>
        <w:shd w:val="clear" w:color="auto" w:fill="47827E" w:themeFill="accent1"/>
      </w:tcPr>
    </w:tblStylePr>
    <w:tblStylePr w:type="lastRow">
      <w:rPr>
        <w:b/>
        <w:bCs/>
      </w:rPr>
      <w:tblPr/>
      <w:tcPr>
        <w:tcBorders>
          <w:top w:val="double" w:sz="4" w:space="0" w:color="47827E" w:themeColor="accent1"/>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GridTable4-Accent2">
    <w:name w:val="Grid Table 4 Accent 2"/>
    <w:basedOn w:val="TableNormal"/>
    <w:uiPriority w:val="49"/>
    <w:rsid w:val="00776AC3"/>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color w:val="FFFFFF" w:themeColor="background1"/>
      </w:rPr>
      <w:tblPr/>
      <w:tcPr>
        <w:tcBorders>
          <w:top w:val="single" w:sz="4" w:space="0" w:color="294549" w:themeColor="accent2"/>
          <w:left w:val="single" w:sz="4" w:space="0" w:color="294549" w:themeColor="accent2"/>
          <w:bottom w:val="single" w:sz="4" w:space="0" w:color="294549" w:themeColor="accent2"/>
          <w:right w:val="single" w:sz="4" w:space="0" w:color="294549" w:themeColor="accent2"/>
          <w:insideH w:val="nil"/>
          <w:insideV w:val="nil"/>
        </w:tcBorders>
        <w:shd w:val="clear" w:color="auto" w:fill="294549" w:themeFill="accent2"/>
      </w:tcPr>
    </w:tblStylePr>
    <w:tblStylePr w:type="lastRow">
      <w:rPr>
        <w:b/>
        <w:bCs/>
      </w:rPr>
      <w:tblPr/>
      <w:tcPr>
        <w:tcBorders>
          <w:top w:val="double" w:sz="4" w:space="0" w:color="294549" w:themeColor="accent2"/>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GridTable4-Accent3">
    <w:name w:val="Grid Table 4 Accent 3"/>
    <w:basedOn w:val="TableNormal"/>
    <w:uiPriority w:val="49"/>
    <w:rsid w:val="00776AC3"/>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color w:val="FFFFFF" w:themeColor="background1"/>
      </w:rPr>
      <w:tblPr/>
      <w:tcPr>
        <w:tcBorders>
          <w:top w:val="single" w:sz="4" w:space="0" w:color="232F5D" w:themeColor="accent3"/>
          <w:left w:val="single" w:sz="4" w:space="0" w:color="232F5D" w:themeColor="accent3"/>
          <w:bottom w:val="single" w:sz="4" w:space="0" w:color="232F5D" w:themeColor="accent3"/>
          <w:right w:val="single" w:sz="4" w:space="0" w:color="232F5D" w:themeColor="accent3"/>
          <w:insideH w:val="nil"/>
          <w:insideV w:val="nil"/>
        </w:tcBorders>
        <w:shd w:val="clear" w:color="auto" w:fill="232F5D" w:themeFill="accent3"/>
      </w:tcPr>
    </w:tblStylePr>
    <w:tblStylePr w:type="lastRow">
      <w:rPr>
        <w:b/>
        <w:bCs/>
      </w:rPr>
      <w:tblPr/>
      <w:tcPr>
        <w:tcBorders>
          <w:top w:val="double" w:sz="4" w:space="0" w:color="232F5D" w:themeColor="accent3"/>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GridTable4-Accent4">
    <w:name w:val="Grid Table 4 Accent 4"/>
    <w:basedOn w:val="TableNormal"/>
    <w:uiPriority w:val="49"/>
    <w:rsid w:val="00776AC3"/>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color w:val="FFFFFF" w:themeColor="background1"/>
      </w:rPr>
      <w:tblPr/>
      <w:tcPr>
        <w:tcBorders>
          <w:top w:val="single" w:sz="4" w:space="0" w:color="3D3C42" w:themeColor="accent4"/>
          <w:left w:val="single" w:sz="4" w:space="0" w:color="3D3C42" w:themeColor="accent4"/>
          <w:bottom w:val="single" w:sz="4" w:space="0" w:color="3D3C42" w:themeColor="accent4"/>
          <w:right w:val="single" w:sz="4" w:space="0" w:color="3D3C42" w:themeColor="accent4"/>
          <w:insideH w:val="nil"/>
          <w:insideV w:val="nil"/>
        </w:tcBorders>
        <w:shd w:val="clear" w:color="auto" w:fill="3D3C42" w:themeFill="accent4"/>
      </w:tcPr>
    </w:tblStylePr>
    <w:tblStylePr w:type="lastRow">
      <w:rPr>
        <w:b/>
        <w:bCs/>
      </w:rPr>
      <w:tblPr/>
      <w:tcPr>
        <w:tcBorders>
          <w:top w:val="double" w:sz="4" w:space="0" w:color="3D3C42" w:themeColor="accent4"/>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GridTable4-Accent5">
    <w:name w:val="Grid Table 4 Accent 5"/>
    <w:basedOn w:val="TableNormal"/>
    <w:uiPriority w:val="49"/>
    <w:rsid w:val="00776AC3"/>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color w:val="FFFFFF" w:themeColor="background1"/>
      </w:rPr>
      <w:tblPr/>
      <w:tcPr>
        <w:tcBorders>
          <w:top w:val="single" w:sz="4" w:space="0" w:color="DA5F4F" w:themeColor="accent5"/>
          <w:left w:val="single" w:sz="4" w:space="0" w:color="DA5F4F" w:themeColor="accent5"/>
          <w:bottom w:val="single" w:sz="4" w:space="0" w:color="DA5F4F" w:themeColor="accent5"/>
          <w:right w:val="single" w:sz="4" w:space="0" w:color="DA5F4F" w:themeColor="accent5"/>
          <w:insideH w:val="nil"/>
          <w:insideV w:val="nil"/>
        </w:tcBorders>
        <w:shd w:val="clear" w:color="auto" w:fill="DA5F4F" w:themeFill="accent5"/>
      </w:tcPr>
    </w:tblStylePr>
    <w:tblStylePr w:type="lastRow">
      <w:rPr>
        <w:b/>
        <w:bCs/>
      </w:rPr>
      <w:tblPr/>
      <w:tcPr>
        <w:tcBorders>
          <w:top w:val="double" w:sz="4" w:space="0" w:color="DA5F4F" w:themeColor="accent5"/>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GridTable4-Accent6">
    <w:name w:val="Grid Table 4 Accent 6"/>
    <w:basedOn w:val="TableNormal"/>
    <w:uiPriority w:val="49"/>
    <w:rsid w:val="00776AC3"/>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color w:val="FFFFFF" w:themeColor="background1"/>
      </w:rPr>
      <w:tblPr/>
      <w:tcPr>
        <w:tcBorders>
          <w:top w:val="single" w:sz="4" w:space="0" w:color="821431" w:themeColor="accent6"/>
          <w:left w:val="single" w:sz="4" w:space="0" w:color="821431" w:themeColor="accent6"/>
          <w:bottom w:val="single" w:sz="4" w:space="0" w:color="821431" w:themeColor="accent6"/>
          <w:right w:val="single" w:sz="4" w:space="0" w:color="821431" w:themeColor="accent6"/>
          <w:insideH w:val="nil"/>
          <w:insideV w:val="nil"/>
        </w:tcBorders>
        <w:shd w:val="clear" w:color="auto" w:fill="821431" w:themeFill="accent6"/>
      </w:tcPr>
    </w:tblStylePr>
    <w:tblStylePr w:type="lastRow">
      <w:rPr>
        <w:b/>
        <w:bCs/>
      </w:rPr>
      <w:tblPr/>
      <w:tcPr>
        <w:tcBorders>
          <w:top w:val="double" w:sz="4" w:space="0" w:color="821431" w:themeColor="accent6"/>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GridTable5Dark">
    <w:name w:val="Grid Table 5 Dark"/>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82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82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82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827E" w:themeFill="accent1"/>
      </w:tcPr>
    </w:tblStylePr>
    <w:tblStylePr w:type="band1Vert">
      <w:tblPr/>
      <w:tcPr>
        <w:shd w:val="clear" w:color="auto" w:fill="AFD3D0" w:themeFill="accent1" w:themeFillTint="66"/>
      </w:tcPr>
    </w:tblStylePr>
    <w:tblStylePr w:type="band1Horz">
      <w:tblPr/>
      <w:tcPr>
        <w:shd w:val="clear" w:color="auto" w:fill="AFD3D0" w:themeFill="accent1" w:themeFillTint="66"/>
      </w:tcPr>
    </w:tblStylePr>
  </w:style>
  <w:style w:type="table" w:styleId="GridTable5Dark-Accent2">
    <w:name w:val="Grid Table 5 Dark Accent 2"/>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454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454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454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4549" w:themeFill="accent2"/>
      </w:tcPr>
    </w:tblStylePr>
    <w:tblStylePr w:type="band1Vert">
      <w:tblPr/>
      <w:tcPr>
        <w:shd w:val="clear" w:color="auto" w:fill="99C0C6" w:themeFill="accent2" w:themeFillTint="66"/>
      </w:tcPr>
    </w:tblStylePr>
    <w:tblStylePr w:type="band1Horz">
      <w:tblPr/>
      <w:tcPr>
        <w:shd w:val="clear" w:color="auto" w:fill="99C0C6" w:themeFill="accent2" w:themeFillTint="66"/>
      </w:tcPr>
    </w:tblStylePr>
  </w:style>
  <w:style w:type="table" w:styleId="GridTable5Dark-Accent3">
    <w:name w:val="Grid Table 5 Dark Accent 3"/>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C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F5D" w:themeFill="accent3"/>
      </w:tcPr>
    </w:tblStylePr>
    <w:tblStylePr w:type="band1Vert">
      <w:tblPr/>
      <w:tcPr>
        <w:shd w:val="clear" w:color="auto" w:fill="8F9DD5" w:themeFill="accent3" w:themeFillTint="66"/>
      </w:tcPr>
    </w:tblStylePr>
    <w:tblStylePr w:type="band1Horz">
      <w:tblPr/>
      <w:tcPr>
        <w:shd w:val="clear" w:color="auto" w:fill="8F9DD5" w:themeFill="accent3" w:themeFillTint="66"/>
      </w:tcPr>
    </w:tblStylePr>
  </w:style>
  <w:style w:type="table" w:styleId="GridTable5Dark-Accent4">
    <w:name w:val="Grid Table 5 Dark Accent 4"/>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3C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3C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3C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3C42" w:themeFill="accent4"/>
      </w:tcPr>
    </w:tblStylePr>
    <w:tblStylePr w:type="band1Vert">
      <w:tblPr/>
      <w:tcPr>
        <w:shd w:val="clear" w:color="auto" w:fill="AFAEB5" w:themeFill="accent4" w:themeFillTint="66"/>
      </w:tcPr>
    </w:tblStylePr>
    <w:tblStylePr w:type="band1Horz">
      <w:tblPr/>
      <w:tcPr>
        <w:shd w:val="clear" w:color="auto" w:fill="AFAEB5" w:themeFill="accent4" w:themeFillTint="66"/>
      </w:tcPr>
    </w:tblStylePr>
  </w:style>
  <w:style w:type="table" w:styleId="GridTable5Dark-Accent5">
    <w:name w:val="Grid Table 5 Dark Accent 5"/>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E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5F4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5F4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5F4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5F4F" w:themeFill="accent5"/>
      </w:tcPr>
    </w:tblStylePr>
    <w:tblStylePr w:type="band1Vert">
      <w:tblPr/>
      <w:tcPr>
        <w:shd w:val="clear" w:color="auto" w:fill="F0BEB8" w:themeFill="accent5" w:themeFillTint="66"/>
      </w:tcPr>
    </w:tblStylePr>
    <w:tblStylePr w:type="band1Horz">
      <w:tblPr/>
      <w:tcPr>
        <w:shd w:val="clear" w:color="auto" w:fill="F0BEB8" w:themeFill="accent5" w:themeFillTint="66"/>
      </w:tcPr>
    </w:tblStylePr>
  </w:style>
  <w:style w:type="table" w:styleId="GridTable5Dark-Accent6">
    <w:name w:val="Grid Table 5 Dark Accent 6"/>
    <w:basedOn w:val="TableNormal"/>
    <w:uiPriority w:val="50"/>
    <w:rsid w:val="00776A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0C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143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143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143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1431" w:themeFill="accent6"/>
      </w:tcPr>
    </w:tblStylePr>
    <w:tblStylePr w:type="band1Vert">
      <w:tblPr/>
      <w:tcPr>
        <w:shd w:val="clear" w:color="auto" w:fill="EB829D" w:themeFill="accent6" w:themeFillTint="66"/>
      </w:tcPr>
    </w:tblStylePr>
    <w:tblStylePr w:type="band1Horz">
      <w:tblPr/>
      <w:tcPr>
        <w:shd w:val="clear" w:color="auto" w:fill="EB829D" w:themeFill="accent6" w:themeFillTint="66"/>
      </w:tcPr>
    </w:tblStylePr>
  </w:style>
  <w:style w:type="table" w:styleId="GridTable6Colorful">
    <w:name w:val="Grid Table 6 Colorful"/>
    <w:basedOn w:val="TableNormal"/>
    <w:uiPriority w:val="51"/>
    <w:rsid w:val="00776AC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76AC3"/>
    <w:rPr>
      <w:color w:val="35615E" w:themeColor="accent1" w:themeShade="BF"/>
    </w:rPr>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bottom w:val="single" w:sz="12" w:space="0" w:color="86BDB9" w:themeColor="accent1" w:themeTint="99"/>
        </w:tcBorders>
      </w:tcPr>
    </w:tblStylePr>
    <w:tblStylePr w:type="lastRow">
      <w:rPr>
        <w:b/>
        <w:bCs/>
      </w:rPr>
      <w:tblPr/>
      <w:tcPr>
        <w:tcBorders>
          <w:top w:val="doub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GridTable6Colorful-Accent2">
    <w:name w:val="Grid Table 6 Colorful Accent 2"/>
    <w:basedOn w:val="TableNormal"/>
    <w:uiPriority w:val="51"/>
    <w:rsid w:val="00776AC3"/>
    <w:rPr>
      <w:color w:val="1E3336" w:themeColor="accent2" w:themeShade="BF"/>
    </w:rPr>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bottom w:val="single" w:sz="12" w:space="0" w:color="66A1A9" w:themeColor="accent2" w:themeTint="99"/>
        </w:tcBorders>
      </w:tcPr>
    </w:tblStylePr>
    <w:tblStylePr w:type="lastRow">
      <w:rPr>
        <w:b/>
        <w:bCs/>
      </w:rPr>
      <w:tblPr/>
      <w:tcPr>
        <w:tcBorders>
          <w:top w:val="doub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GridTable6Colorful-Accent3">
    <w:name w:val="Grid Table 6 Colorful Accent 3"/>
    <w:basedOn w:val="TableNormal"/>
    <w:uiPriority w:val="51"/>
    <w:rsid w:val="00776AC3"/>
    <w:rPr>
      <w:color w:val="1A2345" w:themeColor="accent3" w:themeShade="BF"/>
    </w:rPr>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bottom w:val="single" w:sz="12" w:space="0" w:color="586DC0" w:themeColor="accent3" w:themeTint="99"/>
        </w:tcBorders>
      </w:tcPr>
    </w:tblStylePr>
    <w:tblStylePr w:type="lastRow">
      <w:rPr>
        <w:b/>
        <w:bCs/>
      </w:rPr>
      <w:tblPr/>
      <w:tcPr>
        <w:tcBorders>
          <w:top w:val="doub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GridTable6Colorful-Accent4">
    <w:name w:val="Grid Table 6 Colorful Accent 4"/>
    <w:basedOn w:val="TableNormal"/>
    <w:uiPriority w:val="51"/>
    <w:rsid w:val="00776AC3"/>
    <w:rPr>
      <w:color w:val="2D2D31" w:themeColor="accent4" w:themeShade="BF"/>
    </w:rPr>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bottom w:val="single" w:sz="12" w:space="0" w:color="878691" w:themeColor="accent4" w:themeTint="99"/>
        </w:tcBorders>
      </w:tcPr>
    </w:tblStylePr>
    <w:tblStylePr w:type="lastRow">
      <w:rPr>
        <w:b/>
        <w:bCs/>
      </w:rPr>
      <w:tblPr/>
      <w:tcPr>
        <w:tcBorders>
          <w:top w:val="doub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GridTable6Colorful-Accent5">
    <w:name w:val="Grid Table 6 Colorful Accent 5"/>
    <w:basedOn w:val="TableNormal"/>
    <w:uiPriority w:val="51"/>
    <w:rsid w:val="00776AC3"/>
    <w:rPr>
      <w:color w:val="B73726" w:themeColor="accent5" w:themeShade="BF"/>
    </w:rPr>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bottom w:val="single" w:sz="12" w:space="0" w:color="E89E95" w:themeColor="accent5" w:themeTint="99"/>
        </w:tcBorders>
      </w:tcPr>
    </w:tblStylePr>
    <w:tblStylePr w:type="lastRow">
      <w:rPr>
        <w:b/>
        <w:bCs/>
      </w:rPr>
      <w:tblPr/>
      <w:tcPr>
        <w:tcBorders>
          <w:top w:val="doub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GridTable6Colorful-Accent6">
    <w:name w:val="Grid Table 6 Colorful Accent 6"/>
    <w:basedOn w:val="TableNormal"/>
    <w:uiPriority w:val="51"/>
    <w:rsid w:val="00776AC3"/>
    <w:rPr>
      <w:color w:val="610F24" w:themeColor="accent6" w:themeShade="BF"/>
    </w:rPr>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bottom w:val="single" w:sz="12" w:space="0" w:color="E2436D" w:themeColor="accent6" w:themeTint="99"/>
        </w:tcBorders>
      </w:tcPr>
    </w:tblStylePr>
    <w:tblStylePr w:type="lastRow">
      <w:rPr>
        <w:b/>
        <w:bCs/>
      </w:rPr>
      <w:tblPr/>
      <w:tcPr>
        <w:tcBorders>
          <w:top w:val="doub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GridTable7Colorful">
    <w:name w:val="Grid Table 7 Colorful"/>
    <w:basedOn w:val="TableNormal"/>
    <w:uiPriority w:val="52"/>
    <w:rsid w:val="00776AC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76AC3"/>
    <w:rPr>
      <w:color w:val="35615E" w:themeColor="accent1" w:themeShade="BF"/>
    </w:rPr>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insideV w:val="single" w:sz="4" w:space="0" w:color="86BD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bottom w:val="single" w:sz="4" w:space="0" w:color="86BDB9" w:themeColor="accent1" w:themeTint="99"/>
        </w:tcBorders>
      </w:tcPr>
    </w:tblStylePr>
    <w:tblStylePr w:type="nwCell">
      <w:tblPr/>
      <w:tcPr>
        <w:tcBorders>
          <w:bottom w:val="single" w:sz="4" w:space="0" w:color="86BDB9" w:themeColor="accent1" w:themeTint="99"/>
        </w:tcBorders>
      </w:tcPr>
    </w:tblStylePr>
    <w:tblStylePr w:type="seCell">
      <w:tblPr/>
      <w:tcPr>
        <w:tcBorders>
          <w:top w:val="single" w:sz="4" w:space="0" w:color="86BDB9" w:themeColor="accent1" w:themeTint="99"/>
        </w:tcBorders>
      </w:tcPr>
    </w:tblStylePr>
    <w:tblStylePr w:type="swCell">
      <w:tblPr/>
      <w:tcPr>
        <w:tcBorders>
          <w:top w:val="single" w:sz="4" w:space="0" w:color="86BDB9" w:themeColor="accent1" w:themeTint="99"/>
        </w:tcBorders>
      </w:tcPr>
    </w:tblStylePr>
  </w:style>
  <w:style w:type="table" w:styleId="GridTable7Colorful-Accent2">
    <w:name w:val="Grid Table 7 Colorful Accent 2"/>
    <w:basedOn w:val="TableNormal"/>
    <w:uiPriority w:val="52"/>
    <w:rsid w:val="00776AC3"/>
    <w:rPr>
      <w:color w:val="1E3336" w:themeColor="accent2" w:themeShade="BF"/>
    </w:rPr>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insideV w:val="single" w:sz="4" w:space="0" w:color="66A1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bottom w:val="single" w:sz="4" w:space="0" w:color="66A1A9" w:themeColor="accent2" w:themeTint="99"/>
        </w:tcBorders>
      </w:tcPr>
    </w:tblStylePr>
    <w:tblStylePr w:type="nwCell">
      <w:tblPr/>
      <w:tcPr>
        <w:tcBorders>
          <w:bottom w:val="single" w:sz="4" w:space="0" w:color="66A1A9" w:themeColor="accent2" w:themeTint="99"/>
        </w:tcBorders>
      </w:tcPr>
    </w:tblStylePr>
    <w:tblStylePr w:type="seCell">
      <w:tblPr/>
      <w:tcPr>
        <w:tcBorders>
          <w:top w:val="single" w:sz="4" w:space="0" w:color="66A1A9" w:themeColor="accent2" w:themeTint="99"/>
        </w:tcBorders>
      </w:tcPr>
    </w:tblStylePr>
    <w:tblStylePr w:type="swCell">
      <w:tblPr/>
      <w:tcPr>
        <w:tcBorders>
          <w:top w:val="single" w:sz="4" w:space="0" w:color="66A1A9" w:themeColor="accent2" w:themeTint="99"/>
        </w:tcBorders>
      </w:tcPr>
    </w:tblStylePr>
  </w:style>
  <w:style w:type="table" w:styleId="GridTable7Colorful-Accent3">
    <w:name w:val="Grid Table 7 Colorful Accent 3"/>
    <w:basedOn w:val="TableNormal"/>
    <w:uiPriority w:val="52"/>
    <w:rsid w:val="00776AC3"/>
    <w:rPr>
      <w:color w:val="1A2345" w:themeColor="accent3" w:themeShade="BF"/>
    </w:rPr>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insideV w:val="single" w:sz="4" w:space="0" w:color="586D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bottom w:val="single" w:sz="4" w:space="0" w:color="586DC0" w:themeColor="accent3" w:themeTint="99"/>
        </w:tcBorders>
      </w:tcPr>
    </w:tblStylePr>
    <w:tblStylePr w:type="nwCell">
      <w:tblPr/>
      <w:tcPr>
        <w:tcBorders>
          <w:bottom w:val="single" w:sz="4" w:space="0" w:color="586DC0" w:themeColor="accent3" w:themeTint="99"/>
        </w:tcBorders>
      </w:tcPr>
    </w:tblStylePr>
    <w:tblStylePr w:type="seCell">
      <w:tblPr/>
      <w:tcPr>
        <w:tcBorders>
          <w:top w:val="single" w:sz="4" w:space="0" w:color="586DC0" w:themeColor="accent3" w:themeTint="99"/>
        </w:tcBorders>
      </w:tcPr>
    </w:tblStylePr>
    <w:tblStylePr w:type="swCell">
      <w:tblPr/>
      <w:tcPr>
        <w:tcBorders>
          <w:top w:val="single" w:sz="4" w:space="0" w:color="586DC0" w:themeColor="accent3" w:themeTint="99"/>
        </w:tcBorders>
      </w:tcPr>
    </w:tblStylePr>
  </w:style>
  <w:style w:type="table" w:styleId="GridTable7Colorful-Accent4">
    <w:name w:val="Grid Table 7 Colorful Accent 4"/>
    <w:basedOn w:val="TableNormal"/>
    <w:uiPriority w:val="52"/>
    <w:rsid w:val="00776AC3"/>
    <w:rPr>
      <w:color w:val="2D2D31" w:themeColor="accent4" w:themeShade="BF"/>
    </w:rPr>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insideV w:val="single" w:sz="4" w:space="0" w:color="8786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bottom w:val="single" w:sz="4" w:space="0" w:color="878691" w:themeColor="accent4" w:themeTint="99"/>
        </w:tcBorders>
      </w:tcPr>
    </w:tblStylePr>
    <w:tblStylePr w:type="nwCell">
      <w:tblPr/>
      <w:tcPr>
        <w:tcBorders>
          <w:bottom w:val="single" w:sz="4" w:space="0" w:color="878691" w:themeColor="accent4" w:themeTint="99"/>
        </w:tcBorders>
      </w:tcPr>
    </w:tblStylePr>
    <w:tblStylePr w:type="seCell">
      <w:tblPr/>
      <w:tcPr>
        <w:tcBorders>
          <w:top w:val="single" w:sz="4" w:space="0" w:color="878691" w:themeColor="accent4" w:themeTint="99"/>
        </w:tcBorders>
      </w:tcPr>
    </w:tblStylePr>
    <w:tblStylePr w:type="swCell">
      <w:tblPr/>
      <w:tcPr>
        <w:tcBorders>
          <w:top w:val="single" w:sz="4" w:space="0" w:color="878691" w:themeColor="accent4" w:themeTint="99"/>
        </w:tcBorders>
      </w:tcPr>
    </w:tblStylePr>
  </w:style>
  <w:style w:type="table" w:styleId="GridTable7Colorful-Accent5">
    <w:name w:val="Grid Table 7 Colorful Accent 5"/>
    <w:basedOn w:val="TableNormal"/>
    <w:uiPriority w:val="52"/>
    <w:rsid w:val="00776AC3"/>
    <w:rPr>
      <w:color w:val="B73726" w:themeColor="accent5" w:themeShade="BF"/>
    </w:rPr>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insideV w:val="single" w:sz="4" w:space="0" w:color="E89E9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bottom w:val="single" w:sz="4" w:space="0" w:color="E89E95" w:themeColor="accent5" w:themeTint="99"/>
        </w:tcBorders>
      </w:tcPr>
    </w:tblStylePr>
    <w:tblStylePr w:type="nwCell">
      <w:tblPr/>
      <w:tcPr>
        <w:tcBorders>
          <w:bottom w:val="single" w:sz="4" w:space="0" w:color="E89E95" w:themeColor="accent5" w:themeTint="99"/>
        </w:tcBorders>
      </w:tcPr>
    </w:tblStylePr>
    <w:tblStylePr w:type="seCell">
      <w:tblPr/>
      <w:tcPr>
        <w:tcBorders>
          <w:top w:val="single" w:sz="4" w:space="0" w:color="E89E95" w:themeColor="accent5" w:themeTint="99"/>
        </w:tcBorders>
      </w:tcPr>
    </w:tblStylePr>
    <w:tblStylePr w:type="swCell">
      <w:tblPr/>
      <w:tcPr>
        <w:tcBorders>
          <w:top w:val="single" w:sz="4" w:space="0" w:color="E89E95" w:themeColor="accent5" w:themeTint="99"/>
        </w:tcBorders>
      </w:tcPr>
    </w:tblStylePr>
  </w:style>
  <w:style w:type="table" w:styleId="GridTable7Colorful-Accent6">
    <w:name w:val="Grid Table 7 Colorful Accent 6"/>
    <w:basedOn w:val="TableNormal"/>
    <w:uiPriority w:val="52"/>
    <w:rsid w:val="00776AC3"/>
    <w:rPr>
      <w:color w:val="610F24" w:themeColor="accent6" w:themeShade="BF"/>
    </w:rPr>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insideV w:val="single" w:sz="4" w:space="0" w:color="E2436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bottom w:val="single" w:sz="4" w:space="0" w:color="E2436D" w:themeColor="accent6" w:themeTint="99"/>
        </w:tcBorders>
      </w:tcPr>
    </w:tblStylePr>
    <w:tblStylePr w:type="nwCell">
      <w:tblPr/>
      <w:tcPr>
        <w:tcBorders>
          <w:bottom w:val="single" w:sz="4" w:space="0" w:color="E2436D" w:themeColor="accent6" w:themeTint="99"/>
        </w:tcBorders>
      </w:tcPr>
    </w:tblStylePr>
    <w:tblStylePr w:type="seCell">
      <w:tblPr/>
      <w:tcPr>
        <w:tcBorders>
          <w:top w:val="single" w:sz="4" w:space="0" w:color="E2436D" w:themeColor="accent6" w:themeTint="99"/>
        </w:tcBorders>
      </w:tcPr>
    </w:tblStylePr>
    <w:tblStylePr w:type="swCell">
      <w:tblPr/>
      <w:tcPr>
        <w:tcBorders>
          <w:top w:val="single" w:sz="4" w:space="0" w:color="E2436D" w:themeColor="accent6" w:themeTint="99"/>
        </w:tcBorders>
      </w:tcPr>
    </w:tblStylePr>
  </w:style>
  <w:style w:type="table" w:styleId="ListTable1Light">
    <w:name w:val="List Table 1 Light"/>
    <w:basedOn w:val="TableNormal"/>
    <w:uiPriority w:val="46"/>
    <w:rsid w:val="00776AC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76AC3"/>
    <w:tblPr>
      <w:tblStyleRowBandSize w:val="1"/>
      <w:tblStyleColBandSize w:val="1"/>
    </w:tblPr>
    <w:tblStylePr w:type="firstRow">
      <w:rPr>
        <w:b/>
        <w:bCs/>
      </w:rPr>
      <w:tblPr/>
      <w:tcPr>
        <w:tcBorders>
          <w:bottom w:val="single" w:sz="4" w:space="0" w:color="86BDB9" w:themeColor="accent1" w:themeTint="99"/>
        </w:tcBorders>
      </w:tcPr>
    </w:tblStylePr>
    <w:tblStylePr w:type="lastRow">
      <w:rPr>
        <w:b/>
        <w:bCs/>
      </w:rPr>
      <w:tblPr/>
      <w:tcPr>
        <w:tcBorders>
          <w:top w:val="sing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ListTable1Light-Accent2">
    <w:name w:val="List Table 1 Light Accent 2"/>
    <w:basedOn w:val="TableNormal"/>
    <w:uiPriority w:val="46"/>
    <w:rsid w:val="00776AC3"/>
    <w:tblPr>
      <w:tblStyleRowBandSize w:val="1"/>
      <w:tblStyleColBandSize w:val="1"/>
    </w:tblPr>
    <w:tblStylePr w:type="firstRow">
      <w:rPr>
        <w:b/>
        <w:bCs/>
      </w:rPr>
      <w:tblPr/>
      <w:tcPr>
        <w:tcBorders>
          <w:bottom w:val="single" w:sz="4" w:space="0" w:color="66A1A9" w:themeColor="accent2" w:themeTint="99"/>
        </w:tcBorders>
      </w:tcPr>
    </w:tblStylePr>
    <w:tblStylePr w:type="lastRow">
      <w:rPr>
        <w:b/>
        <w:bCs/>
      </w:rPr>
      <w:tblPr/>
      <w:tcPr>
        <w:tcBorders>
          <w:top w:val="sing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ListTable1Light-Accent3">
    <w:name w:val="List Table 1 Light Accent 3"/>
    <w:basedOn w:val="TableNormal"/>
    <w:uiPriority w:val="46"/>
    <w:rsid w:val="00776AC3"/>
    <w:tblPr>
      <w:tblStyleRowBandSize w:val="1"/>
      <w:tblStyleColBandSize w:val="1"/>
    </w:tblPr>
    <w:tblStylePr w:type="firstRow">
      <w:rPr>
        <w:b/>
        <w:bCs/>
      </w:rPr>
      <w:tblPr/>
      <w:tcPr>
        <w:tcBorders>
          <w:bottom w:val="single" w:sz="4" w:space="0" w:color="586DC0" w:themeColor="accent3" w:themeTint="99"/>
        </w:tcBorders>
      </w:tcPr>
    </w:tblStylePr>
    <w:tblStylePr w:type="lastRow">
      <w:rPr>
        <w:b/>
        <w:bCs/>
      </w:rPr>
      <w:tblPr/>
      <w:tcPr>
        <w:tcBorders>
          <w:top w:val="sing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ListTable1Light-Accent4">
    <w:name w:val="List Table 1 Light Accent 4"/>
    <w:basedOn w:val="TableNormal"/>
    <w:uiPriority w:val="46"/>
    <w:rsid w:val="00776AC3"/>
    <w:tblPr>
      <w:tblStyleRowBandSize w:val="1"/>
      <w:tblStyleColBandSize w:val="1"/>
    </w:tblPr>
    <w:tblStylePr w:type="firstRow">
      <w:rPr>
        <w:b/>
        <w:bCs/>
      </w:rPr>
      <w:tblPr/>
      <w:tcPr>
        <w:tcBorders>
          <w:bottom w:val="single" w:sz="4" w:space="0" w:color="878691" w:themeColor="accent4" w:themeTint="99"/>
        </w:tcBorders>
      </w:tcPr>
    </w:tblStylePr>
    <w:tblStylePr w:type="lastRow">
      <w:rPr>
        <w:b/>
        <w:bCs/>
      </w:rPr>
      <w:tblPr/>
      <w:tcPr>
        <w:tcBorders>
          <w:top w:val="sing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ListTable1Light-Accent5">
    <w:name w:val="List Table 1 Light Accent 5"/>
    <w:basedOn w:val="TableNormal"/>
    <w:uiPriority w:val="46"/>
    <w:rsid w:val="00776AC3"/>
    <w:tblPr>
      <w:tblStyleRowBandSize w:val="1"/>
      <w:tblStyleColBandSize w:val="1"/>
    </w:tblPr>
    <w:tblStylePr w:type="firstRow">
      <w:rPr>
        <w:b/>
        <w:bCs/>
      </w:rPr>
      <w:tblPr/>
      <w:tcPr>
        <w:tcBorders>
          <w:bottom w:val="single" w:sz="4" w:space="0" w:color="E89E95" w:themeColor="accent5" w:themeTint="99"/>
        </w:tcBorders>
      </w:tcPr>
    </w:tblStylePr>
    <w:tblStylePr w:type="lastRow">
      <w:rPr>
        <w:b/>
        <w:bCs/>
      </w:rPr>
      <w:tblPr/>
      <w:tcPr>
        <w:tcBorders>
          <w:top w:val="sing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ListTable1Light-Accent6">
    <w:name w:val="List Table 1 Light Accent 6"/>
    <w:basedOn w:val="TableNormal"/>
    <w:uiPriority w:val="46"/>
    <w:rsid w:val="00776AC3"/>
    <w:tblPr>
      <w:tblStyleRowBandSize w:val="1"/>
      <w:tblStyleColBandSize w:val="1"/>
    </w:tblPr>
    <w:tblStylePr w:type="firstRow">
      <w:rPr>
        <w:b/>
        <w:bCs/>
      </w:rPr>
      <w:tblPr/>
      <w:tcPr>
        <w:tcBorders>
          <w:bottom w:val="single" w:sz="4" w:space="0" w:color="E2436D" w:themeColor="accent6" w:themeTint="99"/>
        </w:tcBorders>
      </w:tcPr>
    </w:tblStylePr>
    <w:tblStylePr w:type="lastRow">
      <w:rPr>
        <w:b/>
        <w:bCs/>
      </w:rPr>
      <w:tblPr/>
      <w:tcPr>
        <w:tcBorders>
          <w:top w:val="sing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ListTable2">
    <w:name w:val="List Table 2"/>
    <w:basedOn w:val="TableNormal"/>
    <w:uiPriority w:val="47"/>
    <w:rsid w:val="00776AC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76AC3"/>
    <w:tblPr>
      <w:tblStyleRowBandSize w:val="1"/>
      <w:tblStyleColBandSize w:val="1"/>
      <w:tblBorders>
        <w:top w:val="single" w:sz="4" w:space="0" w:color="86BDB9" w:themeColor="accent1" w:themeTint="99"/>
        <w:bottom w:val="single" w:sz="4" w:space="0" w:color="86BDB9" w:themeColor="accent1" w:themeTint="99"/>
        <w:insideH w:val="single" w:sz="4" w:space="0" w:color="86BDB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ListTable2-Accent2">
    <w:name w:val="List Table 2 Accent 2"/>
    <w:basedOn w:val="TableNormal"/>
    <w:uiPriority w:val="47"/>
    <w:rsid w:val="00776AC3"/>
    <w:tblPr>
      <w:tblStyleRowBandSize w:val="1"/>
      <w:tblStyleColBandSize w:val="1"/>
      <w:tblBorders>
        <w:top w:val="single" w:sz="4" w:space="0" w:color="66A1A9" w:themeColor="accent2" w:themeTint="99"/>
        <w:bottom w:val="single" w:sz="4" w:space="0" w:color="66A1A9" w:themeColor="accent2" w:themeTint="99"/>
        <w:insideH w:val="single" w:sz="4" w:space="0" w:color="66A1A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ListTable2-Accent3">
    <w:name w:val="List Table 2 Accent 3"/>
    <w:basedOn w:val="TableNormal"/>
    <w:uiPriority w:val="47"/>
    <w:rsid w:val="00776AC3"/>
    <w:tblPr>
      <w:tblStyleRowBandSize w:val="1"/>
      <w:tblStyleColBandSize w:val="1"/>
      <w:tblBorders>
        <w:top w:val="single" w:sz="4" w:space="0" w:color="586DC0" w:themeColor="accent3" w:themeTint="99"/>
        <w:bottom w:val="single" w:sz="4" w:space="0" w:color="586DC0" w:themeColor="accent3" w:themeTint="99"/>
        <w:insideH w:val="single" w:sz="4" w:space="0" w:color="586D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ListTable2-Accent4">
    <w:name w:val="List Table 2 Accent 4"/>
    <w:basedOn w:val="TableNormal"/>
    <w:uiPriority w:val="47"/>
    <w:rsid w:val="00776AC3"/>
    <w:tblPr>
      <w:tblStyleRowBandSize w:val="1"/>
      <w:tblStyleColBandSize w:val="1"/>
      <w:tblBorders>
        <w:top w:val="single" w:sz="4" w:space="0" w:color="878691" w:themeColor="accent4" w:themeTint="99"/>
        <w:bottom w:val="single" w:sz="4" w:space="0" w:color="878691" w:themeColor="accent4" w:themeTint="99"/>
        <w:insideH w:val="single" w:sz="4" w:space="0" w:color="8786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ListTable2-Accent5">
    <w:name w:val="List Table 2 Accent 5"/>
    <w:basedOn w:val="TableNormal"/>
    <w:uiPriority w:val="47"/>
    <w:rsid w:val="00776AC3"/>
    <w:tblPr>
      <w:tblStyleRowBandSize w:val="1"/>
      <w:tblStyleColBandSize w:val="1"/>
      <w:tblBorders>
        <w:top w:val="single" w:sz="4" w:space="0" w:color="E89E95" w:themeColor="accent5" w:themeTint="99"/>
        <w:bottom w:val="single" w:sz="4" w:space="0" w:color="E89E95" w:themeColor="accent5" w:themeTint="99"/>
        <w:insideH w:val="single" w:sz="4" w:space="0" w:color="E89E9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ListTable2-Accent6">
    <w:name w:val="List Table 2 Accent 6"/>
    <w:basedOn w:val="TableNormal"/>
    <w:uiPriority w:val="47"/>
    <w:rsid w:val="00776AC3"/>
    <w:tblPr>
      <w:tblStyleRowBandSize w:val="1"/>
      <w:tblStyleColBandSize w:val="1"/>
      <w:tblBorders>
        <w:top w:val="single" w:sz="4" w:space="0" w:color="E2436D" w:themeColor="accent6" w:themeTint="99"/>
        <w:bottom w:val="single" w:sz="4" w:space="0" w:color="E2436D" w:themeColor="accent6" w:themeTint="99"/>
        <w:insideH w:val="single" w:sz="4" w:space="0" w:color="E2436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ListTable3">
    <w:name w:val="List Table 3"/>
    <w:basedOn w:val="TableNormal"/>
    <w:uiPriority w:val="48"/>
    <w:rsid w:val="00776AC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76AC3"/>
    <w:tblPr>
      <w:tblStyleRowBandSize w:val="1"/>
      <w:tblStyleColBandSize w:val="1"/>
      <w:tblBorders>
        <w:top w:val="single" w:sz="4" w:space="0" w:color="47827E" w:themeColor="accent1"/>
        <w:left w:val="single" w:sz="4" w:space="0" w:color="47827E" w:themeColor="accent1"/>
        <w:bottom w:val="single" w:sz="4" w:space="0" w:color="47827E" w:themeColor="accent1"/>
        <w:right w:val="single" w:sz="4" w:space="0" w:color="47827E" w:themeColor="accent1"/>
      </w:tblBorders>
    </w:tblPr>
    <w:tblStylePr w:type="firstRow">
      <w:rPr>
        <w:b/>
        <w:bCs/>
        <w:color w:val="FFFFFF" w:themeColor="background1"/>
      </w:rPr>
      <w:tblPr/>
      <w:tcPr>
        <w:shd w:val="clear" w:color="auto" w:fill="47827E" w:themeFill="accent1"/>
      </w:tcPr>
    </w:tblStylePr>
    <w:tblStylePr w:type="lastRow">
      <w:rPr>
        <w:b/>
        <w:bCs/>
      </w:rPr>
      <w:tblPr/>
      <w:tcPr>
        <w:tcBorders>
          <w:top w:val="double" w:sz="4" w:space="0" w:color="4782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827E" w:themeColor="accent1"/>
          <w:right w:val="single" w:sz="4" w:space="0" w:color="47827E" w:themeColor="accent1"/>
        </w:tcBorders>
      </w:tcPr>
    </w:tblStylePr>
    <w:tblStylePr w:type="band1Horz">
      <w:tblPr/>
      <w:tcPr>
        <w:tcBorders>
          <w:top w:val="single" w:sz="4" w:space="0" w:color="47827E" w:themeColor="accent1"/>
          <w:bottom w:val="single" w:sz="4" w:space="0" w:color="4782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827E" w:themeColor="accent1"/>
          <w:left w:val="nil"/>
        </w:tcBorders>
      </w:tcPr>
    </w:tblStylePr>
    <w:tblStylePr w:type="swCell">
      <w:tblPr/>
      <w:tcPr>
        <w:tcBorders>
          <w:top w:val="double" w:sz="4" w:space="0" w:color="47827E" w:themeColor="accent1"/>
          <w:right w:val="nil"/>
        </w:tcBorders>
      </w:tcPr>
    </w:tblStylePr>
  </w:style>
  <w:style w:type="table" w:styleId="ListTable3-Accent2">
    <w:name w:val="List Table 3 Accent 2"/>
    <w:basedOn w:val="TableNormal"/>
    <w:uiPriority w:val="48"/>
    <w:rsid w:val="00776AC3"/>
    <w:tblPr>
      <w:tblStyleRowBandSize w:val="1"/>
      <w:tblStyleColBandSize w:val="1"/>
      <w:tblBorders>
        <w:top w:val="single" w:sz="4" w:space="0" w:color="294549" w:themeColor="accent2"/>
        <w:left w:val="single" w:sz="4" w:space="0" w:color="294549" w:themeColor="accent2"/>
        <w:bottom w:val="single" w:sz="4" w:space="0" w:color="294549" w:themeColor="accent2"/>
        <w:right w:val="single" w:sz="4" w:space="0" w:color="294549" w:themeColor="accent2"/>
      </w:tblBorders>
    </w:tblPr>
    <w:tblStylePr w:type="firstRow">
      <w:rPr>
        <w:b/>
        <w:bCs/>
        <w:color w:val="FFFFFF" w:themeColor="background1"/>
      </w:rPr>
      <w:tblPr/>
      <w:tcPr>
        <w:shd w:val="clear" w:color="auto" w:fill="294549" w:themeFill="accent2"/>
      </w:tcPr>
    </w:tblStylePr>
    <w:tblStylePr w:type="lastRow">
      <w:rPr>
        <w:b/>
        <w:bCs/>
      </w:rPr>
      <w:tblPr/>
      <w:tcPr>
        <w:tcBorders>
          <w:top w:val="double" w:sz="4" w:space="0" w:color="29454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4549" w:themeColor="accent2"/>
          <w:right w:val="single" w:sz="4" w:space="0" w:color="294549" w:themeColor="accent2"/>
        </w:tcBorders>
      </w:tcPr>
    </w:tblStylePr>
    <w:tblStylePr w:type="band1Horz">
      <w:tblPr/>
      <w:tcPr>
        <w:tcBorders>
          <w:top w:val="single" w:sz="4" w:space="0" w:color="294549" w:themeColor="accent2"/>
          <w:bottom w:val="single" w:sz="4" w:space="0" w:color="29454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4549" w:themeColor="accent2"/>
          <w:left w:val="nil"/>
        </w:tcBorders>
      </w:tcPr>
    </w:tblStylePr>
    <w:tblStylePr w:type="swCell">
      <w:tblPr/>
      <w:tcPr>
        <w:tcBorders>
          <w:top w:val="double" w:sz="4" w:space="0" w:color="294549" w:themeColor="accent2"/>
          <w:right w:val="nil"/>
        </w:tcBorders>
      </w:tcPr>
    </w:tblStylePr>
  </w:style>
  <w:style w:type="table" w:styleId="ListTable3-Accent3">
    <w:name w:val="List Table 3 Accent 3"/>
    <w:basedOn w:val="TableNormal"/>
    <w:uiPriority w:val="48"/>
    <w:rsid w:val="00776AC3"/>
    <w:tblPr>
      <w:tblStyleRowBandSize w:val="1"/>
      <w:tblStyleColBandSize w:val="1"/>
      <w:tblBorders>
        <w:top w:val="single" w:sz="4" w:space="0" w:color="232F5D" w:themeColor="accent3"/>
        <w:left w:val="single" w:sz="4" w:space="0" w:color="232F5D" w:themeColor="accent3"/>
        <w:bottom w:val="single" w:sz="4" w:space="0" w:color="232F5D" w:themeColor="accent3"/>
        <w:right w:val="single" w:sz="4" w:space="0" w:color="232F5D" w:themeColor="accent3"/>
      </w:tblBorders>
    </w:tblPr>
    <w:tblStylePr w:type="firstRow">
      <w:rPr>
        <w:b/>
        <w:bCs/>
        <w:color w:val="FFFFFF" w:themeColor="background1"/>
      </w:rPr>
      <w:tblPr/>
      <w:tcPr>
        <w:shd w:val="clear" w:color="auto" w:fill="232F5D" w:themeFill="accent3"/>
      </w:tcPr>
    </w:tblStylePr>
    <w:tblStylePr w:type="lastRow">
      <w:rPr>
        <w:b/>
        <w:bCs/>
      </w:rPr>
      <w:tblPr/>
      <w:tcPr>
        <w:tcBorders>
          <w:top w:val="double" w:sz="4" w:space="0" w:color="232F5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F5D" w:themeColor="accent3"/>
          <w:right w:val="single" w:sz="4" w:space="0" w:color="232F5D" w:themeColor="accent3"/>
        </w:tcBorders>
      </w:tcPr>
    </w:tblStylePr>
    <w:tblStylePr w:type="band1Horz">
      <w:tblPr/>
      <w:tcPr>
        <w:tcBorders>
          <w:top w:val="single" w:sz="4" w:space="0" w:color="232F5D" w:themeColor="accent3"/>
          <w:bottom w:val="single" w:sz="4" w:space="0" w:color="232F5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F5D" w:themeColor="accent3"/>
          <w:left w:val="nil"/>
        </w:tcBorders>
      </w:tcPr>
    </w:tblStylePr>
    <w:tblStylePr w:type="swCell">
      <w:tblPr/>
      <w:tcPr>
        <w:tcBorders>
          <w:top w:val="double" w:sz="4" w:space="0" w:color="232F5D" w:themeColor="accent3"/>
          <w:right w:val="nil"/>
        </w:tcBorders>
      </w:tcPr>
    </w:tblStylePr>
  </w:style>
  <w:style w:type="table" w:styleId="ListTable3-Accent4">
    <w:name w:val="List Table 3 Accent 4"/>
    <w:basedOn w:val="TableNormal"/>
    <w:uiPriority w:val="48"/>
    <w:rsid w:val="00776AC3"/>
    <w:tblPr>
      <w:tblStyleRowBandSize w:val="1"/>
      <w:tblStyleColBandSize w:val="1"/>
      <w:tblBorders>
        <w:top w:val="single" w:sz="4" w:space="0" w:color="3D3C42" w:themeColor="accent4"/>
        <w:left w:val="single" w:sz="4" w:space="0" w:color="3D3C42" w:themeColor="accent4"/>
        <w:bottom w:val="single" w:sz="4" w:space="0" w:color="3D3C42" w:themeColor="accent4"/>
        <w:right w:val="single" w:sz="4" w:space="0" w:color="3D3C42" w:themeColor="accent4"/>
      </w:tblBorders>
    </w:tblPr>
    <w:tblStylePr w:type="firstRow">
      <w:rPr>
        <w:b/>
        <w:bCs/>
        <w:color w:val="FFFFFF" w:themeColor="background1"/>
      </w:rPr>
      <w:tblPr/>
      <w:tcPr>
        <w:shd w:val="clear" w:color="auto" w:fill="3D3C42" w:themeFill="accent4"/>
      </w:tcPr>
    </w:tblStylePr>
    <w:tblStylePr w:type="lastRow">
      <w:rPr>
        <w:b/>
        <w:bCs/>
      </w:rPr>
      <w:tblPr/>
      <w:tcPr>
        <w:tcBorders>
          <w:top w:val="double" w:sz="4" w:space="0" w:color="3D3C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3C42" w:themeColor="accent4"/>
          <w:right w:val="single" w:sz="4" w:space="0" w:color="3D3C42" w:themeColor="accent4"/>
        </w:tcBorders>
      </w:tcPr>
    </w:tblStylePr>
    <w:tblStylePr w:type="band1Horz">
      <w:tblPr/>
      <w:tcPr>
        <w:tcBorders>
          <w:top w:val="single" w:sz="4" w:space="0" w:color="3D3C42" w:themeColor="accent4"/>
          <w:bottom w:val="single" w:sz="4" w:space="0" w:color="3D3C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3C42" w:themeColor="accent4"/>
          <w:left w:val="nil"/>
        </w:tcBorders>
      </w:tcPr>
    </w:tblStylePr>
    <w:tblStylePr w:type="swCell">
      <w:tblPr/>
      <w:tcPr>
        <w:tcBorders>
          <w:top w:val="double" w:sz="4" w:space="0" w:color="3D3C42" w:themeColor="accent4"/>
          <w:right w:val="nil"/>
        </w:tcBorders>
      </w:tcPr>
    </w:tblStylePr>
  </w:style>
  <w:style w:type="table" w:styleId="ListTable3-Accent5">
    <w:name w:val="List Table 3 Accent 5"/>
    <w:basedOn w:val="TableNormal"/>
    <w:uiPriority w:val="48"/>
    <w:rsid w:val="00776AC3"/>
    <w:tblPr>
      <w:tblStyleRowBandSize w:val="1"/>
      <w:tblStyleColBandSize w:val="1"/>
      <w:tblBorders>
        <w:top w:val="single" w:sz="4" w:space="0" w:color="DA5F4F" w:themeColor="accent5"/>
        <w:left w:val="single" w:sz="4" w:space="0" w:color="DA5F4F" w:themeColor="accent5"/>
        <w:bottom w:val="single" w:sz="4" w:space="0" w:color="DA5F4F" w:themeColor="accent5"/>
        <w:right w:val="single" w:sz="4" w:space="0" w:color="DA5F4F" w:themeColor="accent5"/>
      </w:tblBorders>
    </w:tblPr>
    <w:tblStylePr w:type="firstRow">
      <w:rPr>
        <w:b/>
        <w:bCs/>
        <w:color w:val="FFFFFF" w:themeColor="background1"/>
      </w:rPr>
      <w:tblPr/>
      <w:tcPr>
        <w:shd w:val="clear" w:color="auto" w:fill="DA5F4F" w:themeFill="accent5"/>
      </w:tcPr>
    </w:tblStylePr>
    <w:tblStylePr w:type="lastRow">
      <w:rPr>
        <w:b/>
        <w:bCs/>
      </w:rPr>
      <w:tblPr/>
      <w:tcPr>
        <w:tcBorders>
          <w:top w:val="double" w:sz="4" w:space="0" w:color="DA5F4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5F4F" w:themeColor="accent5"/>
          <w:right w:val="single" w:sz="4" w:space="0" w:color="DA5F4F" w:themeColor="accent5"/>
        </w:tcBorders>
      </w:tcPr>
    </w:tblStylePr>
    <w:tblStylePr w:type="band1Horz">
      <w:tblPr/>
      <w:tcPr>
        <w:tcBorders>
          <w:top w:val="single" w:sz="4" w:space="0" w:color="DA5F4F" w:themeColor="accent5"/>
          <w:bottom w:val="single" w:sz="4" w:space="0" w:color="DA5F4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5F4F" w:themeColor="accent5"/>
          <w:left w:val="nil"/>
        </w:tcBorders>
      </w:tcPr>
    </w:tblStylePr>
    <w:tblStylePr w:type="swCell">
      <w:tblPr/>
      <w:tcPr>
        <w:tcBorders>
          <w:top w:val="double" w:sz="4" w:space="0" w:color="DA5F4F" w:themeColor="accent5"/>
          <w:right w:val="nil"/>
        </w:tcBorders>
      </w:tcPr>
    </w:tblStylePr>
  </w:style>
  <w:style w:type="table" w:styleId="ListTable3-Accent6">
    <w:name w:val="List Table 3 Accent 6"/>
    <w:basedOn w:val="TableNormal"/>
    <w:uiPriority w:val="48"/>
    <w:rsid w:val="00776AC3"/>
    <w:tblPr>
      <w:tblStyleRowBandSize w:val="1"/>
      <w:tblStyleColBandSize w:val="1"/>
      <w:tblBorders>
        <w:top w:val="single" w:sz="4" w:space="0" w:color="821431" w:themeColor="accent6"/>
        <w:left w:val="single" w:sz="4" w:space="0" w:color="821431" w:themeColor="accent6"/>
        <w:bottom w:val="single" w:sz="4" w:space="0" w:color="821431" w:themeColor="accent6"/>
        <w:right w:val="single" w:sz="4" w:space="0" w:color="821431" w:themeColor="accent6"/>
      </w:tblBorders>
    </w:tblPr>
    <w:tblStylePr w:type="firstRow">
      <w:rPr>
        <w:b/>
        <w:bCs/>
        <w:color w:val="FFFFFF" w:themeColor="background1"/>
      </w:rPr>
      <w:tblPr/>
      <w:tcPr>
        <w:shd w:val="clear" w:color="auto" w:fill="821431" w:themeFill="accent6"/>
      </w:tcPr>
    </w:tblStylePr>
    <w:tblStylePr w:type="lastRow">
      <w:rPr>
        <w:b/>
        <w:bCs/>
      </w:rPr>
      <w:tblPr/>
      <w:tcPr>
        <w:tcBorders>
          <w:top w:val="double" w:sz="4" w:space="0" w:color="82143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1431" w:themeColor="accent6"/>
          <w:right w:val="single" w:sz="4" w:space="0" w:color="821431" w:themeColor="accent6"/>
        </w:tcBorders>
      </w:tcPr>
    </w:tblStylePr>
    <w:tblStylePr w:type="band1Horz">
      <w:tblPr/>
      <w:tcPr>
        <w:tcBorders>
          <w:top w:val="single" w:sz="4" w:space="0" w:color="821431" w:themeColor="accent6"/>
          <w:bottom w:val="single" w:sz="4" w:space="0" w:color="82143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1431" w:themeColor="accent6"/>
          <w:left w:val="nil"/>
        </w:tcBorders>
      </w:tcPr>
    </w:tblStylePr>
    <w:tblStylePr w:type="swCell">
      <w:tblPr/>
      <w:tcPr>
        <w:tcBorders>
          <w:top w:val="double" w:sz="4" w:space="0" w:color="821431" w:themeColor="accent6"/>
          <w:right w:val="nil"/>
        </w:tcBorders>
      </w:tcPr>
    </w:tblStylePr>
  </w:style>
  <w:style w:type="table" w:styleId="ListTable4">
    <w:name w:val="List Table 4"/>
    <w:basedOn w:val="TableNormal"/>
    <w:uiPriority w:val="49"/>
    <w:rsid w:val="00776A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76AC3"/>
    <w:tblPr>
      <w:tblStyleRowBandSize w:val="1"/>
      <w:tblStyleColBandSize w:val="1"/>
      <w:tblBorders>
        <w:top w:val="single" w:sz="4" w:space="0" w:color="86BDB9" w:themeColor="accent1" w:themeTint="99"/>
        <w:left w:val="single" w:sz="4" w:space="0" w:color="86BDB9" w:themeColor="accent1" w:themeTint="99"/>
        <w:bottom w:val="single" w:sz="4" w:space="0" w:color="86BDB9" w:themeColor="accent1" w:themeTint="99"/>
        <w:right w:val="single" w:sz="4" w:space="0" w:color="86BDB9" w:themeColor="accent1" w:themeTint="99"/>
        <w:insideH w:val="single" w:sz="4" w:space="0" w:color="86BDB9" w:themeColor="accent1" w:themeTint="99"/>
      </w:tblBorders>
    </w:tblPr>
    <w:tblStylePr w:type="firstRow">
      <w:rPr>
        <w:b/>
        <w:bCs/>
        <w:color w:val="FFFFFF" w:themeColor="background1"/>
      </w:rPr>
      <w:tblPr/>
      <w:tcPr>
        <w:tcBorders>
          <w:top w:val="single" w:sz="4" w:space="0" w:color="47827E" w:themeColor="accent1"/>
          <w:left w:val="single" w:sz="4" w:space="0" w:color="47827E" w:themeColor="accent1"/>
          <w:bottom w:val="single" w:sz="4" w:space="0" w:color="47827E" w:themeColor="accent1"/>
          <w:right w:val="single" w:sz="4" w:space="0" w:color="47827E" w:themeColor="accent1"/>
          <w:insideH w:val="nil"/>
        </w:tcBorders>
        <w:shd w:val="clear" w:color="auto" w:fill="47827E" w:themeFill="accent1"/>
      </w:tcPr>
    </w:tblStylePr>
    <w:tblStylePr w:type="lastRow">
      <w:rPr>
        <w:b/>
        <w:bCs/>
      </w:rPr>
      <w:tblPr/>
      <w:tcPr>
        <w:tcBorders>
          <w:top w:val="double" w:sz="4" w:space="0" w:color="86BDB9" w:themeColor="accent1" w:themeTint="99"/>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ListTable4-Accent2">
    <w:name w:val="List Table 4 Accent 2"/>
    <w:basedOn w:val="TableNormal"/>
    <w:uiPriority w:val="49"/>
    <w:rsid w:val="00776AC3"/>
    <w:tblPr>
      <w:tblStyleRowBandSize w:val="1"/>
      <w:tblStyleColBandSize w:val="1"/>
      <w:tblBorders>
        <w:top w:val="single" w:sz="4" w:space="0" w:color="66A1A9" w:themeColor="accent2" w:themeTint="99"/>
        <w:left w:val="single" w:sz="4" w:space="0" w:color="66A1A9" w:themeColor="accent2" w:themeTint="99"/>
        <w:bottom w:val="single" w:sz="4" w:space="0" w:color="66A1A9" w:themeColor="accent2" w:themeTint="99"/>
        <w:right w:val="single" w:sz="4" w:space="0" w:color="66A1A9" w:themeColor="accent2" w:themeTint="99"/>
        <w:insideH w:val="single" w:sz="4" w:space="0" w:color="66A1A9" w:themeColor="accent2" w:themeTint="99"/>
      </w:tblBorders>
    </w:tblPr>
    <w:tblStylePr w:type="firstRow">
      <w:rPr>
        <w:b/>
        <w:bCs/>
        <w:color w:val="FFFFFF" w:themeColor="background1"/>
      </w:rPr>
      <w:tblPr/>
      <w:tcPr>
        <w:tcBorders>
          <w:top w:val="single" w:sz="4" w:space="0" w:color="294549" w:themeColor="accent2"/>
          <w:left w:val="single" w:sz="4" w:space="0" w:color="294549" w:themeColor="accent2"/>
          <w:bottom w:val="single" w:sz="4" w:space="0" w:color="294549" w:themeColor="accent2"/>
          <w:right w:val="single" w:sz="4" w:space="0" w:color="294549" w:themeColor="accent2"/>
          <w:insideH w:val="nil"/>
        </w:tcBorders>
        <w:shd w:val="clear" w:color="auto" w:fill="294549" w:themeFill="accent2"/>
      </w:tcPr>
    </w:tblStylePr>
    <w:tblStylePr w:type="lastRow">
      <w:rPr>
        <w:b/>
        <w:bCs/>
      </w:rPr>
      <w:tblPr/>
      <w:tcPr>
        <w:tcBorders>
          <w:top w:val="double" w:sz="4" w:space="0" w:color="66A1A9" w:themeColor="accent2" w:themeTint="99"/>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ListTable4-Accent3">
    <w:name w:val="List Table 4 Accent 3"/>
    <w:basedOn w:val="TableNormal"/>
    <w:uiPriority w:val="49"/>
    <w:rsid w:val="00776AC3"/>
    <w:tblPr>
      <w:tblStyleRowBandSize w:val="1"/>
      <w:tblStyleColBandSize w:val="1"/>
      <w:tblBorders>
        <w:top w:val="single" w:sz="4" w:space="0" w:color="586DC0" w:themeColor="accent3" w:themeTint="99"/>
        <w:left w:val="single" w:sz="4" w:space="0" w:color="586DC0" w:themeColor="accent3" w:themeTint="99"/>
        <w:bottom w:val="single" w:sz="4" w:space="0" w:color="586DC0" w:themeColor="accent3" w:themeTint="99"/>
        <w:right w:val="single" w:sz="4" w:space="0" w:color="586DC0" w:themeColor="accent3" w:themeTint="99"/>
        <w:insideH w:val="single" w:sz="4" w:space="0" w:color="586DC0" w:themeColor="accent3" w:themeTint="99"/>
      </w:tblBorders>
    </w:tblPr>
    <w:tblStylePr w:type="firstRow">
      <w:rPr>
        <w:b/>
        <w:bCs/>
        <w:color w:val="FFFFFF" w:themeColor="background1"/>
      </w:rPr>
      <w:tblPr/>
      <w:tcPr>
        <w:tcBorders>
          <w:top w:val="single" w:sz="4" w:space="0" w:color="232F5D" w:themeColor="accent3"/>
          <w:left w:val="single" w:sz="4" w:space="0" w:color="232F5D" w:themeColor="accent3"/>
          <w:bottom w:val="single" w:sz="4" w:space="0" w:color="232F5D" w:themeColor="accent3"/>
          <w:right w:val="single" w:sz="4" w:space="0" w:color="232F5D" w:themeColor="accent3"/>
          <w:insideH w:val="nil"/>
        </w:tcBorders>
        <w:shd w:val="clear" w:color="auto" w:fill="232F5D" w:themeFill="accent3"/>
      </w:tcPr>
    </w:tblStylePr>
    <w:tblStylePr w:type="lastRow">
      <w:rPr>
        <w:b/>
        <w:bCs/>
      </w:rPr>
      <w:tblPr/>
      <w:tcPr>
        <w:tcBorders>
          <w:top w:val="double" w:sz="4" w:space="0" w:color="586DC0" w:themeColor="accent3" w:themeTint="99"/>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ListTable4-Accent4">
    <w:name w:val="List Table 4 Accent 4"/>
    <w:basedOn w:val="TableNormal"/>
    <w:uiPriority w:val="49"/>
    <w:rsid w:val="00776AC3"/>
    <w:tblPr>
      <w:tblStyleRowBandSize w:val="1"/>
      <w:tblStyleColBandSize w:val="1"/>
      <w:tblBorders>
        <w:top w:val="single" w:sz="4" w:space="0" w:color="878691" w:themeColor="accent4" w:themeTint="99"/>
        <w:left w:val="single" w:sz="4" w:space="0" w:color="878691" w:themeColor="accent4" w:themeTint="99"/>
        <w:bottom w:val="single" w:sz="4" w:space="0" w:color="878691" w:themeColor="accent4" w:themeTint="99"/>
        <w:right w:val="single" w:sz="4" w:space="0" w:color="878691" w:themeColor="accent4" w:themeTint="99"/>
        <w:insideH w:val="single" w:sz="4" w:space="0" w:color="878691" w:themeColor="accent4" w:themeTint="99"/>
      </w:tblBorders>
    </w:tblPr>
    <w:tblStylePr w:type="firstRow">
      <w:rPr>
        <w:b/>
        <w:bCs/>
        <w:color w:val="FFFFFF" w:themeColor="background1"/>
      </w:rPr>
      <w:tblPr/>
      <w:tcPr>
        <w:tcBorders>
          <w:top w:val="single" w:sz="4" w:space="0" w:color="3D3C42" w:themeColor="accent4"/>
          <w:left w:val="single" w:sz="4" w:space="0" w:color="3D3C42" w:themeColor="accent4"/>
          <w:bottom w:val="single" w:sz="4" w:space="0" w:color="3D3C42" w:themeColor="accent4"/>
          <w:right w:val="single" w:sz="4" w:space="0" w:color="3D3C42" w:themeColor="accent4"/>
          <w:insideH w:val="nil"/>
        </w:tcBorders>
        <w:shd w:val="clear" w:color="auto" w:fill="3D3C42" w:themeFill="accent4"/>
      </w:tcPr>
    </w:tblStylePr>
    <w:tblStylePr w:type="lastRow">
      <w:rPr>
        <w:b/>
        <w:bCs/>
      </w:rPr>
      <w:tblPr/>
      <w:tcPr>
        <w:tcBorders>
          <w:top w:val="double" w:sz="4" w:space="0" w:color="878691" w:themeColor="accent4" w:themeTint="99"/>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ListTable4-Accent5">
    <w:name w:val="List Table 4 Accent 5"/>
    <w:basedOn w:val="TableNormal"/>
    <w:uiPriority w:val="49"/>
    <w:rsid w:val="00776AC3"/>
    <w:tblPr>
      <w:tblStyleRowBandSize w:val="1"/>
      <w:tblStyleColBandSize w:val="1"/>
      <w:tblBorders>
        <w:top w:val="single" w:sz="4" w:space="0" w:color="E89E95" w:themeColor="accent5" w:themeTint="99"/>
        <w:left w:val="single" w:sz="4" w:space="0" w:color="E89E95" w:themeColor="accent5" w:themeTint="99"/>
        <w:bottom w:val="single" w:sz="4" w:space="0" w:color="E89E95" w:themeColor="accent5" w:themeTint="99"/>
        <w:right w:val="single" w:sz="4" w:space="0" w:color="E89E95" w:themeColor="accent5" w:themeTint="99"/>
        <w:insideH w:val="single" w:sz="4" w:space="0" w:color="E89E95" w:themeColor="accent5" w:themeTint="99"/>
      </w:tblBorders>
    </w:tblPr>
    <w:tblStylePr w:type="firstRow">
      <w:rPr>
        <w:b/>
        <w:bCs/>
        <w:color w:val="FFFFFF" w:themeColor="background1"/>
      </w:rPr>
      <w:tblPr/>
      <w:tcPr>
        <w:tcBorders>
          <w:top w:val="single" w:sz="4" w:space="0" w:color="DA5F4F" w:themeColor="accent5"/>
          <w:left w:val="single" w:sz="4" w:space="0" w:color="DA5F4F" w:themeColor="accent5"/>
          <w:bottom w:val="single" w:sz="4" w:space="0" w:color="DA5F4F" w:themeColor="accent5"/>
          <w:right w:val="single" w:sz="4" w:space="0" w:color="DA5F4F" w:themeColor="accent5"/>
          <w:insideH w:val="nil"/>
        </w:tcBorders>
        <w:shd w:val="clear" w:color="auto" w:fill="DA5F4F" w:themeFill="accent5"/>
      </w:tcPr>
    </w:tblStylePr>
    <w:tblStylePr w:type="lastRow">
      <w:rPr>
        <w:b/>
        <w:bCs/>
      </w:rPr>
      <w:tblPr/>
      <w:tcPr>
        <w:tcBorders>
          <w:top w:val="double" w:sz="4" w:space="0" w:color="E89E95" w:themeColor="accent5" w:themeTint="99"/>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ListTable4-Accent6">
    <w:name w:val="List Table 4 Accent 6"/>
    <w:basedOn w:val="TableNormal"/>
    <w:uiPriority w:val="49"/>
    <w:rsid w:val="00776AC3"/>
    <w:tblPr>
      <w:tblStyleRowBandSize w:val="1"/>
      <w:tblStyleColBandSize w:val="1"/>
      <w:tblBorders>
        <w:top w:val="single" w:sz="4" w:space="0" w:color="E2436D" w:themeColor="accent6" w:themeTint="99"/>
        <w:left w:val="single" w:sz="4" w:space="0" w:color="E2436D" w:themeColor="accent6" w:themeTint="99"/>
        <w:bottom w:val="single" w:sz="4" w:space="0" w:color="E2436D" w:themeColor="accent6" w:themeTint="99"/>
        <w:right w:val="single" w:sz="4" w:space="0" w:color="E2436D" w:themeColor="accent6" w:themeTint="99"/>
        <w:insideH w:val="single" w:sz="4" w:space="0" w:color="E2436D" w:themeColor="accent6" w:themeTint="99"/>
      </w:tblBorders>
    </w:tblPr>
    <w:tblStylePr w:type="firstRow">
      <w:rPr>
        <w:b/>
        <w:bCs/>
        <w:color w:val="FFFFFF" w:themeColor="background1"/>
      </w:rPr>
      <w:tblPr/>
      <w:tcPr>
        <w:tcBorders>
          <w:top w:val="single" w:sz="4" w:space="0" w:color="821431" w:themeColor="accent6"/>
          <w:left w:val="single" w:sz="4" w:space="0" w:color="821431" w:themeColor="accent6"/>
          <w:bottom w:val="single" w:sz="4" w:space="0" w:color="821431" w:themeColor="accent6"/>
          <w:right w:val="single" w:sz="4" w:space="0" w:color="821431" w:themeColor="accent6"/>
          <w:insideH w:val="nil"/>
        </w:tcBorders>
        <w:shd w:val="clear" w:color="auto" w:fill="821431" w:themeFill="accent6"/>
      </w:tcPr>
    </w:tblStylePr>
    <w:tblStylePr w:type="lastRow">
      <w:rPr>
        <w:b/>
        <w:bCs/>
      </w:rPr>
      <w:tblPr/>
      <w:tcPr>
        <w:tcBorders>
          <w:top w:val="double" w:sz="4" w:space="0" w:color="E2436D" w:themeColor="accent6" w:themeTint="99"/>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ListTable5Dark">
    <w:name w:val="List Table 5 Dark"/>
    <w:basedOn w:val="TableNormal"/>
    <w:uiPriority w:val="50"/>
    <w:rsid w:val="00776AC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76AC3"/>
    <w:rPr>
      <w:color w:val="FFFFFF" w:themeColor="background1"/>
    </w:rPr>
    <w:tblPr>
      <w:tblStyleRowBandSize w:val="1"/>
      <w:tblStyleColBandSize w:val="1"/>
      <w:tblBorders>
        <w:top w:val="single" w:sz="24" w:space="0" w:color="47827E" w:themeColor="accent1"/>
        <w:left w:val="single" w:sz="24" w:space="0" w:color="47827E" w:themeColor="accent1"/>
        <w:bottom w:val="single" w:sz="24" w:space="0" w:color="47827E" w:themeColor="accent1"/>
        <w:right w:val="single" w:sz="24" w:space="0" w:color="47827E" w:themeColor="accent1"/>
      </w:tblBorders>
    </w:tblPr>
    <w:tcPr>
      <w:shd w:val="clear" w:color="auto" w:fill="47827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76AC3"/>
    <w:rPr>
      <w:color w:val="FFFFFF" w:themeColor="background1"/>
    </w:rPr>
    <w:tblPr>
      <w:tblStyleRowBandSize w:val="1"/>
      <w:tblStyleColBandSize w:val="1"/>
      <w:tblBorders>
        <w:top w:val="single" w:sz="24" w:space="0" w:color="294549" w:themeColor="accent2"/>
        <w:left w:val="single" w:sz="24" w:space="0" w:color="294549" w:themeColor="accent2"/>
        <w:bottom w:val="single" w:sz="24" w:space="0" w:color="294549" w:themeColor="accent2"/>
        <w:right w:val="single" w:sz="24" w:space="0" w:color="294549" w:themeColor="accent2"/>
      </w:tblBorders>
    </w:tblPr>
    <w:tcPr>
      <w:shd w:val="clear" w:color="auto" w:fill="29454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76AC3"/>
    <w:rPr>
      <w:color w:val="FFFFFF" w:themeColor="background1"/>
    </w:rPr>
    <w:tblPr>
      <w:tblStyleRowBandSize w:val="1"/>
      <w:tblStyleColBandSize w:val="1"/>
      <w:tblBorders>
        <w:top w:val="single" w:sz="24" w:space="0" w:color="232F5D" w:themeColor="accent3"/>
        <w:left w:val="single" w:sz="24" w:space="0" w:color="232F5D" w:themeColor="accent3"/>
        <w:bottom w:val="single" w:sz="24" w:space="0" w:color="232F5D" w:themeColor="accent3"/>
        <w:right w:val="single" w:sz="24" w:space="0" w:color="232F5D" w:themeColor="accent3"/>
      </w:tblBorders>
    </w:tblPr>
    <w:tcPr>
      <w:shd w:val="clear" w:color="auto" w:fill="232F5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76AC3"/>
    <w:rPr>
      <w:color w:val="FFFFFF" w:themeColor="background1"/>
    </w:rPr>
    <w:tblPr>
      <w:tblStyleRowBandSize w:val="1"/>
      <w:tblStyleColBandSize w:val="1"/>
      <w:tblBorders>
        <w:top w:val="single" w:sz="24" w:space="0" w:color="3D3C42" w:themeColor="accent4"/>
        <w:left w:val="single" w:sz="24" w:space="0" w:color="3D3C42" w:themeColor="accent4"/>
        <w:bottom w:val="single" w:sz="24" w:space="0" w:color="3D3C42" w:themeColor="accent4"/>
        <w:right w:val="single" w:sz="24" w:space="0" w:color="3D3C42" w:themeColor="accent4"/>
      </w:tblBorders>
    </w:tblPr>
    <w:tcPr>
      <w:shd w:val="clear" w:color="auto" w:fill="3D3C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76AC3"/>
    <w:rPr>
      <w:color w:val="FFFFFF" w:themeColor="background1"/>
    </w:rPr>
    <w:tblPr>
      <w:tblStyleRowBandSize w:val="1"/>
      <w:tblStyleColBandSize w:val="1"/>
      <w:tblBorders>
        <w:top w:val="single" w:sz="24" w:space="0" w:color="DA5F4F" w:themeColor="accent5"/>
        <w:left w:val="single" w:sz="24" w:space="0" w:color="DA5F4F" w:themeColor="accent5"/>
        <w:bottom w:val="single" w:sz="24" w:space="0" w:color="DA5F4F" w:themeColor="accent5"/>
        <w:right w:val="single" w:sz="24" w:space="0" w:color="DA5F4F" w:themeColor="accent5"/>
      </w:tblBorders>
    </w:tblPr>
    <w:tcPr>
      <w:shd w:val="clear" w:color="auto" w:fill="DA5F4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76AC3"/>
    <w:rPr>
      <w:color w:val="FFFFFF" w:themeColor="background1"/>
    </w:rPr>
    <w:tblPr>
      <w:tblStyleRowBandSize w:val="1"/>
      <w:tblStyleColBandSize w:val="1"/>
      <w:tblBorders>
        <w:top w:val="single" w:sz="24" w:space="0" w:color="821431" w:themeColor="accent6"/>
        <w:left w:val="single" w:sz="24" w:space="0" w:color="821431" w:themeColor="accent6"/>
        <w:bottom w:val="single" w:sz="24" w:space="0" w:color="821431" w:themeColor="accent6"/>
        <w:right w:val="single" w:sz="24" w:space="0" w:color="821431" w:themeColor="accent6"/>
      </w:tblBorders>
    </w:tblPr>
    <w:tcPr>
      <w:shd w:val="clear" w:color="auto" w:fill="82143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76AC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76AC3"/>
    <w:rPr>
      <w:color w:val="35615E" w:themeColor="accent1" w:themeShade="BF"/>
    </w:rPr>
    <w:tblPr>
      <w:tblStyleRowBandSize w:val="1"/>
      <w:tblStyleColBandSize w:val="1"/>
      <w:tblBorders>
        <w:top w:val="single" w:sz="4" w:space="0" w:color="47827E" w:themeColor="accent1"/>
        <w:bottom w:val="single" w:sz="4" w:space="0" w:color="47827E" w:themeColor="accent1"/>
      </w:tblBorders>
    </w:tblPr>
    <w:tblStylePr w:type="firstRow">
      <w:rPr>
        <w:b/>
        <w:bCs/>
      </w:rPr>
      <w:tblPr/>
      <w:tcPr>
        <w:tcBorders>
          <w:bottom w:val="single" w:sz="4" w:space="0" w:color="47827E" w:themeColor="accent1"/>
        </w:tcBorders>
      </w:tcPr>
    </w:tblStylePr>
    <w:tblStylePr w:type="lastRow">
      <w:rPr>
        <w:b/>
        <w:bCs/>
      </w:rPr>
      <w:tblPr/>
      <w:tcPr>
        <w:tcBorders>
          <w:top w:val="double" w:sz="4" w:space="0" w:color="47827E" w:themeColor="accent1"/>
        </w:tcBorders>
      </w:tcPr>
    </w:tblStylePr>
    <w:tblStylePr w:type="firstCol">
      <w:rPr>
        <w:b/>
        <w:bCs/>
      </w:rPr>
    </w:tblStylePr>
    <w:tblStylePr w:type="lastCol">
      <w:rPr>
        <w:b/>
        <w:bCs/>
      </w:rPr>
    </w:tblStylePr>
    <w:tblStylePr w:type="band1Vert">
      <w:tblPr/>
      <w:tcPr>
        <w:shd w:val="clear" w:color="auto" w:fill="D6E9E7" w:themeFill="accent1" w:themeFillTint="33"/>
      </w:tcPr>
    </w:tblStylePr>
    <w:tblStylePr w:type="band1Horz">
      <w:tblPr/>
      <w:tcPr>
        <w:shd w:val="clear" w:color="auto" w:fill="D6E9E7" w:themeFill="accent1" w:themeFillTint="33"/>
      </w:tcPr>
    </w:tblStylePr>
  </w:style>
  <w:style w:type="table" w:styleId="ListTable6Colorful-Accent2">
    <w:name w:val="List Table 6 Colorful Accent 2"/>
    <w:basedOn w:val="TableNormal"/>
    <w:uiPriority w:val="51"/>
    <w:rsid w:val="00776AC3"/>
    <w:rPr>
      <w:color w:val="1E3336" w:themeColor="accent2" w:themeShade="BF"/>
    </w:rPr>
    <w:tblPr>
      <w:tblStyleRowBandSize w:val="1"/>
      <w:tblStyleColBandSize w:val="1"/>
      <w:tblBorders>
        <w:top w:val="single" w:sz="4" w:space="0" w:color="294549" w:themeColor="accent2"/>
        <w:bottom w:val="single" w:sz="4" w:space="0" w:color="294549" w:themeColor="accent2"/>
      </w:tblBorders>
    </w:tblPr>
    <w:tblStylePr w:type="firstRow">
      <w:rPr>
        <w:b/>
        <w:bCs/>
      </w:rPr>
      <w:tblPr/>
      <w:tcPr>
        <w:tcBorders>
          <w:bottom w:val="single" w:sz="4" w:space="0" w:color="294549" w:themeColor="accent2"/>
        </w:tcBorders>
      </w:tcPr>
    </w:tblStylePr>
    <w:tblStylePr w:type="lastRow">
      <w:rPr>
        <w:b/>
        <w:bCs/>
      </w:rPr>
      <w:tblPr/>
      <w:tcPr>
        <w:tcBorders>
          <w:top w:val="double" w:sz="4" w:space="0" w:color="294549" w:themeColor="accent2"/>
        </w:tcBorders>
      </w:tcPr>
    </w:tblStylePr>
    <w:tblStylePr w:type="firstCol">
      <w:rPr>
        <w:b/>
        <w:bCs/>
      </w:rPr>
    </w:tblStylePr>
    <w:tblStylePr w:type="lastCol">
      <w:rPr>
        <w:b/>
        <w:bCs/>
      </w:rPr>
    </w:tblStylePr>
    <w:tblStylePr w:type="band1Vert">
      <w:tblPr/>
      <w:tcPr>
        <w:shd w:val="clear" w:color="auto" w:fill="CCDFE2" w:themeFill="accent2" w:themeFillTint="33"/>
      </w:tcPr>
    </w:tblStylePr>
    <w:tblStylePr w:type="band1Horz">
      <w:tblPr/>
      <w:tcPr>
        <w:shd w:val="clear" w:color="auto" w:fill="CCDFE2" w:themeFill="accent2" w:themeFillTint="33"/>
      </w:tcPr>
    </w:tblStylePr>
  </w:style>
  <w:style w:type="table" w:styleId="ListTable6Colorful-Accent3">
    <w:name w:val="List Table 6 Colorful Accent 3"/>
    <w:basedOn w:val="TableNormal"/>
    <w:uiPriority w:val="51"/>
    <w:rsid w:val="00776AC3"/>
    <w:rPr>
      <w:color w:val="1A2345" w:themeColor="accent3" w:themeShade="BF"/>
    </w:rPr>
    <w:tblPr>
      <w:tblStyleRowBandSize w:val="1"/>
      <w:tblStyleColBandSize w:val="1"/>
      <w:tblBorders>
        <w:top w:val="single" w:sz="4" w:space="0" w:color="232F5D" w:themeColor="accent3"/>
        <w:bottom w:val="single" w:sz="4" w:space="0" w:color="232F5D" w:themeColor="accent3"/>
      </w:tblBorders>
    </w:tblPr>
    <w:tblStylePr w:type="firstRow">
      <w:rPr>
        <w:b/>
        <w:bCs/>
      </w:rPr>
      <w:tblPr/>
      <w:tcPr>
        <w:tcBorders>
          <w:bottom w:val="single" w:sz="4" w:space="0" w:color="232F5D" w:themeColor="accent3"/>
        </w:tcBorders>
      </w:tcPr>
    </w:tblStylePr>
    <w:tblStylePr w:type="lastRow">
      <w:rPr>
        <w:b/>
        <w:bCs/>
      </w:rPr>
      <w:tblPr/>
      <w:tcPr>
        <w:tcBorders>
          <w:top w:val="double" w:sz="4" w:space="0" w:color="232F5D" w:themeColor="accent3"/>
        </w:tcBorders>
      </w:tcPr>
    </w:tblStylePr>
    <w:tblStylePr w:type="firstCol">
      <w:rPr>
        <w:b/>
        <w:bCs/>
      </w:rPr>
    </w:tblStylePr>
    <w:tblStylePr w:type="lastCol">
      <w:rPr>
        <w:b/>
        <w:bCs/>
      </w:rPr>
    </w:tblStylePr>
    <w:tblStylePr w:type="band1Vert">
      <w:tblPr/>
      <w:tcPr>
        <w:shd w:val="clear" w:color="auto" w:fill="C7CEEA" w:themeFill="accent3" w:themeFillTint="33"/>
      </w:tcPr>
    </w:tblStylePr>
    <w:tblStylePr w:type="band1Horz">
      <w:tblPr/>
      <w:tcPr>
        <w:shd w:val="clear" w:color="auto" w:fill="C7CEEA" w:themeFill="accent3" w:themeFillTint="33"/>
      </w:tcPr>
    </w:tblStylePr>
  </w:style>
  <w:style w:type="table" w:styleId="ListTable6Colorful-Accent4">
    <w:name w:val="List Table 6 Colorful Accent 4"/>
    <w:basedOn w:val="TableNormal"/>
    <w:uiPriority w:val="51"/>
    <w:rsid w:val="00776AC3"/>
    <w:rPr>
      <w:color w:val="2D2D31" w:themeColor="accent4" w:themeShade="BF"/>
    </w:rPr>
    <w:tblPr>
      <w:tblStyleRowBandSize w:val="1"/>
      <w:tblStyleColBandSize w:val="1"/>
      <w:tblBorders>
        <w:top w:val="single" w:sz="4" w:space="0" w:color="3D3C42" w:themeColor="accent4"/>
        <w:bottom w:val="single" w:sz="4" w:space="0" w:color="3D3C42" w:themeColor="accent4"/>
      </w:tblBorders>
    </w:tblPr>
    <w:tblStylePr w:type="firstRow">
      <w:rPr>
        <w:b/>
        <w:bCs/>
      </w:rPr>
      <w:tblPr/>
      <w:tcPr>
        <w:tcBorders>
          <w:bottom w:val="single" w:sz="4" w:space="0" w:color="3D3C42" w:themeColor="accent4"/>
        </w:tcBorders>
      </w:tcPr>
    </w:tblStylePr>
    <w:tblStylePr w:type="lastRow">
      <w:rPr>
        <w:b/>
        <w:bCs/>
      </w:rPr>
      <w:tblPr/>
      <w:tcPr>
        <w:tcBorders>
          <w:top w:val="double" w:sz="4" w:space="0" w:color="3D3C42" w:themeColor="accent4"/>
        </w:tcBorders>
      </w:tcPr>
    </w:tblStylePr>
    <w:tblStylePr w:type="firstCol">
      <w:rPr>
        <w:b/>
        <w:bCs/>
      </w:rPr>
    </w:tblStylePr>
    <w:tblStylePr w:type="lastCol">
      <w:rPr>
        <w:b/>
        <w:bCs/>
      </w:rPr>
    </w:tblStylePr>
    <w:tblStylePr w:type="band1Vert">
      <w:tblPr/>
      <w:tcPr>
        <w:shd w:val="clear" w:color="auto" w:fill="D7D6DA" w:themeFill="accent4" w:themeFillTint="33"/>
      </w:tcPr>
    </w:tblStylePr>
    <w:tblStylePr w:type="band1Horz">
      <w:tblPr/>
      <w:tcPr>
        <w:shd w:val="clear" w:color="auto" w:fill="D7D6DA" w:themeFill="accent4" w:themeFillTint="33"/>
      </w:tcPr>
    </w:tblStylePr>
  </w:style>
  <w:style w:type="table" w:styleId="ListTable6Colorful-Accent5">
    <w:name w:val="List Table 6 Colorful Accent 5"/>
    <w:basedOn w:val="TableNormal"/>
    <w:uiPriority w:val="51"/>
    <w:rsid w:val="00776AC3"/>
    <w:rPr>
      <w:color w:val="B73726" w:themeColor="accent5" w:themeShade="BF"/>
    </w:rPr>
    <w:tblPr>
      <w:tblStyleRowBandSize w:val="1"/>
      <w:tblStyleColBandSize w:val="1"/>
      <w:tblBorders>
        <w:top w:val="single" w:sz="4" w:space="0" w:color="DA5F4F" w:themeColor="accent5"/>
        <w:bottom w:val="single" w:sz="4" w:space="0" w:color="DA5F4F" w:themeColor="accent5"/>
      </w:tblBorders>
    </w:tblPr>
    <w:tblStylePr w:type="firstRow">
      <w:rPr>
        <w:b/>
        <w:bCs/>
      </w:rPr>
      <w:tblPr/>
      <w:tcPr>
        <w:tcBorders>
          <w:bottom w:val="single" w:sz="4" w:space="0" w:color="DA5F4F" w:themeColor="accent5"/>
        </w:tcBorders>
      </w:tcPr>
    </w:tblStylePr>
    <w:tblStylePr w:type="lastRow">
      <w:rPr>
        <w:b/>
        <w:bCs/>
      </w:rPr>
      <w:tblPr/>
      <w:tcPr>
        <w:tcBorders>
          <w:top w:val="double" w:sz="4" w:space="0" w:color="DA5F4F" w:themeColor="accent5"/>
        </w:tcBorders>
      </w:tcPr>
    </w:tblStylePr>
    <w:tblStylePr w:type="firstCol">
      <w:rPr>
        <w:b/>
        <w:bCs/>
      </w:rPr>
    </w:tblStylePr>
    <w:tblStylePr w:type="lastCol">
      <w:rPr>
        <w:b/>
        <w:bCs/>
      </w:rPr>
    </w:tblStylePr>
    <w:tblStylePr w:type="band1Vert">
      <w:tblPr/>
      <w:tcPr>
        <w:shd w:val="clear" w:color="auto" w:fill="F7DEDB" w:themeFill="accent5" w:themeFillTint="33"/>
      </w:tcPr>
    </w:tblStylePr>
    <w:tblStylePr w:type="band1Horz">
      <w:tblPr/>
      <w:tcPr>
        <w:shd w:val="clear" w:color="auto" w:fill="F7DEDB" w:themeFill="accent5" w:themeFillTint="33"/>
      </w:tcPr>
    </w:tblStylePr>
  </w:style>
  <w:style w:type="table" w:styleId="ListTable6Colorful-Accent6">
    <w:name w:val="List Table 6 Colorful Accent 6"/>
    <w:basedOn w:val="TableNormal"/>
    <w:uiPriority w:val="51"/>
    <w:rsid w:val="00776AC3"/>
    <w:rPr>
      <w:color w:val="610F24" w:themeColor="accent6" w:themeShade="BF"/>
    </w:rPr>
    <w:tblPr>
      <w:tblStyleRowBandSize w:val="1"/>
      <w:tblStyleColBandSize w:val="1"/>
      <w:tblBorders>
        <w:top w:val="single" w:sz="4" w:space="0" w:color="821431" w:themeColor="accent6"/>
        <w:bottom w:val="single" w:sz="4" w:space="0" w:color="821431" w:themeColor="accent6"/>
      </w:tblBorders>
    </w:tblPr>
    <w:tblStylePr w:type="firstRow">
      <w:rPr>
        <w:b/>
        <w:bCs/>
      </w:rPr>
      <w:tblPr/>
      <w:tcPr>
        <w:tcBorders>
          <w:bottom w:val="single" w:sz="4" w:space="0" w:color="821431" w:themeColor="accent6"/>
        </w:tcBorders>
      </w:tcPr>
    </w:tblStylePr>
    <w:tblStylePr w:type="lastRow">
      <w:rPr>
        <w:b/>
        <w:bCs/>
      </w:rPr>
      <w:tblPr/>
      <w:tcPr>
        <w:tcBorders>
          <w:top w:val="double" w:sz="4" w:space="0" w:color="821431" w:themeColor="accent6"/>
        </w:tcBorders>
      </w:tcPr>
    </w:tblStylePr>
    <w:tblStylePr w:type="firstCol">
      <w:rPr>
        <w:b/>
        <w:bCs/>
      </w:rPr>
    </w:tblStylePr>
    <w:tblStylePr w:type="lastCol">
      <w:rPr>
        <w:b/>
        <w:bCs/>
      </w:rPr>
    </w:tblStylePr>
    <w:tblStylePr w:type="band1Vert">
      <w:tblPr/>
      <w:tcPr>
        <w:shd w:val="clear" w:color="auto" w:fill="F5C0CE" w:themeFill="accent6" w:themeFillTint="33"/>
      </w:tcPr>
    </w:tblStylePr>
    <w:tblStylePr w:type="band1Horz">
      <w:tblPr/>
      <w:tcPr>
        <w:shd w:val="clear" w:color="auto" w:fill="F5C0CE" w:themeFill="accent6" w:themeFillTint="33"/>
      </w:tcPr>
    </w:tblStylePr>
  </w:style>
  <w:style w:type="table" w:styleId="ListTable7Colorful">
    <w:name w:val="List Table 7 Colorful"/>
    <w:basedOn w:val="TableNormal"/>
    <w:uiPriority w:val="52"/>
    <w:rsid w:val="00776AC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76AC3"/>
    <w:rPr>
      <w:color w:val="3561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827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827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827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827E" w:themeColor="accent1"/>
        </w:tcBorders>
        <w:shd w:val="clear" w:color="auto" w:fill="FFFFFF" w:themeFill="background1"/>
      </w:tcPr>
    </w:tblStylePr>
    <w:tblStylePr w:type="band1Vert">
      <w:tblPr/>
      <w:tcPr>
        <w:shd w:val="clear" w:color="auto" w:fill="D6E9E7" w:themeFill="accent1" w:themeFillTint="33"/>
      </w:tcPr>
    </w:tblStylePr>
    <w:tblStylePr w:type="band1Horz">
      <w:tblPr/>
      <w:tcPr>
        <w:shd w:val="clear" w:color="auto" w:fill="D6E9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76AC3"/>
    <w:rPr>
      <w:color w:val="1E33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454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454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454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4549" w:themeColor="accent2"/>
        </w:tcBorders>
        <w:shd w:val="clear" w:color="auto" w:fill="FFFFFF" w:themeFill="background1"/>
      </w:tcPr>
    </w:tblStylePr>
    <w:tblStylePr w:type="band1Vert">
      <w:tblPr/>
      <w:tcPr>
        <w:shd w:val="clear" w:color="auto" w:fill="CCDFE2" w:themeFill="accent2" w:themeFillTint="33"/>
      </w:tcPr>
    </w:tblStylePr>
    <w:tblStylePr w:type="band1Horz">
      <w:tblPr/>
      <w:tcPr>
        <w:shd w:val="clear" w:color="auto" w:fill="CCDF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76AC3"/>
    <w:rPr>
      <w:color w:val="1A2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F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F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F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F5D" w:themeColor="accent3"/>
        </w:tcBorders>
        <w:shd w:val="clear" w:color="auto" w:fill="FFFFFF" w:themeFill="background1"/>
      </w:tcPr>
    </w:tblStylePr>
    <w:tblStylePr w:type="band1Vert">
      <w:tblPr/>
      <w:tcPr>
        <w:shd w:val="clear" w:color="auto" w:fill="C7CEEA" w:themeFill="accent3" w:themeFillTint="33"/>
      </w:tcPr>
    </w:tblStylePr>
    <w:tblStylePr w:type="band1Horz">
      <w:tblPr/>
      <w:tcPr>
        <w:shd w:val="clear" w:color="auto" w:fill="C7C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76AC3"/>
    <w:rPr>
      <w:color w:val="2D2D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3C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3C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3C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3C42" w:themeColor="accent4"/>
        </w:tcBorders>
        <w:shd w:val="clear" w:color="auto" w:fill="FFFFFF" w:themeFill="background1"/>
      </w:tcPr>
    </w:tblStylePr>
    <w:tblStylePr w:type="band1Vert">
      <w:tblPr/>
      <w:tcPr>
        <w:shd w:val="clear" w:color="auto" w:fill="D7D6DA" w:themeFill="accent4" w:themeFillTint="33"/>
      </w:tcPr>
    </w:tblStylePr>
    <w:tblStylePr w:type="band1Horz">
      <w:tblPr/>
      <w:tcPr>
        <w:shd w:val="clear" w:color="auto" w:fill="D7D6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76AC3"/>
    <w:rPr>
      <w:color w:val="B7372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5F4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5F4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5F4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5F4F" w:themeColor="accent5"/>
        </w:tcBorders>
        <w:shd w:val="clear" w:color="auto" w:fill="FFFFFF" w:themeFill="background1"/>
      </w:tcPr>
    </w:tblStylePr>
    <w:tblStylePr w:type="band1Vert">
      <w:tblPr/>
      <w:tcPr>
        <w:shd w:val="clear" w:color="auto" w:fill="F7DEDB" w:themeFill="accent5" w:themeFillTint="33"/>
      </w:tcPr>
    </w:tblStylePr>
    <w:tblStylePr w:type="band1Horz">
      <w:tblPr/>
      <w:tcPr>
        <w:shd w:val="clear" w:color="auto" w:fill="F7DE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76AC3"/>
    <w:rPr>
      <w:color w:val="610F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143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143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143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1431" w:themeColor="accent6"/>
        </w:tcBorders>
        <w:shd w:val="clear" w:color="auto" w:fill="FFFFFF" w:themeFill="background1"/>
      </w:tcPr>
    </w:tblStylePr>
    <w:tblStylePr w:type="band1Vert">
      <w:tblPr/>
      <w:tcPr>
        <w:shd w:val="clear" w:color="auto" w:fill="F5C0CE" w:themeFill="accent6" w:themeFillTint="33"/>
      </w:tcPr>
    </w:tblStylePr>
    <w:tblStylePr w:type="band1Horz">
      <w:tblPr/>
      <w:tcPr>
        <w:shd w:val="clear" w:color="auto" w:fill="F5C0C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776A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76A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76AC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76A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76AC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76A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andedTable">
    <w:name w:val="Banded Table"/>
    <w:basedOn w:val="TableNormal"/>
    <w:uiPriority w:val="99"/>
    <w:semiHidden/>
    <w:rsid w:val="00CD5123"/>
    <w:tblPr>
      <w:tblStyleRowBandSize w:val="1"/>
      <w:tblBorders>
        <w:top w:val="single" w:sz="4" w:space="0" w:color="000000" w:themeColor="text1"/>
        <w:bottom w:val="single" w:sz="4" w:space="0" w:color="000000" w:themeColor="text1"/>
        <w:insideH w:val="single" w:sz="4" w:space="0" w:color="000000" w:themeColor="text1"/>
      </w:tblBorders>
      <w:tblCellMar>
        <w:top w:w="85" w:type="dxa"/>
        <w:left w:w="85" w:type="dxa"/>
        <w:bottom w:w="85" w:type="dxa"/>
        <w:right w:w="85" w:type="dxa"/>
      </w:tblCellMar>
    </w:tblPr>
    <w:tblStylePr w:type="firstRow">
      <w:tblPr/>
      <w:tcPr>
        <w:tcBorders>
          <w:bottom w:val="single" w:sz="12" w:space="0" w:color="auto"/>
        </w:tcBorders>
      </w:tcPr>
    </w:tblStylePr>
    <w:tblStylePr w:type="lastRow">
      <w:tblPr/>
      <w:tcPr>
        <w:tcBorders>
          <w:top w:val="single" w:sz="12" w:space="0" w:color="auto"/>
          <w:left w:val="nil"/>
          <w:bottom w:val="single" w:sz="4" w:space="0" w:color="auto"/>
          <w:right w:val="nil"/>
          <w:insideH w:val="nil"/>
          <w:insideV w:val="nil"/>
          <w:tl2br w:val="nil"/>
          <w:tr2bl w:val="nil"/>
        </w:tcBorders>
        <w:shd w:val="clear" w:color="auto" w:fill="FFFFFF" w:themeFill="background1"/>
      </w:tcPr>
    </w:tblStylePr>
    <w:tblStylePr w:type="firstCol">
      <w:tblPr/>
      <w:tcPr>
        <w:shd w:val="clear" w:color="auto" w:fill="FFFFFF" w:themeFill="background1"/>
      </w:tcPr>
    </w:tblStylePr>
    <w:tblStylePr w:type="band1Horz">
      <w:tblPr/>
      <w:tcPr>
        <w:shd w:val="clear" w:color="auto" w:fill="D7D6DA" w:themeFill="text2" w:themeFillTint="33"/>
      </w:tcPr>
    </w:tblStylePr>
    <w:tblStylePr w:type="band2Horz">
      <w:tblPr/>
      <w:tcPr>
        <w:shd w:val="clear" w:color="auto" w:fill="FFFFFF" w:themeFill="background2" w:themeFillTint="33"/>
      </w:tcPr>
    </w:tblStylePr>
  </w:style>
  <w:style w:type="table" w:customStyle="1" w:styleId="PlainTable">
    <w:name w:val="Plain Table"/>
    <w:basedOn w:val="TableNormal"/>
    <w:uiPriority w:val="99"/>
    <w:semiHidden/>
    <w:rsid w:val="004E79D6"/>
    <w:tblPr>
      <w:tblBorders>
        <w:top w:val="single" w:sz="4" w:space="0" w:color="47827E" w:themeColor="accent1"/>
        <w:bottom w:val="single" w:sz="4" w:space="0" w:color="47827E" w:themeColor="accent1"/>
        <w:insideH w:val="single" w:sz="4" w:space="0" w:color="D9D9D9" w:themeColor="background1" w:themeShade="D9"/>
        <w:insideV w:val="single" w:sz="4" w:space="0" w:color="D9D9D9" w:themeColor="background1" w:themeShade="D9"/>
      </w:tblBorders>
      <w:tblCellMar>
        <w:top w:w="85" w:type="dxa"/>
        <w:left w:w="85" w:type="dxa"/>
        <w:bottom w:w="85" w:type="dxa"/>
        <w:right w:w="85" w:type="dxa"/>
      </w:tblCellMar>
    </w:tblPr>
    <w:tcPr>
      <w:shd w:val="clear" w:color="auto" w:fill="auto"/>
    </w:tcPr>
    <w:tblStylePr w:type="firstRow">
      <w:rPr>
        <w:b w:val="0"/>
        <w:color w:val="FFFFFF" w:themeColor="background1"/>
      </w:rPr>
      <w:tblPr/>
      <w:tcPr>
        <w:tcBorders>
          <w:top w:val="single" w:sz="4" w:space="0" w:color="47827E" w:themeColor="accent1"/>
          <w:left w:val="nil"/>
          <w:bottom w:val="single" w:sz="4" w:space="0" w:color="47827E" w:themeColor="accent1"/>
          <w:right w:val="nil"/>
          <w:insideH w:val="single" w:sz="4" w:space="0" w:color="47827E" w:themeColor="accent1"/>
          <w:insideV w:val="single" w:sz="4" w:space="0" w:color="D9D9D9" w:themeColor="background1" w:themeShade="D9"/>
        </w:tcBorders>
        <w:shd w:val="clear" w:color="auto" w:fill="auto"/>
      </w:tcPr>
    </w:tblStylePr>
  </w:style>
  <w:style w:type="paragraph" w:customStyle="1" w:styleId="TableHeadingBlack">
    <w:name w:val="Table Heading Black"/>
    <w:basedOn w:val="TableHeading"/>
    <w:uiPriority w:val="9"/>
    <w:semiHidden/>
    <w:rsid w:val="00BE3476"/>
  </w:style>
  <w:style w:type="character" w:customStyle="1" w:styleId="DocTypeChar">
    <w:name w:val="Doc Type Char"/>
    <w:basedOn w:val="DefaultParagraphFont"/>
    <w:link w:val="DocType"/>
    <w:uiPriority w:val="29"/>
    <w:rsid w:val="00C8597A"/>
    <w:rPr>
      <w:b/>
      <w:caps/>
      <w:color w:val="D7D6DA" w:themeColor="text2" w:themeTint="33"/>
      <w:sz w:val="56"/>
      <w:szCs w:val="56"/>
    </w:rPr>
  </w:style>
  <w:style w:type="paragraph" w:customStyle="1" w:styleId="DocTitle">
    <w:name w:val="Doc Title"/>
    <w:basedOn w:val="DocType"/>
    <w:uiPriority w:val="4"/>
    <w:semiHidden/>
    <w:rsid w:val="007805B3"/>
    <w:pPr>
      <w:framePr w:wrap="around" w:vAnchor="margin" w:hAnchor="page"/>
    </w:pPr>
    <w:rPr>
      <w:b w:val="0"/>
      <w:caps w:val="0"/>
      <w:color w:val="3D3C42" w:themeColor="text2"/>
      <w:sz w:val="36"/>
    </w:rPr>
  </w:style>
  <w:style w:type="paragraph" w:styleId="ListNumber">
    <w:name w:val="List Number"/>
    <w:basedOn w:val="Normal"/>
    <w:uiPriority w:val="5"/>
    <w:rsid w:val="00D24C6F"/>
    <w:pPr>
      <w:numPr>
        <w:numId w:val="12"/>
      </w:numPr>
      <w:spacing w:before="120" w:after="120" w:line="276" w:lineRule="auto"/>
    </w:pPr>
    <w:rPr>
      <w:rFonts w:asciiTheme="minorHAnsi" w:eastAsiaTheme="minorEastAsia" w:hAnsiTheme="minorHAnsi" w:cstheme="minorBidi"/>
      <w:szCs w:val="22"/>
    </w:rPr>
  </w:style>
  <w:style w:type="paragraph" w:customStyle="1" w:styleId="DocType">
    <w:name w:val="Doc Type"/>
    <w:basedOn w:val="Header"/>
    <w:link w:val="DocTypeChar"/>
    <w:uiPriority w:val="29"/>
    <w:semiHidden/>
    <w:rsid w:val="00C8597A"/>
    <w:pPr>
      <w:framePr w:wrap="around" w:vAnchor="page" w:hAnchor="margin" w:yAlign="top"/>
      <w:tabs>
        <w:tab w:val="clear" w:pos="4513"/>
        <w:tab w:val="clear" w:pos="9026"/>
        <w:tab w:val="right" w:pos="9633"/>
      </w:tabs>
      <w:spacing w:line="180" w:lineRule="auto"/>
      <w:suppressOverlap/>
    </w:pPr>
    <w:rPr>
      <w:b/>
      <w:caps/>
      <w:color w:val="D7D6DA" w:themeColor="text2" w:themeTint="33"/>
      <w:sz w:val="56"/>
      <w:szCs w:val="56"/>
    </w:rPr>
  </w:style>
  <w:style w:type="paragraph" w:styleId="Bibliography">
    <w:name w:val="Bibliography"/>
    <w:basedOn w:val="Normal"/>
    <w:next w:val="Normal"/>
    <w:uiPriority w:val="37"/>
    <w:semiHidden/>
    <w:locked/>
    <w:rsid w:val="0069426D"/>
    <w:pPr>
      <w:spacing w:before="40" w:after="120"/>
    </w:pPr>
    <w:rPr>
      <w:rFonts w:asciiTheme="minorHAnsi" w:eastAsiaTheme="minorEastAsia" w:hAnsiTheme="minorHAnsi" w:cstheme="minorBidi"/>
      <w:sz w:val="22"/>
      <w:szCs w:val="22"/>
    </w:rPr>
  </w:style>
  <w:style w:type="paragraph" w:styleId="BlockText">
    <w:name w:val="Block Text"/>
    <w:basedOn w:val="Normal"/>
    <w:uiPriority w:val="98"/>
    <w:semiHidden/>
    <w:locked/>
    <w:rsid w:val="0069426D"/>
    <w:pPr>
      <w:pBdr>
        <w:top w:val="single" w:sz="2" w:space="10" w:color="47827E" w:themeColor="accent1"/>
        <w:left w:val="single" w:sz="2" w:space="10" w:color="47827E" w:themeColor="accent1"/>
        <w:bottom w:val="single" w:sz="2" w:space="10" w:color="47827E" w:themeColor="accent1"/>
        <w:right w:val="single" w:sz="2" w:space="10" w:color="47827E" w:themeColor="accent1"/>
      </w:pBdr>
      <w:spacing w:before="40" w:after="120"/>
      <w:ind w:left="1152" w:right="1152"/>
    </w:pPr>
    <w:rPr>
      <w:rFonts w:asciiTheme="minorHAnsi" w:eastAsiaTheme="minorEastAsia" w:hAnsiTheme="minorHAnsi" w:cstheme="minorBidi"/>
      <w:i/>
      <w:iCs/>
      <w:color w:val="47827E" w:themeColor="accent1"/>
      <w:sz w:val="22"/>
      <w:szCs w:val="22"/>
    </w:rPr>
  </w:style>
  <w:style w:type="paragraph" w:styleId="Closing">
    <w:name w:val="Closing"/>
    <w:basedOn w:val="Normal"/>
    <w:link w:val="ClosingChar"/>
    <w:uiPriority w:val="98"/>
    <w:semiHidden/>
    <w:locked/>
    <w:rsid w:val="0069426D"/>
    <w:pPr>
      <w:spacing w:before="40" w:after="120"/>
      <w:ind w:left="4252"/>
    </w:pPr>
    <w:rPr>
      <w:rFonts w:asciiTheme="minorHAnsi" w:eastAsiaTheme="minorEastAsia" w:hAnsiTheme="minorHAnsi" w:cstheme="minorBidi"/>
      <w:sz w:val="22"/>
      <w:szCs w:val="22"/>
    </w:rPr>
  </w:style>
  <w:style w:type="character" w:customStyle="1" w:styleId="ClosingChar">
    <w:name w:val="Closing Char"/>
    <w:basedOn w:val="DefaultParagraphFont"/>
    <w:link w:val="Closing"/>
    <w:uiPriority w:val="98"/>
    <w:rsid w:val="0083169D"/>
  </w:style>
  <w:style w:type="paragraph" w:styleId="DocumentMap">
    <w:name w:val="Document Map"/>
    <w:basedOn w:val="Normal"/>
    <w:link w:val="DocumentMapChar"/>
    <w:uiPriority w:val="98"/>
    <w:semiHidden/>
    <w:locked/>
    <w:rsid w:val="0069426D"/>
    <w:pPr>
      <w:spacing w:before="40" w:after="120"/>
    </w:pPr>
    <w:rPr>
      <w:rFonts w:ascii="Segoe UI" w:eastAsiaTheme="minorEastAsia" w:hAnsi="Segoe UI" w:cs="Segoe UI"/>
      <w:sz w:val="16"/>
      <w:szCs w:val="16"/>
    </w:rPr>
  </w:style>
  <w:style w:type="character" w:customStyle="1" w:styleId="DocumentMapChar">
    <w:name w:val="Document Map Char"/>
    <w:basedOn w:val="DefaultParagraphFont"/>
    <w:link w:val="DocumentMap"/>
    <w:uiPriority w:val="98"/>
    <w:rsid w:val="0083169D"/>
    <w:rPr>
      <w:rFonts w:ascii="Segoe UI" w:hAnsi="Segoe UI" w:cs="Segoe UI"/>
      <w:sz w:val="16"/>
      <w:szCs w:val="16"/>
    </w:rPr>
  </w:style>
  <w:style w:type="paragraph" w:styleId="E-mailSignature">
    <w:name w:val="E-mail Signature"/>
    <w:basedOn w:val="Normal"/>
    <w:link w:val="E-mailSignatureChar"/>
    <w:uiPriority w:val="98"/>
    <w:semiHidden/>
    <w:locked/>
    <w:rsid w:val="0069426D"/>
    <w:pPr>
      <w:spacing w:before="40" w:after="120"/>
    </w:pPr>
    <w:rPr>
      <w:rFonts w:asciiTheme="minorHAnsi" w:eastAsiaTheme="minorEastAsia" w:hAnsiTheme="minorHAnsi" w:cstheme="minorBidi"/>
      <w:sz w:val="22"/>
      <w:szCs w:val="22"/>
    </w:rPr>
  </w:style>
  <w:style w:type="character" w:customStyle="1" w:styleId="E-mailSignatureChar">
    <w:name w:val="E-mail Signature Char"/>
    <w:basedOn w:val="DefaultParagraphFont"/>
    <w:link w:val="E-mailSignature"/>
    <w:uiPriority w:val="98"/>
    <w:rsid w:val="0083169D"/>
  </w:style>
  <w:style w:type="paragraph" w:styleId="EndnoteText">
    <w:name w:val="endnote text"/>
    <w:basedOn w:val="Normal"/>
    <w:link w:val="EndnoteTextChar"/>
    <w:uiPriority w:val="99"/>
    <w:semiHidden/>
    <w:locked/>
    <w:rsid w:val="0069426D"/>
    <w:pPr>
      <w:spacing w:before="40" w:after="120"/>
    </w:pPr>
    <w:rPr>
      <w:rFonts w:asciiTheme="minorHAnsi" w:eastAsiaTheme="minorEastAsia" w:hAnsiTheme="minorHAnsi" w:cstheme="minorBidi"/>
      <w:sz w:val="22"/>
      <w:szCs w:val="22"/>
    </w:rPr>
  </w:style>
  <w:style w:type="character" w:customStyle="1" w:styleId="EndnoteTextChar">
    <w:name w:val="Endnote Text Char"/>
    <w:basedOn w:val="DefaultParagraphFont"/>
    <w:link w:val="EndnoteText"/>
    <w:uiPriority w:val="99"/>
    <w:rsid w:val="0083169D"/>
  </w:style>
  <w:style w:type="paragraph" w:styleId="EnvelopeAddress">
    <w:name w:val="envelope address"/>
    <w:basedOn w:val="Normal"/>
    <w:uiPriority w:val="98"/>
    <w:semiHidden/>
    <w:locked/>
    <w:rsid w:val="0069426D"/>
    <w:pPr>
      <w:framePr w:w="7920" w:h="1980" w:hRule="exact" w:hSpace="180" w:wrap="auto" w:hAnchor="page" w:xAlign="center" w:yAlign="bottom"/>
      <w:spacing w:before="40" w:after="120"/>
      <w:ind w:left="2880"/>
    </w:pPr>
    <w:rPr>
      <w:rFonts w:asciiTheme="majorHAnsi" w:eastAsiaTheme="majorEastAsia" w:hAnsiTheme="majorHAnsi" w:cstheme="majorBidi"/>
    </w:rPr>
  </w:style>
  <w:style w:type="paragraph" w:styleId="EnvelopeReturn">
    <w:name w:val="envelope return"/>
    <w:basedOn w:val="Normal"/>
    <w:uiPriority w:val="98"/>
    <w:semiHidden/>
    <w:locked/>
    <w:rsid w:val="0069426D"/>
    <w:pPr>
      <w:spacing w:before="40" w:after="120"/>
    </w:pPr>
    <w:rPr>
      <w:rFonts w:asciiTheme="majorHAnsi" w:eastAsiaTheme="majorEastAsia" w:hAnsiTheme="majorHAnsi" w:cstheme="majorBidi"/>
      <w:sz w:val="22"/>
      <w:szCs w:val="22"/>
    </w:rPr>
  </w:style>
  <w:style w:type="paragraph" w:styleId="HTMLAddress">
    <w:name w:val="HTML Address"/>
    <w:basedOn w:val="Normal"/>
    <w:link w:val="HTMLAddressChar"/>
    <w:uiPriority w:val="99"/>
    <w:semiHidden/>
    <w:locked/>
    <w:rsid w:val="0069426D"/>
    <w:pPr>
      <w:spacing w:before="40" w:after="120"/>
    </w:pPr>
    <w:rPr>
      <w:rFonts w:asciiTheme="minorHAnsi" w:eastAsiaTheme="minorEastAsia" w:hAnsiTheme="minorHAnsi" w:cstheme="minorBidi"/>
      <w:i/>
      <w:iCs/>
      <w:sz w:val="22"/>
      <w:szCs w:val="22"/>
    </w:rPr>
  </w:style>
  <w:style w:type="character" w:customStyle="1" w:styleId="HTMLAddressChar">
    <w:name w:val="HTML Address Char"/>
    <w:basedOn w:val="DefaultParagraphFont"/>
    <w:link w:val="HTMLAddress"/>
    <w:uiPriority w:val="99"/>
    <w:rsid w:val="0083169D"/>
    <w:rPr>
      <w:i/>
      <w:iCs/>
    </w:rPr>
  </w:style>
  <w:style w:type="paragraph" w:styleId="HTMLPreformatted">
    <w:name w:val="HTML Preformatted"/>
    <w:basedOn w:val="Normal"/>
    <w:link w:val="HTMLPreformattedChar"/>
    <w:uiPriority w:val="99"/>
    <w:semiHidden/>
    <w:locked/>
    <w:rsid w:val="0069426D"/>
    <w:pPr>
      <w:spacing w:before="40" w:after="120"/>
    </w:pPr>
    <w:rPr>
      <w:rFonts w:ascii="Consolas" w:eastAsiaTheme="minorEastAsia" w:hAnsi="Consolas" w:cstheme="minorBidi"/>
      <w:sz w:val="22"/>
      <w:szCs w:val="22"/>
    </w:rPr>
  </w:style>
  <w:style w:type="character" w:customStyle="1" w:styleId="HTMLPreformattedChar">
    <w:name w:val="HTML Preformatted Char"/>
    <w:basedOn w:val="DefaultParagraphFont"/>
    <w:link w:val="HTMLPreformatted"/>
    <w:uiPriority w:val="99"/>
    <w:rsid w:val="0083169D"/>
    <w:rPr>
      <w:rFonts w:ascii="Consolas" w:hAnsi="Consolas"/>
    </w:rPr>
  </w:style>
  <w:style w:type="paragraph" w:styleId="Index2">
    <w:name w:val="index 2"/>
    <w:basedOn w:val="Normal"/>
    <w:next w:val="Normal"/>
    <w:autoRedefine/>
    <w:uiPriority w:val="99"/>
    <w:semiHidden/>
    <w:locked/>
    <w:rsid w:val="0069426D"/>
    <w:pPr>
      <w:spacing w:before="40" w:after="120"/>
      <w:ind w:left="400" w:hanging="200"/>
    </w:pPr>
    <w:rPr>
      <w:rFonts w:asciiTheme="minorHAnsi" w:eastAsiaTheme="minorEastAsia" w:hAnsiTheme="minorHAnsi" w:cstheme="minorBidi"/>
      <w:sz w:val="22"/>
      <w:szCs w:val="22"/>
    </w:rPr>
  </w:style>
  <w:style w:type="paragraph" w:styleId="Index3">
    <w:name w:val="index 3"/>
    <w:basedOn w:val="Normal"/>
    <w:next w:val="Normal"/>
    <w:autoRedefine/>
    <w:uiPriority w:val="99"/>
    <w:semiHidden/>
    <w:locked/>
    <w:rsid w:val="0069426D"/>
    <w:pPr>
      <w:spacing w:before="40" w:after="120"/>
      <w:ind w:left="600" w:hanging="200"/>
    </w:pPr>
    <w:rPr>
      <w:rFonts w:asciiTheme="minorHAnsi" w:eastAsiaTheme="minorEastAsia" w:hAnsiTheme="minorHAnsi" w:cstheme="minorBidi"/>
      <w:sz w:val="22"/>
      <w:szCs w:val="22"/>
    </w:rPr>
  </w:style>
  <w:style w:type="paragraph" w:styleId="Index4">
    <w:name w:val="index 4"/>
    <w:basedOn w:val="Normal"/>
    <w:next w:val="Normal"/>
    <w:autoRedefine/>
    <w:uiPriority w:val="99"/>
    <w:semiHidden/>
    <w:locked/>
    <w:rsid w:val="0069426D"/>
    <w:pPr>
      <w:spacing w:before="40" w:after="120"/>
      <w:ind w:left="800" w:hanging="200"/>
    </w:pPr>
    <w:rPr>
      <w:rFonts w:asciiTheme="minorHAnsi" w:eastAsiaTheme="minorEastAsia" w:hAnsiTheme="minorHAnsi" w:cstheme="minorBidi"/>
      <w:sz w:val="22"/>
      <w:szCs w:val="22"/>
    </w:rPr>
  </w:style>
  <w:style w:type="paragraph" w:styleId="Index5">
    <w:name w:val="index 5"/>
    <w:basedOn w:val="Normal"/>
    <w:next w:val="Normal"/>
    <w:autoRedefine/>
    <w:uiPriority w:val="99"/>
    <w:semiHidden/>
    <w:locked/>
    <w:rsid w:val="0069426D"/>
    <w:pPr>
      <w:spacing w:before="40" w:after="120"/>
      <w:ind w:left="1000" w:hanging="200"/>
    </w:pPr>
    <w:rPr>
      <w:rFonts w:asciiTheme="minorHAnsi" w:eastAsiaTheme="minorEastAsia" w:hAnsiTheme="minorHAnsi" w:cstheme="minorBidi"/>
      <w:sz w:val="22"/>
      <w:szCs w:val="22"/>
    </w:rPr>
  </w:style>
  <w:style w:type="paragraph" w:styleId="Index6">
    <w:name w:val="index 6"/>
    <w:basedOn w:val="Normal"/>
    <w:next w:val="Normal"/>
    <w:autoRedefine/>
    <w:uiPriority w:val="99"/>
    <w:semiHidden/>
    <w:locked/>
    <w:rsid w:val="0069426D"/>
    <w:pPr>
      <w:spacing w:before="40" w:after="120"/>
      <w:ind w:left="1200" w:hanging="200"/>
    </w:pPr>
    <w:rPr>
      <w:rFonts w:asciiTheme="minorHAnsi" w:eastAsiaTheme="minorEastAsia" w:hAnsiTheme="minorHAnsi" w:cstheme="minorBidi"/>
      <w:sz w:val="22"/>
      <w:szCs w:val="22"/>
    </w:rPr>
  </w:style>
  <w:style w:type="paragraph" w:styleId="Index7">
    <w:name w:val="index 7"/>
    <w:basedOn w:val="Normal"/>
    <w:next w:val="Normal"/>
    <w:autoRedefine/>
    <w:uiPriority w:val="99"/>
    <w:semiHidden/>
    <w:locked/>
    <w:rsid w:val="0069426D"/>
    <w:pPr>
      <w:spacing w:before="40" w:after="120"/>
      <w:ind w:left="1400" w:hanging="200"/>
    </w:pPr>
    <w:rPr>
      <w:rFonts w:asciiTheme="minorHAnsi" w:eastAsiaTheme="minorEastAsia" w:hAnsiTheme="minorHAnsi" w:cstheme="minorBidi"/>
      <w:sz w:val="22"/>
      <w:szCs w:val="22"/>
    </w:rPr>
  </w:style>
  <w:style w:type="paragraph" w:styleId="Index8">
    <w:name w:val="index 8"/>
    <w:basedOn w:val="Normal"/>
    <w:next w:val="Normal"/>
    <w:autoRedefine/>
    <w:uiPriority w:val="99"/>
    <w:semiHidden/>
    <w:locked/>
    <w:rsid w:val="0069426D"/>
    <w:pPr>
      <w:spacing w:before="40" w:after="120"/>
      <w:ind w:left="1600" w:hanging="200"/>
    </w:pPr>
    <w:rPr>
      <w:rFonts w:asciiTheme="minorHAnsi" w:eastAsiaTheme="minorEastAsia" w:hAnsiTheme="minorHAnsi" w:cstheme="minorBidi"/>
      <w:sz w:val="22"/>
      <w:szCs w:val="22"/>
    </w:rPr>
  </w:style>
  <w:style w:type="paragraph" w:styleId="Index9">
    <w:name w:val="index 9"/>
    <w:basedOn w:val="Normal"/>
    <w:next w:val="Normal"/>
    <w:autoRedefine/>
    <w:uiPriority w:val="99"/>
    <w:semiHidden/>
    <w:locked/>
    <w:rsid w:val="0069426D"/>
    <w:pPr>
      <w:spacing w:before="40" w:after="120"/>
      <w:ind w:left="1800" w:hanging="200"/>
    </w:pPr>
    <w:rPr>
      <w:rFonts w:asciiTheme="minorHAnsi" w:eastAsiaTheme="minorEastAsia" w:hAnsiTheme="minorHAnsi" w:cstheme="minorBidi"/>
      <w:sz w:val="22"/>
      <w:szCs w:val="22"/>
    </w:rPr>
  </w:style>
  <w:style w:type="paragraph" w:styleId="IndexHeading">
    <w:name w:val="index heading"/>
    <w:basedOn w:val="Normal"/>
    <w:next w:val="Index1"/>
    <w:uiPriority w:val="99"/>
    <w:semiHidden/>
    <w:locked/>
    <w:rsid w:val="0069426D"/>
    <w:pPr>
      <w:spacing w:before="40" w:after="120"/>
    </w:pPr>
    <w:rPr>
      <w:rFonts w:asciiTheme="majorHAnsi" w:eastAsiaTheme="majorEastAsia" w:hAnsiTheme="majorHAnsi" w:cstheme="majorBidi"/>
      <w:b/>
      <w:bCs/>
      <w:sz w:val="22"/>
      <w:szCs w:val="22"/>
    </w:rPr>
  </w:style>
  <w:style w:type="paragraph" w:styleId="List">
    <w:name w:val="List"/>
    <w:basedOn w:val="Normal"/>
    <w:uiPriority w:val="9"/>
    <w:semiHidden/>
    <w:rsid w:val="0069426D"/>
    <w:pPr>
      <w:spacing w:before="40" w:after="120"/>
      <w:ind w:left="283" w:hanging="283"/>
      <w:contextualSpacing/>
    </w:pPr>
    <w:rPr>
      <w:rFonts w:asciiTheme="minorHAnsi" w:eastAsiaTheme="minorEastAsia" w:hAnsiTheme="minorHAnsi" w:cstheme="minorBidi"/>
      <w:sz w:val="22"/>
      <w:szCs w:val="22"/>
    </w:rPr>
  </w:style>
  <w:style w:type="paragraph" w:styleId="List2">
    <w:name w:val="List 2"/>
    <w:basedOn w:val="Normal"/>
    <w:uiPriority w:val="9"/>
    <w:semiHidden/>
    <w:rsid w:val="0069426D"/>
    <w:pPr>
      <w:spacing w:before="40" w:after="120"/>
      <w:ind w:left="566" w:hanging="283"/>
      <w:contextualSpacing/>
    </w:pPr>
    <w:rPr>
      <w:rFonts w:asciiTheme="minorHAnsi" w:eastAsiaTheme="minorEastAsia" w:hAnsiTheme="minorHAnsi" w:cstheme="minorBidi"/>
      <w:sz w:val="22"/>
      <w:szCs w:val="22"/>
    </w:rPr>
  </w:style>
  <w:style w:type="paragraph" w:styleId="List3">
    <w:name w:val="List 3"/>
    <w:basedOn w:val="Normal"/>
    <w:uiPriority w:val="9"/>
    <w:semiHidden/>
    <w:rsid w:val="0069426D"/>
    <w:pPr>
      <w:spacing w:before="40" w:after="120"/>
      <w:ind w:left="849" w:hanging="283"/>
      <w:contextualSpacing/>
    </w:pPr>
    <w:rPr>
      <w:rFonts w:asciiTheme="minorHAnsi" w:eastAsiaTheme="minorEastAsia" w:hAnsiTheme="minorHAnsi" w:cstheme="minorBidi"/>
      <w:sz w:val="22"/>
      <w:szCs w:val="22"/>
    </w:rPr>
  </w:style>
  <w:style w:type="paragraph" w:styleId="List4">
    <w:name w:val="List 4"/>
    <w:basedOn w:val="Normal"/>
    <w:uiPriority w:val="7"/>
    <w:semiHidden/>
    <w:locked/>
    <w:rsid w:val="0069426D"/>
    <w:pPr>
      <w:spacing w:before="40" w:after="120"/>
      <w:ind w:left="1132" w:hanging="283"/>
      <w:contextualSpacing/>
    </w:pPr>
    <w:rPr>
      <w:rFonts w:asciiTheme="minorHAnsi" w:eastAsiaTheme="minorEastAsia" w:hAnsiTheme="minorHAnsi" w:cstheme="minorBidi"/>
      <w:sz w:val="22"/>
      <w:szCs w:val="22"/>
    </w:rPr>
  </w:style>
  <w:style w:type="paragraph" w:styleId="List5">
    <w:name w:val="List 5"/>
    <w:basedOn w:val="Normal"/>
    <w:uiPriority w:val="7"/>
    <w:semiHidden/>
    <w:locked/>
    <w:rsid w:val="0069426D"/>
    <w:pPr>
      <w:spacing w:before="40" w:after="120"/>
      <w:ind w:left="1415" w:hanging="283"/>
      <w:contextualSpacing/>
    </w:pPr>
    <w:rPr>
      <w:rFonts w:asciiTheme="minorHAnsi" w:eastAsiaTheme="minorEastAsia" w:hAnsiTheme="minorHAnsi" w:cstheme="minorBidi"/>
      <w:sz w:val="22"/>
      <w:szCs w:val="22"/>
    </w:rPr>
  </w:style>
  <w:style w:type="paragraph" w:styleId="ListContinue">
    <w:name w:val="List Continue"/>
    <w:basedOn w:val="Normal"/>
    <w:uiPriority w:val="99"/>
    <w:semiHidden/>
    <w:locked/>
    <w:rsid w:val="0069426D"/>
    <w:pPr>
      <w:spacing w:before="40" w:after="120"/>
      <w:ind w:left="283"/>
      <w:contextualSpacing/>
    </w:pPr>
    <w:rPr>
      <w:rFonts w:asciiTheme="minorHAnsi" w:eastAsiaTheme="minorEastAsia" w:hAnsiTheme="minorHAnsi" w:cstheme="minorBidi"/>
      <w:sz w:val="22"/>
      <w:szCs w:val="22"/>
    </w:rPr>
  </w:style>
  <w:style w:type="paragraph" w:styleId="ListContinue2">
    <w:name w:val="List Continue 2"/>
    <w:basedOn w:val="Normal"/>
    <w:uiPriority w:val="99"/>
    <w:semiHidden/>
    <w:locked/>
    <w:rsid w:val="0069426D"/>
    <w:pPr>
      <w:spacing w:before="40" w:after="120"/>
      <w:ind w:left="566"/>
      <w:contextualSpacing/>
    </w:pPr>
    <w:rPr>
      <w:rFonts w:asciiTheme="minorHAnsi" w:eastAsiaTheme="minorEastAsia" w:hAnsiTheme="minorHAnsi" w:cstheme="minorBidi"/>
      <w:sz w:val="22"/>
      <w:szCs w:val="22"/>
    </w:rPr>
  </w:style>
  <w:style w:type="paragraph" w:styleId="ListContinue3">
    <w:name w:val="List Continue 3"/>
    <w:basedOn w:val="Normal"/>
    <w:uiPriority w:val="99"/>
    <w:semiHidden/>
    <w:locked/>
    <w:rsid w:val="0069426D"/>
    <w:pPr>
      <w:spacing w:before="40" w:after="120"/>
      <w:ind w:left="849"/>
      <w:contextualSpacing/>
    </w:pPr>
    <w:rPr>
      <w:rFonts w:asciiTheme="minorHAnsi" w:eastAsiaTheme="minorEastAsia" w:hAnsiTheme="minorHAnsi" w:cstheme="minorBidi"/>
      <w:sz w:val="22"/>
      <w:szCs w:val="22"/>
    </w:rPr>
  </w:style>
  <w:style w:type="paragraph" w:styleId="ListContinue4">
    <w:name w:val="List Continue 4"/>
    <w:basedOn w:val="Normal"/>
    <w:uiPriority w:val="99"/>
    <w:semiHidden/>
    <w:locked/>
    <w:rsid w:val="0069426D"/>
    <w:pPr>
      <w:spacing w:before="40" w:after="120"/>
      <w:ind w:left="1132"/>
      <w:contextualSpacing/>
    </w:pPr>
    <w:rPr>
      <w:rFonts w:asciiTheme="minorHAnsi" w:eastAsiaTheme="minorEastAsia" w:hAnsiTheme="minorHAnsi" w:cstheme="minorBidi"/>
      <w:sz w:val="22"/>
      <w:szCs w:val="22"/>
    </w:rPr>
  </w:style>
  <w:style w:type="paragraph" w:styleId="ListContinue5">
    <w:name w:val="List Continue 5"/>
    <w:basedOn w:val="Normal"/>
    <w:uiPriority w:val="99"/>
    <w:semiHidden/>
    <w:locked/>
    <w:rsid w:val="0069426D"/>
    <w:pPr>
      <w:spacing w:before="40" w:after="120"/>
      <w:ind w:left="1415"/>
      <w:contextualSpacing/>
    </w:pPr>
    <w:rPr>
      <w:rFonts w:asciiTheme="minorHAnsi" w:eastAsiaTheme="minorEastAsia" w:hAnsiTheme="minorHAnsi" w:cstheme="minorBidi"/>
      <w:sz w:val="22"/>
      <w:szCs w:val="22"/>
    </w:rPr>
  </w:style>
  <w:style w:type="paragraph" w:styleId="ListNumber2">
    <w:name w:val="List Number 2"/>
    <w:basedOn w:val="Normal"/>
    <w:uiPriority w:val="5"/>
    <w:rsid w:val="00606E82"/>
    <w:pPr>
      <w:numPr>
        <w:ilvl w:val="1"/>
        <w:numId w:val="5"/>
      </w:numPr>
      <w:spacing w:before="40" w:after="120"/>
    </w:pPr>
    <w:rPr>
      <w:rFonts w:asciiTheme="minorHAnsi" w:eastAsiaTheme="minorEastAsia" w:hAnsiTheme="minorHAnsi" w:cstheme="minorBidi"/>
      <w:sz w:val="22"/>
      <w:szCs w:val="22"/>
    </w:rPr>
  </w:style>
  <w:style w:type="paragraph" w:styleId="ListNumber3">
    <w:name w:val="List Number 3"/>
    <w:basedOn w:val="Normal"/>
    <w:uiPriority w:val="5"/>
    <w:rsid w:val="0069426D"/>
    <w:pPr>
      <w:numPr>
        <w:ilvl w:val="2"/>
        <w:numId w:val="5"/>
      </w:numPr>
      <w:spacing w:before="40" w:after="120"/>
      <w:contextualSpacing/>
    </w:pPr>
    <w:rPr>
      <w:rFonts w:asciiTheme="minorHAnsi" w:eastAsiaTheme="minorEastAsia" w:hAnsiTheme="minorHAnsi" w:cstheme="minorBidi"/>
      <w:sz w:val="22"/>
      <w:szCs w:val="22"/>
    </w:rPr>
  </w:style>
  <w:style w:type="paragraph" w:styleId="MacroText">
    <w:name w:val="macro"/>
    <w:link w:val="MacroTextChar"/>
    <w:uiPriority w:val="99"/>
    <w:semiHidden/>
    <w:locked/>
    <w:rsid w:val="0069426D"/>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hAnsi="Consolas"/>
      <w:color w:val="6D6E71"/>
    </w:rPr>
  </w:style>
  <w:style w:type="character" w:customStyle="1" w:styleId="MacroTextChar">
    <w:name w:val="Macro Text Char"/>
    <w:basedOn w:val="DefaultParagraphFont"/>
    <w:link w:val="MacroText"/>
    <w:uiPriority w:val="99"/>
    <w:rsid w:val="0083169D"/>
    <w:rPr>
      <w:rFonts w:ascii="Consolas" w:hAnsi="Consolas"/>
      <w:color w:val="6D6E71"/>
    </w:rPr>
  </w:style>
  <w:style w:type="paragraph" w:styleId="NormalWeb">
    <w:name w:val="Normal (Web)"/>
    <w:basedOn w:val="Normal"/>
    <w:uiPriority w:val="99"/>
    <w:locked/>
    <w:rsid w:val="0069426D"/>
    <w:pPr>
      <w:spacing w:before="40" w:after="120"/>
    </w:pPr>
    <w:rPr>
      <w:rFonts w:eastAsiaTheme="minorEastAsia"/>
    </w:rPr>
  </w:style>
  <w:style w:type="paragraph" w:styleId="PlainText">
    <w:name w:val="Plain Text"/>
    <w:basedOn w:val="Normal"/>
    <w:link w:val="PlainTextChar"/>
    <w:uiPriority w:val="99"/>
    <w:semiHidden/>
    <w:locked/>
    <w:rsid w:val="0069426D"/>
    <w:pPr>
      <w:spacing w:before="40" w:after="120"/>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83169D"/>
    <w:rPr>
      <w:rFonts w:ascii="Consolas" w:hAnsi="Consolas"/>
      <w:sz w:val="21"/>
      <w:szCs w:val="21"/>
    </w:rPr>
  </w:style>
  <w:style w:type="paragraph" w:styleId="Salutation">
    <w:name w:val="Salutation"/>
    <w:basedOn w:val="Normal"/>
    <w:next w:val="Normal"/>
    <w:link w:val="SalutationChar"/>
    <w:uiPriority w:val="99"/>
    <w:semiHidden/>
    <w:locked/>
    <w:rsid w:val="0069426D"/>
    <w:pPr>
      <w:spacing w:before="40" w:after="120"/>
    </w:pPr>
    <w:rPr>
      <w:rFonts w:asciiTheme="minorHAnsi" w:eastAsiaTheme="minorEastAsia" w:hAnsiTheme="minorHAnsi" w:cstheme="minorBidi"/>
      <w:sz w:val="22"/>
      <w:szCs w:val="22"/>
    </w:rPr>
  </w:style>
  <w:style w:type="character" w:customStyle="1" w:styleId="SalutationChar">
    <w:name w:val="Salutation Char"/>
    <w:basedOn w:val="DefaultParagraphFont"/>
    <w:link w:val="Salutation"/>
    <w:uiPriority w:val="99"/>
    <w:rsid w:val="0083169D"/>
  </w:style>
  <w:style w:type="paragraph" w:styleId="TableofAuthorities">
    <w:name w:val="table of authorities"/>
    <w:basedOn w:val="Normal"/>
    <w:next w:val="Normal"/>
    <w:uiPriority w:val="99"/>
    <w:semiHidden/>
    <w:locked/>
    <w:rsid w:val="0069426D"/>
    <w:pPr>
      <w:spacing w:before="40" w:after="120"/>
      <w:ind w:left="200" w:hanging="200"/>
    </w:pPr>
    <w:rPr>
      <w:rFonts w:asciiTheme="minorHAnsi" w:eastAsiaTheme="minorEastAsia" w:hAnsiTheme="minorHAnsi" w:cstheme="minorBidi"/>
      <w:sz w:val="22"/>
      <w:szCs w:val="22"/>
    </w:rPr>
  </w:style>
  <w:style w:type="paragraph" w:styleId="TableofFigures">
    <w:name w:val="table of figures"/>
    <w:basedOn w:val="Normal"/>
    <w:next w:val="Normal"/>
    <w:uiPriority w:val="99"/>
    <w:locked/>
    <w:rsid w:val="00EC4467"/>
    <w:pPr>
      <w:spacing w:after="60" w:line="276" w:lineRule="auto"/>
    </w:pPr>
    <w:rPr>
      <w:rFonts w:asciiTheme="minorHAnsi" w:eastAsiaTheme="minorEastAsia" w:hAnsiTheme="minorHAnsi" w:cstheme="minorBidi"/>
      <w:szCs w:val="22"/>
    </w:rPr>
  </w:style>
  <w:style w:type="paragraph" w:styleId="TOAHeading">
    <w:name w:val="toa heading"/>
    <w:basedOn w:val="Normal"/>
    <w:next w:val="Normal"/>
    <w:uiPriority w:val="99"/>
    <w:semiHidden/>
    <w:locked/>
    <w:rsid w:val="0069426D"/>
    <w:pPr>
      <w:spacing w:before="120" w:after="120"/>
    </w:pPr>
    <w:rPr>
      <w:rFonts w:asciiTheme="majorHAnsi" w:eastAsiaTheme="majorEastAsia" w:hAnsiTheme="majorHAnsi" w:cstheme="majorBidi"/>
      <w:b/>
      <w:bCs/>
    </w:rPr>
  </w:style>
  <w:style w:type="paragraph" w:styleId="TOC4">
    <w:name w:val="toc 4"/>
    <w:basedOn w:val="Normal"/>
    <w:next w:val="Normal"/>
    <w:autoRedefine/>
    <w:uiPriority w:val="39"/>
    <w:locked/>
    <w:rsid w:val="0069426D"/>
    <w:pPr>
      <w:spacing w:before="40" w:after="100"/>
      <w:ind w:left="600"/>
    </w:pPr>
    <w:rPr>
      <w:rFonts w:asciiTheme="minorHAnsi" w:eastAsiaTheme="minorEastAsia" w:hAnsiTheme="minorHAnsi" w:cstheme="minorBidi"/>
      <w:sz w:val="22"/>
      <w:szCs w:val="22"/>
    </w:rPr>
  </w:style>
  <w:style w:type="paragraph" w:styleId="TOC5">
    <w:name w:val="toc 5"/>
    <w:basedOn w:val="Normal"/>
    <w:next w:val="Normal"/>
    <w:autoRedefine/>
    <w:uiPriority w:val="39"/>
    <w:locked/>
    <w:rsid w:val="0069426D"/>
    <w:pPr>
      <w:spacing w:before="40" w:after="100"/>
      <w:ind w:left="800"/>
    </w:pPr>
    <w:rPr>
      <w:rFonts w:asciiTheme="minorHAnsi" w:eastAsiaTheme="minorEastAsia" w:hAnsiTheme="minorHAnsi" w:cstheme="minorBidi"/>
      <w:sz w:val="22"/>
      <w:szCs w:val="22"/>
    </w:rPr>
  </w:style>
  <w:style w:type="paragraph" w:styleId="TOC6">
    <w:name w:val="toc 6"/>
    <w:basedOn w:val="Normal"/>
    <w:next w:val="Normal"/>
    <w:autoRedefine/>
    <w:uiPriority w:val="39"/>
    <w:locked/>
    <w:rsid w:val="0069426D"/>
    <w:pPr>
      <w:spacing w:before="40" w:after="100"/>
      <w:ind w:left="1000"/>
    </w:pPr>
    <w:rPr>
      <w:rFonts w:asciiTheme="minorHAnsi" w:eastAsiaTheme="minorEastAsia" w:hAnsiTheme="minorHAnsi" w:cstheme="minorBidi"/>
      <w:sz w:val="22"/>
      <w:szCs w:val="22"/>
    </w:rPr>
  </w:style>
  <w:style w:type="paragraph" w:styleId="TOC7">
    <w:name w:val="toc 7"/>
    <w:basedOn w:val="Normal"/>
    <w:next w:val="Normal"/>
    <w:autoRedefine/>
    <w:uiPriority w:val="39"/>
    <w:locked/>
    <w:rsid w:val="0069426D"/>
    <w:pPr>
      <w:spacing w:before="40" w:after="100"/>
      <w:ind w:left="1200"/>
    </w:pPr>
    <w:rPr>
      <w:rFonts w:asciiTheme="minorHAnsi" w:eastAsiaTheme="minorEastAsia" w:hAnsiTheme="minorHAnsi" w:cstheme="minorBidi"/>
      <w:sz w:val="22"/>
      <w:szCs w:val="22"/>
    </w:rPr>
  </w:style>
  <w:style w:type="paragraph" w:styleId="TOC8">
    <w:name w:val="toc 8"/>
    <w:basedOn w:val="Normal"/>
    <w:next w:val="Normal"/>
    <w:autoRedefine/>
    <w:uiPriority w:val="39"/>
    <w:locked/>
    <w:rsid w:val="0069426D"/>
    <w:pPr>
      <w:spacing w:before="40" w:after="100"/>
      <w:ind w:left="1400"/>
    </w:pPr>
    <w:rPr>
      <w:rFonts w:asciiTheme="minorHAnsi" w:eastAsiaTheme="minorEastAsia" w:hAnsiTheme="minorHAnsi" w:cstheme="minorBidi"/>
      <w:sz w:val="22"/>
      <w:szCs w:val="22"/>
    </w:rPr>
  </w:style>
  <w:style w:type="paragraph" w:styleId="TOC9">
    <w:name w:val="toc 9"/>
    <w:basedOn w:val="Normal"/>
    <w:next w:val="Normal"/>
    <w:autoRedefine/>
    <w:uiPriority w:val="39"/>
    <w:locked/>
    <w:rsid w:val="0069426D"/>
    <w:pPr>
      <w:spacing w:before="40" w:after="100"/>
      <w:ind w:left="1600"/>
    </w:pPr>
    <w:rPr>
      <w:rFonts w:asciiTheme="minorHAnsi" w:eastAsiaTheme="minorEastAsia" w:hAnsiTheme="minorHAnsi" w:cstheme="minorBidi"/>
      <w:sz w:val="22"/>
      <w:szCs w:val="22"/>
    </w:rPr>
  </w:style>
  <w:style w:type="paragraph" w:customStyle="1" w:styleId="CoverFooter">
    <w:name w:val="Cover Footer"/>
    <w:basedOn w:val="Footer"/>
    <w:uiPriority w:val="29"/>
    <w:semiHidden/>
    <w:rsid w:val="00407CE7"/>
    <w:rPr>
      <w:sz w:val="20"/>
    </w:rPr>
  </w:style>
  <w:style w:type="paragraph" w:customStyle="1" w:styleId="CoverFooterSubtext">
    <w:name w:val="Cover Footer Subtext"/>
    <w:basedOn w:val="CoverFooter"/>
    <w:uiPriority w:val="29"/>
    <w:semiHidden/>
    <w:rsid w:val="00407CE7"/>
    <w:rPr>
      <w:sz w:val="16"/>
    </w:rPr>
  </w:style>
  <w:style w:type="paragraph" w:customStyle="1" w:styleId="CoverDate">
    <w:name w:val="Cover Date"/>
    <w:basedOn w:val="Normal"/>
    <w:uiPriority w:val="29"/>
    <w:semiHidden/>
    <w:rsid w:val="0083396B"/>
    <w:pPr>
      <w:framePr w:wrap="around" w:vAnchor="page" w:hAnchor="margin" w:yAlign="top"/>
      <w:tabs>
        <w:tab w:val="right" w:pos="9633"/>
      </w:tabs>
      <w:spacing w:before="240" w:after="120" w:line="180" w:lineRule="auto"/>
      <w:ind w:right="170"/>
      <w:suppressOverlap/>
      <w:jc w:val="right"/>
    </w:pPr>
    <w:rPr>
      <w:rFonts w:asciiTheme="minorHAnsi" w:eastAsiaTheme="minorEastAsia" w:hAnsiTheme="minorHAnsi" w:cstheme="minorBidi"/>
      <w:color w:val="FFFFFF" w:themeColor="background1"/>
      <w:szCs w:val="56"/>
    </w:rPr>
  </w:style>
  <w:style w:type="table" w:customStyle="1" w:styleId="LayoutGrid">
    <w:name w:val="Layout Grid"/>
    <w:basedOn w:val="TableNormal"/>
    <w:uiPriority w:val="99"/>
    <w:semiHidden/>
    <w:rsid w:val="00EF36D4"/>
    <w:tblPr>
      <w:tblCellMar>
        <w:left w:w="0" w:type="dxa"/>
        <w:right w:w="0" w:type="dxa"/>
      </w:tblCellMar>
    </w:tblPr>
  </w:style>
  <w:style w:type="table" w:customStyle="1" w:styleId="BoxGrid-BlackASIRF">
    <w:name w:val="Box Grid - Black ASIRF"/>
    <w:basedOn w:val="TableNormal"/>
    <w:uiPriority w:val="8"/>
    <w:rsid w:val="00175F37"/>
    <w:pPr>
      <w:spacing w:before="0" w:after="0"/>
    </w:pPr>
    <w:rPr>
      <w:color w:val="000000" w:themeColor="text1"/>
      <w:sz w:val="16"/>
    </w:rPr>
    <w:tblPr>
      <w:tblBorders>
        <w:bottom w:val="single" w:sz="4" w:space="0" w:color="BFBFBF" w:themeColor="background1" w:themeShade="BF"/>
        <w:insideH w:val="single" w:sz="4" w:space="0" w:color="BFBFBF" w:themeColor="background1" w:themeShade="BF"/>
      </w:tblBorders>
      <w:tblCellMar>
        <w:top w:w="85" w:type="dxa"/>
        <w:left w:w="85" w:type="dxa"/>
        <w:bottom w:w="85" w:type="dxa"/>
        <w:right w:w="85" w:type="dxa"/>
      </w:tblCellMar>
    </w:tblPr>
    <w:tcPr>
      <w:shd w:val="clear" w:color="auto" w:fill="auto"/>
      <w:tcMar>
        <w:top w:w="57" w:type="dxa"/>
        <w:left w:w="85" w:type="dxa"/>
        <w:bottom w:w="57" w:type="dxa"/>
        <w:right w:w="85" w:type="dxa"/>
      </w:tcMar>
    </w:tcPr>
    <w:tblStylePr w:type="firstRow">
      <w:pPr>
        <w:jc w:val="left"/>
      </w:pPr>
      <w:rPr>
        <w:rFonts w:asciiTheme="minorHAnsi" w:hAnsiTheme="minorHAnsi"/>
        <w:b/>
        <w:color w:val="35615E" w:themeColor="accent1" w:themeShade="BF"/>
        <w:sz w:val="16"/>
      </w:rPr>
      <w:tblPr/>
      <w:tcPr>
        <w:shd w:val="clear" w:color="auto" w:fill="FFFFFF" w:themeFill="background1"/>
        <w:vAlign w:val="bottom"/>
      </w:tcPr>
    </w:tblStylePr>
  </w:style>
  <w:style w:type="paragraph" w:customStyle="1" w:styleId="NormalNoSpacing">
    <w:name w:val="Normal No Spacing"/>
    <w:basedOn w:val="Normal"/>
    <w:uiPriority w:val="4"/>
    <w:rsid w:val="00E446A2"/>
    <w:pPr>
      <w:spacing w:before="40" w:after="120"/>
    </w:pPr>
    <w:rPr>
      <w:rFonts w:asciiTheme="minorHAnsi" w:eastAsiaTheme="minorEastAsia" w:hAnsiTheme="minorHAnsi" w:cstheme="minorBidi"/>
      <w:sz w:val="22"/>
      <w:szCs w:val="20"/>
    </w:rPr>
  </w:style>
  <w:style w:type="paragraph" w:customStyle="1" w:styleId="TableText">
    <w:name w:val="Table Text"/>
    <w:basedOn w:val="NormalNoSpacing"/>
    <w:link w:val="TableTextChar"/>
    <w:uiPriority w:val="99"/>
    <w:rsid w:val="009F1464"/>
    <w:pPr>
      <w:spacing w:before="0" w:after="0"/>
    </w:pPr>
    <w:rPr>
      <w:sz w:val="16"/>
    </w:rPr>
  </w:style>
  <w:style w:type="paragraph" w:customStyle="1" w:styleId="CoverTextOverImage">
    <w:name w:val="Cover Text Over Image"/>
    <w:basedOn w:val="Normal"/>
    <w:uiPriority w:val="29"/>
    <w:semiHidden/>
    <w:rsid w:val="00A80E62"/>
    <w:pPr>
      <w:spacing w:before="480" w:after="120"/>
      <w:ind w:left="284"/>
    </w:pPr>
    <w:rPr>
      <w:rFonts w:asciiTheme="minorHAnsi" w:eastAsiaTheme="minorEastAsia" w:hAnsiTheme="minorHAnsi" w:cstheme="minorBidi"/>
      <w:b/>
      <w:color w:val="FFFFFF" w:themeColor="background1"/>
      <w:sz w:val="32"/>
      <w:szCs w:val="22"/>
    </w:rPr>
  </w:style>
  <w:style w:type="numbering" w:styleId="111111">
    <w:name w:val="Outline List 2"/>
    <w:basedOn w:val="NoList"/>
    <w:uiPriority w:val="99"/>
    <w:semiHidden/>
    <w:unhideWhenUsed/>
    <w:locked/>
    <w:rsid w:val="000F0614"/>
    <w:pPr>
      <w:numPr>
        <w:numId w:val="6"/>
      </w:numPr>
    </w:pPr>
  </w:style>
  <w:style w:type="numbering" w:styleId="1ai">
    <w:name w:val="Outline List 1"/>
    <w:basedOn w:val="NoList"/>
    <w:uiPriority w:val="99"/>
    <w:semiHidden/>
    <w:unhideWhenUsed/>
    <w:locked/>
    <w:rsid w:val="000F0614"/>
    <w:pPr>
      <w:numPr>
        <w:numId w:val="7"/>
      </w:numPr>
    </w:pPr>
  </w:style>
  <w:style w:type="numbering" w:styleId="ArticleSection">
    <w:name w:val="Outline List 3"/>
    <w:basedOn w:val="NoList"/>
    <w:uiPriority w:val="99"/>
    <w:semiHidden/>
    <w:unhideWhenUsed/>
    <w:locked/>
    <w:rsid w:val="000F0614"/>
    <w:pPr>
      <w:numPr>
        <w:numId w:val="8"/>
      </w:numPr>
    </w:pPr>
  </w:style>
  <w:style w:type="character" w:styleId="BookTitle">
    <w:name w:val="Book Title"/>
    <w:basedOn w:val="DefaultParagraphFont"/>
    <w:uiPriority w:val="33"/>
    <w:locked/>
    <w:rsid w:val="00C37C16"/>
    <w:rPr>
      <w:b/>
      <w:bCs/>
      <w:smallCaps/>
      <w:spacing w:val="10"/>
    </w:rPr>
  </w:style>
  <w:style w:type="character" w:styleId="EndnoteReference">
    <w:name w:val="endnote reference"/>
    <w:basedOn w:val="DefaultParagraphFont"/>
    <w:uiPriority w:val="99"/>
    <w:semiHidden/>
    <w:locked/>
    <w:rsid w:val="000F0614"/>
    <w:rPr>
      <w:vertAlign w:val="superscript"/>
    </w:rPr>
  </w:style>
  <w:style w:type="character" w:styleId="HTMLAcronym">
    <w:name w:val="HTML Acronym"/>
    <w:basedOn w:val="DefaultParagraphFont"/>
    <w:uiPriority w:val="99"/>
    <w:semiHidden/>
    <w:locked/>
    <w:rsid w:val="000F0614"/>
  </w:style>
  <w:style w:type="character" w:styleId="HTMLCite">
    <w:name w:val="HTML Cite"/>
    <w:basedOn w:val="DefaultParagraphFont"/>
    <w:uiPriority w:val="99"/>
    <w:semiHidden/>
    <w:locked/>
    <w:rsid w:val="000F0614"/>
    <w:rPr>
      <w:i/>
      <w:iCs/>
    </w:rPr>
  </w:style>
  <w:style w:type="character" w:styleId="HTMLCode">
    <w:name w:val="HTML Code"/>
    <w:basedOn w:val="DefaultParagraphFont"/>
    <w:uiPriority w:val="99"/>
    <w:semiHidden/>
    <w:locked/>
    <w:rsid w:val="000F0614"/>
    <w:rPr>
      <w:rFonts w:ascii="Consolas" w:hAnsi="Consolas"/>
      <w:sz w:val="20"/>
      <w:szCs w:val="20"/>
    </w:rPr>
  </w:style>
  <w:style w:type="character" w:styleId="HTMLDefinition">
    <w:name w:val="HTML Definition"/>
    <w:basedOn w:val="DefaultParagraphFont"/>
    <w:uiPriority w:val="99"/>
    <w:semiHidden/>
    <w:locked/>
    <w:rsid w:val="000F0614"/>
    <w:rPr>
      <w:i/>
      <w:iCs/>
    </w:rPr>
  </w:style>
  <w:style w:type="character" w:styleId="HTMLKeyboard">
    <w:name w:val="HTML Keyboard"/>
    <w:basedOn w:val="DefaultParagraphFont"/>
    <w:uiPriority w:val="99"/>
    <w:semiHidden/>
    <w:locked/>
    <w:rsid w:val="000F0614"/>
    <w:rPr>
      <w:rFonts w:ascii="Consolas" w:hAnsi="Consolas"/>
      <w:sz w:val="20"/>
      <w:szCs w:val="20"/>
    </w:rPr>
  </w:style>
  <w:style w:type="character" w:styleId="HTMLSample">
    <w:name w:val="HTML Sample"/>
    <w:basedOn w:val="DefaultParagraphFont"/>
    <w:uiPriority w:val="99"/>
    <w:semiHidden/>
    <w:locked/>
    <w:rsid w:val="000F0614"/>
    <w:rPr>
      <w:rFonts w:ascii="Consolas" w:hAnsi="Consolas"/>
      <w:sz w:val="24"/>
      <w:szCs w:val="24"/>
    </w:rPr>
  </w:style>
  <w:style w:type="character" w:styleId="HTMLTypewriter">
    <w:name w:val="HTML Typewriter"/>
    <w:basedOn w:val="DefaultParagraphFont"/>
    <w:uiPriority w:val="99"/>
    <w:semiHidden/>
    <w:locked/>
    <w:rsid w:val="000F0614"/>
    <w:rPr>
      <w:rFonts w:ascii="Consolas" w:hAnsi="Consolas"/>
      <w:sz w:val="20"/>
      <w:szCs w:val="20"/>
    </w:rPr>
  </w:style>
  <w:style w:type="character" w:styleId="HTMLVariable">
    <w:name w:val="HTML Variable"/>
    <w:basedOn w:val="DefaultParagraphFont"/>
    <w:uiPriority w:val="99"/>
    <w:semiHidden/>
    <w:locked/>
    <w:rsid w:val="000F0614"/>
    <w:rPr>
      <w:i/>
      <w:iCs/>
    </w:rPr>
  </w:style>
  <w:style w:type="character" w:styleId="LineNumber">
    <w:name w:val="line number"/>
    <w:basedOn w:val="DefaultParagraphFont"/>
    <w:uiPriority w:val="99"/>
    <w:semiHidden/>
    <w:locked/>
    <w:rsid w:val="000F0614"/>
  </w:style>
  <w:style w:type="character" w:customStyle="1" w:styleId="Mention1">
    <w:name w:val="Mention1"/>
    <w:basedOn w:val="DefaultParagraphFont"/>
    <w:uiPriority w:val="99"/>
    <w:semiHidden/>
    <w:rsid w:val="000F0614"/>
    <w:rPr>
      <w:color w:val="2B579A"/>
      <w:shd w:val="clear" w:color="auto" w:fill="E1DFDD"/>
    </w:rPr>
  </w:style>
  <w:style w:type="paragraph" w:styleId="NormalIndent">
    <w:name w:val="Normal Indent"/>
    <w:basedOn w:val="Normal"/>
    <w:uiPriority w:val="4"/>
    <w:locked/>
    <w:rsid w:val="000F0614"/>
    <w:pPr>
      <w:spacing w:before="40" w:after="120"/>
      <w:ind w:left="720"/>
    </w:pPr>
    <w:rPr>
      <w:rFonts w:asciiTheme="minorHAnsi" w:eastAsiaTheme="minorEastAsia" w:hAnsiTheme="minorHAnsi" w:cstheme="minorBidi"/>
      <w:sz w:val="22"/>
      <w:szCs w:val="22"/>
    </w:rPr>
  </w:style>
  <w:style w:type="character" w:customStyle="1" w:styleId="SmartHyperlink1">
    <w:name w:val="Smart Hyperlink1"/>
    <w:basedOn w:val="DefaultParagraphFont"/>
    <w:uiPriority w:val="99"/>
    <w:semiHidden/>
    <w:rsid w:val="000F0614"/>
    <w:rPr>
      <w:u w:val="dotted"/>
    </w:rPr>
  </w:style>
  <w:style w:type="character" w:styleId="Strong">
    <w:name w:val="Strong"/>
    <w:basedOn w:val="DefaultParagraphFont"/>
    <w:uiPriority w:val="22"/>
    <w:qFormat/>
    <w:locked/>
    <w:rsid w:val="00992CF6"/>
    <w:rPr>
      <w:rFonts w:asciiTheme="minorHAnsi" w:hAnsiTheme="minorHAnsi"/>
      <w:b/>
      <w:bCs/>
      <w:color w:val="000000" w:themeColor="text1"/>
      <w:sz w:val="20"/>
    </w:rPr>
  </w:style>
  <w:style w:type="character" w:styleId="SubtleEmphasis">
    <w:name w:val="Subtle Emphasis"/>
    <w:basedOn w:val="DefaultParagraphFont"/>
    <w:uiPriority w:val="19"/>
    <w:rsid w:val="00C37C16"/>
    <w:rPr>
      <w:i/>
      <w:iCs/>
      <w:color w:val="595959" w:themeColor="text1" w:themeTint="A6"/>
    </w:rPr>
  </w:style>
  <w:style w:type="character" w:customStyle="1" w:styleId="TableTextChar">
    <w:name w:val="Table Text Char"/>
    <w:basedOn w:val="DefaultParagraphFont"/>
    <w:link w:val="TableText"/>
    <w:uiPriority w:val="99"/>
    <w:rsid w:val="009F1464"/>
    <w:rPr>
      <w:sz w:val="16"/>
      <w:szCs w:val="20"/>
    </w:rPr>
  </w:style>
  <w:style w:type="paragraph" w:customStyle="1" w:styleId="HeaderTitle">
    <w:name w:val="Header Title"/>
    <w:basedOn w:val="DocType"/>
    <w:uiPriority w:val="4"/>
    <w:semiHidden/>
    <w:rsid w:val="000D38E1"/>
    <w:pPr>
      <w:framePr w:wrap="auto" w:vAnchor="margin" w:hAnchor="text" w:yAlign="inline"/>
      <w:suppressOverlap w:val="0"/>
      <w:jc w:val="right"/>
    </w:pPr>
    <w:rPr>
      <w:sz w:val="24"/>
    </w:rPr>
  </w:style>
  <w:style w:type="paragraph" w:customStyle="1" w:styleId="HeaderSubtitle">
    <w:name w:val="Header Subtitle"/>
    <w:basedOn w:val="HeaderTitle"/>
    <w:uiPriority w:val="4"/>
    <w:semiHidden/>
    <w:rsid w:val="000D38E1"/>
    <w:rPr>
      <w:b w:val="0"/>
      <w:caps w:val="0"/>
      <w:color w:val="000000" w:themeColor="text1"/>
      <w:sz w:val="20"/>
    </w:rPr>
  </w:style>
  <w:style w:type="paragraph" w:customStyle="1" w:styleId="DocSubtitle">
    <w:name w:val="Doc Subtitle"/>
    <w:basedOn w:val="DocTitle"/>
    <w:uiPriority w:val="4"/>
    <w:semiHidden/>
    <w:rsid w:val="00502D6C"/>
    <w:pPr>
      <w:framePr w:wrap="around"/>
      <w:spacing w:before="60" w:line="192" w:lineRule="auto"/>
    </w:pPr>
    <w:rPr>
      <w:color w:val="000000" w:themeColor="text1"/>
      <w:sz w:val="24"/>
    </w:rPr>
  </w:style>
  <w:style w:type="paragraph" w:customStyle="1" w:styleId="IOHeading">
    <w:name w:val="IO Heading"/>
    <w:basedOn w:val="Heading3"/>
    <w:uiPriority w:val="4"/>
    <w:rsid w:val="00205E38"/>
    <w:rPr>
      <w:color w:val="821431" w:themeColor="accent6"/>
    </w:rPr>
  </w:style>
  <w:style w:type="character" w:customStyle="1" w:styleId="ListParagraphChar">
    <w:name w:val="List Paragraph Char"/>
    <w:aliases w:val="Bullets level 1 Char,Bullets Char,Bullet paras Char,List Paragraph1 Char,Recommendation Char,List Paragraph11 Char,L Char,CV text Char,Table text Char,F5 List Paragraph Char,Dot pt Char,List Paragraph111 Char,Numbered Paragraph Char"/>
    <w:basedOn w:val="DefaultParagraphFont"/>
    <w:link w:val="ListParagraph"/>
    <w:uiPriority w:val="34"/>
    <w:qFormat/>
    <w:rsid w:val="00C079A2"/>
  </w:style>
  <w:style w:type="character" w:customStyle="1" w:styleId="Hashtag1">
    <w:name w:val="Hashtag1"/>
    <w:basedOn w:val="DefaultParagraphFont"/>
    <w:uiPriority w:val="99"/>
    <w:semiHidden/>
    <w:rsid w:val="00AB0F8D"/>
    <w:rPr>
      <w:color w:val="2B579A"/>
      <w:shd w:val="clear" w:color="auto" w:fill="E1DFDD"/>
    </w:rPr>
  </w:style>
  <w:style w:type="paragraph" w:styleId="Revision">
    <w:name w:val="Revision"/>
    <w:hidden/>
    <w:uiPriority w:val="99"/>
    <w:semiHidden/>
    <w:rsid w:val="0099262B"/>
    <w:rPr>
      <w:rFonts w:ascii="Calibri" w:eastAsiaTheme="minorHAnsi" w:hAnsi="Calibri" w:cstheme="minorHAnsi"/>
      <w:color w:val="000000" w:themeColor="text1"/>
    </w:rPr>
  </w:style>
  <w:style w:type="paragraph" w:customStyle="1" w:styleId="TableBullet">
    <w:name w:val="Table Bullet"/>
    <w:basedOn w:val="Normal"/>
    <w:uiPriority w:val="9"/>
    <w:rsid w:val="00611280"/>
    <w:pPr>
      <w:numPr>
        <w:numId w:val="11"/>
      </w:numPr>
      <w:spacing w:line="276" w:lineRule="auto"/>
      <w:ind w:left="170" w:hanging="170"/>
    </w:pPr>
    <w:rPr>
      <w:rFonts w:asciiTheme="minorHAnsi" w:hAnsiTheme="minorHAnsi"/>
      <w:bCs/>
      <w:sz w:val="16"/>
      <w:lang w:eastAsia="en-AU"/>
    </w:rPr>
  </w:style>
  <w:style w:type="table" w:customStyle="1" w:styleId="TableGrid11">
    <w:name w:val="Table Grid11"/>
    <w:basedOn w:val="TableNormal"/>
    <w:next w:val="TableGrid"/>
    <w:uiPriority w:val="39"/>
    <w:rsid w:val="00396644"/>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9D329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05458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CC36A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C14D1A"/>
    <w:rPr>
      <w:rFonts w:eastAsia="Calibr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1251A1"/>
    <w:pPr>
      <w:spacing w:after="0"/>
    </w:pPr>
    <w:rPr>
      <w:rFonts w:ascii="Arial" w:eastAsia="Arial" w:hAnsi="Arial" w:cs="Times New Roman"/>
      <w:sz w:val="20"/>
      <w:szCs w:val="20"/>
    </w:rPr>
    <w:tblPr>
      <w:tblCellMar>
        <w:left w:w="0" w:type="dxa"/>
        <w:right w:w="0" w:type="dxa"/>
      </w:tblCellMar>
    </w:tblPr>
  </w:style>
  <w:style w:type="paragraph" w:customStyle="1" w:styleId="ANNEXHEADING">
    <w:name w:val="ANNEX HEADING"/>
    <w:basedOn w:val="Heading1"/>
    <w:next w:val="BodyText"/>
    <w:link w:val="ANNEXHEADINGChar"/>
    <w:rsid w:val="003D4D4D"/>
    <w:pPr>
      <w:keepNext w:val="0"/>
      <w:keepLines w:val="0"/>
      <w:pageBreakBefore/>
      <w:numPr>
        <w:numId w:val="13"/>
      </w:numPr>
      <w:spacing w:before="0" w:after="240"/>
    </w:pPr>
  </w:style>
  <w:style w:type="character" w:customStyle="1" w:styleId="ANNEXHEADINGChar">
    <w:name w:val="ANNEX HEADING Char"/>
    <w:basedOn w:val="Heading1Char"/>
    <w:link w:val="ANNEXHEADING"/>
    <w:rsid w:val="003D4D4D"/>
    <w:rPr>
      <w:rFonts w:asciiTheme="majorHAnsi" w:eastAsiaTheme="majorEastAsia" w:hAnsiTheme="majorHAnsi" w:cstheme="majorBidi"/>
      <w:bCs/>
      <w:color w:val="35615E" w:themeColor="accent1" w:themeShade="BF"/>
      <w:sz w:val="36"/>
      <w:szCs w:val="32"/>
    </w:rPr>
  </w:style>
  <w:style w:type="paragraph" w:customStyle="1" w:styleId="msonormal0">
    <w:name w:val="msonormal"/>
    <w:basedOn w:val="Normal"/>
    <w:rsid w:val="00976FA9"/>
    <w:pPr>
      <w:spacing w:before="100" w:beforeAutospacing="1" w:after="100" w:afterAutospacing="1"/>
    </w:pPr>
    <w:rPr>
      <w:lang w:eastAsia="en-AU"/>
    </w:rPr>
  </w:style>
  <w:style w:type="paragraph" w:customStyle="1" w:styleId="Default">
    <w:name w:val="Default"/>
    <w:rsid w:val="005103BC"/>
    <w:pPr>
      <w:autoSpaceDE w:val="0"/>
      <w:autoSpaceDN w:val="0"/>
      <w:adjustRightInd w:val="0"/>
      <w:spacing w:before="0" w:after="0"/>
    </w:pPr>
    <w:rPr>
      <w:rFonts w:ascii="Calibri" w:hAnsi="Calibri" w:cs="Calibri"/>
      <w:color w:val="000000"/>
      <w:sz w:val="24"/>
      <w:szCs w:val="24"/>
    </w:rPr>
  </w:style>
  <w:style w:type="paragraph" w:customStyle="1" w:styleId="CM7">
    <w:name w:val="CM7"/>
    <w:basedOn w:val="Default"/>
    <w:next w:val="Default"/>
    <w:uiPriority w:val="99"/>
    <w:rsid w:val="002A54E9"/>
    <w:pPr>
      <w:spacing w:line="238" w:lineRule="atLeast"/>
    </w:pPr>
    <w:rPr>
      <w:rFonts w:ascii="Segoe UI Light" w:hAnsi="Segoe UI Light" w:cs="Segoe UI Light"/>
      <w:color w:val="auto"/>
    </w:rPr>
  </w:style>
  <w:style w:type="paragraph" w:customStyle="1" w:styleId="SHADEDHEAD">
    <w:name w:val="SHADED HEAD"/>
    <w:basedOn w:val="BodyText"/>
    <w:link w:val="SHADEDHEADChar"/>
    <w:rsid w:val="00B61C8E"/>
    <w:pPr>
      <w:pBdr>
        <w:top w:val="single" w:sz="48" w:space="1" w:color="D6E9E7" w:themeColor="accent1" w:themeTint="33"/>
        <w:left w:val="single" w:sz="48" w:space="4" w:color="D6E9E7" w:themeColor="accent1" w:themeTint="33"/>
        <w:bottom w:val="single" w:sz="48" w:space="1" w:color="D6E9E7" w:themeColor="accent1" w:themeTint="33"/>
        <w:right w:val="single" w:sz="48" w:space="4" w:color="D6E9E7" w:themeColor="accent1" w:themeTint="33"/>
      </w:pBdr>
      <w:shd w:val="clear" w:color="auto" w:fill="D6E9E7" w:themeFill="accent1" w:themeFillTint="33"/>
      <w:spacing w:after="120"/>
      <w:ind w:left="170" w:right="170"/>
      <w:contextualSpacing/>
    </w:pPr>
    <w:rPr>
      <w:b/>
      <w:color w:val="3D3C42" w:themeColor="text2"/>
    </w:rPr>
  </w:style>
  <w:style w:type="character" w:customStyle="1" w:styleId="SHADEDHEADChar">
    <w:name w:val="SHADED HEAD Char"/>
    <w:basedOn w:val="BodyTextChar"/>
    <w:link w:val="SHADEDHEAD"/>
    <w:rsid w:val="00B61C8E"/>
    <w:rPr>
      <w:b/>
      <w:color w:val="3D3C42" w:themeColor="text2"/>
      <w:sz w:val="20"/>
      <w:shd w:val="clear" w:color="auto" w:fill="D6E9E7" w:themeFill="accent1" w:themeFillTint="33"/>
    </w:rPr>
  </w:style>
  <w:style w:type="paragraph" w:customStyle="1" w:styleId="CROSSPAR">
    <w:name w:val="CROSS PAR"/>
    <w:basedOn w:val="Heading4"/>
    <w:link w:val="CROSSPARChar"/>
    <w:rsid w:val="002946ED"/>
    <w:pPr>
      <w:spacing w:after="240"/>
    </w:pPr>
    <w:rPr>
      <w:color w:val="23413E" w:themeColor="accent1" w:themeShade="80"/>
    </w:rPr>
  </w:style>
  <w:style w:type="character" w:customStyle="1" w:styleId="CROSSPARChar">
    <w:name w:val="CROSS PAR Char"/>
    <w:basedOn w:val="Heading4Char"/>
    <w:link w:val="CROSSPAR"/>
    <w:rsid w:val="002946ED"/>
    <w:rPr>
      <w:rFonts w:asciiTheme="majorHAnsi" w:eastAsiaTheme="majorEastAsia" w:hAnsiTheme="majorHAnsi" w:cstheme="majorBidi"/>
      <w:b/>
      <w:color w:val="23413E" w:themeColor="accent1" w:themeShade="80"/>
      <w:sz w:val="20"/>
      <w:szCs w:val="24"/>
    </w:rPr>
  </w:style>
  <w:style w:type="paragraph" w:customStyle="1" w:styleId="BodyCopy">
    <w:name w:val="Body Copy"/>
    <w:rsid w:val="00AB0F8D"/>
    <w:pPr>
      <w:spacing w:before="57" w:after="113" w:line="240" w:lineRule="atLeast"/>
    </w:pPr>
    <w:rPr>
      <w:rFonts w:eastAsiaTheme="minorHAnsi" w:cs="Times New Roman"/>
      <w:spacing w:val="-2"/>
      <w:sz w:val="20"/>
      <w:szCs w:val="20"/>
    </w:rPr>
  </w:style>
  <w:style w:type="character" w:customStyle="1" w:styleId="apple-converted-space">
    <w:name w:val="apple-converted-space"/>
    <w:basedOn w:val="DefaultParagraphFont"/>
    <w:rsid w:val="00156956"/>
  </w:style>
  <w:style w:type="table" w:customStyle="1" w:styleId="BoxGrid-Black">
    <w:name w:val="Box Grid - Black"/>
    <w:basedOn w:val="TableNormal"/>
    <w:uiPriority w:val="8"/>
    <w:rsid w:val="00AB0F8D"/>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table" w:customStyle="1" w:styleId="DPSTableGrid1">
    <w:name w:val="DPS Table Grid1"/>
    <w:basedOn w:val="TableNormal"/>
    <w:next w:val="TableGrid"/>
    <w:uiPriority w:val="39"/>
    <w:rsid w:val="00C02590"/>
    <w:pPr>
      <w:spacing w:before="0"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list">
    <w:name w:val="shaded list"/>
    <w:basedOn w:val="SHADEDHEAD"/>
    <w:link w:val="shadedlistChar"/>
    <w:rsid w:val="00357AC5"/>
    <w:pPr>
      <w:numPr>
        <w:numId w:val="15"/>
      </w:numPr>
      <w:spacing w:before="0" w:after="0"/>
      <w:ind w:left="510" w:hanging="340"/>
    </w:pPr>
  </w:style>
  <w:style w:type="character" w:customStyle="1" w:styleId="shadedlistChar">
    <w:name w:val="shaded list Char"/>
    <w:basedOn w:val="SHADEDHEADChar"/>
    <w:link w:val="shadedlist"/>
    <w:rsid w:val="00357AC5"/>
    <w:rPr>
      <w:b/>
      <w:color w:val="3D3C42" w:themeColor="text2"/>
      <w:sz w:val="20"/>
      <w:shd w:val="clear" w:color="auto" w:fill="D6E9E7" w:themeFill="accent1" w:themeFillTint="33"/>
    </w:rPr>
  </w:style>
  <w:style w:type="paragraph" w:customStyle="1" w:styleId="Leading1">
    <w:name w:val="Leading1"/>
    <w:basedOn w:val="Normal"/>
    <w:rsid w:val="009176A6"/>
    <w:pPr>
      <w:spacing w:before="240" w:after="120" w:line="276" w:lineRule="auto"/>
      <w:jc w:val="both"/>
    </w:pPr>
    <w:rPr>
      <w:rFonts w:ascii="HelveticaNeueLT Std Lt" w:hAnsi="HelveticaNeueLT Std Lt" w:cstheme="minorHAnsi"/>
      <w:bCs/>
      <w:color w:val="47827E"/>
      <w:sz w:val="22"/>
      <w:szCs w:val="22"/>
      <w:lang w:val="en-GB"/>
    </w:rPr>
  </w:style>
  <w:style w:type="paragraph" w:customStyle="1" w:styleId="Tables">
    <w:name w:val="Tables"/>
    <w:basedOn w:val="Normal"/>
    <w:next w:val="Caption"/>
    <w:rsid w:val="001A209C"/>
    <w:pPr>
      <w:spacing w:after="160" w:line="259" w:lineRule="auto"/>
    </w:pPr>
    <w:rPr>
      <w:rFonts w:eastAsiaTheme="minorHAnsi" w:cs="Arial"/>
      <w:sz w:val="22"/>
      <w:szCs w:val="22"/>
    </w:rPr>
  </w:style>
  <w:style w:type="character" w:customStyle="1" w:styleId="normaltextrun">
    <w:name w:val="normaltextrun"/>
    <w:basedOn w:val="DefaultParagraphFont"/>
    <w:rsid w:val="001A209C"/>
  </w:style>
  <w:style w:type="character" w:customStyle="1" w:styleId="eop">
    <w:name w:val="eop"/>
    <w:basedOn w:val="DefaultParagraphFont"/>
    <w:rsid w:val="001A209C"/>
  </w:style>
  <w:style w:type="numbering" w:customStyle="1" w:styleId="NumberedList">
    <w:name w:val="_Numbered List"/>
    <w:uiPriority w:val="99"/>
    <w:semiHidden/>
    <w:rsid w:val="008E3B44"/>
    <w:pPr>
      <w:numPr>
        <w:numId w:val="20"/>
      </w:numPr>
    </w:pPr>
  </w:style>
  <w:style w:type="character" w:styleId="PlaceholderText">
    <w:name w:val="Placeholder Text"/>
    <w:basedOn w:val="DefaultParagraphFont"/>
    <w:uiPriority w:val="99"/>
    <w:semiHidden/>
    <w:rsid w:val="008E3B44"/>
    <w:rPr>
      <w:color w:val="808080"/>
    </w:rPr>
  </w:style>
  <w:style w:type="paragraph" w:styleId="NoteHeading">
    <w:name w:val="Note Heading"/>
    <w:basedOn w:val="Normal"/>
    <w:next w:val="Normal"/>
    <w:link w:val="NoteHeadingChar"/>
    <w:uiPriority w:val="99"/>
    <w:semiHidden/>
    <w:locked/>
    <w:rsid w:val="008E3B44"/>
    <w:pPr>
      <w:spacing w:before="40" w:after="120"/>
    </w:pPr>
    <w:rPr>
      <w:rFonts w:asciiTheme="minorHAnsi" w:eastAsiaTheme="minorEastAsia" w:hAnsiTheme="minorHAnsi" w:cstheme="minorBidi"/>
      <w:sz w:val="22"/>
      <w:szCs w:val="22"/>
    </w:rPr>
  </w:style>
  <w:style w:type="character" w:customStyle="1" w:styleId="NoteHeadingChar">
    <w:name w:val="Note Heading Char"/>
    <w:basedOn w:val="DefaultParagraphFont"/>
    <w:link w:val="NoteHeading"/>
    <w:uiPriority w:val="99"/>
    <w:semiHidden/>
    <w:rsid w:val="008E3B44"/>
  </w:style>
  <w:style w:type="table" w:customStyle="1" w:styleId="StandardCompanyTable">
    <w:name w:val="_Standard Company Table"/>
    <w:basedOn w:val="TableNormal"/>
    <w:uiPriority w:val="7"/>
    <w:semiHidden/>
    <w:rsid w:val="008E3B44"/>
    <w:rPr>
      <w:sz w:val="20"/>
      <w:szCs w:val="20"/>
    </w:rPr>
    <w:tblPr>
      <w:tblBorders>
        <w:bottom w:val="single" w:sz="4" w:space="0" w:color="3D3C42" w:themeColor="text2"/>
        <w:insideH w:val="single" w:sz="4" w:space="0" w:color="3D3C42" w:themeColor="text2"/>
        <w:insideV w:val="single" w:sz="4" w:space="0" w:color="3D3C42" w:themeColor="text2"/>
      </w:tblBorders>
      <w:tblCellMar>
        <w:top w:w="85" w:type="dxa"/>
        <w:left w:w="85" w:type="dxa"/>
        <w:bottom w:w="85" w:type="dxa"/>
        <w:right w:w="85" w:type="dxa"/>
      </w:tblCellMar>
    </w:tblPr>
    <w:tcPr>
      <w:shd w:val="clear" w:color="auto" w:fill="auto"/>
    </w:tcPr>
    <w:tblStylePr w:type="firstRow">
      <w:rPr>
        <w:color w:val="FFFFFF" w:themeColor="background1"/>
      </w:rPr>
      <w:tblPr/>
      <w:tcPr>
        <w:tcBorders>
          <w:top w:val="single" w:sz="4" w:space="0" w:color="3D3C42" w:themeColor="text2"/>
          <w:left w:val="single" w:sz="4" w:space="0" w:color="3D3C42" w:themeColor="text2"/>
          <w:bottom w:val="single" w:sz="4" w:space="0" w:color="3D3C42" w:themeColor="text2"/>
          <w:right w:val="single" w:sz="4" w:space="0" w:color="3D3C42" w:themeColor="text2"/>
        </w:tcBorders>
        <w:shd w:val="clear" w:color="auto" w:fill="3D3C42" w:themeFill="text2"/>
      </w:tcPr>
    </w:tblStylePr>
  </w:style>
  <w:style w:type="character" w:styleId="PageNumber">
    <w:name w:val="page number"/>
    <w:basedOn w:val="DefaultParagraphFont"/>
    <w:uiPriority w:val="10"/>
    <w:semiHidden/>
    <w:locked/>
    <w:rsid w:val="008E3B44"/>
  </w:style>
  <w:style w:type="character" w:customStyle="1" w:styleId="TableHeadingChar">
    <w:name w:val="Table Heading Char"/>
    <w:basedOn w:val="BodyTextChar"/>
    <w:link w:val="TableHeading"/>
    <w:uiPriority w:val="99"/>
    <w:rsid w:val="008E3B44"/>
    <w:rPr>
      <w:rFonts w:asciiTheme="majorHAnsi" w:eastAsia="Calibri" w:hAnsiTheme="majorHAnsi"/>
      <w:b/>
      <w:sz w:val="20"/>
    </w:rPr>
  </w:style>
  <w:style w:type="numbering" w:customStyle="1" w:styleId="ListNoHeading">
    <w:name w:val="ListNoHeading"/>
    <w:uiPriority w:val="99"/>
    <w:rsid w:val="008E3B44"/>
    <w:pPr>
      <w:numPr>
        <w:numId w:val="27"/>
      </w:numPr>
    </w:pPr>
  </w:style>
  <w:style w:type="paragraph" w:customStyle="1" w:styleId="TableParagraph">
    <w:name w:val="Table Paragraph"/>
    <w:basedOn w:val="Normal"/>
    <w:uiPriority w:val="1"/>
    <w:rsid w:val="008E3B44"/>
    <w:pPr>
      <w:widowControl w:val="0"/>
      <w:autoSpaceDE w:val="0"/>
      <w:autoSpaceDN w:val="0"/>
      <w:spacing w:before="57"/>
      <w:ind w:left="129"/>
    </w:pPr>
    <w:rPr>
      <w:rFonts w:eastAsia="Arial" w:cs="Arial"/>
      <w:sz w:val="22"/>
      <w:szCs w:val="22"/>
      <w:lang w:val="en-US"/>
    </w:rPr>
  </w:style>
  <w:style w:type="paragraph" w:customStyle="1" w:styleId="LADLFBriefingNoteHeading1">
    <w:name w:val="LADLF Briefing Note Heading 1"/>
    <w:basedOn w:val="Title"/>
    <w:link w:val="LADLFBriefingNoteHeading1Char"/>
    <w:uiPriority w:val="99"/>
    <w:rsid w:val="008E3B44"/>
    <w:pPr>
      <w:spacing w:before="240" w:after="120" w:line="288" w:lineRule="auto"/>
      <w:ind w:left="1800" w:hanging="360"/>
    </w:pPr>
    <w:rPr>
      <w:rFonts w:ascii="Arial Bold" w:hAnsi="Arial Bold"/>
      <w:b w:val="0"/>
      <w:caps w:val="0"/>
      <w:color w:val="23413E" w:themeColor="accent1" w:themeShade="80"/>
      <w:spacing w:val="-10"/>
      <w:kern w:val="28"/>
      <w:sz w:val="32"/>
      <w:szCs w:val="56"/>
      <w:lang w:val="en-US"/>
    </w:rPr>
  </w:style>
  <w:style w:type="character" w:customStyle="1" w:styleId="LADLFBriefingNoteHeading1Char">
    <w:name w:val="LADLF Briefing Note Heading 1 Char"/>
    <w:basedOn w:val="TitleChar"/>
    <w:link w:val="LADLFBriefingNoteHeading1"/>
    <w:uiPriority w:val="99"/>
    <w:rsid w:val="008E3B44"/>
    <w:rPr>
      <w:rFonts w:ascii="Arial Bold" w:eastAsiaTheme="majorEastAsia" w:hAnsi="Arial Bold" w:cstheme="majorBidi"/>
      <w:b w:val="0"/>
      <w:bCs/>
      <w:caps w:val="0"/>
      <w:color w:val="23413E" w:themeColor="accent1" w:themeShade="80"/>
      <w:spacing w:val="-10"/>
      <w:kern w:val="28"/>
      <w:sz w:val="32"/>
      <w:szCs w:val="56"/>
      <w:lang w:val="en-US"/>
    </w:rPr>
  </w:style>
  <w:style w:type="table" w:customStyle="1" w:styleId="CHTable1">
    <w:name w:val="CH Table 1"/>
    <w:basedOn w:val="TableNormal"/>
    <w:uiPriority w:val="99"/>
    <w:rsid w:val="008E3B44"/>
    <w:pPr>
      <w:spacing w:before="100" w:after="100"/>
    </w:pPr>
    <w:rPr>
      <w:rFonts w:eastAsiaTheme="minorHAnsi" w:cs="Times New Roman"/>
      <w:color w:val="000000" w:themeColor="text1"/>
      <w:sz w:val="20"/>
      <w:szCs w:val="21"/>
    </w:rPr>
    <w:tblPr>
      <w:tblStyleRowBandSize w:val="1"/>
      <w:tblStyleColBandSize w:val="1"/>
      <w:tblBorders>
        <w:bottom w:val="single" w:sz="4" w:space="0" w:color="3D3C42" w:themeColor="text2"/>
        <w:insideH w:val="single" w:sz="4" w:space="0" w:color="3D3C42" w:themeColor="text2"/>
        <w:insideV w:val="single" w:sz="4" w:space="0" w:color="3D3C42" w:themeColor="text2"/>
      </w:tblBorders>
    </w:tblPr>
    <w:tcPr>
      <w:shd w:val="clear" w:color="auto" w:fill="FFFFFF" w:themeFill="background1"/>
    </w:tcPr>
    <w:tblStylePr w:type="firstRow">
      <w:rPr>
        <w:b/>
        <w:color w:val="FFFFFF" w:themeColor="background1"/>
        <w:sz w:val="21"/>
      </w:rPr>
      <w:tblPr/>
      <w:trPr>
        <w:cantSplit/>
        <w:tblHeader/>
      </w:trPr>
      <w:tcPr>
        <w:shd w:val="clear" w:color="auto" w:fill="232F5D" w:themeFill="accent3"/>
      </w:tcPr>
    </w:tblStylePr>
    <w:tblStylePr w:type="firstCol">
      <w:rPr>
        <w:b w:val="0"/>
        <w:sz w:val="21"/>
      </w:rPr>
      <w:tblPr/>
      <w:tcPr>
        <w:tcBorders>
          <w:top w:val="nil"/>
          <w:left w:val="nil"/>
          <w:bottom w:val="single" w:sz="4" w:space="0" w:color="3D3C42" w:themeColor="text2"/>
          <w:right w:val="nil"/>
          <w:insideH w:val="single" w:sz="4" w:space="0" w:color="3D3C42" w:themeColor="text2"/>
          <w:insideV w:val="nil"/>
          <w:tl2br w:val="nil"/>
          <w:tr2bl w:val="nil"/>
        </w:tcBorders>
        <w:shd w:val="clear" w:color="auto" w:fill="FFFFFF" w:themeFill="background1"/>
      </w:tcPr>
    </w:tblStylePr>
  </w:style>
  <w:style w:type="paragraph" w:customStyle="1" w:styleId="CROSSHEADL3">
    <w:name w:val="CROSS HEAD L3"/>
    <w:basedOn w:val="CROSSHEADl2"/>
    <w:link w:val="CROSSHEADL3Char"/>
    <w:qFormat/>
    <w:rsid w:val="005E3564"/>
    <w:pPr>
      <w:spacing w:before="120"/>
      <w:outlineLvl w:val="2"/>
    </w:pPr>
    <w:rPr>
      <w:color w:val="auto"/>
    </w:rPr>
  </w:style>
  <w:style w:type="character" w:customStyle="1" w:styleId="CROSSHEADL3Char">
    <w:name w:val="CROSS HEAD L3 Char"/>
    <w:basedOn w:val="CROSSHEADl2Char"/>
    <w:link w:val="CROSSHEADL3"/>
    <w:rsid w:val="005E3564"/>
    <w:rPr>
      <w:rFonts w:asciiTheme="majorHAnsi" w:eastAsiaTheme="majorEastAsia" w:hAnsiTheme="majorHAnsi" w:cstheme="majorBidi"/>
      <w:b/>
      <w:color w:val="35615E" w:themeColor="accent1" w:themeShade="BF"/>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935">
      <w:bodyDiv w:val="1"/>
      <w:marLeft w:val="0"/>
      <w:marRight w:val="0"/>
      <w:marTop w:val="0"/>
      <w:marBottom w:val="0"/>
      <w:divBdr>
        <w:top w:val="none" w:sz="0" w:space="0" w:color="auto"/>
        <w:left w:val="none" w:sz="0" w:space="0" w:color="auto"/>
        <w:bottom w:val="none" w:sz="0" w:space="0" w:color="auto"/>
        <w:right w:val="none" w:sz="0" w:space="0" w:color="auto"/>
      </w:divBdr>
    </w:div>
    <w:div w:id="40634383">
      <w:bodyDiv w:val="1"/>
      <w:marLeft w:val="0"/>
      <w:marRight w:val="0"/>
      <w:marTop w:val="0"/>
      <w:marBottom w:val="0"/>
      <w:divBdr>
        <w:top w:val="none" w:sz="0" w:space="0" w:color="auto"/>
        <w:left w:val="none" w:sz="0" w:space="0" w:color="auto"/>
        <w:bottom w:val="none" w:sz="0" w:space="0" w:color="auto"/>
        <w:right w:val="none" w:sz="0" w:space="0" w:color="auto"/>
      </w:divBdr>
    </w:div>
    <w:div w:id="40909219">
      <w:bodyDiv w:val="1"/>
      <w:marLeft w:val="0"/>
      <w:marRight w:val="0"/>
      <w:marTop w:val="0"/>
      <w:marBottom w:val="0"/>
      <w:divBdr>
        <w:top w:val="none" w:sz="0" w:space="0" w:color="auto"/>
        <w:left w:val="none" w:sz="0" w:space="0" w:color="auto"/>
        <w:bottom w:val="none" w:sz="0" w:space="0" w:color="auto"/>
        <w:right w:val="none" w:sz="0" w:space="0" w:color="auto"/>
      </w:divBdr>
    </w:div>
    <w:div w:id="112335000">
      <w:bodyDiv w:val="1"/>
      <w:marLeft w:val="0"/>
      <w:marRight w:val="0"/>
      <w:marTop w:val="0"/>
      <w:marBottom w:val="0"/>
      <w:divBdr>
        <w:top w:val="none" w:sz="0" w:space="0" w:color="auto"/>
        <w:left w:val="none" w:sz="0" w:space="0" w:color="auto"/>
        <w:bottom w:val="none" w:sz="0" w:space="0" w:color="auto"/>
        <w:right w:val="none" w:sz="0" w:space="0" w:color="auto"/>
      </w:divBdr>
    </w:div>
    <w:div w:id="143016082">
      <w:bodyDiv w:val="1"/>
      <w:marLeft w:val="0"/>
      <w:marRight w:val="0"/>
      <w:marTop w:val="0"/>
      <w:marBottom w:val="0"/>
      <w:divBdr>
        <w:top w:val="none" w:sz="0" w:space="0" w:color="auto"/>
        <w:left w:val="none" w:sz="0" w:space="0" w:color="auto"/>
        <w:bottom w:val="none" w:sz="0" w:space="0" w:color="auto"/>
        <w:right w:val="none" w:sz="0" w:space="0" w:color="auto"/>
      </w:divBdr>
    </w:div>
    <w:div w:id="155532995">
      <w:bodyDiv w:val="1"/>
      <w:marLeft w:val="0"/>
      <w:marRight w:val="0"/>
      <w:marTop w:val="0"/>
      <w:marBottom w:val="0"/>
      <w:divBdr>
        <w:top w:val="none" w:sz="0" w:space="0" w:color="auto"/>
        <w:left w:val="none" w:sz="0" w:space="0" w:color="auto"/>
        <w:bottom w:val="none" w:sz="0" w:space="0" w:color="auto"/>
        <w:right w:val="none" w:sz="0" w:space="0" w:color="auto"/>
      </w:divBdr>
    </w:div>
    <w:div w:id="158886469">
      <w:bodyDiv w:val="1"/>
      <w:marLeft w:val="0"/>
      <w:marRight w:val="0"/>
      <w:marTop w:val="0"/>
      <w:marBottom w:val="0"/>
      <w:divBdr>
        <w:top w:val="none" w:sz="0" w:space="0" w:color="auto"/>
        <w:left w:val="none" w:sz="0" w:space="0" w:color="auto"/>
        <w:bottom w:val="none" w:sz="0" w:space="0" w:color="auto"/>
        <w:right w:val="none" w:sz="0" w:space="0" w:color="auto"/>
      </w:divBdr>
    </w:div>
    <w:div w:id="253630597">
      <w:bodyDiv w:val="1"/>
      <w:marLeft w:val="0"/>
      <w:marRight w:val="0"/>
      <w:marTop w:val="0"/>
      <w:marBottom w:val="0"/>
      <w:divBdr>
        <w:top w:val="none" w:sz="0" w:space="0" w:color="auto"/>
        <w:left w:val="none" w:sz="0" w:space="0" w:color="auto"/>
        <w:bottom w:val="none" w:sz="0" w:space="0" w:color="auto"/>
        <w:right w:val="none" w:sz="0" w:space="0" w:color="auto"/>
      </w:divBdr>
    </w:div>
    <w:div w:id="334069536">
      <w:bodyDiv w:val="1"/>
      <w:marLeft w:val="0"/>
      <w:marRight w:val="0"/>
      <w:marTop w:val="0"/>
      <w:marBottom w:val="0"/>
      <w:divBdr>
        <w:top w:val="none" w:sz="0" w:space="0" w:color="auto"/>
        <w:left w:val="none" w:sz="0" w:space="0" w:color="auto"/>
        <w:bottom w:val="none" w:sz="0" w:space="0" w:color="auto"/>
        <w:right w:val="none" w:sz="0" w:space="0" w:color="auto"/>
      </w:divBdr>
    </w:div>
    <w:div w:id="364406618">
      <w:bodyDiv w:val="1"/>
      <w:marLeft w:val="0"/>
      <w:marRight w:val="0"/>
      <w:marTop w:val="0"/>
      <w:marBottom w:val="0"/>
      <w:divBdr>
        <w:top w:val="none" w:sz="0" w:space="0" w:color="auto"/>
        <w:left w:val="none" w:sz="0" w:space="0" w:color="auto"/>
        <w:bottom w:val="none" w:sz="0" w:space="0" w:color="auto"/>
        <w:right w:val="none" w:sz="0" w:space="0" w:color="auto"/>
      </w:divBdr>
    </w:div>
    <w:div w:id="389772879">
      <w:bodyDiv w:val="1"/>
      <w:marLeft w:val="0"/>
      <w:marRight w:val="0"/>
      <w:marTop w:val="0"/>
      <w:marBottom w:val="0"/>
      <w:divBdr>
        <w:top w:val="none" w:sz="0" w:space="0" w:color="auto"/>
        <w:left w:val="none" w:sz="0" w:space="0" w:color="auto"/>
        <w:bottom w:val="none" w:sz="0" w:space="0" w:color="auto"/>
        <w:right w:val="none" w:sz="0" w:space="0" w:color="auto"/>
      </w:divBdr>
    </w:div>
    <w:div w:id="394278523">
      <w:bodyDiv w:val="1"/>
      <w:marLeft w:val="0"/>
      <w:marRight w:val="0"/>
      <w:marTop w:val="0"/>
      <w:marBottom w:val="0"/>
      <w:divBdr>
        <w:top w:val="none" w:sz="0" w:space="0" w:color="auto"/>
        <w:left w:val="none" w:sz="0" w:space="0" w:color="auto"/>
        <w:bottom w:val="none" w:sz="0" w:space="0" w:color="auto"/>
        <w:right w:val="none" w:sz="0" w:space="0" w:color="auto"/>
      </w:divBdr>
    </w:div>
    <w:div w:id="416636078">
      <w:bodyDiv w:val="1"/>
      <w:marLeft w:val="0"/>
      <w:marRight w:val="0"/>
      <w:marTop w:val="0"/>
      <w:marBottom w:val="0"/>
      <w:divBdr>
        <w:top w:val="none" w:sz="0" w:space="0" w:color="auto"/>
        <w:left w:val="none" w:sz="0" w:space="0" w:color="auto"/>
        <w:bottom w:val="none" w:sz="0" w:space="0" w:color="auto"/>
        <w:right w:val="none" w:sz="0" w:space="0" w:color="auto"/>
      </w:divBdr>
    </w:div>
    <w:div w:id="437526676">
      <w:bodyDiv w:val="1"/>
      <w:marLeft w:val="0"/>
      <w:marRight w:val="0"/>
      <w:marTop w:val="0"/>
      <w:marBottom w:val="0"/>
      <w:divBdr>
        <w:top w:val="none" w:sz="0" w:space="0" w:color="auto"/>
        <w:left w:val="none" w:sz="0" w:space="0" w:color="auto"/>
        <w:bottom w:val="none" w:sz="0" w:space="0" w:color="auto"/>
        <w:right w:val="none" w:sz="0" w:space="0" w:color="auto"/>
      </w:divBdr>
    </w:div>
    <w:div w:id="452133946">
      <w:bodyDiv w:val="1"/>
      <w:marLeft w:val="0"/>
      <w:marRight w:val="0"/>
      <w:marTop w:val="0"/>
      <w:marBottom w:val="0"/>
      <w:divBdr>
        <w:top w:val="none" w:sz="0" w:space="0" w:color="auto"/>
        <w:left w:val="none" w:sz="0" w:space="0" w:color="auto"/>
        <w:bottom w:val="none" w:sz="0" w:space="0" w:color="auto"/>
        <w:right w:val="none" w:sz="0" w:space="0" w:color="auto"/>
      </w:divBdr>
    </w:div>
    <w:div w:id="466973167">
      <w:bodyDiv w:val="1"/>
      <w:marLeft w:val="0"/>
      <w:marRight w:val="0"/>
      <w:marTop w:val="0"/>
      <w:marBottom w:val="0"/>
      <w:divBdr>
        <w:top w:val="none" w:sz="0" w:space="0" w:color="auto"/>
        <w:left w:val="none" w:sz="0" w:space="0" w:color="auto"/>
        <w:bottom w:val="none" w:sz="0" w:space="0" w:color="auto"/>
        <w:right w:val="none" w:sz="0" w:space="0" w:color="auto"/>
      </w:divBdr>
    </w:div>
    <w:div w:id="467667299">
      <w:bodyDiv w:val="1"/>
      <w:marLeft w:val="0"/>
      <w:marRight w:val="0"/>
      <w:marTop w:val="0"/>
      <w:marBottom w:val="0"/>
      <w:divBdr>
        <w:top w:val="none" w:sz="0" w:space="0" w:color="auto"/>
        <w:left w:val="none" w:sz="0" w:space="0" w:color="auto"/>
        <w:bottom w:val="none" w:sz="0" w:space="0" w:color="auto"/>
        <w:right w:val="none" w:sz="0" w:space="0" w:color="auto"/>
      </w:divBdr>
    </w:div>
    <w:div w:id="470099415">
      <w:bodyDiv w:val="1"/>
      <w:marLeft w:val="0"/>
      <w:marRight w:val="0"/>
      <w:marTop w:val="0"/>
      <w:marBottom w:val="0"/>
      <w:divBdr>
        <w:top w:val="none" w:sz="0" w:space="0" w:color="auto"/>
        <w:left w:val="none" w:sz="0" w:space="0" w:color="auto"/>
        <w:bottom w:val="none" w:sz="0" w:space="0" w:color="auto"/>
        <w:right w:val="none" w:sz="0" w:space="0" w:color="auto"/>
      </w:divBdr>
    </w:div>
    <w:div w:id="506680053">
      <w:bodyDiv w:val="1"/>
      <w:marLeft w:val="0"/>
      <w:marRight w:val="0"/>
      <w:marTop w:val="0"/>
      <w:marBottom w:val="0"/>
      <w:divBdr>
        <w:top w:val="none" w:sz="0" w:space="0" w:color="auto"/>
        <w:left w:val="none" w:sz="0" w:space="0" w:color="auto"/>
        <w:bottom w:val="none" w:sz="0" w:space="0" w:color="auto"/>
        <w:right w:val="none" w:sz="0" w:space="0" w:color="auto"/>
      </w:divBdr>
    </w:div>
    <w:div w:id="509106692">
      <w:bodyDiv w:val="1"/>
      <w:marLeft w:val="0"/>
      <w:marRight w:val="0"/>
      <w:marTop w:val="0"/>
      <w:marBottom w:val="0"/>
      <w:divBdr>
        <w:top w:val="none" w:sz="0" w:space="0" w:color="auto"/>
        <w:left w:val="none" w:sz="0" w:space="0" w:color="auto"/>
        <w:bottom w:val="none" w:sz="0" w:space="0" w:color="auto"/>
        <w:right w:val="none" w:sz="0" w:space="0" w:color="auto"/>
      </w:divBdr>
    </w:div>
    <w:div w:id="523135667">
      <w:bodyDiv w:val="1"/>
      <w:marLeft w:val="0"/>
      <w:marRight w:val="0"/>
      <w:marTop w:val="0"/>
      <w:marBottom w:val="0"/>
      <w:divBdr>
        <w:top w:val="none" w:sz="0" w:space="0" w:color="auto"/>
        <w:left w:val="none" w:sz="0" w:space="0" w:color="auto"/>
        <w:bottom w:val="none" w:sz="0" w:space="0" w:color="auto"/>
        <w:right w:val="none" w:sz="0" w:space="0" w:color="auto"/>
      </w:divBdr>
    </w:div>
    <w:div w:id="563562444">
      <w:bodyDiv w:val="1"/>
      <w:marLeft w:val="0"/>
      <w:marRight w:val="0"/>
      <w:marTop w:val="0"/>
      <w:marBottom w:val="0"/>
      <w:divBdr>
        <w:top w:val="none" w:sz="0" w:space="0" w:color="auto"/>
        <w:left w:val="none" w:sz="0" w:space="0" w:color="auto"/>
        <w:bottom w:val="none" w:sz="0" w:space="0" w:color="auto"/>
        <w:right w:val="none" w:sz="0" w:space="0" w:color="auto"/>
      </w:divBdr>
    </w:div>
    <w:div w:id="589386305">
      <w:bodyDiv w:val="1"/>
      <w:marLeft w:val="0"/>
      <w:marRight w:val="0"/>
      <w:marTop w:val="0"/>
      <w:marBottom w:val="0"/>
      <w:divBdr>
        <w:top w:val="none" w:sz="0" w:space="0" w:color="auto"/>
        <w:left w:val="none" w:sz="0" w:space="0" w:color="auto"/>
        <w:bottom w:val="none" w:sz="0" w:space="0" w:color="auto"/>
        <w:right w:val="none" w:sz="0" w:space="0" w:color="auto"/>
      </w:divBdr>
    </w:div>
    <w:div w:id="598098487">
      <w:bodyDiv w:val="1"/>
      <w:marLeft w:val="0"/>
      <w:marRight w:val="0"/>
      <w:marTop w:val="0"/>
      <w:marBottom w:val="0"/>
      <w:divBdr>
        <w:top w:val="none" w:sz="0" w:space="0" w:color="auto"/>
        <w:left w:val="none" w:sz="0" w:space="0" w:color="auto"/>
        <w:bottom w:val="none" w:sz="0" w:space="0" w:color="auto"/>
        <w:right w:val="none" w:sz="0" w:space="0" w:color="auto"/>
      </w:divBdr>
    </w:div>
    <w:div w:id="608968245">
      <w:bodyDiv w:val="1"/>
      <w:marLeft w:val="0"/>
      <w:marRight w:val="0"/>
      <w:marTop w:val="0"/>
      <w:marBottom w:val="0"/>
      <w:divBdr>
        <w:top w:val="none" w:sz="0" w:space="0" w:color="auto"/>
        <w:left w:val="none" w:sz="0" w:space="0" w:color="auto"/>
        <w:bottom w:val="none" w:sz="0" w:space="0" w:color="auto"/>
        <w:right w:val="none" w:sz="0" w:space="0" w:color="auto"/>
      </w:divBdr>
    </w:div>
    <w:div w:id="609706288">
      <w:bodyDiv w:val="1"/>
      <w:marLeft w:val="0"/>
      <w:marRight w:val="0"/>
      <w:marTop w:val="0"/>
      <w:marBottom w:val="0"/>
      <w:divBdr>
        <w:top w:val="none" w:sz="0" w:space="0" w:color="auto"/>
        <w:left w:val="none" w:sz="0" w:space="0" w:color="auto"/>
        <w:bottom w:val="none" w:sz="0" w:space="0" w:color="auto"/>
        <w:right w:val="none" w:sz="0" w:space="0" w:color="auto"/>
      </w:divBdr>
    </w:div>
    <w:div w:id="613368865">
      <w:bodyDiv w:val="1"/>
      <w:marLeft w:val="0"/>
      <w:marRight w:val="0"/>
      <w:marTop w:val="0"/>
      <w:marBottom w:val="0"/>
      <w:divBdr>
        <w:top w:val="none" w:sz="0" w:space="0" w:color="auto"/>
        <w:left w:val="none" w:sz="0" w:space="0" w:color="auto"/>
        <w:bottom w:val="none" w:sz="0" w:space="0" w:color="auto"/>
        <w:right w:val="none" w:sz="0" w:space="0" w:color="auto"/>
      </w:divBdr>
    </w:div>
    <w:div w:id="613487209">
      <w:bodyDiv w:val="1"/>
      <w:marLeft w:val="0"/>
      <w:marRight w:val="0"/>
      <w:marTop w:val="0"/>
      <w:marBottom w:val="0"/>
      <w:divBdr>
        <w:top w:val="none" w:sz="0" w:space="0" w:color="auto"/>
        <w:left w:val="none" w:sz="0" w:space="0" w:color="auto"/>
        <w:bottom w:val="none" w:sz="0" w:space="0" w:color="auto"/>
        <w:right w:val="none" w:sz="0" w:space="0" w:color="auto"/>
      </w:divBdr>
    </w:div>
    <w:div w:id="718632932">
      <w:bodyDiv w:val="1"/>
      <w:marLeft w:val="0"/>
      <w:marRight w:val="0"/>
      <w:marTop w:val="0"/>
      <w:marBottom w:val="0"/>
      <w:divBdr>
        <w:top w:val="none" w:sz="0" w:space="0" w:color="auto"/>
        <w:left w:val="none" w:sz="0" w:space="0" w:color="auto"/>
        <w:bottom w:val="none" w:sz="0" w:space="0" w:color="auto"/>
        <w:right w:val="none" w:sz="0" w:space="0" w:color="auto"/>
      </w:divBdr>
      <w:divsChild>
        <w:div w:id="2039350367">
          <w:marLeft w:val="0"/>
          <w:marRight w:val="0"/>
          <w:marTop w:val="0"/>
          <w:marBottom w:val="0"/>
          <w:divBdr>
            <w:top w:val="none" w:sz="0" w:space="0" w:color="auto"/>
            <w:left w:val="none" w:sz="0" w:space="0" w:color="auto"/>
            <w:bottom w:val="none" w:sz="0" w:space="0" w:color="auto"/>
            <w:right w:val="none" w:sz="0" w:space="0" w:color="auto"/>
          </w:divBdr>
          <w:divsChild>
            <w:div w:id="1685933174">
              <w:marLeft w:val="0"/>
              <w:marRight w:val="0"/>
              <w:marTop w:val="0"/>
              <w:marBottom w:val="0"/>
              <w:divBdr>
                <w:top w:val="none" w:sz="0" w:space="0" w:color="auto"/>
                <w:left w:val="none" w:sz="0" w:space="0" w:color="auto"/>
                <w:bottom w:val="none" w:sz="0" w:space="0" w:color="auto"/>
                <w:right w:val="none" w:sz="0" w:space="0" w:color="auto"/>
              </w:divBdr>
              <w:divsChild>
                <w:div w:id="18856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4980">
      <w:bodyDiv w:val="1"/>
      <w:marLeft w:val="0"/>
      <w:marRight w:val="0"/>
      <w:marTop w:val="0"/>
      <w:marBottom w:val="0"/>
      <w:divBdr>
        <w:top w:val="none" w:sz="0" w:space="0" w:color="auto"/>
        <w:left w:val="none" w:sz="0" w:space="0" w:color="auto"/>
        <w:bottom w:val="none" w:sz="0" w:space="0" w:color="auto"/>
        <w:right w:val="none" w:sz="0" w:space="0" w:color="auto"/>
      </w:divBdr>
      <w:divsChild>
        <w:div w:id="1308969530">
          <w:marLeft w:val="0"/>
          <w:marRight w:val="0"/>
          <w:marTop w:val="120"/>
          <w:marBottom w:val="0"/>
          <w:divBdr>
            <w:top w:val="none" w:sz="0" w:space="0" w:color="auto"/>
            <w:left w:val="none" w:sz="0" w:space="0" w:color="auto"/>
            <w:bottom w:val="none" w:sz="0" w:space="0" w:color="auto"/>
            <w:right w:val="none" w:sz="0" w:space="0" w:color="auto"/>
          </w:divBdr>
          <w:divsChild>
            <w:div w:id="1351250403">
              <w:marLeft w:val="0"/>
              <w:marRight w:val="0"/>
              <w:marTop w:val="0"/>
              <w:marBottom w:val="0"/>
              <w:divBdr>
                <w:top w:val="none" w:sz="0" w:space="0" w:color="auto"/>
                <w:left w:val="none" w:sz="0" w:space="0" w:color="auto"/>
                <w:bottom w:val="none" w:sz="0" w:space="0" w:color="auto"/>
                <w:right w:val="none" w:sz="0" w:space="0" w:color="auto"/>
              </w:divBdr>
            </w:div>
          </w:divsChild>
        </w:div>
        <w:div w:id="1583098188">
          <w:marLeft w:val="0"/>
          <w:marRight w:val="0"/>
          <w:marTop w:val="0"/>
          <w:marBottom w:val="0"/>
          <w:divBdr>
            <w:top w:val="none" w:sz="0" w:space="0" w:color="auto"/>
            <w:left w:val="none" w:sz="0" w:space="0" w:color="auto"/>
            <w:bottom w:val="none" w:sz="0" w:space="0" w:color="auto"/>
            <w:right w:val="none" w:sz="0" w:space="0" w:color="auto"/>
          </w:divBdr>
        </w:div>
      </w:divsChild>
    </w:div>
    <w:div w:id="764692290">
      <w:bodyDiv w:val="1"/>
      <w:marLeft w:val="0"/>
      <w:marRight w:val="0"/>
      <w:marTop w:val="0"/>
      <w:marBottom w:val="0"/>
      <w:divBdr>
        <w:top w:val="none" w:sz="0" w:space="0" w:color="auto"/>
        <w:left w:val="none" w:sz="0" w:space="0" w:color="auto"/>
        <w:bottom w:val="none" w:sz="0" w:space="0" w:color="auto"/>
        <w:right w:val="none" w:sz="0" w:space="0" w:color="auto"/>
      </w:divBdr>
    </w:div>
    <w:div w:id="776875985">
      <w:bodyDiv w:val="1"/>
      <w:marLeft w:val="0"/>
      <w:marRight w:val="0"/>
      <w:marTop w:val="0"/>
      <w:marBottom w:val="0"/>
      <w:divBdr>
        <w:top w:val="none" w:sz="0" w:space="0" w:color="auto"/>
        <w:left w:val="none" w:sz="0" w:space="0" w:color="auto"/>
        <w:bottom w:val="none" w:sz="0" w:space="0" w:color="auto"/>
        <w:right w:val="none" w:sz="0" w:space="0" w:color="auto"/>
      </w:divBdr>
    </w:div>
    <w:div w:id="817066066">
      <w:bodyDiv w:val="1"/>
      <w:marLeft w:val="0"/>
      <w:marRight w:val="0"/>
      <w:marTop w:val="0"/>
      <w:marBottom w:val="0"/>
      <w:divBdr>
        <w:top w:val="none" w:sz="0" w:space="0" w:color="auto"/>
        <w:left w:val="none" w:sz="0" w:space="0" w:color="auto"/>
        <w:bottom w:val="none" w:sz="0" w:space="0" w:color="auto"/>
        <w:right w:val="none" w:sz="0" w:space="0" w:color="auto"/>
      </w:divBdr>
    </w:div>
    <w:div w:id="851722217">
      <w:bodyDiv w:val="1"/>
      <w:marLeft w:val="0"/>
      <w:marRight w:val="0"/>
      <w:marTop w:val="0"/>
      <w:marBottom w:val="0"/>
      <w:divBdr>
        <w:top w:val="none" w:sz="0" w:space="0" w:color="auto"/>
        <w:left w:val="none" w:sz="0" w:space="0" w:color="auto"/>
        <w:bottom w:val="none" w:sz="0" w:space="0" w:color="auto"/>
        <w:right w:val="none" w:sz="0" w:space="0" w:color="auto"/>
      </w:divBdr>
    </w:div>
    <w:div w:id="852960589">
      <w:bodyDiv w:val="1"/>
      <w:marLeft w:val="0"/>
      <w:marRight w:val="0"/>
      <w:marTop w:val="0"/>
      <w:marBottom w:val="0"/>
      <w:divBdr>
        <w:top w:val="none" w:sz="0" w:space="0" w:color="auto"/>
        <w:left w:val="none" w:sz="0" w:space="0" w:color="auto"/>
        <w:bottom w:val="none" w:sz="0" w:space="0" w:color="auto"/>
        <w:right w:val="none" w:sz="0" w:space="0" w:color="auto"/>
      </w:divBdr>
    </w:div>
    <w:div w:id="889652566">
      <w:bodyDiv w:val="1"/>
      <w:marLeft w:val="0"/>
      <w:marRight w:val="0"/>
      <w:marTop w:val="0"/>
      <w:marBottom w:val="0"/>
      <w:divBdr>
        <w:top w:val="none" w:sz="0" w:space="0" w:color="auto"/>
        <w:left w:val="none" w:sz="0" w:space="0" w:color="auto"/>
        <w:bottom w:val="none" w:sz="0" w:space="0" w:color="auto"/>
        <w:right w:val="none" w:sz="0" w:space="0" w:color="auto"/>
      </w:divBdr>
    </w:div>
    <w:div w:id="917835655">
      <w:bodyDiv w:val="1"/>
      <w:marLeft w:val="0"/>
      <w:marRight w:val="0"/>
      <w:marTop w:val="0"/>
      <w:marBottom w:val="0"/>
      <w:divBdr>
        <w:top w:val="none" w:sz="0" w:space="0" w:color="auto"/>
        <w:left w:val="none" w:sz="0" w:space="0" w:color="auto"/>
        <w:bottom w:val="none" w:sz="0" w:space="0" w:color="auto"/>
        <w:right w:val="none" w:sz="0" w:space="0" w:color="auto"/>
      </w:divBdr>
    </w:div>
    <w:div w:id="927543566">
      <w:bodyDiv w:val="1"/>
      <w:marLeft w:val="0"/>
      <w:marRight w:val="0"/>
      <w:marTop w:val="0"/>
      <w:marBottom w:val="0"/>
      <w:divBdr>
        <w:top w:val="none" w:sz="0" w:space="0" w:color="auto"/>
        <w:left w:val="none" w:sz="0" w:space="0" w:color="auto"/>
        <w:bottom w:val="none" w:sz="0" w:space="0" w:color="auto"/>
        <w:right w:val="none" w:sz="0" w:space="0" w:color="auto"/>
      </w:divBdr>
    </w:div>
    <w:div w:id="967663772">
      <w:bodyDiv w:val="1"/>
      <w:marLeft w:val="0"/>
      <w:marRight w:val="0"/>
      <w:marTop w:val="0"/>
      <w:marBottom w:val="0"/>
      <w:divBdr>
        <w:top w:val="none" w:sz="0" w:space="0" w:color="auto"/>
        <w:left w:val="none" w:sz="0" w:space="0" w:color="auto"/>
        <w:bottom w:val="none" w:sz="0" w:space="0" w:color="auto"/>
        <w:right w:val="none" w:sz="0" w:space="0" w:color="auto"/>
      </w:divBdr>
    </w:div>
    <w:div w:id="978149102">
      <w:bodyDiv w:val="1"/>
      <w:marLeft w:val="0"/>
      <w:marRight w:val="0"/>
      <w:marTop w:val="0"/>
      <w:marBottom w:val="0"/>
      <w:divBdr>
        <w:top w:val="none" w:sz="0" w:space="0" w:color="auto"/>
        <w:left w:val="none" w:sz="0" w:space="0" w:color="auto"/>
        <w:bottom w:val="none" w:sz="0" w:space="0" w:color="auto"/>
        <w:right w:val="none" w:sz="0" w:space="0" w:color="auto"/>
      </w:divBdr>
    </w:div>
    <w:div w:id="981078060">
      <w:bodyDiv w:val="1"/>
      <w:marLeft w:val="0"/>
      <w:marRight w:val="0"/>
      <w:marTop w:val="0"/>
      <w:marBottom w:val="0"/>
      <w:divBdr>
        <w:top w:val="none" w:sz="0" w:space="0" w:color="auto"/>
        <w:left w:val="none" w:sz="0" w:space="0" w:color="auto"/>
        <w:bottom w:val="none" w:sz="0" w:space="0" w:color="auto"/>
        <w:right w:val="none" w:sz="0" w:space="0" w:color="auto"/>
      </w:divBdr>
    </w:div>
    <w:div w:id="1002705040">
      <w:bodyDiv w:val="1"/>
      <w:marLeft w:val="0"/>
      <w:marRight w:val="0"/>
      <w:marTop w:val="0"/>
      <w:marBottom w:val="0"/>
      <w:divBdr>
        <w:top w:val="none" w:sz="0" w:space="0" w:color="auto"/>
        <w:left w:val="none" w:sz="0" w:space="0" w:color="auto"/>
        <w:bottom w:val="none" w:sz="0" w:space="0" w:color="auto"/>
        <w:right w:val="none" w:sz="0" w:space="0" w:color="auto"/>
      </w:divBdr>
    </w:div>
    <w:div w:id="1020662464">
      <w:bodyDiv w:val="1"/>
      <w:marLeft w:val="0"/>
      <w:marRight w:val="0"/>
      <w:marTop w:val="0"/>
      <w:marBottom w:val="0"/>
      <w:divBdr>
        <w:top w:val="none" w:sz="0" w:space="0" w:color="auto"/>
        <w:left w:val="none" w:sz="0" w:space="0" w:color="auto"/>
        <w:bottom w:val="none" w:sz="0" w:space="0" w:color="auto"/>
        <w:right w:val="none" w:sz="0" w:space="0" w:color="auto"/>
      </w:divBdr>
    </w:div>
    <w:div w:id="1043944908">
      <w:bodyDiv w:val="1"/>
      <w:marLeft w:val="0"/>
      <w:marRight w:val="0"/>
      <w:marTop w:val="0"/>
      <w:marBottom w:val="0"/>
      <w:divBdr>
        <w:top w:val="none" w:sz="0" w:space="0" w:color="auto"/>
        <w:left w:val="none" w:sz="0" w:space="0" w:color="auto"/>
        <w:bottom w:val="none" w:sz="0" w:space="0" w:color="auto"/>
        <w:right w:val="none" w:sz="0" w:space="0" w:color="auto"/>
      </w:divBdr>
    </w:div>
    <w:div w:id="1060597891">
      <w:bodyDiv w:val="1"/>
      <w:marLeft w:val="0"/>
      <w:marRight w:val="0"/>
      <w:marTop w:val="0"/>
      <w:marBottom w:val="0"/>
      <w:divBdr>
        <w:top w:val="none" w:sz="0" w:space="0" w:color="auto"/>
        <w:left w:val="none" w:sz="0" w:space="0" w:color="auto"/>
        <w:bottom w:val="none" w:sz="0" w:space="0" w:color="auto"/>
        <w:right w:val="none" w:sz="0" w:space="0" w:color="auto"/>
      </w:divBdr>
    </w:div>
    <w:div w:id="1078819506">
      <w:bodyDiv w:val="1"/>
      <w:marLeft w:val="0"/>
      <w:marRight w:val="0"/>
      <w:marTop w:val="0"/>
      <w:marBottom w:val="0"/>
      <w:divBdr>
        <w:top w:val="none" w:sz="0" w:space="0" w:color="auto"/>
        <w:left w:val="none" w:sz="0" w:space="0" w:color="auto"/>
        <w:bottom w:val="none" w:sz="0" w:space="0" w:color="auto"/>
        <w:right w:val="none" w:sz="0" w:space="0" w:color="auto"/>
      </w:divBdr>
    </w:div>
    <w:div w:id="1120606445">
      <w:bodyDiv w:val="1"/>
      <w:marLeft w:val="0"/>
      <w:marRight w:val="0"/>
      <w:marTop w:val="0"/>
      <w:marBottom w:val="0"/>
      <w:divBdr>
        <w:top w:val="none" w:sz="0" w:space="0" w:color="auto"/>
        <w:left w:val="none" w:sz="0" w:space="0" w:color="auto"/>
        <w:bottom w:val="none" w:sz="0" w:space="0" w:color="auto"/>
        <w:right w:val="none" w:sz="0" w:space="0" w:color="auto"/>
      </w:divBdr>
    </w:div>
    <w:div w:id="1126656598">
      <w:bodyDiv w:val="1"/>
      <w:marLeft w:val="0"/>
      <w:marRight w:val="0"/>
      <w:marTop w:val="0"/>
      <w:marBottom w:val="0"/>
      <w:divBdr>
        <w:top w:val="none" w:sz="0" w:space="0" w:color="auto"/>
        <w:left w:val="none" w:sz="0" w:space="0" w:color="auto"/>
        <w:bottom w:val="none" w:sz="0" w:space="0" w:color="auto"/>
        <w:right w:val="none" w:sz="0" w:space="0" w:color="auto"/>
      </w:divBdr>
    </w:div>
    <w:div w:id="1146553489">
      <w:bodyDiv w:val="1"/>
      <w:marLeft w:val="0"/>
      <w:marRight w:val="0"/>
      <w:marTop w:val="0"/>
      <w:marBottom w:val="0"/>
      <w:divBdr>
        <w:top w:val="none" w:sz="0" w:space="0" w:color="auto"/>
        <w:left w:val="none" w:sz="0" w:space="0" w:color="auto"/>
        <w:bottom w:val="none" w:sz="0" w:space="0" w:color="auto"/>
        <w:right w:val="none" w:sz="0" w:space="0" w:color="auto"/>
      </w:divBdr>
    </w:div>
    <w:div w:id="1151600720">
      <w:bodyDiv w:val="1"/>
      <w:marLeft w:val="0"/>
      <w:marRight w:val="0"/>
      <w:marTop w:val="0"/>
      <w:marBottom w:val="0"/>
      <w:divBdr>
        <w:top w:val="none" w:sz="0" w:space="0" w:color="auto"/>
        <w:left w:val="none" w:sz="0" w:space="0" w:color="auto"/>
        <w:bottom w:val="none" w:sz="0" w:space="0" w:color="auto"/>
        <w:right w:val="none" w:sz="0" w:space="0" w:color="auto"/>
      </w:divBdr>
    </w:div>
    <w:div w:id="1160193314">
      <w:bodyDiv w:val="1"/>
      <w:marLeft w:val="0"/>
      <w:marRight w:val="0"/>
      <w:marTop w:val="0"/>
      <w:marBottom w:val="0"/>
      <w:divBdr>
        <w:top w:val="none" w:sz="0" w:space="0" w:color="auto"/>
        <w:left w:val="none" w:sz="0" w:space="0" w:color="auto"/>
        <w:bottom w:val="none" w:sz="0" w:space="0" w:color="auto"/>
        <w:right w:val="none" w:sz="0" w:space="0" w:color="auto"/>
      </w:divBdr>
    </w:div>
    <w:div w:id="1216356888">
      <w:bodyDiv w:val="1"/>
      <w:marLeft w:val="0"/>
      <w:marRight w:val="0"/>
      <w:marTop w:val="0"/>
      <w:marBottom w:val="0"/>
      <w:divBdr>
        <w:top w:val="none" w:sz="0" w:space="0" w:color="auto"/>
        <w:left w:val="none" w:sz="0" w:space="0" w:color="auto"/>
        <w:bottom w:val="none" w:sz="0" w:space="0" w:color="auto"/>
        <w:right w:val="none" w:sz="0" w:space="0" w:color="auto"/>
      </w:divBdr>
    </w:div>
    <w:div w:id="1230309195">
      <w:bodyDiv w:val="1"/>
      <w:marLeft w:val="0"/>
      <w:marRight w:val="0"/>
      <w:marTop w:val="0"/>
      <w:marBottom w:val="0"/>
      <w:divBdr>
        <w:top w:val="none" w:sz="0" w:space="0" w:color="auto"/>
        <w:left w:val="none" w:sz="0" w:space="0" w:color="auto"/>
        <w:bottom w:val="none" w:sz="0" w:space="0" w:color="auto"/>
        <w:right w:val="none" w:sz="0" w:space="0" w:color="auto"/>
      </w:divBdr>
    </w:div>
    <w:div w:id="1245191117">
      <w:bodyDiv w:val="1"/>
      <w:marLeft w:val="0"/>
      <w:marRight w:val="0"/>
      <w:marTop w:val="0"/>
      <w:marBottom w:val="0"/>
      <w:divBdr>
        <w:top w:val="none" w:sz="0" w:space="0" w:color="auto"/>
        <w:left w:val="none" w:sz="0" w:space="0" w:color="auto"/>
        <w:bottom w:val="none" w:sz="0" w:space="0" w:color="auto"/>
        <w:right w:val="none" w:sz="0" w:space="0" w:color="auto"/>
      </w:divBdr>
    </w:div>
    <w:div w:id="1263683349">
      <w:bodyDiv w:val="1"/>
      <w:marLeft w:val="0"/>
      <w:marRight w:val="0"/>
      <w:marTop w:val="0"/>
      <w:marBottom w:val="0"/>
      <w:divBdr>
        <w:top w:val="none" w:sz="0" w:space="0" w:color="auto"/>
        <w:left w:val="none" w:sz="0" w:space="0" w:color="auto"/>
        <w:bottom w:val="none" w:sz="0" w:space="0" w:color="auto"/>
        <w:right w:val="none" w:sz="0" w:space="0" w:color="auto"/>
      </w:divBdr>
    </w:div>
    <w:div w:id="1263996359">
      <w:bodyDiv w:val="1"/>
      <w:marLeft w:val="0"/>
      <w:marRight w:val="0"/>
      <w:marTop w:val="0"/>
      <w:marBottom w:val="0"/>
      <w:divBdr>
        <w:top w:val="none" w:sz="0" w:space="0" w:color="auto"/>
        <w:left w:val="none" w:sz="0" w:space="0" w:color="auto"/>
        <w:bottom w:val="none" w:sz="0" w:space="0" w:color="auto"/>
        <w:right w:val="none" w:sz="0" w:space="0" w:color="auto"/>
      </w:divBdr>
    </w:div>
    <w:div w:id="1277257092">
      <w:bodyDiv w:val="1"/>
      <w:marLeft w:val="0"/>
      <w:marRight w:val="0"/>
      <w:marTop w:val="0"/>
      <w:marBottom w:val="0"/>
      <w:divBdr>
        <w:top w:val="none" w:sz="0" w:space="0" w:color="auto"/>
        <w:left w:val="none" w:sz="0" w:space="0" w:color="auto"/>
        <w:bottom w:val="none" w:sz="0" w:space="0" w:color="auto"/>
        <w:right w:val="none" w:sz="0" w:space="0" w:color="auto"/>
      </w:divBdr>
    </w:div>
    <w:div w:id="1282108155">
      <w:bodyDiv w:val="1"/>
      <w:marLeft w:val="0"/>
      <w:marRight w:val="0"/>
      <w:marTop w:val="0"/>
      <w:marBottom w:val="0"/>
      <w:divBdr>
        <w:top w:val="none" w:sz="0" w:space="0" w:color="auto"/>
        <w:left w:val="none" w:sz="0" w:space="0" w:color="auto"/>
        <w:bottom w:val="none" w:sz="0" w:space="0" w:color="auto"/>
        <w:right w:val="none" w:sz="0" w:space="0" w:color="auto"/>
      </w:divBdr>
    </w:div>
    <w:div w:id="1297107745">
      <w:bodyDiv w:val="1"/>
      <w:marLeft w:val="0"/>
      <w:marRight w:val="0"/>
      <w:marTop w:val="0"/>
      <w:marBottom w:val="0"/>
      <w:divBdr>
        <w:top w:val="none" w:sz="0" w:space="0" w:color="auto"/>
        <w:left w:val="none" w:sz="0" w:space="0" w:color="auto"/>
        <w:bottom w:val="none" w:sz="0" w:space="0" w:color="auto"/>
        <w:right w:val="none" w:sz="0" w:space="0" w:color="auto"/>
      </w:divBdr>
    </w:div>
    <w:div w:id="1297685074">
      <w:bodyDiv w:val="1"/>
      <w:marLeft w:val="0"/>
      <w:marRight w:val="0"/>
      <w:marTop w:val="0"/>
      <w:marBottom w:val="0"/>
      <w:divBdr>
        <w:top w:val="none" w:sz="0" w:space="0" w:color="auto"/>
        <w:left w:val="none" w:sz="0" w:space="0" w:color="auto"/>
        <w:bottom w:val="none" w:sz="0" w:space="0" w:color="auto"/>
        <w:right w:val="none" w:sz="0" w:space="0" w:color="auto"/>
      </w:divBdr>
    </w:div>
    <w:div w:id="1334527816">
      <w:bodyDiv w:val="1"/>
      <w:marLeft w:val="0"/>
      <w:marRight w:val="0"/>
      <w:marTop w:val="0"/>
      <w:marBottom w:val="0"/>
      <w:divBdr>
        <w:top w:val="none" w:sz="0" w:space="0" w:color="auto"/>
        <w:left w:val="none" w:sz="0" w:space="0" w:color="auto"/>
        <w:bottom w:val="none" w:sz="0" w:space="0" w:color="auto"/>
        <w:right w:val="none" w:sz="0" w:space="0" w:color="auto"/>
      </w:divBdr>
    </w:div>
    <w:div w:id="1342854720">
      <w:bodyDiv w:val="1"/>
      <w:marLeft w:val="0"/>
      <w:marRight w:val="0"/>
      <w:marTop w:val="0"/>
      <w:marBottom w:val="0"/>
      <w:divBdr>
        <w:top w:val="none" w:sz="0" w:space="0" w:color="auto"/>
        <w:left w:val="none" w:sz="0" w:space="0" w:color="auto"/>
        <w:bottom w:val="none" w:sz="0" w:space="0" w:color="auto"/>
        <w:right w:val="none" w:sz="0" w:space="0" w:color="auto"/>
      </w:divBdr>
    </w:div>
    <w:div w:id="1359544699">
      <w:bodyDiv w:val="1"/>
      <w:marLeft w:val="0"/>
      <w:marRight w:val="0"/>
      <w:marTop w:val="0"/>
      <w:marBottom w:val="0"/>
      <w:divBdr>
        <w:top w:val="none" w:sz="0" w:space="0" w:color="auto"/>
        <w:left w:val="none" w:sz="0" w:space="0" w:color="auto"/>
        <w:bottom w:val="none" w:sz="0" w:space="0" w:color="auto"/>
        <w:right w:val="none" w:sz="0" w:space="0" w:color="auto"/>
      </w:divBdr>
    </w:div>
    <w:div w:id="1389452046">
      <w:bodyDiv w:val="1"/>
      <w:marLeft w:val="0"/>
      <w:marRight w:val="0"/>
      <w:marTop w:val="0"/>
      <w:marBottom w:val="0"/>
      <w:divBdr>
        <w:top w:val="none" w:sz="0" w:space="0" w:color="auto"/>
        <w:left w:val="none" w:sz="0" w:space="0" w:color="auto"/>
        <w:bottom w:val="none" w:sz="0" w:space="0" w:color="auto"/>
        <w:right w:val="none" w:sz="0" w:space="0" w:color="auto"/>
      </w:divBdr>
    </w:div>
    <w:div w:id="1429152604">
      <w:bodyDiv w:val="1"/>
      <w:marLeft w:val="0"/>
      <w:marRight w:val="0"/>
      <w:marTop w:val="0"/>
      <w:marBottom w:val="0"/>
      <w:divBdr>
        <w:top w:val="none" w:sz="0" w:space="0" w:color="auto"/>
        <w:left w:val="none" w:sz="0" w:space="0" w:color="auto"/>
        <w:bottom w:val="none" w:sz="0" w:space="0" w:color="auto"/>
        <w:right w:val="none" w:sz="0" w:space="0" w:color="auto"/>
      </w:divBdr>
    </w:div>
    <w:div w:id="1485465686">
      <w:bodyDiv w:val="1"/>
      <w:marLeft w:val="0"/>
      <w:marRight w:val="0"/>
      <w:marTop w:val="0"/>
      <w:marBottom w:val="0"/>
      <w:divBdr>
        <w:top w:val="none" w:sz="0" w:space="0" w:color="auto"/>
        <w:left w:val="none" w:sz="0" w:space="0" w:color="auto"/>
        <w:bottom w:val="none" w:sz="0" w:space="0" w:color="auto"/>
        <w:right w:val="none" w:sz="0" w:space="0" w:color="auto"/>
      </w:divBdr>
    </w:div>
    <w:div w:id="1509561574">
      <w:bodyDiv w:val="1"/>
      <w:marLeft w:val="0"/>
      <w:marRight w:val="0"/>
      <w:marTop w:val="0"/>
      <w:marBottom w:val="0"/>
      <w:divBdr>
        <w:top w:val="none" w:sz="0" w:space="0" w:color="auto"/>
        <w:left w:val="none" w:sz="0" w:space="0" w:color="auto"/>
        <w:bottom w:val="none" w:sz="0" w:space="0" w:color="auto"/>
        <w:right w:val="none" w:sz="0" w:space="0" w:color="auto"/>
      </w:divBdr>
    </w:div>
    <w:div w:id="1520776995">
      <w:bodyDiv w:val="1"/>
      <w:marLeft w:val="0"/>
      <w:marRight w:val="0"/>
      <w:marTop w:val="0"/>
      <w:marBottom w:val="0"/>
      <w:divBdr>
        <w:top w:val="none" w:sz="0" w:space="0" w:color="auto"/>
        <w:left w:val="none" w:sz="0" w:space="0" w:color="auto"/>
        <w:bottom w:val="none" w:sz="0" w:space="0" w:color="auto"/>
        <w:right w:val="none" w:sz="0" w:space="0" w:color="auto"/>
      </w:divBdr>
    </w:div>
    <w:div w:id="1546796754">
      <w:bodyDiv w:val="1"/>
      <w:marLeft w:val="0"/>
      <w:marRight w:val="0"/>
      <w:marTop w:val="0"/>
      <w:marBottom w:val="0"/>
      <w:divBdr>
        <w:top w:val="none" w:sz="0" w:space="0" w:color="auto"/>
        <w:left w:val="none" w:sz="0" w:space="0" w:color="auto"/>
        <w:bottom w:val="none" w:sz="0" w:space="0" w:color="auto"/>
        <w:right w:val="none" w:sz="0" w:space="0" w:color="auto"/>
      </w:divBdr>
    </w:div>
    <w:div w:id="1591507858">
      <w:bodyDiv w:val="1"/>
      <w:marLeft w:val="0"/>
      <w:marRight w:val="0"/>
      <w:marTop w:val="0"/>
      <w:marBottom w:val="0"/>
      <w:divBdr>
        <w:top w:val="none" w:sz="0" w:space="0" w:color="auto"/>
        <w:left w:val="none" w:sz="0" w:space="0" w:color="auto"/>
        <w:bottom w:val="none" w:sz="0" w:space="0" w:color="auto"/>
        <w:right w:val="none" w:sz="0" w:space="0" w:color="auto"/>
      </w:divBdr>
    </w:div>
    <w:div w:id="1597833999">
      <w:bodyDiv w:val="1"/>
      <w:marLeft w:val="0"/>
      <w:marRight w:val="0"/>
      <w:marTop w:val="0"/>
      <w:marBottom w:val="0"/>
      <w:divBdr>
        <w:top w:val="none" w:sz="0" w:space="0" w:color="auto"/>
        <w:left w:val="none" w:sz="0" w:space="0" w:color="auto"/>
        <w:bottom w:val="none" w:sz="0" w:space="0" w:color="auto"/>
        <w:right w:val="none" w:sz="0" w:space="0" w:color="auto"/>
      </w:divBdr>
    </w:div>
    <w:div w:id="1618758630">
      <w:bodyDiv w:val="1"/>
      <w:marLeft w:val="0"/>
      <w:marRight w:val="0"/>
      <w:marTop w:val="0"/>
      <w:marBottom w:val="0"/>
      <w:divBdr>
        <w:top w:val="none" w:sz="0" w:space="0" w:color="auto"/>
        <w:left w:val="none" w:sz="0" w:space="0" w:color="auto"/>
        <w:bottom w:val="none" w:sz="0" w:space="0" w:color="auto"/>
        <w:right w:val="none" w:sz="0" w:space="0" w:color="auto"/>
      </w:divBdr>
    </w:div>
    <w:div w:id="1634555121">
      <w:bodyDiv w:val="1"/>
      <w:marLeft w:val="0"/>
      <w:marRight w:val="0"/>
      <w:marTop w:val="0"/>
      <w:marBottom w:val="0"/>
      <w:divBdr>
        <w:top w:val="none" w:sz="0" w:space="0" w:color="auto"/>
        <w:left w:val="none" w:sz="0" w:space="0" w:color="auto"/>
        <w:bottom w:val="none" w:sz="0" w:space="0" w:color="auto"/>
        <w:right w:val="none" w:sz="0" w:space="0" w:color="auto"/>
      </w:divBdr>
    </w:div>
    <w:div w:id="1673142138">
      <w:bodyDiv w:val="1"/>
      <w:marLeft w:val="0"/>
      <w:marRight w:val="0"/>
      <w:marTop w:val="0"/>
      <w:marBottom w:val="0"/>
      <w:divBdr>
        <w:top w:val="none" w:sz="0" w:space="0" w:color="auto"/>
        <w:left w:val="none" w:sz="0" w:space="0" w:color="auto"/>
        <w:bottom w:val="none" w:sz="0" w:space="0" w:color="auto"/>
        <w:right w:val="none" w:sz="0" w:space="0" w:color="auto"/>
      </w:divBdr>
    </w:div>
    <w:div w:id="1703825089">
      <w:bodyDiv w:val="1"/>
      <w:marLeft w:val="0"/>
      <w:marRight w:val="0"/>
      <w:marTop w:val="0"/>
      <w:marBottom w:val="0"/>
      <w:divBdr>
        <w:top w:val="none" w:sz="0" w:space="0" w:color="auto"/>
        <w:left w:val="none" w:sz="0" w:space="0" w:color="auto"/>
        <w:bottom w:val="none" w:sz="0" w:space="0" w:color="auto"/>
        <w:right w:val="none" w:sz="0" w:space="0" w:color="auto"/>
      </w:divBdr>
    </w:div>
    <w:div w:id="1713731613">
      <w:bodyDiv w:val="1"/>
      <w:marLeft w:val="0"/>
      <w:marRight w:val="0"/>
      <w:marTop w:val="0"/>
      <w:marBottom w:val="0"/>
      <w:divBdr>
        <w:top w:val="none" w:sz="0" w:space="0" w:color="auto"/>
        <w:left w:val="none" w:sz="0" w:space="0" w:color="auto"/>
        <w:bottom w:val="none" w:sz="0" w:space="0" w:color="auto"/>
        <w:right w:val="none" w:sz="0" w:space="0" w:color="auto"/>
      </w:divBdr>
    </w:div>
    <w:div w:id="1719237605">
      <w:bodyDiv w:val="1"/>
      <w:marLeft w:val="0"/>
      <w:marRight w:val="0"/>
      <w:marTop w:val="0"/>
      <w:marBottom w:val="0"/>
      <w:divBdr>
        <w:top w:val="none" w:sz="0" w:space="0" w:color="auto"/>
        <w:left w:val="none" w:sz="0" w:space="0" w:color="auto"/>
        <w:bottom w:val="none" w:sz="0" w:space="0" w:color="auto"/>
        <w:right w:val="none" w:sz="0" w:space="0" w:color="auto"/>
      </w:divBdr>
      <w:divsChild>
        <w:div w:id="312871762">
          <w:marLeft w:val="0"/>
          <w:marRight w:val="0"/>
          <w:marTop w:val="0"/>
          <w:marBottom w:val="0"/>
          <w:divBdr>
            <w:top w:val="none" w:sz="0" w:space="0" w:color="auto"/>
            <w:left w:val="none" w:sz="0" w:space="0" w:color="auto"/>
            <w:bottom w:val="none" w:sz="0" w:space="0" w:color="auto"/>
            <w:right w:val="none" w:sz="0" w:space="0" w:color="auto"/>
          </w:divBdr>
        </w:div>
      </w:divsChild>
    </w:div>
    <w:div w:id="1728995746">
      <w:bodyDiv w:val="1"/>
      <w:marLeft w:val="0"/>
      <w:marRight w:val="0"/>
      <w:marTop w:val="0"/>
      <w:marBottom w:val="0"/>
      <w:divBdr>
        <w:top w:val="none" w:sz="0" w:space="0" w:color="auto"/>
        <w:left w:val="none" w:sz="0" w:space="0" w:color="auto"/>
        <w:bottom w:val="none" w:sz="0" w:space="0" w:color="auto"/>
        <w:right w:val="none" w:sz="0" w:space="0" w:color="auto"/>
      </w:divBdr>
    </w:div>
    <w:div w:id="1734813911">
      <w:bodyDiv w:val="1"/>
      <w:marLeft w:val="0"/>
      <w:marRight w:val="0"/>
      <w:marTop w:val="0"/>
      <w:marBottom w:val="0"/>
      <w:divBdr>
        <w:top w:val="none" w:sz="0" w:space="0" w:color="auto"/>
        <w:left w:val="none" w:sz="0" w:space="0" w:color="auto"/>
        <w:bottom w:val="none" w:sz="0" w:space="0" w:color="auto"/>
        <w:right w:val="none" w:sz="0" w:space="0" w:color="auto"/>
      </w:divBdr>
    </w:div>
    <w:div w:id="1751733544">
      <w:bodyDiv w:val="1"/>
      <w:marLeft w:val="0"/>
      <w:marRight w:val="0"/>
      <w:marTop w:val="0"/>
      <w:marBottom w:val="0"/>
      <w:divBdr>
        <w:top w:val="none" w:sz="0" w:space="0" w:color="auto"/>
        <w:left w:val="none" w:sz="0" w:space="0" w:color="auto"/>
        <w:bottom w:val="none" w:sz="0" w:space="0" w:color="auto"/>
        <w:right w:val="none" w:sz="0" w:space="0" w:color="auto"/>
      </w:divBdr>
    </w:div>
    <w:div w:id="1774203849">
      <w:bodyDiv w:val="1"/>
      <w:marLeft w:val="0"/>
      <w:marRight w:val="0"/>
      <w:marTop w:val="0"/>
      <w:marBottom w:val="0"/>
      <w:divBdr>
        <w:top w:val="none" w:sz="0" w:space="0" w:color="auto"/>
        <w:left w:val="none" w:sz="0" w:space="0" w:color="auto"/>
        <w:bottom w:val="none" w:sz="0" w:space="0" w:color="auto"/>
        <w:right w:val="none" w:sz="0" w:space="0" w:color="auto"/>
      </w:divBdr>
    </w:div>
    <w:div w:id="1794444200">
      <w:bodyDiv w:val="1"/>
      <w:marLeft w:val="0"/>
      <w:marRight w:val="0"/>
      <w:marTop w:val="0"/>
      <w:marBottom w:val="0"/>
      <w:divBdr>
        <w:top w:val="none" w:sz="0" w:space="0" w:color="auto"/>
        <w:left w:val="none" w:sz="0" w:space="0" w:color="auto"/>
        <w:bottom w:val="none" w:sz="0" w:space="0" w:color="auto"/>
        <w:right w:val="none" w:sz="0" w:space="0" w:color="auto"/>
      </w:divBdr>
    </w:div>
    <w:div w:id="1860654113">
      <w:bodyDiv w:val="1"/>
      <w:marLeft w:val="0"/>
      <w:marRight w:val="0"/>
      <w:marTop w:val="0"/>
      <w:marBottom w:val="0"/>
      <w:divBdr>
        <w:top w:val="none" w:sz="0" w:space="0" w:color="auto"/>
        <w:left w:val="none" w:sz="0" w:space="0" w:color="auto"/>
        <w:bottom w:val="none" w:sz="0" w:space="0" w:color="auto"/>
        <w:right w:val="none" w:sz="0" w:space="0" w:color="auto"/>
      </w:divBdr>
    </w:div>
    <w:div w:id="1899626748">
      <w:bodyDiv w:val="1"/>
      <w:marLeft w:val="0"/>
      <w:marRight w:val="0"/>
      <w:marTop w:val="0"/>
      <w:marBottom w:val="0"/>
      <w:divBdr>
        <w:top w:val="none" w:sz="0" w:space="0" w:color="auto"/>
        <w:left w:val="none" w:sz="0" w:space="0" w:color="auto"/>
        <w:bottom w:val="none" w:sz="0" w:space="0" w:color="auto"/>
        <w:right w:val="none" w:sz="0" w:space="0" w:color="auto"/>
      </w:divBdr>
    </w:div>
    <w:div w:id="1929191490">
      <w:bodyDiv w:val="1"/>
      <w:marLeft w:val="0"/>
      <w:marRight w:val="0"/>
      <w:marTop w:val="0"/>
      <w:marBottom w:val="0"/>
      <w:divBdr>
        <w:top w:val="none" w:sz="0" w:space="0" w:color="auto"/>
        <w:left w:val="none" w:sz="0" w:space="0" w:color="auto"/>
        <w:bottom w:val="none" w:sz="0" w:space="0" w:color="auto"/>
        <w:right w:val="none" w:sz="0" w:space="0" w:color="auto"/>
      </w:divBdr>
    </w:div>
    <w:div w:id="1967001567">
      <w:bodyDiv w:val="1"/>
      <w:marLeft w:val="0"/>
      <w:marRight w:val="0"/>
      <w:marTop w:val="0"/>
      <w:marBottom w:val="0"/>
      <w:divBdr>
        <w:top w:val="none" w:sz="0" w:space="0" w:color="auto"/>
        <w:left w:val="none" w:sz="0" w:space="0" w:color="auto"/>
        <w:bottom w:val="none" w:sz="0" w:space="0" w:color="auto"/>
        <w:right w:val="none" w:sz="0" w:space="0" w:color="auto"/>
      </w:divBdr>
    </w:div>
    <w:div w:id="1967345165">
      <w:bodyDiv w:val="1"/>
      <w:marLeft w:val="0"/>
      <w:marRight w:val="0"/>
      <w:marTop w:val="0"/>
      <w:marBottom w:val="0"/>
      <w:divBdr>
        <w:top w:val="none" w:sz="0" w:space="0" w:color="auto"/>
        <w:left w:val="none" w:sz="0" w:space="0" w:color="auto"/>
        <w:bottom w:val="none" w:sz="0" w:space="0" w:color="auto"/>
        <w:right w:val="none" w:sz="0" w:space="0" w:color="auto"/>
      </w:divBdr>
    </w:div>
    <w:div w:id="1980841198">
      <w:bodyDiv w:val="1"/>
      <w:marLeft w:val="0"/>
      <w:marRight w:val="0"/>
      <w:marTop w:val="0"/>
      <w:marBottom w:val="0"/>
      <w:divBdr>
        <w:top w:val="none" w:sz="0" w:space="0" w:color="auto"/>
        <w:left w:val="none" w:sz="0" w:space="0" w:color="auto"/>
        <w:bottom w:val="none" w:sz="0" w:space="0" w:color="auto"/>
        <w:right w:val="none" w:sz="0" w:space="0" w:color="auto"/>
      </w:divBdr>
    </w:div>
    <w:div w:id="2039427965">
      <w:bodyDiv w:val="1"/>
      <w:marLeft w:val="0"/>
      <w:marRight w:val="0"/>
      <w:marTop w:val="0"/>
      <w:marBottom w:val="0"/>
      <w:divBdr>
        <w:top w:val="none" w:sz="0" w:space="0" w:color="auto"/>
        <w:left w:val="none" w:sz="0" w:space="0" w:color="auto"/>
        <w:bottom w:val="none" w:sz="0" w:space="0" w:color="auto"/>
        <w:right w:val="none" w:sz="0" w:space="0" w:color="auto"/>
      </w:divBdr>
    </w:div>
    <w:div w:id="2048290220">
      <w:bodyDiv w:val="1"/>
      <w:marLeft w:val="0"/>
      <w:marRight w:val="0"/>
      <w:marTop w:val="0"/>
      <w:marBottom w:val="0"/>
      <w:divBdr>
        <w:top w:val="none" w:sz="0" w:space="0" w:color="auto"/>
        <w:left w:val="none" w:sz="0" w:space="0" w:color="auto"/>
        <w:bottom w:val="none" w:sz="0" w:space="0" w:color="auto"/>
        <w:right w:val="none" w:sz="0" w:space="0" w:color="auto"/>
      </w:divBdr>
    </w:div>
    <w:div w:id="2049647614">
      <w:bodyDiv w:val="1"/>
      <w:marLeft w:val="0"/>
      <w:marRight w:val="0"/>
      <w:marTop w:val="0"/>
      <w:marBottom w:val="0"/>
      <w:divBdr>
        <w:top w:val="none" w:sz="0" w:space="0" w:color="auto"/>
        <w:left w:val="none" w:sz="0" w:space="0" w:color="auto"/>
        <w:bottom w:val="none" w:sz="0" w:space="0" w:color="auto"/>
        <w:right w:val="none" w:sz="0" w:space="0" w:color="auto"/>
      </w:divBdr>
    </w:div>
    <w:div w:id="2107920171">
      <w:bodyDiv w:val="1"/>
      <w:marLeft w:val="0"/>
      <w:marRight w:val="0"/>
      <w:marTop w:val="0"/>
      <w:marBottom w:val="0"/>
      <w:divBdr>
        <w:top w:val="none" w:sz="0" w:space="0" w:color="auto"/>
        <w:left w:val="none" w:sz="0" w:space="0" w:color="auto"/>
        <w:bottom w:val="none" w:sz="0" w:space="0" w:color="auto"/>
        <w:right w:val="none" w:sz="0" w:space="0" w:color="auto"/>
      </w:divBdr>
    </w:div>
    <w:div w:id="2124882451">
      <w:bodyDiv w:val="1"/>
      <w:marLeft w:val="0"/>
      <w:marRight w:val="0"/>
      <w:marTop w:val="0"/>
      <w:marBottom w:val="0"/>
      <w:divBdr>
        <w:top w:val="none" w:sz="0" w:space="0" w:color="auto"/>
        <w:left w:val="none" w:sz="0" w:space="0" w:color="auto"/>
        <w:bottom w:val="none" w:sz="0" w:space="0" w:color="auto"/>
        <w:right w:val="none" w:sz="0" w:space="0" w:color="auto"/>
      </w:divBdr>
    </w:div>
    <w:div w:id="2125036357">
      <w:bodyDiv w:val="1"/>
      <w:marLeft w:val="0"/>
      <w:marRight w:val="0"/>
      <w:marTop w:val="0"/>
      <w:marBottom w:val="0"/>
      <w:divBdr>
        <w:top w:val="none" w:sz="0" w:space="0" w:color="auto"/>
        <w:left w:val="none" w:sz="0" w:space="0" w:color="auto"/>
        <w:bottom w:val="none" w:sz="0" w:space="0" w:color="auto"/>
        <w:right w:val="none" w:sz="0" w:space="0" w:color="auto"/>
      </w:divBdr>
    </w:div>
    <w:div w:id="2130052150">
      <w:bodyDiv w:val="1"/>
      <w:marLeft w:val="0"/>
      <w:marRight w:val="0"/>
      <w:marTop w:val="0"/>
      <w:marBottom w:val="0"/>
      <w:divBdr>
        <w:top w:val="none" w:sz="0" w:space="0" w:color="auto"/>
        <w:left w:val="none" w:sz="0" w:space="0" w:color="auto"/>
        <w:bottom w:val="none" w:sz="0" w:space="0" w:color="auto"/>
        <w:right w:val="none" w:sz="0" w:space="0" w:color="auto"/>
      </w:divBdr>
    </w:div>
    <w:div w:id="2137412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es.asn.au/images/stories/files/About/Documents%20-%20ongoing/code_of_ethic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Documents/monitoring-evaluation-standards.pdf" TargetMode="External"/></Relationships>
</file>

<file path=word/theme/theme1.xml><?xml version="1.0" encoding="utf-8"?>
<a:theme xmlns:a="http://schemas.openxmlformats.org/drawingml/2006/main" name="Office Theme">
  <a:themeElements>
    <a:clrScheme name="ASIRF">
      <a:dk1>
        <a:sysClr val="windowText" lastClr="000000"/>
      </a:dk1>
      <a:lt1>
        <a:sysClr val="window" lastClr="FFFFFF"/>
      </a:lt1>
      <a:dk2>
        <a:srgbClr val="3D3C42"/>
      </a:dk2>
      <a:lt2>
        <a:srgbClr val="FFFFFF"/>
      </a:lt2>
      <a:accent1>
        <a:srgbClr val="47827E"/>
      </a:accent1>
      <a:accent2>
        <a:srgbClr val="294549"/>
      </a:accent2>
      <a:accent3>
        <a:srgbClr val="232F5D"/>
      </a:accent3>
      <a:accent4>
        <a:srgbClr val="3D3C42"/>
      </a:accent4>
      <a:accent5>
        <a:srgbClr val="DA5F4F"/>
      </a:accent5>
      <a:accent6>
        <a:srgbClr val="821431"/>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lIns="72000" tIns="72000" rIns="72000" bIns="72000" rtlCol="0" anchor="t"/>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bg2"/>
          </a:solidFill>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309D3-BCDE-4363-BDAD-D65B5A7B9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13071</Words>
  <Characters>73738</Characters>
  <Application>Microsoft Office Word</Application>
  <DocSecurity>0</DocSecurity>
  <Lines>1562</Lines>
  <Paragraphs>658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Solomon Islands Resource Facility - End of facility evaluation</dc:title>
  <dc:subject/>
  <dc:creator/>
  <cp:keywords>[SEC=UNOFFICIAL]</cp:keywords>
  <dc:description/>
  <cp:lastModifiedBy/>
  <cp:revision>1</cp:revision>
  <dcterms:created xsi:type="dcterms:W3CDTF">2024-01-15T21:47:00Z</dcterms:created>
  <dcterms:modified xsi:type="dcterms:W3CDTF">2024-01-15T21:48:00Z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UNOFFICIAL</vt:lpwstr>
  </property>
  <property fmtid="{D5CDD505-2E9C-101B-9397-08002B2CF9AE}" pid="4" name="PMHMAC">
    <vt:lpwstr>v=2022.1;a=SHA256;h=F1662DF45378014F1E98807E0F124F3CAB83EB70A66F31D14C07B6C06D8D8BAA</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D9F6E5C82DFAF7AB6E3D596D48DD43C72EDFDAB4</vt:lpwstr>
  </property>
  <property fmtid="{D5CDD505-2E9C-101B-9397-08002B2CF9AE}" pid="9" name="PM_Originating_FileId">
    <vt:lpwstr>99CF1A8131104713833852814F48829C</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2022-08-15T22:22:01Z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17511B3389CAC221B1575CA93BDD4912</vt:lpwstr>
  </property>
  <property fmtid="{D5CDD505-2E9C-101B-9397-08002B2CF9AE}" pid="20" name="PM_Hash_Salt">
    <vt:lpwstr>CE5036CD369BA186548782C46175E60D</vt:lpwstr>
  </property>
  <property fmtid="{D5CDD505-2E9C-101B-9397-08002B2CF9AE}" pid="21" name="PM_Hash_SHA1">
    <vt:lpwstr>98A39F8D52BA7598304AB3B0922627EA104694B0</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PM_Display">
    <vt:lpwstr>UNOFFICIAL</vt:lpwstr>
  </property>
  <property fmtid="{D5CDD505-2E9C-101B-9397-08002B2CF9AE}" pid="25" name="PM_OriginatorUserAccountName_SHA256">
    <vt:lpwstr>3E9DB5AB808CA91EB3E8EC398CDB7F67B110581D6BB28BC88565729DCE387350</vt:lpwstr>
  </property>
  <property fmtid="{D5CDD505-2E9C-101B-9397-08002B2CF9AE}" pid="26" name="PM_OriginatorDomainName_SHA256">
    <vt:lpwstr>6F3591835F3B2A8A025B00B5BA6418010DA3A17C9C26EA9C049FFD28039489A2</vt:lpwstr>
  </property>
  <property fmtid="{D5CDD505-2E9C-101B-9397-08002B2CF9AE}" pid="27" name="PMUuid">
    <vt:lpwstr>v=2022.2;d=gov.au;g=65417EFE-F3B9-5E66-BD91-1E689FEC2EA6</vt:lpwstr>
  </property>
  <property fmtid="{D5CDD505-2E9C-101B-9397-08002B2CF9AE}" pid="28" name="PM_Caveats_Count">
    <vt:lpwstr>0</vt:lpwstr>
  </property>
</Properties>
</file>