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3C53" w14:textId="71A934A8" w:rsidR="00C60E8C" w:rsidRPr="005F036B" w:rsidRDefault="00540C87" w:rsidP="00540C87">
      <w:pPr>
        <w:pStyle w:val="BodyCopy"/>
      </w:pPr>
      <w:r>
        <w:tab/>
      </w:r>
    </w:p>
    <w:p w14:paraId="0AB811B9" w14:textId="00E542E8" w:rsidR="00C60E8C" w:rsidRPr="001B6539" w:rsidRDefault="00C60E8C" w:rsidP="00C60E8C">
      <w:pPr>
        <w:pStyle w:val="cover-countries"/>
      </w:pPr>
      <w:r w:rsidRPr="001B6539">
        <w:t>A</w:t>
      </w:r>
      <w:r>
        <w:t>u</w:t>
      </w:r>
      <w:r w:rsidRPr="001B6539">
        <w:t xml:space="preserve">stralia </w:t>
      </w:r>
      <w:r>
        <w:t>–</w:t>
      </w:r>
      <w:r w:rsidRPr="001B6539">
        <w:t xml:space="preserve"> </w:t>
      </w:r>
      <w:r w:rsidR="003619E2">
        <w:t>Solomon Islands</w:t>
      </w:r>
    </w:p>
    <w:p w14:paraId="528CAA51" w14:textId="390AA682" w:rsidR="00C60E8C" w:rsidRPr="001B6539" w:rsidRDefault="00C60E8C" w:rsidP="00C60E8C">
      <w:pPr>
        <w:pStyle w:val="cover-DPPandyears"/>
        <w:rPr>
          <w:b/>
          <w:bCs/>
        </w:rPr>
      </w:pPr>
      <w:r w:rsidRPr="001B6539">
        <w:t>Development Partnership Plan</w:t>
      </w:r>
      <w:r>
        <w:rPr>
          <w:b/>
          <w:bCs/>
        </w:rPr>
        <w:t> </w:t>
      </w:r>
      <w:r w:rsidRPr="001B6539">
        <w:t>20</w:t>
      </w:r>
      <w:r w:rsidR="004D5DF0">
        <w:t>24</w:t>
      </w:r>
      <w:r>
        <w:t>–20</w:t>
      </w:r>
      <w:r w:rsidR="004D5DF0">
        <w:t>29</w:t>
      </w:r>
    </w:p>
    <w:p w14:paraId="796EC388" w14:textId="77777777" w:rsidR="00C60E8C" w:rsidRDefault="00C60E8C" w:rsidP="00B25597"/>
    <w:p w14:paraId="29503E01" w14:textId="77777777" w:rsidR="00C60E8C" w:rsidRPr="001B6539" w:rsidRDefault="00C60E8C" w:rsidP="00C60E8C">
      <w:pPr>
        <w:pStyle w:val="H1-Heading1"/>
        <w:sectPr w:rsidR="00C60E8C" w:rsidRPr="001B6539" w:rsidSect="00C60E8C">
          <w:footerReference w:type="default" r:id="rId8"/>
          <w:headerReference w:type="first" r:id="rId9"/>
          <w:endnotePr>
            <w:numFmt w:val="decimal"/>
          </w:endnotePr>
          <w:type w:val="continuous"/>
          <w:pgSz w:w="11906" w:h="16838" w:code="9"/>
          <w:pgMar w:top="1418" w:right="851" w:bottom="1276" w:left="851" w:header="340" w:footer="415" w:gutter="0"/>
          <w:pgNumType w:start="0"/>
          <w:cols w:space="708"/>
          <w:titlePg/>
          <w:docGrid w:linePitch="360"/>
        </w:sectPr>
      </w:pPr>
    </w:p>
    <w:p w14:paraId="60E2786B" w14:textId="77777777" w:rsidR="002F5C5E" w:rsidRDefault="002F5C5E" w:rsidP="002F5C5E">
      <w:pPr>
        <w:pStyle w:val="H2-Heading2"/>
      </w:pPr>
      <w:r>
        <w:lastRenderedPageBreak/>
        <w:t>Section 1: Introduction</w:t>
      </w:r>
    </w:p>
    <w:p w14:paraId="20274DDA" w14:textId="0CD92CD8" w:rsidR="002F4955" w:rsidRDefault="002F4955" w:rsidP="003466F5">
      <w:pPr>
        <w:pStyle w:val="H3-Heading3"/>
        <w:rPr>
          <w:lang w:eastAsia="en-AU"/>
        </w:rPr>
      </w:pPr>
      <w:r w:rsidRPr="001B6539">
        <w:rPr>
          <w:lang w:eastAsia="en-AU"/>
        </w:rPr>
        <w:t xml:space="preserve">Australia’s partnership with </w:t>
      </w:r>
      <w:r w:rsidR="00465231">
        <w:rPr>
          <w:lang w:eastAsia="en-AU"/>
        </w:rPr>
        <w:t>Solomon Islands</w:t>
      </w:r>
    </w:p>
    <w:p w14:paraId="6EEC3B4E" w14:textId="7E9DE75F" w:rsidR="00EC3DE2" w:rsidRPr="00732096" w:rsidRDefault="7EA2BD81" w:rsidP="2A22DF3F">
      <w:pPr>
        <w:rPr>
          <w:rStyle w:val="normaltextrun"/>
          <w:rFonts w:cs="Calibri Light"/>
        </w:rPr>
      </w:pPr>
      <w:r w:rsidRPr="2A22DF3F">
        <w:rPr>
          <w:rStyle w:val="normaltextrun"/>
          <w:rFonts w:cs="Calibri Light"/>
        </w:rPr>
        <w:t>Australia and Solomon Islands are family with interconnected futures – we share a region, an ocean and a history of partnership. Australia and Solomon Islands established diplomatic relations upon Solomon Islands’ independence on 7</w:t>
      </w:r>
      <w:r w:rsidR="6C3CA533" w:rsidRPr="2A22DF3F">
        <w:rPr>
          <w:rStyle w:val="normaltextrun"/>
          <w:rFonts w:cs="Calibri Light"/>
        </w:rPr>
        <w:t> </w:t>
      </w:r>
      <w:r w:rsidRPr="2A22DF3F">
        <w:rPr>
          <w:rStyle w:val="normaltextrun"/>
          <w:rFonts w:cs="Calibri Light"/>
        </w:rPr>
        <w:t>July 1978. We have strong people-to-people links, shared democratic values and a longstanding history of</w:t>
      </w:r>
      <w:r w:rsidR="3E69C438" w:rsidRPr="2A22DF3F">
        <w:rPr>
          <w:rStyle w:val="normaltextrun"/>
          <w:rFonts w:cs="Calibri Light"/>
        </w:rPr>
        <w:t> </w:t>
      </w:r>
      <w:r w:rsidRPr="2A22DF3F">
        <w:rPr>
          <w:rStyle w:val="normaltextrun"/>
          <w:rFonts w:cs="Calibri Light"/>
        </w:rPr>
        <w:t>cooperation.</w:t>
      </w:r>
    </w:p>
    <w:p w14:paraId="77AC0A7B" w14:textId="18CB7E47" w:rsidR="00EC3DE2" w:rsidRPr="00732096" w:rsidRDefault="7EA2BD81" w:rsidP="00D573D9">
      <w:pPr>
        <w:rPr>
          <w:rFonts w:ascii="Segoe UI" w:hAnsi="Segoe UI" w:cs="Segoe UI"/>
          <w:sz w:val="18"/>
          <w:szCs w:val="18"/>
        </w:rPr>
      </w:pPr>
      <w:r w:rsidRPr="2A22DF3F">
        <w:rPr>
          <w:rStyle w:val="normaltextrun"/>
          <w:rFonts w:cs="Calibri Light"/>
        </w:rPr>
        <w:t xml:space="preserve">Australia is Solomon Islands’ partner of choice – with the largest economic, development and security cooperation programs in Solomon Islands. Australia’s 2017 </w:t>
      </w:r>
      <w:r w:rsidR="5F1E5CF3" w:rsidRPr="2A22DF3F">
        <w:rPr>
          <w:rStyle w:val="normaltextrun"/>
          <w:rFonts w:cs="Calibri Light"/>
        </w:rPr>
        <w:t>b</w:t>
      </w:r>
      <w:r w:rsidRPr="2A22DF3F">
        <w:rPr>
          <w:rStyle w:val="normaltextrun"/>
          <w:rFonts w:cs="Calibri Light"/>
        </w:rPr>
        <w:t xml:space="preserve">ilateral </w:t>
      </w:r>
      <w:r w:rsidR="5F1E5CF3" w:rsidRPr="2A22DF3F">
        <w:rPr>
          <w:rStyle w:val="normaltextrun"/>
          <w:rFonts w:cs="Calibri Light"/>
        </w:rPr>
        <w:t>s</w:t>
      </w:r>
      <w:r w:rsidRPr="2A22DF3F">
        <w:rPr>
          <w:rStyle w:val="normaltextrun"/>
          <w:rFonts w:cs="Calibri Light"/>
        </w:rPr>
        <w:t xml:space="preserve">ecurity </w:t>
      </w:r>
      <w:r w:rsidR="5F1E5CF3" w:rsidRPr="2A22DF3F">
        <w:rPr>
          <w:rStyle w:val="normaltextrun"/>
          <w:rFonts w:cs="Calibri Light"/>
        </w:rPr>
        <w:t>t</w:t>
      </w:r>
      <w:r w:rsidRPr="2A22DF3F">
        <w:rPr>
          <w:rStyle w:val="normaltextrun"/>
          <w:rFonts w:cs="Calibri Light"/>
        </w:rPr>
        <w:t xml:space="preserve">reaty with Solomon Islands provides an enduring framework for security assistance, most recently </w:t>
      </w:r>
      <w:r w:rsidR="00C60C8A">
        <w:rPr>
          <w:rStyle w:val="normaltextrun"/>
          <w:rFonts w:cs="Calibri Light"/>
        </w:rPr>
        <w:t>used for</w:t>
      </w:r>
      <w:r w:rsidR="00C60C8A" w:rsidRPr="2A22DF3F">
        <w:rPr>
          <w:rStyle w:val="normaltextrun"/>
          <w:rFonts w:cs="Calibri Light"/>
        </w:rPr>
        <w:t xml:space="preserve"> </w:t>
      </w:r>
      <w:r w:rsidRPr="2A22DF3F">
        <w:rPr>
          <w:rStyle w:val="normaltextrun"/>
          <w:rFonts w:cs="Calibri Light"/>
        </w:rPr>
        <w:t>the deployment of the Solomons International Assistance Force</w:t>
      </w:r>
      <w:r w:rsidR="373A3244" w:rsidRPr="2A22DF3F">
        <w:rPr>
          <w:rStyle w:val="normaltextrun"/>
          <w:rFonts w:cs="Calibri Light"/>
        </w:rPr>
        <w:t xml:space="preserve"> from 2021</w:t>
      </w:r>
      <w:r w:rsidR="7537A11E" w:rsidRPr="2A22DF3F">
        <w:rPr>
          <w:rStyle w:val="normaltextrun"/>
          <w:rFonts w:cs="Calibri Light"/>
        </w:rPr>
        <w:t xml:space="preserve"> to </w:t>
      </w:r>
      <w:r w:rsidR="373A3244" w:rsidRPr="2A22DF3F">
        <w:rPr>
          <w:rStyle w:val="normaltextrun"/>
          <w:rFonts w:cs="Calibri Light"/>
        </w:rPr>
        <w:t>2024</w:t>
      </w:r>
      <w:r w:rsidRPr="2A22DF3F">
        <w:rPr>
          <w:rStyle w:val="normaltextrun"/>
          <w:rFonts w:cs="Calibri Light"/>
        </w:rPr>
        <w:t xml:space="preserve">. Two-way trade between Solomon Islands and Australia continues to grow. Australia and Solomon Islands also have substantial infrastructure cooperation, with close to </w:t>
      </w:r>
      <w:r w:rsidR="7110F542" w:rsidRPr="2A22DF3F">
        <w:rPr>
          <w:rStyle w:val="normaltextrun"/>
          <w:rFonts w:cs="Calibri Light"/>
        </w:rPr>
        <w:t>AUD</w:t>
      </w:r>
      <w:r w:rsidRPr="2A22DF3F">
        <w:rPr>
          <w:rStyle w:val="normaltextrun"/>
          <w:rFonts w:cs="Calibri Light"/>
        </w:rPr>
        <w:t>1</w:t>
      </w:r>
      <w:r w:rsidR="73D16A8E" w:rsidRPr="2A22DF3F">
        <w:rPr>
          <w:rStyle w:val="normaltextrun"/>
          <w:rFonts w:cs="Calibri Light"/>
        </w:rPr>
        <w:t> </w:t>
      </w:r>
      <w:r w:rsidRPr="2A22DF3F">
        <w:rPr>
          <w:rStyle w:val="normaltextrun"/>
          <w:rFonts w:cs="Calibri Light"/>
        </w:rPr>
        <w:t xml:space="preserve">billion invested </w:t>
      </w:r>
      <w:r w:rsidR="373A3244" w:rsidRPr="2A22DF3F">
        <w:rPr>
          <w:rStyle w:val="normaltextrun"/>
          <w:rFonts w:cs="Calibri Light"/>
        </w:rPr>
        <w:t>by Australia i</w:t>
      </w:r>
      <w:r w:rsidRPr="2A22DF3F">
        <w:rPr>
          <w:rStyle w:val="normaltextrun"/>
          <w:rFonts w:cs="Calibri Light"/>
        </w:rPr>
        <w:t>n high</w:t>
      </w:r>
      <w:r w:rsidR="73D16A8E" w:rsidRPr="2A22DF3F">
        <w:rPr>
          <w:rStyle w:val="normaltextrun"/>
          <w:rFonts w:cs="Calibri Light"/>
        </w:rPr>
        <w:t>-</w:t>
      </w:r>
      <w:r w:rsidRPr="2A22DF3F">
        <w:rPr>
          <w:rStyle w:val="normaltextrun"/>
          <w:rFonts w:cs="Calibri Light"/>
        </w:rPr>
        <w:t>quality, disaster-resilient infrastructure across Solomon Islands since 2019.</w:t>
      </w:r>
    </w:p>
    <w:p w14:paraId="644CC1CA" w14:textId="636D5125" w:rsidR="006D2836" w:rsidRDefault="549DF5EE" w:rsidP="00D573D9">
      <w:r>
        <w:t xml:space="preserve">Our development program in Solomon Islands is our third largest globally. Australia’s Official Development Assistance (ODA) </w:t>
      </w:r>
      <w:r w:rsidR="0AE910A5">
        <w:t xml:space="preserve">brings together efforts from bilateral, regional and global </w:t>
      </w:r>
      <w:r w:rsidR="00D94C9E">
        <w:t>programs</w:t>
      </w:r>
      <w:r w:rsidR="0AE910A5">
        <w:t xml:space="preserve"> as well as other </w:t>
      </w:r>
      <w:r w:rsidR="2CABAB68">
        <w:t xml:space="preserve">Australian </w:t>
      </w:r>
      <w:r w:rsidR="0AE910A5">
        <w:t xml:space="preserve">Government </w:t>
      </w:r>
      <w:r w:rsidR="2CABAB68">
        <w:t>d</w:t>
      </w:r>
      <w:r w:rsidR="0AE910A5">
        <w:t>epartments</w:t>
      </w:r>
      <w:r w:rsidR="7CA0F513">
        <w:t xml:space="preserve"> and agencies</w:t>
      </w:r>
      <w:r w:rsidR="723D3E4C">
        <w:t>, including the Australian Federal Police</w:t>
      </w:r>
      <w:r w:rsidR="00197913">
        <w:t>.</w:t>
      </w:r>
      <w:r w:rsidR="48650D84">
        <w:t xml:space="preserve"> </w:t>
      </w:r>
      <w:r w:rsidR="00197913">
        <w:t>T</w:t>
      </w:r>
      <w:r>
        <w:t>he</w:t>
      </w:r>
      <w:r w:rsidR="008A2582">
        <w:t xml:space="preserve"> Australian Government</w:t>
      </w:r>
      <w:r>
        <w:t xml:space="preserve"> Department of Defence</w:t>
      </w:r>
      <w:r w:rsidR="15522733">
        <w:t xml:space="preserve"> </w:t>
      </w:r>
      <w:r w:rsidR="004D01AA">
        <w:t>is</w:t>
      </w:r>
      <w:r>
        <w:t xml:space="preserve"> a significant non-ODA contributor</w:t>
      </w:r>
      <w:r w:rsidR="0F17CBA2">
        <w:t xml:space="preserve"> to Solomon Islands development.</w:t>
      </w:r>
    </w:p>
    <w:p w14:paraId="04EEBE1E" w14:textId="77777777" w:rsidR="002F4955" w:rsidRPr="00DC48C8" w:rsidRDefault="124E7C4E" w:rsidP="00741BDE">
      <w:pPr>
        <w:pStyle w:val="H3-Heading3"/>
        <w:rPr>
          <w:lang w:eastAsia="en-AU"/>
        </w:rPr>
      </w:pPr>
      <w:r w:rsidRPr="2A22DF3F">
        <w:rPr>
          <w:lang w:eastAsia="en-AU"/>
        </w:rPr>
        <w:t>Purpose of the Development Partnership Plan </w:t>
      </w:r>
    </w:p>
    <w:p w14:paraId="6BFBB1D3" w14:textId="50DC5252" w:rsidR="002F4955" w:rsidRDefault="002F4955" w:rsidP="00B25597">
      <w:pPr>
        <w:rPr>
          <w:color w:val="313E48"/>
          <w:lang w:eastAsia="en-AU"/>
        </w:rPr>
      </w:pPr>
      <w:r w:rsidRPr="6DEF3CB4">
        <w:rPr>
          <w:lang w:eastAsia="en-AU"/>
        </w:rPr>
        <w:t xml:space="preserve">Australia’s </w:t>
      </w:r>
      <w:hyperlink r:id="rId10">
        <w:r w:rsidR="004363B9">
          <w:rPr>
            <w:rStyle w:val="Hyperlink"/>
            <w:rFonts w:cs="Calibri Light"/>
            <w:lang w:eastAsia="en-AU"/>
          </w:rPr>
          <w:t>International Development Policy</w:t>
        </w:r>
      </w:hyperlink>
      <w:r w:rsidRPr="6DEF3CB4">
        <w:rPr>
          <w:lang w:eastAsia="en-AU"/>
        </w:rPr>
        <w:t xml:space="preserve"> presents a long-term vision for how the development program will meet the critical needs of our partners</w:t>
      </w:r>
      <w:r w:rsidRPr="6DEF3CB4">
        <w:rPr>
          <w:rFonts w:eastAsia="Calibri Light"/>
        </w:rPr>
        <w:t>, support sustainable development and help lift people out of poverty</w:t>
      </w:r>
      <w:r w:rsidRPr="6DEF3CB4">
        <w:rPr>
          <w:lang w:eastAsia="en-AU"/>
        </w:rPr>
        <w:t>. Australia seeks relationships based on respect and partnerships that create economic and social value for us all. To achieve this, Australia supports our partners to:</w:t>
      </w:r>
    </w:p>
    <w:p w14:paraId="31E1D06F" w14:textId="419A8307" w:rsidR="002F4955" w:rsidRDefault="00F7273A" w:rsidP="00D573D9">
      <w:pPr>
        <w:pStyle w:val="NormalBullets-L1"/>
      </w:pPr>
      <w:r>
        <w:t xml:space="preserve">build </w:t>
      </w:r>
      <w:r w:rsidR="002F4955">
        <w:t>effective, accountable states that drive their own development</w:t>
      </w:r>
    </w:p>
    <w:p w14:paraId="3F05F1A4" w14:textId="38FD0FDB" w:rsidR="002F4955" w:rsidRDefault="00F7273A" w:rsidP="00D573D9">
      <w:pPr>
        <w:pStyle w:val="NormalBullets-L1"/>
      </w:pPr>
      <w:r>
        <w:t xml:space="preserve">enhance </w:t>
      </w:r>
      <w:r w:rsidR="002F4955">
        <w:t>state and community resilience to external pressures and shocks</w:t>
      </w:r>
    </w:p>
    <w:p w14:paraId="6213E6B6" w14:textId="131DE39D" w:rsidR="002F4955" w:rsidRDefault="00F7273A" w:rsidP="00D573D9">
      <w:pPr>
        <w:pStyle w:val="NormalBullets-L1"/>
      </w:pPr>
      <w:r>
        <w:t xml:space="preserve">connect </w:t>
      </w:r>
      <w:r w:rsidR="002F4955">
        <w:t>with Australia and regional architecture</w:t>
      </w:r>
    </w:p>
    <w:p w14:paraId="3086AE8F" w14:textId="469DBC6D" w:rsidR="002F4955" w:rsidRPr="00936ABF" w:rsidRDefault="00F7273A" w:rsidP="00D573D9">
      <w:pPr>
        <w:pStyle w:val="NormalBullets-L1"/>
      </w:pPr>
      <w:r>
        <w:t xml:space="preserve">generate </w:t>
      </w:r>
      <w:r w:rsidR="002F4955">
        <w:t>collective action on global challenges that impact us and our region.</w:t>
      </w:r>
    </w:p>
    <w:p w14:paraId="2297BBBE" w14:textId="38CEC284" w:rsidR="00EC4D45" w:rsidRPr="002A38A4" w:rsidRDefault="00EC4D45" w:rsidP="00B25597">
      <w:r w:rsidRPr="002A38A4">
        <w:t>The Australia – Solomon Islands Development Partnership Plan 2024</w:t>
      </w:r>
      <w:r w:rsidR="00C71273">
        <w:t>–</w:t>
      </w:r>
      <w:r w:rsidRPr="002A38A4">
        <w:t xml:space="preserve">2029 </w:t>
      </w:r>
      <w:r w:rsidR="004B6218" w:rsidRPr="002A38A4">
        <w:t xml:space="preserve">(DPP) </w:t>
      </w:r>
      <w:r w:rsidRPr="002A38A4">
        <w:t xml:space="preserve">translates into action the development priorities Australia shares with Solomon Islands. The DPP sets out agreed objectives, how we will work together to deliver shared outcomes, and how progress will be </w:t>
      </w:r>
      <w:r w:rsidR="00F67AFC">
        <w:t>monitored</w:t>
      </w:r>
      <w:r w:rsidRPr="002A38A4">
        <w:t>. It also identifies where Australia can add value to Solomon Islands</w:t>
      </w:r>
      <w:r w:rsidR="00F45EC4">
        <w:t>’</w:t>
      </w:r>
      <w:r w:rsidRPr="002A38A4">
        <w:t xml:space="preserve"> national development priorities and how Australia will work with other development actors, ensuring </w:t>
      </w:r>
      <w:r w:rsidR="00F67AFC">
        <w:t xml:space="preserve">the </w:t>
      </w:r>
      <w:r w:rsidRPr="002A38A4">
        <w:t>Australia</w:t>
      </w:r>
      <w:r w:rsidR="00F67AFC">
        <w:t>n G</w:t>
      </w:r>
      <w:r w:rsidRPr="002A38A4">
        <w:t>overnment contribution to Solomon Islands</w:t>
      </w:r>
      <w:r w:rsidR="00F45EC4">
        <w:t>’</w:t>
      </w:r>
      <w:r w:rsidRPr="002A38A4">
        <w:t xml:space="preserve"> development ambitions is well</w:t>
      </w:r>
      <w:r w:rsidR="00F67AFC">
        <w:t xml:space="preserve"> </w:t>
      </w:r>
      <w:r w:rsidRPr="002A38A4">
        <w:t>coordinated.</w:t>
      </w:r>
    </w:p>
    <w:p w14:paraId="08724397" w14:textId="6D601897" w:rsidR="00EC4D45" w:rsidRPr="002A38A4" w:rsidRDefault="43ACA250" w:rsidP="00B25597">
      <w:r>
        <w:t xml:space="preserve">The DPP reflects the full spectrum of Australia’s development support – </w:t>
      </w:r>
      <w:r w:rsidR="76252E56">
        <w:t xml:space="preserve">Australian Government </w:t>
      </w:r>
      <w:r>
        <w:t>bilateral ODA as well as significant regional and global ODA and non-ODA development activities. A commitment to ongoing dialogue and engagement with government and non-</w:t>
      </w:r>
      <w:r w:rsidR="66F52AAF">
        <w:t xml:space="preserve">government </w:t>
      </w:r>
      <w:r>
        <w:t>actors in support of a genuine and respectful partnership underpins this DPP. A mid</w:t>
      </w:r>
      <w:r w:rsidR="66F52AAF">
        <w:t>-</w:t>
      </w:r>
      <w:r>
        <w:t>cycle review of the DPP will be undertaken.</w:t>
      </w:r>
    </w:p>
    <w:p w14:paraId="00E56219" w14:textId="4BDF643E" w:rsidR="002F4955" w:rsidRPr="007D5A8A" w:rsidRDefault="002F4955" w:rsidP="007D5A8A">
      <w:pPr>
        <w:pStyle w:val="H3-Heading3"/>
        <w:rPr>
          <w:lang w:eastAsia="en-AU"/>
        </w:rPr>
      </w:pPr>
      <w:r w:rsidRPr="1807533D">
        <w:rPr>
          <w:lang w:eastAsia="en-AU"/>
        </w:rPr>
        <w:lastRenderedPageBreak/>
        <w:t xml:space="preserve">Preparing the </w:t>
      </w:r>
      <w:r w:rsidRPr="008667F0">
        <w:t>Development</w:t>
      </w:r>
      <w:r w:rsidRPr="1807533D">
        <w:rPr>
          <w:lang w:eastAsia="en-AU"/>
        </w:rPr>
        <w:t xml:space="preserve"> Partnership Plan</w:t>
      </w:r>
    </w:p>
    <w:p w14:paraId="145073FF" w14:textId="3C91EB3F" w:rsidR="007D5A8A" w:rsidRPr="0061068D" w:rsidRDefault="1267FD34" w:rsidP="00275453">
      <w:pPr>
        <w:keepLines/>
      </w:pPr>
      <w:r w:rsidRPr="32F92373">
        <w:t>In early 2023, before the release of Australia’s International Development Policy, Australi</w:t>
      </w:r>
      <w:r w:rsidR="0040257C">
        <w:t>a</w:t>
      </w:r>
      <w:r w:rsidRPr="32F92373">
        <w:t xml:space="preserve"> </w:t>
      </w:r>
      <w:r w:rsidR="0040257C">
        <w:t xml:space="preserve">refocused its </w:t>
      </w:r>
      <w:r w:rsidRPr="32F92373">
        <w:t>bilateral programs to better align with Solomon Islands Government priorities of infrastructure, economic growth and job</w:t>
      </w:r>
      <w:r w:rsidR="004D01AA">
        <w:t xml:space="preserve"> creation</w:t>
      </w:r>
      <w:r w:rsidR="00F1601F">
        <w:t>,</w:t>
      </w:r>
      <w:r w:rsidRPr="32F92373">
        <w:t xml:space="preserve"> while maintaining support to human development investments </w:t>
      </w:r>
      <w:r w:rsidR="00973338">
        <w:t xml:space="preserve">in areas </w:t>
      </w:r>
      <w:r w:rsidRPr="32F92373">
        <w:t>such as health, education</w:t>
      </w:r>
      <w:r w:rsidR="00817A65">
        <w:t>,</w:t>
      </w:r>
      <w:r w:rsidRPr="32F92373">
        <w:t xml:space="preserve"> and </w:t>
      </w:r>
      <w:r w:rsidR="00973338">
        <w:t>gender equality</w:t>
      </w:r>
      <w:r w:rsidRPr="32F92373">
        <w:t>.</w:t>
      </w:r>
    </w:p>
    <w:p w14:paraId="6D7EB4B5" w14:textId="762715BE" w:rsidR="007D5A8A" w:rsidRPr="0061068D" w:rsidRDefault="55A936E6" w:rsidP="00D573D9">
      <w:r>
        <w:t xml:space="preserve">These priorities were reconfirmed after consultations with key stakeholders in Australia and Solomon Islands. In June 2024, consultations were held with </w:t>
      </w:r>
      <w:r w:rsidR="400DE6B1">
        <w:t xml:space="preserve">the </w:t>
      </w:r>
      <w:r>
        <w:t>Australian Council for International Development, Australia-based non-government organisations</w:t>
      </w:r>
      <w:r w:rsidR="209B6F3F">
        <w:t xml:space="preserve"> (NGOs)</w:t>
      </w:r>
      <w:r>
        <w:t>, the development contracting community and academics</w:t>
      </w:r>
      <w:r w:rsidR="00826A68">
        <w:t>.</w:t>
      </w:r>
      <w:r>
        <w:t xml:space="preserve"> In July 2024, consultations took place with </w:t>
      </w:r>
      <w:r w:rsidR="5B1711F3">
        <w:t xml:space="preserve">the </w:t>
      </w:r>
      <w:r>
        <w:t xml:space="preserve">Solomon Islands Government, </w:t>
      </w:r>
      <w:r w:rsidR="209B6F3F">
        <w:t>NGOs</w:t>
      </w:r>
      <w:r>
        <w:t xml:space="preserve"> and </w:t>
      </w:r>
      <w:r w:rsidR="00226926">
        <w:t xml:space="preserve">the </w:t>
      </w:r>
      <w:r>
        <w:t xml:space="preserve">private sector. Solomon Islands </w:t>
      </w:r>
      <w:r w:rsidR="514A2E12">
        <w:t>m</w:t>
      </w:r>
      <w:r>
        <w:t xml:space="preserve">inisters with significant responsibility for </w:t>
      </w:r>
      <w:r w:rsidR="00776515">
        <w:t>the</w:t>
      </w:r>
      <w:r>
        <w:t xml:space="preserve"> development partnership with </w:t>
      </w:r>
      <w:r w:rsidR="00776515">
        <w:t>Australia</w:t>
      </w:r>
      <w:r>
        <w:t xml:space="preserve"> were consulted in August 2024, including </w:t>
      </w:r>
      <w:r w:rsidR="1608A965">
        <w:t xml:space="preserve">the ministers for </w:t>
      </w:r>
      <w:r>
        <w:t xml:space="preserve">Foreign Affairs and External Trade, Finance and Treasury, and National Planning and Development Coordination. Other development partners and donors were </w:t>
      </w:r>
      <w:r w:rsidR="007929B5">
        <w:t xml:space="preserve">also </w:t>
      </w:r>
      <w:r>
        <w:t>consulted in August 2024.</w:t>
      </w:r>
    </w:p>
    <w:p w14:paraId="39E6E08C" w14:textId="77777777" w:rsidR="007D5A8A" w:rsidRPr="000566A2" w:rsidRDefault="55A936E6" w:rsidP="008216F0">
      <w:pPr>
        <w:pStyle w:val="H3-Heading3"/>
      </w:pPr>
      <w:r>
        <w:t>How has our partnership changed?</w:t>
      </w:r>
    </w:p>
    <w:p w14:paraId="694122A3" w14:textId="4700596E" w:rsidR="007D5A8A" w:rsidRDefault="007D5A8A" w:rsidP="00D573D9">
      <w:r w:rsidRPr="0061068D">
        <w:t xml:space="preserve">Consultations with key stakeholders in 2024, including with the newly elected Solomon Islands Government, </w:t>
      </w:r>
      <w:r w:rsidR="00473DAC">
        <w:t>reaf</w:t>
      </w:r>
      <w:r w:rsidRPr="0061068D">
        <w:t>firmed the priorities that were identified in the refocusing of Australia’s bilateral development program in early 2023. This DPP embeds this transformed agenda into our strategy for development program delivery</w:t>
      </w:r>
      <w:r>
        <w:t>.</w:t>
      </w:r>
    </w:p>
    <w:p w14:paraId="65F02315" w14:textId="62672BA5" w:rsidR="05CF3180" w:rsidRDefault="1F4303A8" w:rsidP="00D573D9">
      <w:r>
        <w:t>As one of Solomon Islands</w:t>
      </w:r>
      <w:r w:rsidR="62003E85">
        <w:t>’</w:t>
      </w:r>
      <w:r>
        <w:t xml:space="preserve"> longest </w:t>
      </w:r>
      <w:r w:rsidR="373A3244">
        <w:t xml:space="preserve">standing </w:t>
      </w:r>
      <w:r>
        <w:t>and most comprehensive development partners, Australia has a proud track record of supporting Solomon Islands across nearly every sector of the economy</w:t>
      </w:r>
      <w:r w:rsidR="00C60C8A">
        <w:t xml:space="preserve"> and society</w:t>
      </w:r>
      <w:r>
        <w:t>. Whil</w:t>
      </w:r>
      <w:r w:rsidR="3C838763">
        <w:t>e</w:t>
      </w:r>
      <w:r>
        <w:t xml:space="preserve"> this widespread support will continue, the DPP process has identified areas </w:t>
      </w:r>
      <w:r w:rsidR="06338653">
        <w:t xml:space="preserve">in which </w:t>
      </w:r>
      <w:r>
        <w:t xml:space="preserve">Australian support can be </w:t>
      </w:r>
      <w:r w:rsidR="07161A85">
        <w:t xml:space="preserve">more </w:t>
      </w:r>
      <w:r w:rsidR="00D7297D">
        <w:t>close</w:t>
      </w:r>
      <w:r w:rsidR="07161A85">
        <w:t>ly</w:t>
      </w:r>
      <w:r>
        <w:t xml:space="preserve"> aligned </w:t>
      </w:r>
      <w:r w:rsidR="3EEEAEE6">
        <w:t xml:space="preserve">with </w:t>
      </w:r>
      <w:r>
        <w:t xml:space="preserve">Solomon Islands Government priorities, </w:t>
      </w:r>
      <w:r w:rsidR="5ABBBD14">
        <w:t xml:space="preserve">ensuring </w:t>
      </w:r>
      <w:r>
        <w:t>greater strategic and developmental effect.</w:t>
      </w:r>
    </w:p>
    <w:p w14:paraId="14D06201" w14:textId="0F40DEEA" w:rsidR="00C04547" w:rsidRDefault="00C04547" w:rsidP="0048092D">
      <w:r w:rsidRPr="7E5DAF58">
        <w:t>As a key economic partner for Solomon Islands, we will continue to support open access to Australian markets</w:t>
      </w:r>
      <w:r w:rsidR="00741C65">
        <w:t xml:space="preserve"> –</w:t>
      </w:r>
      <w:r w:rsidR="00741C65" w:rsidRPr="7E5DAF58">
        <w:t xml:space="preserve"> </w:t>
      </w:r>
      <w:r w:rsidRPr="7E5DAF58">
        <w:t>free of tariffs and quotas</w:t>
      </w:r>
      <w:r w:rsidR="00741C65">
        <w:t xml:space="preserve"> –</w:t>
      </w:r>
      <w:r w:rsidR="00741C65" w:rsidRPr="7E5DAF58">
        <w:t xml:space="preserve"> </w:t>
      </w:r>
      <w:r w:rsidRPr="7E5DAF58">
        <w:t>through the</w:t>
      </w:r>
      <w:r w:rsidR="00F860FA">
        <w:t xml:space="preserve"> </w:t>
      </w:r>
      <w:r w:rsidR="00F860FA" w:rsidRPr="004A3C29">
        <w:t>Pacific Agreement on Closer Economic Relations Plus (</w:t>
      </w:r>
      <w:r w:rsidRPr="7E5DAF58">
        <w:t>PACER Plus</w:t>
      </w:r>
      <w:r w:rsidR="00F860FA">
        <w:t>)</w:t>
      </w:r>
      <w:r w:rsidRPr="7E5DAF58">
        <w:t xml:space="preserve"> and will continue to support the tourism sector to not only attract more tourists, but </w:t>
      </w:r>
      <w:r w:rsidR="009F2F33">
        <w:t xml:space="preserve">enhance </w:t>
      </w:r>
      <w:r w:rsidRPr="7E5DAF58">
        <w:t>their experiences through improved quality, quantity and value for money whil</w:t>
      </w:r>
      <w:r w:rsidR="00B6022B">
        <w:t>e</w:t>
      </w:r>
      <w:r w:rsidRPr="7E5DAF58">
        <w:t xml:space="preserve"> in Solomon Islands.</w:t>
      </w:r>
    </w:p>
    <w:p w14:paraId="27C7F0F7" w14:textId="0554D718" w:rsidR="00C04547" w:rsidRPr="00224F0C" w:rsidRDefault="2AAD6227" w:rsidP="00D573D9">
      <w:r>
        <w:t>Through the Australia</w:t>
      </w:r>
      <w:r w:rsidR="67E3F57B">
        <w:t xml:space="preserve"> </w:t>
      </w:r>
      <w:r>
        <w:t xml:space="preserve">Pacific Training Coalition and </w:t>
      </w:r>
      <w:r w:rsidR="0CE3D825">
        <w:t xml:space="preserve">the </w:t>
      </w:r>
      <w:r>
        <w:t>Pacific</w:t>
      </w:r>
      <w:r w:rsidR="2AA7C47C">
        <w:t xml:space="preserve"> </w:t>
      </w:r>
      <w:r>
        <w:t xml:space="preserve">Australia Labour Mobility (PALM) </w:t>
      </w:r>
      <w:r w:rsidR="2AA7C47C">
        <w:t>s</w:t>
      </w:r>
      <w:r>
        <w:t>cheme, Australia is upskilling Solomon Islander workers and providing them with paid employment opportunities</w:t>
      </w:r>
      <w:r w:rsidR="00D02CEA">
        <w:t>.</w:t>
      </w:r>
      <w:r w:rsidR="00943B09">
        <w:t xml:space="preserve"> </w:t>
      </w:r>
      <w:r w:rsidR="23C83B5F">
        <w:t xml:space="preserve">We </w:t>
      </w:r>
      <w:r w:rsidR="42771F07">
        <w:t xml:space="preserve">will expand </w:t>
      </w:r>
      <w:r w:rsidR="23C83B5F">
        <w:t xml:space="preserve">our </w:t>
      </w:r>
      <w:r w:rsidR="42771F07">
        <w:t>s</w:t>
      </w:r>
      <w:r w:rsidR="4E25A487">
        <w:t xml:space="preserve">upport </w:t>
      </w:r>
      <w:r w:rsidR="42771F07">
        <w:t xml:space="preserve">for </w:t>
      </w:r>
      <w:r w:rsidR="3EBDF2DF">
        <w:t>t</w:t>
      </w:r>
      <w:r>
        <w:t xml:space="preserve">echnical and </w:t>
      </w:r>
      <w:r w:rsidR="3EBDF2DF">
        <w:t>v</w:t>
      </w:r>
      <w:r>
        <w:t xml:space="preserve">ocational </w:t>
      </w:r>
      <w:r w:rsidR="3EBDF2DF">
        <w:t>e</w:t>
      </w:r>
      <w:r>
        <w:t xml:space="preserve">ducation and </w:t>
      </w:r>
      <w:r w:rsidR="3EBDF2DF">
        <w:t>t</w:t>
      </w:r>
      <w:r>
        <w:t xml:space="preserve">raining </w:t>
      </w:r>
      <w:r w:rsidR="1F6B2CE5">
        <w:t>and</w:t>
      </w:r>
      <w:r>
        <w:t xml:space="preserve"> enable Solomon Islanders </w:t>
      </w:r>
      <w:r w:rsidR="3A5900FF">
        <w:t xml:space="preserve">to </w:t>
      </w:r>
      <w:r>
        <w:t>fill enhance</w:t>
      </w:r>
      <w:r w:rsidR="7D0CBF71">
        <w:t>d</w:t>
      </w:r>
      <w:r>
        <w:t xml:space="preserve"> job opportunities under PALM</w:t>
      </w:r>
      <w:r w:rsidR="5BBA5B25">
        <w:t>,</w:t>
      </w:r>
      <w:r>
        <w:t xml:space="preserve"> including aged care work opportunities. Australia </w:t>
      </w:r>
      <w:r w:rsidR="00E437A6">
        <w:t>has also increased</w:t>
      </w:r>
      <w:r>
        <w:t xml:space="preserve"> the </w:t>
      </w:r>
      <w:r w:rsidR="003F0AD4">
        <w:t xml:space="preserve">number of </w:t>
      </w:r>
      <w:r>
        <w:t>prestigious Australia Awards</w:t>
      </w:r>
      <w:r w:rsidR="003A39E0">
        <w:t>,</w:t>
      </w:r>
      <w:r w:rsidR="119CF5C1">
        <w:t xml:space="preserve"> </w:t>
      </w:r>
      <w:r>
        <w:t>provid</w:t>
      </w:r>
      <w:r w:rsidR="003F0AD4">
        <w:t>ing</w:t>
      </w:r>
      <w:r>
        <w:t xml:space="preserve"> more study and training opportunities for Solomon Islanders.</w:t>
      </w:r>
    </w:p>
    <w:p w14:paraId="48B588AE" w14:textId="4930D057" w:rsidR="00C04547" w:rsidRDefault="2AAD6227" w:rsidP="00D573D9">
      <w:r>
        <w:t>Since 2022</w:t>
      </w:r>
      <w:r w:rsidR="3060CBFB" w:rsidRPr="2A22DF3F">
        <w:rPr>
          <w:rFonts w:cstheme="majorBidi"/>
        </w:rPr>
        <w:t>–</w:t>
      </w:r>
      <w:r w:rsidR="3060CBFB">
        <w:t>20</w:t>
      </w:r>
      <w:r>
        <w:t>23</w:t>
      </w:r>
      <w:r w:rsidR="09CD71ED">
        <w:t>,</w:t>
      </w:r>
      <w:r>
        <w:t xml:space="preserve"> we have doubled our investment in</w:t>
      </w:r>
      <w:r w:rsidR="00E5227E">
        <w:t xml:space="preserve"> quality</w:t>
      </w:r>
      <w:r>
        <w:t xml:space="preserve"> infrastructure</w:t>
      </w:r>
      <w:r w:rsidR="1CD3E546">
        <w:t>,</w:t>
      </w:r>
      <w:r>
        <w:t xml:space="preserve"> noting th</w:t>
      </w:r>
      <w:r w:rsidR="003F0AD4">
        <w:t>is is a</w:t>
      </w:r>
      <w:r>
        <w:t xml:space="preserve"> priority </w:t>
      </w:r>
      <w:r w:rsidR="00C60C8A">
        <w:t xml:space="preserve">for </w:t>
      </w:r>
      <w:r>
        <w:t>the Solomon Islands Government, while recognising the significant challenges that exist to design and build high</w:t>
      </w:r>
      <w:r w:rsidR="1CD3E546">
        <w:t>-</w:t>
      </w:r>
      <w:r>
        <w:t>quality, climate resilient infrastructure in a timely manner. We will prioritise local content and local job creation wherever possible, to ensure Australian infrastructure projects maximise the opportunities for Solomon Islanders</w:t>
      </w:r>
      <w:r w:rsidR="00C552CD">
        <w:t xml:space="preserve"> and Solomon Islands</w:t>
      </w:r>
      <w:r w:rsidR="00A901C6">
        <w:t>-</w:t>
      </w:r>
      <w:r w:rsidR="00C552CD">
        <w:t>owned businesses.</w:t>
      </w:r>
      <w:r>
        <w:t xml:space="preserve"> Our bilateral infrastructure efforts will be supported by projects funded under the Australian Infrastructure Financing Facility </w:t>
      </w:r>
      <w:r w:rsidR="3710A257">
        <w:t>for</w:t>
      </w:r>
      <w:r>
        <w:t xml:space="preserve"> the Pacific (AIFFP), as well as through contributions to the Asian Development Bank and </w:t>
      </w:r>
      <w:r w:rsidR="7706F71C">
        <w:t xml:space="preserve">the </w:t>
      </w:r>
      <w:r>
        <w:t>World Bank.</w:t>
      </w:r>
    </w:p>
    <w:p w14:paraId="1BDA78E8" w14:textId="2C919461" w:rsidR="05CF3180" w:rsidRDefault="1F4303A8" w:rsidP="00D573D9">
      <w:r>
        <w:t xml:space="preserve">In education, we will focus Australian support to deliver </w:t>
      </w:r>
      <w:r w:rsidR="7706F71C">
        <w:t>high-</w:t>
      </w:r>
      <w:r>
        <w:t xml:space="preserve">quality </w:t>
      </w:r>
      <w:r w:rsidR="00761613">
        <w:t>school</w:t>
      </w:r>
      <w:r>
        <w:t xml:space="preserve"> infrastructure across Solomon Islands, </w:t>
      </w:r>
      <w:r w:rsidR="11E2A6DC">
        <w:t>strengthen</w:t>
      </w:r>
      <w:r>
        <w:t xml:space="preserve"> </w:t>
      </w:r>
      <w:r w:rsidR="0868BF2A">
        <w:t xml:space="preserve">pre-service </w:t>
      </w:r>
      <w:r>
        <w:t>teacher training</w:t>
      </w:r>
      <w:r w:rsidR="343FAE22">
        <w:t xml:space="preserve">, and </w:t>
      </w:r>
      <w:r w:rsidR="380B0E35">
        <w:t xml:space="preserve">provide </w:t>
      </w:r>
      <w:r w:rsidR="1CA9B4C5">
        <w:t>long</w:t>
      </w:r>
      <w:r w:rsidR="3060CBFB">
        <w:t>-</w:t>
      </w:r>
      <w:r w:rsidR="1CA9B4C5">
        <w:t xml:space="preserve"> and short</w:t>
      </w:r>
      <w:r w:rsidR="3060CBFB">
        <w:t>-</w:t>
      </w:r>
      <w:r w:rsidR="1CA9B4C5">
        <w:t xml:space="preserve">term training opportunities aligned with </w:t>
      </w:r>
      <w:r w:rsidR="66793D69">
        <w:t>Solomon Islands’ skills needs.</w:t>
      </w:r>
    </w:p>
    <w:p w14:paraId="7FE4980A" w14:textId="70B571F1" w:rsidR="05CF3180" w:rsidRDefault="1F4303A8" w:rsidP="00D573D9">
      <w:r>
        <w:t xml:space="preserve">In health, our bilateral program </w:t>
      </w:r>
      <w:r w:rsidR="1A3E2C5A">
        <w:t xml:space="preserve">will </w:t>
      </w:r>
      <w:r>
        <w:t>target provincial health service delivery</w:t>
      </w:r>
      <w:r w:rsidR="1A3E2C5A">
        <w:t xml:space="preserve"> </w:t>
      </w:r>
      <w:r w:rsidR="7A94CEA5">
        <w:t>reduc</w:t>
      </w:r>
      <w:r w:rsidR="00761613">
        <w:t>ing</w:t>
      </w:r>
      <w:r w:rsidR="7A94CEA5">
        <w:t xml:space="preserve"> the need for people to take </w:t>
      </w:r>
      <w:r>
        <w:t>the expensive and long journey to Honiara</w:t>
      </w:r>
      <w:r w:rsidR="7A94CEA5">
        <w:t xml:space="preserve"> and relieve </w:t>
      </w:r>
      <w:r>
        <w:t xml:space="preserve">pressure on </w:t>
      </w:r>
      <w:r w:rsidR="17801860">
        <w:t xml:space="preserve">the </w:t>
      </w:r>
      <w:r>
        <w:t xml:space="preserve">overstretched National Referral Hospital. </w:t>
      </w:r>
      <w:r>
        <w:lastRenderedPageBreak/>
        <w:t>This effort will be supported by new regional health programming, including the Partnerships for a Healthy Region</w:t>
      </w:r>
      <w:r w:rsidR="008F3506">
        <w:t> </w:t>
      </w:r>
      <w:r w:rsidR="00943B09">
        <w:t>program</w:t>
      </w:r>
      <w:r>
        <w:t>.</w:t>
      </w:r>
    </w:p>
    <w:p w14:paraId="18D995DC" w14:textId="52630664" w:rsidR="008B708F" w:rsidRDefault="594E2DEF" w:rsidP="00D573D9">
      <w:r>
        <w:t xml:space="preserve">We will continue to support </w:t>
      </w:r>
      <w:r w:rsidR="09069185">
        <w:t xml:space="preserve">services for </w:t>
      </w:r>
      <w:r w:rsidR="554C24FA">
        <w:t>victim</w:t>
      </w:r>
      <w:r w:rsidR="71BD6F7D">
        <w:t>/</w:t>
      </w:r>
      <w:r w:rsidR="09069185">
        <w:t xml:space="preserve">survivors of gender-based violence </w:t>
      </w:r>
      <w:r w:rsidR="2E4083C3">
        <w:t xml:space="preserve">and </w:t>
      </w:r>
      <w:r w:rsidR="7B0A89ED">
        <w:t>will mainstream gender equality outcomes in all our investments</w:t>
      </w:r>
      <w:r>
        <w:t xml:space="preserve"> in Solomon Islands.</w:t>
      </w:r>
    </w:p>
    <w:p w14:paraId="15D42D10" w14:textId="0E02233A" w:rsidR="00E17683" w:rsidRPr="009C132B" w:rsidRDefault="6683DEA7" w:rsidP="00D573D9">
      <w:r>
        <w:t xml:space="preserve">Noting the localisation agenda, we have trebled our bilateral support for community infrastructure under our </w:t>
      </w:r>
      <w:r w:rsidR="43254822">
        <w:t xml:space="preserve">Solomon Islands – Australia </w:t>
      </w:r>
      <w:r>
        <w:t xml:space="preserve">Community Partnerships </w:t>
      </w:r>
      <w:r w:rsidR="43254822">
        <w:t>p</w:t>
      </w:r>
      <w:r>
        <w:t>rogram. This program supports locally</w:t>
      </w:r>
      <w:r w:rsidR="3060CBFB">
        <w:t xml:space="preserve"> </w:t>
      </w:r>
      <w:r>
        <w:t>led investments in infrastructure, with communities identifying where Australian support is best directed. Our localisation efforts have also been strengthened through our support to civil society organisations, including faith</w:t>
      </w:r>
      <w:r w:rsidR="160A6136">
        <w:t>-</w:t>
      </w:r>
      <w:r>
        <w:t>based organisations. With Australian support, these organisations can drive their own approach to achieve development outcomes.</w:t>
      </w:r>
    </w:p>
    <w:p w14:paraId="7ACB0A30" w14:textId="11778C9E" w:rsidR="00325C23" w:rsidRDefault="57C3947C" w:rsidP="00D573D9">
      <w:r>
        <w:t xml:space="preserve">Acknowledging the important role that a strong and dynamic civil society and media play in building and strengthening democracy, Australia will continue our civil society strengthening program and support </w:t>
      </w:r>
      <w:r w:rsidR="15AD2E90">
        <w:t xml:space="preserve">of </w:t>
      </w:r>
      <w:r>
        <w:t>local media institutions to amplify local voices.</w:t>
      </w:r>
    </w:p>
    <w:p w14:paraId="4C685925" w14:textId="3A40FBA0" w:rsidR="008B708F" w:rsidRDefault="008B708F" w:rsidP="00D573D9">
      <w:r w:rsidRPr="00447181">
        <w:t>We are supporting current and emerging leaders across all sectors of Solomon Islands to access leadership and professional development opportunities, building the capability of Solomon Islands’ leaders and strengthening people-to-people links.</w:t>
      </w:r>
    </w:p>
    <w:p w14:paraId="46DFAAB3" w14:textId="06C8BA3B" w:rsidR="00C90168" w:rsidRDefault="1D2F24F0" w:rsidP="00D573D9">
      <w:r>
        <w:t xml:space="preserve">Climate change is anticipated to exacerbate the impacts of disasters. </w:t>
      </w:r>
      <w:r w:rsidR="29299B2A">
        <w:t>Recognising</w:t>
      </w:r>
      <w:r w:rsidR="2E84526A">
        <w:t xml:space="preserve"> that</w:t>
      </w:r>
      <w:r w:rsidR="14726963">
        <w:t xml:space="preserve"> </w:t>
      </w:r>
      <w:r w:rsidR="2E84526A">
        <w:t>climate change and disasters are major impediment</w:t>
      </w:r>
      <w:r w:rsidR="7BB96FEB">
        <w:t>s</w:t>
      </w:r>
      <w:r w:rsidR="2E84526A">
        <w:t xml:space="preserve"> to the achievement of sustainable development goals</w:t>
      </w:r>
      <w:r w:rsidR="3262AE93">
        <w:t xml:space="preserve"> in Solomon Islands</w:t>
      </w:r>
      <w:r>
        <w:t>,</w:t>
      </w:r>
      <w:r w:rsidR="2E84526A">
        <w:t xml:space="preserve"> </w:t>
      </w:r>
      <w:r w:rsidR="4B1EBAFA">
        <w:t>we have increased our funding</w:t>
      </w:r>
      <w:r w:rsidR="4B5D708C">
        <w:t xml:space="preserve"> for climate change action and humanitarian </w:t>
      </w:r>
      <w:r w:rsidR="267C4CF7">
        <w:t xml:space="preserve">preparedness and </w:t>
      </w:r>
      <w:r w:rsidR="4B5D708C">
        <w:t>response</w:t>
      </w:r>
      <w:r w:rsidR="3751FE5A">
        <w:t xml:space="preserve">. </w:t>
      </w:r>
      <w:r w:rsidR="00C60C8A">
        <w:t xml:space="preserve">We are partnering with Solomon Islands to build significant new humanitarian warehousing and strengthen the operations of the National Disaster Management Office. </w:t>
      </w:r>
    </w:p>
    <w:p w14:paraId="2E80EFFF" w14:textId="091515B9" w:rsidR="00A45447" w:rsidRDefault="00380321" w:rsidP="00D573D9">
      <w:r>
        <w:t>W</w:t>
      </w:r>
      <w:r w:rsidR="081C1A70">
        <w:t>e will more closely integrat</w:t>
      </w:r>
      <w:r w:rsidR="1EF25028">
        <w:t>e</w:t>
      </w:r>
      <w:r w:rsidR="081C1A70">
        <w:t xml:space="preserve"> </w:t>
      </w:r>
      <w:r w:rsidR="00D46F7F">
        <w:t>the</w:t>
      </w:r>
      <w:r w:rsidR="00112FF0">
        <w:t xml:space="preserve"> Australian Government</w:t>
      </w:r>
      <w:r w:rsidR="00D46F7F">
        <w:t xml:space="preserve"> </w:t>
      </w:r>
      <w:r w:rsidR="4886B40F">
        <w:t xml:space="preserve">Department of Foreign Affairs and </w:t>
      </w:r>
      <w:r w:rsidR="00943B09">
        <w:t>Trade-</w:t>
      </w:r>
      <w:r w:rsidR="081C1A70">
        <w:t xml:space="preserve">led </w:t>
      </w:r>
      <w:r w:rsidR="1A1AA25A">
        <w:t xml:space="preserve">law and justice </w:t>
      </w:r>
      <w:r w:rsidR="081C1A70">
        <w:t>support with the R</w:t>
      </w:r>
      <w:r w:rsidR="704BFE24">
        <w:t xml:space="preserve">oyal </w:t>
      </w:r>
      <w:r w:rsidR="081C1A70">
        <w:t>S</w:t>
      </w:r>
      <w:r w:rsidR="704BFE24">
        <w:t xml:space="preserve">olomon </w:t>
      </w:r>
      <w:r w:rsidR="081C1A70">
        <w:t>I</w:t>
      </w:r>
      <w:r w:rsidR="704BFE24">
        <w:t xml:space="preserve">slands </w:t>
      </w:r>
      <w:r w:rsidR="081C1A70">
        <w:t>P</w:t>
      </w:r>
      <w:r w:rsidR="704BFE24">
        <w:t xml:space="preserve">olice </w:t>
      </w:r>
      <w:r w:rsidR="081C1A70">
        <w:t>F</w:t>
      </w:r>
      <w:r w:rsidR="704BFE24">
        <w:t xml:space="preserve">orce </w:t>
      </w:r>
      <w:r w:rsidR="059FB740">
        <w:t>and</w:t>
      </w:r>
      <w:r w:rsidR="303E787B">
        <w:t xml:space="preserve"> </w:t>
      </w:r>
      <w:r w:rsidR="2A8B2DE6">
        <w:t xml:space="preserve">Australian Federal Police </w:t>
      </w:r>
      <w:r w:rsidR="081C1A70">
        <w:t>Policing Partnership Program (RAPPP)</w:t>
      </w:r>
      <w:r w:rsidR="3D2F167E">
        <w:t xml:space="preserve"> to </w:t>
      </w:r>
      <w:r w:rsidR="1B5EC4A5">
        <w:t>bolster</w:t>
      </w:r>
      <w:r w:rsidR="6F7CE6DA">
        <w:t xml:space="preserve"> </w:t>
      </w:r>
      <w:r w:rsidR="729E087B">
        <w:t>stability and security in So</w:t>
      </w:r>
      <w:r w:rsidR="6CD7FF49">
        <w:t>lomon Islands</w:t>
      </w:r>
      <w:r w:rsidR="729E087B">
        <w:t xml:space="preserve">. </w:t>
      </w:r>
      <w:r w:rsidR="729E087B" w:rsidRPr="00A7412F">
        <w:t>This includes strengthen</w:t>
      </w:r>
      <w:r w:rsidR="1B008F75" w:rsidRPr="00A7412F">
        <w:t>ing the</w:t>
      </w:r>
      <w:r w:rsidR="729E087B" w:rsidRPr="00A7412F">
        <w:t xml:space="preserve"> </w:t>
      </w:r>
      <w:r w:rsidR="6F7CE6DA" w:rsidRPr="00A7412F">
        <w:t>rule of law</w:t>
      </w:r>
      <w:r w:rsidR="68C07762" w:rsidRPr="00A7412F">
        <w:t xml:space="preserve">, improving </w:t>
      </w:r>
      <w:r w:rsidR="6F7CE6DA" w:rsidRPr="00A7412F">
        <w:t>access to</w:t>
      </w:r>
      <w:r w:rsidR="3D2F167E" w:rsidRPr="00A7412F">
        <w:t xml:space="preserve"> justice services for all Solomon Islanders</w:t>
      </w:r>
      <w:r w:rsidR="11BAF8AF" w:rsidRPr="00A7412F">
        <w:t xml:space="preserve"> and enhancing</w:t>
      </w:r>
      <w:r w:rsidR="6A10A6A2" w:rsidRPr="00A7412F">
        <w:t xml:space="preserve"> law enforcement capabilities</w:t>
      </w:r>
      <w:r w:rsidR="081C1A70" w:rsidRPr="00A7412F">
        <w:t>.</w:t>
      </w:r>
      <w:r w:rsidR="00CA548A">
        <w:t xml:space="preserve"> </w:t>
      </w:r>
      <w:r w:rsidR="00546062" w:rsidRPr="00546062">
        <w:t xml:space="preserve">Recognising the important role the Royal Solomon Islands Police Force (RSIPF) plays in Solomon Islands’ security and stability, we have set a new foundation in our security partnership through the landmark 2024 agreement to expand the size and capability of the </w:t>
      </w:r>
      <w:r w:rsidR="00885E2B">
        <w:t>RSIPF</w:t>
      </w:r>
      <w:r w:rsidR="00546062" w:rsidRPr="00546062">
        <w:t xml:space="preserve"> in response to a direct request from the Solomon Islands Government</w:t>
      </w:r>
      <w:r w:rsidR="00546062">
        <w:t>.</w:t>
      </w:r>
      <w:r w:rsidR="00C32B0B">
        <w:t xml:space="preserve"> </w:t>
      </w:r>
    </w:p>
    <w:p w14:paraId="596120FE" w14:textId="41AF5E14" w:rsidR="7E5DAF58" w:rsidRDefault="38FD5E50" w:rsidP="00D573D9">
      <w:r>
        <w:t xml:space="preserve">The Defence Cooperation Program will continue partnering with the RSIPF to boost its maritime security, explosive ordnance disposal, infrastructure and humanitarian assistance and disaster relief capabilities. </w:t>
      </w:r>
      <w:r w:rsidR="5F87FA20">
        <w:t xml:space="preserve">We </w:t>
      </w:r>
      <w:r w:rsidR="001F2999">
        <w:t>are also continuing to</w:t>
      </w:r>
      <w:r w:rsidR="5F87FA20">
        <w:t xml:space="preserve"> expand </w:t>
      </w:r>
      <w:r w:rsidR="7A7E30AA">
        <w:t xml:space="preserve">our non-policing </w:t>
      </w:r>
      <w:r w:rsidR="5F87FA20">
        <w:t>security</w:t>
      </w:r>
      <w:r w:rsidR="00966C92">
        <w:t xml:space="preserve"> assistance</w:t>
      </w:r>
      <w:r w:rsidR="5F87FA20">
        <w:t xml:space="preserve"> to support ne</w:t>
      </w:r>
      <w:r w:rsidR="19A8BA4A">
        <w:t>w initiatives to bolster Solomon Islands</w:t>
      </w:r>
      <w:r w:rsidR="00AC7B39">
        <w:t>’</w:t>
      </w:r>
      <w:r w:rsidR="5F87FA20">
        <w:t xml:space="preserve"> cyber resilience and border security. </w:t>
      </w:r>
    </w:p>
    <w:p w14:paraId="4102949D" w14:textId="77777777" w:rsidR="00562680" w:rsidRPr="004D6EFE" w:rsidRDefault="00562680" w:rsidP="00B25597">
      <w:r w:rsidRPr="004D6EFE">
        <w:br w:type="page"/>
      </w:r>
    </w:p>
    <w:p w14:paraId="09793E49" w14:textId="6BCF0A42" w:rsidR="002F4955" w:rsidRDefault="005F7323" w:rsidP="00275453">
      <w:pPr>
        <w:pStyle w:val="H2-Heading2"/>
        <w:spacing w:before="0"/>
      </w:pPr>
      <w:r w:rsidRPr="001B6539">
        <w:lastRenderedPageBreak/>
        <w:t xml:space="preserve">Section 2: </w:t>
      </w:r>
      <w:r w:rsidR="0061068D">
        <w:t>Solomon Islands</w:t>
      </w:r>
      <w:r w:rsidRPr="001B6539">
        <w:t xml:space="preserve"> </w:t>
      </w:r>
      <w:r w:rsidR="00F24643" w:rsidRPr="001B6539">
        <w:t xml:space="preserve">development context </w:t>
      </w:r>
      <w:r w:rsidRPr="001B6539">
        <w:t>and Australian</w:t>
      </w:r>
      <w:r w:rsidR="00EE78F1">
        <w:t> </w:t>
      </w:r>
      <w:r w:rsidR="00F24643" w:rsidRPr="001B6539">
        <w:t>partnership</w:t>
      </w:r>
    </w:p>
    <w:p w14:paraId="41476DED" w14:textId="6623337F" w:rsidR="00900F0C" w:rsidRDefault="00900F0C" w:rsidP="00B25597">
      <w:r w:rsidRPr="7A9B7CEE">
        <w:t xml:space="preserve">Australia is proud to be Solomon </w:t>
      </w:r>
      <w:r w:rsidRPr="4992F093">
        <w:t>Islands</w:t>
      </w:r>
      <w:r w:rsidR="0040257C">
        <w:t>’</w:t>
      </w:r>
      <w:r w:rsidRPr="7A9B7CEE">
        <w:t xml:space="preserve"> number one partner</w:t>
      </w:r>
      <w:r w:rsidR="0040257C">
        <w:t xml:space="preserve">. Our </w:t>
      </w:r>
      <w:r w:rsidR="00D554F1">
        <w:t xml:space="preserve">broad-based </w:t>
      </w:r>
      <w:r w:rsidR="0040257C">
        <w:t>work</w:t>
      </w:r>
      <w:r>
        <w:t xml:space="preserve"> </w:t>
      </w:r>
      <w:r w:rsidRPr="7A9B7CEE">
        <w:t>span</w:t>
      </w:r>
      <w:r w:rsidR="0040257C">
        <w:t>s</w:t>
      </w:r>
      <w:r w:rsidRPr="7A9B7CEE">
        <w:t xml:space="preserve"> human and economic development and security. Our relationship is based on shared values, community links and mutual respect, nurtured through </w:t>
      </w:r>
      <w:r w:rsidRPr="009B1D37">
        <w:t>institutional, education, cultural, church and sporting relationships, and diaspora connections.</w:t>
      </w:r>
    </w:p>
    <w:p w14:paraId="5E83B400" w14:textId="02F16B85" w:rsidR="00366B46" w:rsidRPr="0020274E" w:rsidRDefault="00366B46" w:rsidP="00D573D9">
      <w:pPr>
        <w:pStyle w:val="H3-Heading3"/>
      </w:pPr>
      <w:r>
        <w:t xml:space="preserve">Solomon Islands National Development </w:t>
      </w:r>
      <w:r w:rsidRPr="008C62DA">
        <w:t>Strategy</w:t>
      </w:r>
    </w:p>
    <w:p w14:paraId="6C50ED45" w14:textId="2C43051E" w:rsidR="00900F0C" w:rsidRPr="009B1D37" w:rsidRDefault="256AAFB8" w:rsidP="00B25597">
      <w:pPr>
        <w:rPr>
          <w:lang w:eastAsia="en-AU"/>
        </w:rPr>
      </w:pPr>
      <w:r w:rsidRPr="009B1D37">
        <w:rPr>
          <w:lang w:eastAsia="en-AU"/>
        </w:rPr>
        <w:t xml:space="preserve">The Solomon Islands Government has a clear vision for </w:t>
      </w:r>
      <w:r w:rsidR="1A6FDF0E">
        <w:rPr>
          <w:lang w:eastAsia="en-AU"/>
        </w:rPr>
        <w:t xml:space="preserve">the country’s </w:t>
      </w:r>
      <w:r w:rsidRPr="009B1D37">
        <w:rPr>
          <w:lang w:eastAsia="en-AU"/>
        </w:rPr>
        <w:t>long-term development. Its National Development Strategy 2016</w:t>
      </w:r>
      <w:r w:rsidR="7E1CC7DA">
        <w:rPr>
          <w:lang w:eastAsia="en-AU"/>
        </w:rPr>
        <w:t>–</w:t>
      </w:r>
      <w:r w:rsidRPr="009B1D37">
        <w:rPr>
          <w:lang w:eastAsia="en-AU"/>
        </w:rPr>
        <w:t>2035 sets out the country’s priorities for advancing human and economic development and ensuring peace and security. The National Development Strategy identifies five key long-term objectives:</w:t>
      </w:r>
      <w:r w:rsidR="001B26D9">
        <w:rPr>
          <w:rStyle w:val="EndnoteReference"/>
          <w:lang w:eastAsia="en-AU"/>
        </w:rPr>
        <w:endnoteReference w:id="2"/>
      </w:r>
    </w:p>
    <w:p w14:paraId="77AB578A" w14:textId="45B61437" w:rsidR="00900F0C" w:rsidRPr="009B1D37" w:rsidRDefault="004D7DAA" w:rsidP="00D573D9">
      <w:pPr>
        <w:pStyle w:val="NormalBullets-L1"/>
      </w:pPr>
      <w:r>
        <w:t>s</w:t>
      </w:r>
      <w:r w:rsidR="00900F0C" w:rsidRPr="009B1D37">
        <w:t>ustained and inclusive economic growth</w:t>
      </w:r>
    </w:p>
    <w:p w14:paraId="034A437F" w14:textId="6606D9A7" w:rsidR="00900F0C" w:rsidRPr="009B1D37" w:rsidRDefault="004D7DAA" w:rsidP="00D573D9">
      <w:pPr>
        <w:pStyle w:val="NormalBullets-L1"/>
      </w:pPr>
      <w:r>
        <w:t>p</w:t>
      </w:r>
      <w:r w:rsidR="00900F0C" w:rsidRPr="009B1D37">
        <w:t>overty alleviated across the whole of Solomon Islands, basic needs addressed and food security improved; benefits of development more equitably distributed</w:t>
      </w:r>
    </w:p>
    <w:p w14:paraId="530C0413" w14:textId="41C3496F" w:rsidR="00900F0C" w:rsidRPr="009B1D37" w:rsidRDefault="00251991" w:rsidP="00D573D9">
      <w:pPr>
        <w:pStyle w:val="NormalBullets-L1"/>
      </w:pPr>
      <w:r>
        <w:t>a</w:t>
      </w:r>
      <w:r w:rsidR="00900F0C" w:rsidRPr="009B1D37">
        <w:t>ll Solomon Islanders have access to quality health and education</w:t>
      </w:r>
    </w:p>
    <w:p w14:paraId="0F053BCD" w14:textId="6222E018" w:rsidR="00900F0C" w:rsidRPr="009B1D37" w:rsidRDefault="00251991" w:rsidP="00D573D9">
      <w:pPr>
        <w:pStyle w:val="NormalBullets-L1"/>
      </w:pPr>
      <w:r>
        <w:t>r</w:t>
      </w:r>
      <w:r w:rsidR="00900F0C" w:rsidRPr="009B1D37">
        <w:t>esilient and environmentally sustainable development with effective disaster risk management, response and recovery</w:t>
      </w:r>
    </w:p>
    <w:p w14:paraId="56D3EB5B" w14:textId="1E950EFF" w:rsidR="00900F0C" w:rsidRDefault="00251991" w:rsidP="00D573D9">
      <w:pPr>
        <w:pStyle w:val="NormalBullets-L1"/>
      </w:pPr>
      <w:r>
        <w:t>u</w:t>
      </w:r>
      <w:r w:rsidR="00900F0C" w:rsidRPr="009B1D37">
        <w:t>nified nation with stable and effective governance and public order</w:t>
      </w:r>
      <w:r w:rsidR="00BB7CDD">
        <w:t>.</w:t>
      </w:r>
    </w:p>
    <w:p w14:paraId="70DAD82E" w14:textId="78CFB93F" w:rsidR="00366B46" w:rsidRPr="00436112" w:rsidRDefault="00366B46" w:rsidP="00D573D9">
      <w:pPr>
        <w:pStyle w:val="H3-Heading3"/>
        <w:rPr>
          <w:lang w:eastAsia="en-AU"/>
        </w:rPr>
      </w:pPr>
      <w:r w:rsidRPr="30F9C08F">
        <w:rPr>
          <w:lang w:eastAsia="en-AU"/>
        </w:rPr>
        <w:t>Pressures arising from a young and fast-growing population</w:t>
      </w:r>
    </w:p>
    <w:p w14:paraId="7EC375FE" w14:textId="29389F53" w:rsidR="009D0E1B" w:rsidRDefault="63581253" w:rsidP="5E9A30D3">
      <w:pPr>
        <w:rPr>
          <w:lang w:eastAsia="en-AU"/>
        </w:rPr>
      </w:pPr>
      <w:r w:rsidRPr="009B1D37">
        <w:rPr>
          <w:lang w:eastAsia="en-AU"/>
        </w:rPr>
        <w:t>Solomon Islands has high levels of cultural diversity with strong reliance on traditional practices</w:t>
      </w:r>
      <w:r>
        <w:rPr>
          <w:lang w:eastAsia="en-AU"/>
        </w:rPr>
        <w:t>, including subsistence agriculture,</w:t>
      </w:r>
      <w:r w:rsidRPr="009B1D37">
        <w:rPr>
          <w:lang w:eastAsia="en-AU"/>
        </w:rPr>
        <w:t xml:space="preserve"> and strong community bonds</w:t>
      </w:r>
      <w:r w:rsidR="001D6B60">
        <w:rPr>
          <w:lang w:eastAsia="en-AU"/>
        </w:rPr>
        <w:t>,</w:t>
      </w:r>
      <w:r w:rsidR="6EF92A82">
        <w:rPr>
          <w:lang w:eastAsia="en-AU"/>
        </w:rPr>
        <w:t xml:space="preserve"> including</w:t>
      </w:r>
      <w:r>
        <w:rPr>
          <w:lang w:eastAsia="en-AU"/>
        </w:rPr>
        <w:t xml:space="preserve"> </w:t>
      </w:r>
      <w:r w:rsidR="6F3B1BB6">
        <w:rPr>
          <w:lang w:eastAsia="en-AU"/>
        </w:rPr>
        <w:t>via</w:t>
      </w:r>
      <w:r>
        <w:rPr>
          <w:lang w:eastAsia="en-AU"/>
        </w:rPr>
        <w:t xml:space="preserve"> the </w:t>
      </w:r>
      <w:r w:rsidR="6F3B1BB6">
        <w:rPr>
          <w:lang w:eastAsia="en-AU"/>
        </w:rPr>
        <w:t>‘</w:t>
      </w:r>
      <w:r>
        <w:rPr>
          <w:lang w:eastAsia="en-AU"/>
        </w:rPr>
        <w:t>w</w:t>
      </w:r>
      <w:r w:rsidR="2C76E211">
        <w:rPr>
          <w:lang w:eastAsia="en-AU"/>
        </w:rPr>
        <w:t>a</w:t>
      </w:r>
      <w:r>
        <w:rPr>
          <w:lang w:eastAsia="en-AU"/>
        </w:rPr>
        <w:t>ntok system</w:t>
      </w:r>
      <w:r w:rsidR="6F3B1BB6">
        <w:rPr>
          <w:lang w:eastAsia="en-AU"/>
        </w:rPr>
        <w:t>’</w:t>
      </w:r>
      <w:r>
        <w:rPr>
          <w:lang w:eastAsia="en-AU"/>
        </w:rPr>
        <w:t xml:space="preserve"> which support</w:t>
      </w:r>
      <w:r w:rsidR="6F3B1BB6">
        <w:rPr>
          <w:lang w:eastAsia="en-AU"/>
        </w:rPr>
        <w:t>s</w:t>
      </w:r>
      <w:r>
        <w:rPr>
          <w:lang w:eastAsia="en-AU"/>
        </w:rPr>
        <w:t xml:space="preserve"> individuals in the absence of a formal social security net.</w:t>
      </w:r>
      <w:r w:rsidR="00FE6E2E">
        <w:rPr>
          <w:lang w:eastAsia="en-AU"/>
        </w:rPr>
        <w:t xml:space="preserve"> </w:t>
      </w:r>
      <w:r w:rsidR="00FE6E2E" w:rsidRPr="14011E02">
        <w:rPr>
          <w:rFonts w:eastAsia="Calibri Light" w:cs="Calibri Light"/>
        </w:rPr>
        <w:t>The proportion of the employment-aged population still living below the international poverty line (USD2.15</w:t>
      </w:r>
      <w:r w:rsidR="008325B4">
        <w:rPr>
          <w:rFonts w:eastAsia="Calibri Light" w:cs="Calibri Light"/>
        </w:rPr>
        <w:t> </w:t>
      </w:r>
      <w:r w:rsidR="00FE6E2E" w:rsidRPr="14011E02">
        <w:rPr>
          <w:rFonts w:eastAsia="Calibri Light" w:cs="Calibri Light"/>
        </w:rPr>
        <w:t>PPP per day) is estimated to be around 35</w:t>
      </w:r>
      <w:r w:rsidR="008325B4">
        <w:rPr>
          <w:rFonts w:eastAsia="Calibri Light" w:cs="Calibri Light"/>
        </w:rPr>
        <w:t> </w:t>
      </w:r>
      <w:r w:rsidR="00FE6E2E" w:rsidRPr="14011E02">
        <w:rPr>
          <w:rFonts w:eastAsia="Calibri Light" w:cs="Calibri Light"/>
        </w:rPr>
        <w:t>per cent</w:t>
      </w:r>
      <w:r w:rsidR="00B21412">
        <w:rPr>
          <w:rFonts w:eastAsia="Calibri Light" w:cs="Calibri Light"/>
        </w:rPr>
        <w:t>.</w:t>
      </w:r>
      <w:r w:rsidR="009D0E1B">
        <w:rPr>
          <w:rStyle w:val="EndnoteReference"/>
          <w:rFonts w:eastAsia="Calibri Light" w:cs="Calibri Light"/>
        </w:rPr>
        <w:endnoteReference w:id="3"/>
      </w:r>
    </w:p>
    <w:p w14:paraId="73436529" w14:textId="7C4503D9" w:rsidR="004F6E8D" w:rsidRDefault="007C2C5E" w:rsidP="00B25597">
      <w:pPr>
        <w:rPr>
          <w:lang w:eastAsia="en-AU"/>
        </w:rPr>
      </w:pPr>
      <w:r>
        <w:rPr>
          <w:lang w:eastAsia="en-AU"/>
        </w:rPr>
        <w:t>Solomon Islands</w:t>
      </w:r>
      <w:r w:rsidR="00B36E7F" w:rsidRPr="009B1D37">
        <w:rPr>
          <w:lang w:eastAsia="en-AU"/>
        </w:rPr>
        <w:t xml:space="preserve"> has </w:t>
      </w:r>
      <w:r w:rsidR="00A72A47" w:rsidRPr="00E82723">
        <w:rPr>
          <w:lang w:eastAsia="en-AU"/>
        </w:rPr>
        <w:t xml:space="preserve">a </w:t>
      </w:r>
      <w:r w:rsidR="00A72A47" w:rsidRPr="00D573D9">
        <w:rPr>
          <w:lang w:eastAsia="en-AU"/>
        </w:rPr>
        <w:t>young and growing population</w:t>
      </w:r>
      <w:r w:rsidR="008345B8">
        <w:rPr>
          <w:lang w:eastAsia="en-AU"/>
        </w:rPr>
        <w:t>.</w:t>
      </w:r>
      <w:r w:rsidR="008345B8" w:rsidRPr="009B1D37">
        <w:rPr>
          <w:lang w:eastAsia="en-AU"/>
        </w:rPr>
        <w:t xml:space="preserve"> </w:t>
      </w:r>
      <w:r w:rsidR="008345B8">
        <w:rPr>
          <w:lang w:eastAsia="en-AU"/>
        </w:rPr>
        <w:t>M</w:t>
      </w:r>
      <w:r w:rsidR="007C74A7">
        <w:rPr>
          <w:lang w:eastAsia="en-AU"/>
        </w:rPr>
        <w:t xml:space="preserve">ore than </w:t>
      </w:r>
      <w:r w:rsidR="00B36E7F" w:rsidRPr="009B1D37">
        <w:rPr>
          <w:lang w:eastAsia="en-AU"/>
        </w:rPr>
        <w:t>59</w:t>
      </w:r>
      <w:r w:rsidR="007C74A7">
        <w:rPr>
          <w:lang w:eastAsia="en-AU"/>
        </w:rPr>
        <w:t> </w:t>
      </w:r>
      <w:r w:rsidR="00B36E7F" w:rsidRPr="009B1D37">
        <w:rPr>
          <w:lang w:eastAsia="en-AU"/>
        </w:rPr>
        <w:t xml:space="preserve">per cent of the population </w:t>
      </w:r>
      <w:r w:rsidR="0001745B">
        <w:rPr>
          <w:lang w:eastAsia="en-AU"/>
        </w:rPr>
        <w:t xml:space="preserve">is aged </w:t>
      </w:r>
      <w:r w:rsidR="00B36E7F" w:rsidRPr="009B1D37">
        <w:rPr>
          <w:lang w:eastAsia="en-AU"/>
        </w:rPr>
        <w:t>under 24</w:t>
      </w:r>
      <w:r w:rsidR="007C74A7">
        <w:rPr>
          <w:lang w:eastAsia="en-AU"/>
        </w:rPr>
        <w:t> </w:t>
      </w:r>
      <w:r w:rsidR="00B36E7F" w:rsidRPr="009B1D37">
        <w:rPr>
          <w:lang w:eastAsia="en-AU"/>
        </w:rPr>
        <w:t xml:space="preserve">years </w:t>
      </w:r>
      <w:r w:rsidR="00A72A47">
        <w:rPr>
          <w:lang w:eastAsia="en-AU"/>
        </w:rPr>
        <w:t xml:space="preserve">and </w:t>
      </w:r>
      <w:r w:rsidR="0001745B">
        <w:rPr>
          <w:lang w:eastAsia="en-AU"/>
        </w:rPr>
        <w:t xml:space="preserve">the </w:t>
      </w:r>
      <w:r w:rsidR="00A72A47">
        <w:rPr>
          <w:lang w:eastAsia="en-AU"/>
        </w:rPr>
        <w:t xml:space="preserve">total population </w:t>
      </w:r>
      <w:r w:rsidR="0001745B">
        <w:rPr>
          <w:lang w:eastAsia="en-AU"/>
        </w:rPr>
        <w:t xml:space="preserve">is </w:t>
      </w:r>
      <w:r w:rsidR="00A72A47">
        <w:rPr>
          <w:lang w:eastAsia="en-AU"/>
        </w:rPr>
        <w:t>projected to grow from around</w:t>
      </w:r>
      <w:r w:rsidR="0011078D">
        <w:rPr>
          <w:lang w:eastAsia="en-AU"/>
        </w:rPr>
        <w:t xml:space="preserve"> 720,000</w:t>
      </w:r>
      <w:r w:rsidR="004C655F">
        <w:rPr>
          <w:lang w:eastAsia="en-AU"/>
        </w:rPr>
        <w:t xml:space="preserve"> in 2019</w:t>
      </w:r>
      <w:r w:rsidR="0011078D">
        <w:rPr>
          <w:lang w:eastAsia="en-AU"/>
        </w:rPr>
        <w:t xml:space="preserve"> </w:t>
      </w:r>
      <w:r w:rsidR="00B36E7F" w:rsidRPr="009B1D37">
        <w:rPr>
          <w:lang w:eastAsia="en-AU"/>
        </w:rPr>
        <w:t xml:space="preserve">to </w:t>
      </w:r>
      <w:r w:rsidR="007C74A7">
        <w:rPr>
          <w:lang w:eastAsia="en-AU"/>
        </w:rPr>
        <w:t xml:space="preserve">more than </w:t>
      </w:r>
      <w:r w:rsidR="00B36E7F" w:rsidRPr="009B1D37">
        <w:rPr>
          <w:lang w:eastAsia="en-AU"/>
        </w:rPr>
        <w:t>1.3</w:t>
      </w:r>
      <w:r w:rsidR="007C74A7">
        <w:rPr>
          <w:lang w:eastAsia="en-AU"/>
        </w:rPr>
        <w:t> </w:t>
      </w:r>
      <w:r w:rsidR="00B36E7F" w:rsidRPr="009B1D37">
        <w:rPr>
          <w:lang w:eastAsia="en-AU"/>
        </w:rPr>
        <w:t>million by 2050</w:t>
      </w:r>
      <w:r w:rsidR="00EE275A">
        <w:rPr>
          <w:lang w:eastAsia="en-AU"/>
        </w:rPr>
        <w:t>.</w:t>
      </w:r>
      <w:r w:rsidR="009C3E4A">
        <w:rPr>
          <w:rStyle w:val="EndnoteReference"/>
          <w:lang w:eastAsia="en-AU"/>
        </w:rPr>
        <w:endnoteReference w:id="4"/>
      </w:r>
      <w:r w:rsidR="00B36E7F" w:rsidRPr="009B1D37">
        <w:rPr>
          <w:lang w:eastAsia="en-AU"/>
        </w:rPr>
        <w:t xml:space="preserve"> </w:t>
      </w:r>
      <w:r w:rsidR="00176B6F">
        <w:rPr>
          <w:lang w:eastAsia="en-AU"/>
        </w:rPr>
        <w:t>P</w:t>
      </w:r>
      <w:r w:rsidR="007F67A4" w:rsidRPr="009B1D37">
        <w:rPr>
          <w:lang w:eastAsia="en-AU"/>
        </w:rPr>
        <w:t>opulation growth is outstripping economic growth</w:t>
      </w:r>
      <w:r w:rsidR="008345B8">
        <w:rPr>
          <w:lang w:eastAsia="en-AU"/>
        </w:rPr>
        <w:t>,</w:t>
      </w:r>
      <w:r w:rsidR="00176B6F">
        <w:rPr>
          <w:lang w:eastAsia="en-AU"/>
        </w:rPr>
        <w:t xml:space="preserve"> leading to </w:t>
      </w:r>
      <w:r w:rsidR="002E77F0">
        <w:rPr>
          <w:lang w:eastAsia="en-AU"/>
        </w:rPr>
        <w:t xml:space="preserve">high unemployment and </w:t>
      </w:r>
      <w:r w:rsidR="00176B6F">
        <w:rPr>
          <w:lang w:eastAsia="en-AU"/>
        </w:rPr>
        <w:t xml:space="preserve">challenges </w:t>
      </w:r>
      <w:r w:rsidR="00D748DC">
        <w:rPr>
          <w:lang w:eastAsia="en-AU"/>
        </w:rPr>
        <w:t xml:space="preserve">in </w:t>
      </w:r>
      <w:r w:rsidR="00176B6F">
        <w:rPr>
          <w:lang w:eastAsia="en-AU"/>
        </w:rPr>
        <w:t>delivering services</w:t>
      </w:r>
      <w:r w:rsidR="007F67A4" w:rsidRPr="009B1D37">
        <w:rPr>
          <w:lang w:eastAsia="en-AU"/>
        </w:rPr>
        <w:t>.</w:t>
      </w:r>
      <w:r w:rsidR="007F67A4">
        <w:rPr>
          <w:lang w:eastAsia="en-AU"/>
        </w:rPr>
        <w:t xml:space="preserve"> </w:t>
      </w:r>
      <w:r w:rsidR="002E77F0">
        <w:rPr>
          <w:lang w:eastAsia="en-AU"/>
        </w:rPr>
        <w:t xml:space="preserve">Most of </w:t>
      </w:r>
      <w:r w:rsidR="00BE0F39" w:rsidRPr="009B1D37">
        <w:rPr>
          <w:lang w:eastAsia="en-AU"/>
        </w:rPr>
        <w:t>the population live</w:t>
      </w:r>
      <w:r w:rsidR="002E77F0">
        <w:rPr>
          <w:lang w:eastAsia="en-AU"/>
        </w:rPr>
        <w:t>s</w:t>
      </w:r>
      <w:r w:rsidR="00BE0F39" w:rsidRPr="009B1D37">
        <w:rPr>
          <w:lang w:eastAsia="en-AU"/>
        </w:rPr>
        <w:t xml:space="preserve"> in low-elevation coastal zones </w:t>
      </w:r>
      <w:r w:rsidR="001B45F6">
        <w:rPr>
          <w:lang w:eastAsia="en-AU"/>
        </w:rPr>
        <w:t xml:space="preserve">that are </w:t>
      </w:r>
      <w:r w:rsidR="00BE0F39" w:rsidRPr="009B1D37">
        <w:rPr>
          <w:lang w:eastAsia="en-AU"/>
        </w:rPr>
        <w:t>highly vulnerable to rising sea levels and disasters</w:t>
      </w:r>
      <w:r w:rsidR="00EB3230">
        <w:rPr>
          <w:lang w:eastAsia="en-AU"/>
        </w:rPr>
        <w:t>,</w:t>
      </w:r>
      <w:r w:rsidR="00176B6F">
        <w:rPr>
          <w:lang w:eastAsia="en-AU"/>
        </w:rPr>
        <w:t xml:space="preserve"> and the population is highly dispersed across the n</w:t>
      </w:r>
      <w:r w:rsidR="441E2BD1">
        <w:rPr>
          <w:lang w:eastAsia="en-AU"/>
        </w:rPr>
        <w:t>ine</w:t>
      </w:r>
      <w:r w:rsidR="00176B6F">
        <w:rPr>
          <w:lang w:eastAsia="en-AU"/>
        </w:rPr>
        <w:t xml:space="preserve"> provinces.</w:t>
      </w:r>
    </w:p>
    <w:p w14:paraId="15EFA752" w14:textId="2D1FC793" w:rsidR="00900F0C" w:rsidRPr="00CA0D55" w:rsidRDefault="004F6E8D" w:rsidP="00B25597">
      <w:pPr>
        <w:rPr>
          <w:lang w:eastAsia="en-AU"/>
        </w:rPr>
      </w:pPr>
      <w:r w:rsidRPr="4DE8A1FC">
        <w:rPr>
          <w:lang w:eastAsia="en-AU"/>
        </w:rPr>
        <w:t>U</w:t>
      </w:r>
      <w:r w:rsidR="00742AC0" w:rsidRPr="4DE8A1FC">
        <w:rPr>
          <w:lang w:eastAsia="en-AU"/>
        </w:rPr>
        <w:t>neven development and limited economic opportunities across the provinces have driven Honiar</w:t>
      </w:r>
      <w:r w:rsidR="00742AC0" w:rsidRPr="00D573D9">
        <w:t>a’s rapid urbanisation</w:t>
      </w:r>
      <w:r w:rsidR="00742AC0" w:rsidRPr="4DE8A1FC">
        <w:rPr>
          <w:lang w:eastAsia="en-AU"/>
        </w:rPr>
        <w:t xml:space="preserve"> (27</w:t>
      </w:r>
      <w:r w:rsidR="008F4916">
        <w:rPr>
          <w:lang w:eastAsia="en-AU"/>
        </w:rPr>
        <w:t> </w:t>
      </w:r>
      <w:r w:rsidR="00742AC0" w:rsidRPr="4DE8A1FC">
        <w:rPr>
          <w:lang w:eastAsia="en-AU"/>
        </w:rPr>
        <w:t xml:space="preserve">per cent of the </w:t>
      </w:r>
      <w:r w:rsidR="007C0ACE">
        <w:rPr>
          <w:lang w:eastAsia="en-AU"/>
        </w:rPr>
        <w:t xml:space="preserve">national </w:t>
      </w:r>
      <w:r w:rsidR="00742AC0" w:rsidRPr="4DE8A1FC">
        <w:rPr>
          <w:lang w:eastAsia="en-AU"/>
        </w:rPr>
        <w:t xml:space="preserve">population </w:t>
      </w:r>
      <w:r w:rsidR="000404A7">
        <w:rPr>
          <w:lang w:eastAsia="en-AU"/>
        </w:rPr>
        <w:t>according to the</w:t>
      </w:r>
      <w:r w:rsidR="00742AC0" w:rsidRPr="4DE8A1FC">
        <w:rPr>
          <w:lang w:eastAsia="en-AU"/>
        </w:rPr>
        <w:t xml:space="preserve"> 2019 census</w:t>
      </w:r>
      <w:r w:rsidR="004C77A7">
        <w:rPr>
          <w:rStyle w:val="EndnoteReference"/>
          <w:lang w:eastAsia="en-AU"/>
        </w:rPr>
        <w:endnoteReference w:id="5"/>
      </w:r>
      <w:r w:rsidR="00742AC0" w:rsidRPr="4DE8A1FC">
        <w:rPr>
          <w:lang w:eastAsia="en-AU"/>
        </w:rPr>
        <w:t xml:space="preserve">) resulting in high </w:t>
      </w:r>
      <w:r w:rsidR="00B55D40" w:rsidRPr="4DE8A1FC">
        <w:rPr>
          <w:lang w:eastAsia="en-AU"/>
        </w:rPr>
        <w:t xml:space="preserve">urban </w:t>
      </w:r>
      <w:r w:rsidR="00742AC0" w:rsidRPr="4DE8A1FC">
        <w:rPr>
          <w:lang w:eastAsia="en-AU"/>
        </w:rPr>
        <w:t>unemployment, particularly among youth</w:t>
      </w:r>
      <w:r w:rsidR="00B55D40" w:rsidRPr="4DE8A1FC">
        <w:rPr>
          <w:lang w:eastAsia="en-AU"/>
        </w:rPr>
        <w:t>, which is a risk for stability</w:t>
      </w:r>
      <w:r w:rsidR="00742AC0" w:rsidRPr="4DE8A1FC">
        <w:rPr>
          <w:lang w:eastAsia="en-AU"/>
        </w:rPr>
        <w:t>.</w:t>
      </w:r>
    </w:p>
    <w:p w14:paraId="70004797" w14:textId="3912E740" w:rsidR="00900F0C" w:rsidRPr="009B1D37" w:rsidRDefault="51F8D88B" w:rsidP="00D573D9">
      <w:pPr>
        <w:pStyle w:val="H3-Heading3"/>
        <w:rPr>
          <w:lang w:eastAsia="en-AU"/>
        </w:rPr>
      </w:pPr>
      <w:r w:rsidRPr="170F1973">
        <w:rPr>
          <w:lang w:eastAsia="en-AU"/>
        </w:rPr>
        <w:t>Stability and public order</w:t>
      </w:r>
    </w:p>
    <w:p w14:paraId="5B5A72B8" w14:textId="7EB18DB8" w:rsidR="00900F0C" w:rsidRPr="00396F47" w:rsidRDefault="75EA6EB7" w:rsidP="00B25597">
      <w:pPr>
        <w:rPr>
          <w:lang w:eastAsia="en-AU"/>
        </w:rPr>
      </w:pPr>
      <w:r w:rsidRPr="2A22DF3F">
        <w:rPr>
          <w:lang w:eastAsia="en-AU"/>
        </w:rPr>
        <w:t xml:space="preserve">Solomon Islands is a post-conflict society and has faced multiple periods of instability and civil unrest. There remain unresolved peace and reconciliation issues from </w:t>
      </w:r>
      <w:r w:rsidR="3511F65B" w:rsidRPr="2A22DF3F">
        <w:rPr>
          <w:lang w:eastAsia="en-AU"/>
        </w:rPr>
        <w:t>‘</w:t>
      </w:r>
      <w:r w:rsidRPr="2A22DF3F">
        <w:rPr>
          <w:lang w:eastAsia="en-AU"/>
        </w:rPr>
        <w:t>the tensions’ between 1998</w:t>
      </w:r>
      <w:r w:rsidR="0F2746C3" w:rsidRPr="2A22DF3F">
        <w:rPr>
          <w:lang w:eastAsia="en-AU"/>
        </w:rPr>
        <w:t xml:space="preserve"> and </w:t>
      </w:r>
      <w:r w:rsidRPr="2A22DF3F">
        <w:rPr>
          <w:lang w:eastAsia="en-AU"/>
        </w:rPr>
        <w:t>2003.</w:t>
      </w:r>
      <w:r w:rsidR="0A203758" w:rsidRPr="2A22DF3F">
        <w:rPr>
          <w:lang w:eastAsia="en-AU"/>
        </w:rPr>
        <w:t xml:space="preserve"> Unexploded ordnance </w:t>
      </w:r>
      <w:r w:rsidR="0A203758" w:rsidRPr="00396F47">
        <w:rPr>
          <w:lang w:eastAsia="en-AU"/>
        </w:rPr>
        <w:t xml:space="preserve">from </w:t>
      </w:r>
      <w:r w:rsidR="000B3CFD">
        <w:rPr>
          <w:lang w:eastAsia="en-AU"/>
        </w:rPr>
        <w:t xml:space="preserve">the Second </w:t>
      </w:r>
      <w:r w:rsidR="0A203758" w:rsidRPr="00396F47">
        <w:rPr>
          <w:lang w:eastAsia="en-AU"/>
        </w:rPr>
        <w:t>World War is an ongoing threat to public safety.</w:t>
      </w:r>
    </w:p>
    <w:p w14:paraId="5AB569CF" w14:textId="7C96CFA4" w:rsidR="00396F47" w:rsidRPr="00396F47" w:rsidRDefault="55E1A7D1" w:rsidP="00B25597">
      <w:pPr>
        <w:rPr>
          <w:lang w:eastAsia="en-AU"/>
        </w:rPr>
      </w:pPr>
      <w:r w:rsidRPr="00396F47">
        <w:rPr>
          <w:lang w:eastAsia="en-AU"/>
        </w:rPr>
        <w:t xml:space="preserve">Australia is Solomon Islands’ </w:t>
      </w:r>
      <w:r w:rsidRPr="00396F47">
        <w:t>security partner</w:t>
      </w:r>
      <w:r w:rsidR="00365EEC">
        <w:t xml:space="preserve"> of choice. </w:t>
      </w:r>
      <w:r w:rsidR="00365EEC">
        <w:rPr>
          <w:lang w:eastAsia="en-AU"/>
        </w:rPr>
        <w:t xml:space="preserve">We partner with Solomon Islands in </w:t>
      </w:r>
      <w:r w:rsidRPr="00396F47">
        <w:rPr>
          <w:lang w:eastAsia="en-AU"/>
        </w:rPr>
        <w:t xml:space="preserve">law and justice, policing, maritime security, </w:t>
      </w:r>
      <w:r w:rsidR="140E7C06" w:rsidRPr="00396F47">
        <w:rPr>
          <w:lang w:eastAsia="en-AU"/>
        </w:rPr>
        <w:t xml:space="preserve">explosives disposal, </w:t>
      </w:r>
      <w:r w:rsidRPr="00396F47">
        <w:rPr>
          <w:lang w:eastAsia="en-AU"/>
        </w:rPr>
        <w:t xml:space="preserve">cybersecurity and border security. </w:t>
      </w:r>
      <w:r w:rsidR="0010120A">
        <w:rPr>
          <w:lang w:eastAsia="en-AU"/>
        </w:rPr>
        <w:t>During the Solomons International Assistance Force</w:t>
      </w:r>
      <w:r w:rsidR="006E3627">
        <w:rPr>
          <w:lang w:eastAsia="en-AU"/>
        </w:rPr>
        <w:t>,</w:t>
      </w:r>
      <w:r w:rsidR="0010120A">
        <w:rPr>
          <w:lang w:eastAsia="en-AU"/>
        </w:rPr>
        <w:t xml:space="preserve"> </w:t>
      </w:r>
      <w:r w:rsidRPr="00396F47">
        <w:rPr>
          <w:lang w:eastAsia="en-AU"/>
        </w:rPr>
        <w:t xml:space="preserve">Australia worked with </w:t>
      </w:r>
      <w:r w:rsidR="0010120A">
        <w:rPr>
          <w:lang w:eastAsia="en-AU"/>
        </w:rPr>
        <w:t xml:space="preserve">Fiji, Papua New Guinea and New Zealand to assist the RSIPF </w:t>
      </w:r>
      <w:r w:rsidR="0010120A">
        <w:rPr>
          <w:lang w:eastAsia="en-AU"/>
        </w:rPr>
        <w:lastRenderedPageBreak/>
        <w:t xml:space="preserve">to respond to </w:t>
      </w:r>
      <w:r w:rsidR="000404A7" w:rsidRPr="00396F47">
        <w:rPr>
          <w:lang w:eastAsia="en-AU"/>
        </w:rPr>
        <w:t>Honiara unrest</w:t>
      </w:r>
      <w:r w:rsidR="76AA9604" w:rsidRPr="00396F47">
        <w:rPr>
          <w:lang w:eastAsia="en-AU"/>
        </w:rPr>
        <w:t xml:space="preserve"> in 2021, </w:t>
      </w:r>
      <w:r w:rsidR="0010120A">
        <w:rPr>
          <w:lang w:eastAsia="en-AU"/>
        </w:rPr>
        <w:t xml:space="preserve">and provide </w:t>
      </w:r>
      <w:r w:rsidRPr="00396F47">
        <w:rPr>
          <w:lang w:eastAsia="en-AU"/>
        </w:rPr>
        <w:t xml:space="preserve">security support for the Pacific Games </w:t>
      </w:r>
      <w:r w:rsidR="00B31621" w:rsidRPr="00396F47">
        <w:rPr>
          <w:lang w:eastAsia="en-AU"/>
        </w:rPr>
        <w:t xml:space="preserve">in </w:t>
      </w:r>
      <w:r w:rsidRPr="00396F47">
        <w:rPr>
          <w:lang w:eastAsia="en-AU"/>
        </w:rPr>
        <w:t>2023 and the elections in 2024</w:t>
      </w:r>
      <w:r w:rsidR="0010120A">
        <w:rPr>
          <w:lang w:eastAsia="en-AU"/>
        </w:rPr>
        <w:t>.</w:t>
      </w:r>
    </w:p>
    <w:p w14:paraId="20B8C9E2" w14:textId="6A5DCD06" w:rsidR="009C20D2" w:rsidRPr="00583C83" w:rsidRDefault="009C20D2" w:rsidP="00D573D9">
      <w:pPr>
        <w:pStyle w:val="H3-Heading3"/>
        <w:rPr>
          <w:lang w:eastAsia="en-AU"/>
        </w:rPr>
      </w:pPr>
      <w:r>
        <w:rPr>
          <w:lang w:eastAsia="en-AU"/>
        </w:rPr>
        <w:t>Sustained and inclusive economic growth</w:t>
      </w:r>
    </w:p>
    <w:p w14:paraId="6BF84B1E" w14:textId="230A58FF" w:rsidR="0080527E" w:rsidRDefault="0072794E" w:rsidP="00B25597">
      <w:pPr>
        <w:rPr>
          <w:lang w:eastAsia="en-AU"/>
        </w:rPr>
      </w:pPr>
      <w:r w:rsidRPr="0072794E">
        <w:rPr>
          <w:lang w:eastAsia="en-AU"/>
        </w:rPr>
        <w:t>Solomon Islands’ economy experienced a challenging period of slow and stagnating growth through 2020</w:t>
      </w:r>
      <w:r w:rsidR="003C7502">
        <w:rPr>
          <w:lang w:eastAsia="en-AU"/>
        </w:rPr>
        <w:t>–</w:t>
      </w:r>
      <w:r w:rsidRPr="0072794E">
        <w:rPr>
          <w:lang w:eastAsia="en-AU"/>
        </w:rPr>
        <w:t>22. This was a result of structural decline in the logging sector and two severe shocks</w:t>
      </w:r>
      <w:r w:rsidR="006B6AD7">
        <w:rPr>
          <w:lang w:eastAsia="en-AU"/>
        </w:rPr>
        <w:t xml:space="preserve"> –</w:t>
      </w:r>
      <w:r w:rsidR="006B6AD7" w:rsidRPr="0072794E">
        <w:rPr>
          <w:lang w:eastAsia="en-AU"/>
        </w:rPr>
        <w:t xml:space="preserve"> </w:t>
      </w:r>
      <w:r w:rsidRPr="0072794E">
        <w:rPr>
          <w:lang w:eastAsia="en-AU"/>
        </w:rPr>
        <w:t xml:space="preserve">COVID-19 and the 2021 Honiara riots. </w:t>
      </w:r>
      <w:r w:rsidR="01B70030" w:rsidRPr="2A22DF3F">
        <w:rPr>
          <w:lang w:eastAsia="en-AU"/>
        </w:rPr>
        <w:t>The economy is reliant on primary production and resource extraction as well as foreign aid</w:t>
      </w:r>
      <w:r w:rsidR="00093FEF">
        <w:rPr>
          <w:lang w:eastAsia="en-AU"/>
        </w:rPr>
        <w:t>.</w:t>
      </w:r>
    </w:p>
    <w:p w14:paraId="07AE43FE" w14:textId="517DD71B" w:rsidR="003A3800" w:rsidRDefault="49D63400" w:rsidP="00B25597">
      <w:pPr>
        <w:rPr>
          <w:lang w:eastAsia="en-AU"/>
        </w:rPr>
      </w:pPr>
      <w:r w:rsidRPr="1773F922">
        <w:rPr>
          <w:lang w:eastAsia="en-AU"/>
        </w:rPr>
        <w:t>Solomon Islands’ goods exports to Australia more than doubled in 2023</w:t>
      </w:r>
      <w:r w:rsidR="00D334BF">
        <w:rPr>
          <w:lang w:eastAsia="en-AU"/>
        </w:rPr>
        <w:t xml:space="preserve"> and increased by another 50</w:t>
      </w:r>
      <w:r w:rsidR="006B6AD7">
        <w:rPr>
          <w:lang w:eastAsia="en-AU"/>
        </w:rPr>
        <w:t> </w:t>
      </w:r>
      <w:r w:rsidR="00D334BF">
        <w:rPr>
          <w:lang w:eastAsia="en-AU"/>
        </w:rPr>
        <w:t>per cent in 2024</w:t>
      </w:r>
      <w:r w:rsidR="00BA19E8">
        <w:rPr>
          <w:lang w:eastAsia="en-AU"/>
        </w:rPr>
        <w:t>. B</w:t>
      </w:r>
      <w:r w:rsidR="4BE49674" w:rsidRPr="1773F922">
        <w:rPr>
          <w:lang w:eastAsia="en-AU"/>
        </w:rPr>
        <w:t xml:space="preserve">oth countries </w:t>
      </w:r>
      <w:r w:rsidR="0564EA46" w:rsidRPr="1773F922">
        <w:rPr>
          <w:lang w:eastAsia="en-AU"/>
        </w:rPr>
        <w:t xml:space="preserve">continue to </w:t>
      </w:r>
      <w:r w:rsidR="4BE49674" w:rsidRPr="1773F922">
        <w:rPr>
          <w:lang w:eastAsia="en-AU"/>
        </w:rPr>
        <w:t>benefit from our comprehensive economic partnership. Solomon Islands export</w:t>
      </w:r>
      <w:r w:rsidR="33E86D2C" w:rsidRPr="1773F922">
        <w:rPr>
          <w:lang w:eastAsia="en-AU"/>
        </w:rPr>
        <w:t>ed</w:t>
      </w:r>
      <w:r w:rsidR="4BE49674" w:rsidRPr="1773F922">
        <w:rPr>
          <w:lang w:eastAsia="en-AU"/>
        </w:rPr>
        <w:t xml:space="preserve"> AUD</w:t>
      </w:r>
      <w:r w:rsidR="15C70E91" w:rsidRPr="1773F922">
        <w:rPr>
          <w:lang w:eastAsia="en-AU"/>
        </w:rPr>
        <w:t>224</w:t>
      </w:r>
      <w:r w:rsidR="4108D8E4">
        <w:rPr>
          <w:lang w:eastAsia="en-AU"/>
        </w:rPr>
        <w:t> </w:t>
      </w:r>
      <w:r w:rsidR="4BE49674" w:rsidRPr="1773F922">
        <w:rPr>
          <w:lang w:eastAsia="en-AU"/>
        </w:rPr>
        <w:t xml:space="preserve">million worth of goods and services to Australia </w:t>
      </w:r>
      <w:r w:rsidR="18E424A1" w:rsidRPr="1773F922">
        <w:rPr>
          <w:lang w:eastAsia="en-AU"/>
        </w:rPr>
        <w:t>in 2023</w:t>
      </w:r>
      <w:r w:rsidR="003A3800">
        <w:rPr>
          <w:rStyle w:val="EndnoteReference"/>
          <w:rFonts w:cs="Calibri Light"/>
          <w:lang w:eastAsia="en-AU"/>
        </w:rPr>
        <w:endnoteReference w:id="6"/>
      </w:r>
      <w:r w:rsidR="600AFB8D" w:rsidRPr="1773F922">
        <w:rPr>
          <w:lang w:eastAsia="en-AU"/>
        </w:rPr>
        <w:t xml:space="preserve"> </w:t>
      </w:r>
      <w:r w:rsidR="4108D8E4">
        <w:rPr>
          <w:lang w:eastAsia="en-AU"/>
        </w:rPr>
        <w:t>(</w:t>
      </w:r>
      <w:r w:rsidR="600AFB8D" w:rsidRPr="1773F922">
        <w:rPr>
          <w:lang w:eastAsia="en-AU"/>
        </w:rPr>
        <w:t xml:space="preserve">with gold </w:t>
      </w:r>
      <w:r w:rsidR="4108D8E4">
        <w:rPr>
          <w:lang w:eastAsia="en-AU"/>
        </w:rPr>
        <w:t xml:space="preserve">being </w:t>
      </w:r>
      <w:r w:rsidR="600AFB8D" w:rsidRPr="1773F922">
        <w:rPr>
          <w:lang w:eastAsia="en-AU"/>
        </w:rPr>
        <w:t>the largest export</w:t>
      </w:r>
      <w:r w:rsidR="4108D8E4">
        <w:rPr>
          <w:lang w:eastAsia="en-AU"/>
        </w:rPr>
        <w:t>)</w:t>
      </w:r>
      <w:r w:rsidR="600AFB8D" w:rsidRPr="1773F922">
        <w:rPr>
          <w:lang w:eastAsia="en-AU"/>
        </w:rPr>
        <w:t xml:space="preserve"> and Australia exported AUD167</w:t>
      </w:r>
      <w:r w:rsidR="4108D8E4">
        <w:rPr>
          <w:lang w:eastAsia="en-AU"/>
        </w:rPr>
        <w:t> </w:t>
      </w:r>
      <w:r w:rsidR="600AFB8D" w:rsidRPr="1773F922">
        <w:rPr>
          <w:lang w:eastAsia="en-AU"/>
        </w:rPr>
        <w:t>million worth of goods and services in return. In 2023, 55</w:t>
      </w:r>
      <w:r w:rsidR="4108D8E4">
        <w:rPr>
          <w:lang w:eastAsia="en-AU"/>
        </w:rPr>
        <w:t> </w:t>
      </w:r>
      <w:r w:rsidR="600AFB8D" w:rsidRPr="1773F922">
        <w:rPr>
          <w:lang w:eastAsia="en-AU"/>
        </w:rPr>
        <w:t>per cent of Solomon Islands’ goods exports (87</w:t>
      </w:r>
      <w:r w:rsidR="4108D8E4">
        <w:rPr>
          <w:lang w:eastAsia="en-AU"/>
        </w:rPr>
        <w:t> </w:t>
      </w:r>
      <w:r w:rsidR="600AFB8D" w:rsidRPr="1773F922">
        <w:rPr>
          <w:lang w:eastAsia="en-AU"/>
        </w:rPr>
        <w:t>per cent timber</w:t>
      </w:r>
      <w:r w:rsidR="00337E7A">
        <w:rPr>
          <w:rStyle w:val="EndnoteReference"/>
          <w:rFonts w:cs="Calibri Light"/>
          <w:lang w:eastAsia="en-AU"/>
        </w:rPr>
        <w:endnoteReference w:id="7"/>
      </w:r>
      <w:r w:rsidR="600AFB8D" w:rsidRPr="1773F922">
        <w:rPr>
          <w:lang w:eastAsia="en-AU"/>
        </w:rPr>
        <w:t>) were sent to China</w:t>
      </w:r>
      <w:r w:rsidR="1DA96871">
        <w:rPr>
          <w:lang w:eastAsia="en-AU"/>
        </w:rPr>
        <w:t>.</w:t>
      </w:r>
      <w:r w:rsidR="600AFB8D" w:rsidRPr="1773F922">
        <w:rPr>
          <w:lang w:eastAsia="en-AU"/>
        </w:rPr>
        <w:t xml:space="preserve"> Australia was the primary destination for Solomon Islands’ non-timber goods exports.</w:t>
      </w:r>
    </w:p>
    <w:p w14:paraId="516F073F" w14:textId="639B64F5" w:rsidR="003A3800" w:rsidRPr="009B1D37" w:rsidRDefault="007D24E7" w:rsidP="00B25597">
      <w:pPr>
        <w:rPr>
          <w:lang w:eastAsia="en-AU"/>
        </w:rPr>
      </w:pPr>
      <w:r>
        <w:rPr>
          <w:lang w:eastAsia="en-AU"/>
        </w:rPr>
        <w:t>Economic diversification</w:t>
      </w:r>
      <w:r w:rsidR="003A3800" w:rsidRPr="30BFDD80">
        <w:rPr>
          <w:lang w:eastAsia="en-AU"/>
        </w:rPr>
        <w:t xml:space="preserve"> is a top priority of the Solomon Islands Government. The major export industry is logging but the </w:t>
      </w:r>
      <w:r>
        <w:rPr>
          <w:lang w:eastAsia="en-AU"/>
        </w:rPr>
        <w:t>sector</w:t>
      </w:r>
      <w:r w:rsidR="003A3800" w:rsidRPr="30BFDD80">
        <w:rPr>
          <w:lang w:eastAsia="en-AU"/>
        </w:rPr>
        <w:t xml:space="preserve"> is in decline. Commercial fishing and fish processing is a key area of </w:t>
      </w:r>
      <w:r w:rsidR="003A3800" w:rsidRPr="0040257C">
        <w:rPr>
          <w:lang w:eastAsia="en-AU"/>
        </w:rPr>
        <w:t>growth</w:t>
      </w:r>
      <w:r w:rsidR="00237324" w:rsidRPr="0040257C">
        <w:rPr>
          <w:shd w:val="clear" w:color="auto" w:fill="FFFFFF"/>
        </w:rPr>
        <w:t xml:space="preserve"> </w:t>
      </w:r>
      <w:r w:rsidR="00237324" w:rsidRPr="0040257C">
        <w:rPr>
          <w:rStyle w:val="normaltextrun"/>
          <w:rFonts w:cs="Calibri Light"/>
        </w:rPr>
        <w:t xml:space="preserve">alongside the expansion of commercial agriculture, underpinned by increased agricultural research and biosecurity </w:t>
      </w:r>
      <w:r w:rsidR="00237324" w:rsidRPr="0040257C">
        <w:rPr>
          <w:rStyle w:val="normaltextrun"/>
          <w:rFonts w:cs="Calibri Light"/>
          <w:shd w:val="clear" w:color="auto" w:fill="FFFFFF"/>
        </w:rPr>
        <w:t>capacity</w:t>
      </w:r>
      <w:r w:rsidR="0922C295" w:rsidRPr="0040257C">
        <w:rPr>
          <w:rStyle w:val="normaltextrun"/>
          <w:rFonts w:cs="Calibri Light"/>
          <w:shd w:val="clear" w:color="auto" w:fill="FFFFFF"/>
        </w:rPr>
        <w:t xml:space="preserve"> development</w:t>
      </w:r>
      <w:r w:rsidR="003A3800" w:rsidRPr="0040257C" w:rsidDel="00237324">
        <w:rPr>
          <w:rStyle w:val="normaltextrun"/>
          <w:rFonts w:cs="Calibri Light"/>
          <w:shd w:val="clear" w:color="auto" w:fill="FFFFFF"/>
        </w:rPr>
        <w:t>.</w:t>
      </w:r>
      <w:r w:rsidR="003A3800" w:rsidRPr="0040257C">
        <w:rPr>
          <w:lang w:eastAsia="en-AU"/>
        </w:rPr>
        <w:t xml:space="preserve"> Other identified growth sectors include tourism and mining. Remittances</w:t>
      </w:r>
      <w:r w:rsidR="6937665B" w:rsidRPr="0040257C">
        <w:rPr>
          <w:lang w:eastAsia="en-AU"/>
        </w:rPr>
        <w:t xml:space="preserve"> and </w:t>
      </w:r>
      <w:r w:rsidR="57C82E42" w:rsidRPr="0040257C">
        <w:rPr>
          <w:lang w:eastAsia="en-AU"/>
        </w:rPr>
        <w:t>agricultural</w:t>
      </w:r>
      <w:r w:rsidR="6937665B" w:rsidRPr="0040257C">
        <w:rPr>
          <w:lang w:eastAsia="en-AU"/>
        </w:rPr>
        <w:t xml:space="preserve"> skills </w:t>
      </w:r>
      <w:r w:rsidR="6937665B" w:rsidRPr="30BFDD80">
        <w:rPr>
          <w:lang w:eastAsia="en-AU"/>
        </w:rPr>
        <w:t>gained</w:t>
      </w:r>
      <w:r w:rsidR="003A3800" w:rsidRPr="30BFDD80">
        <w:rPr>
          <w:lang w:eastAsia="en-AU"/>
        </w:rPr>
        <w:t xml:space="preserve"> from labour mobility,</w:t>
      </w:r>
      <w:r w:rsidR="68276B94" w:rsidRPr="30BFDD80">
        <w:rPr>
          <w:lang w:eastAsia="en-AU"/>
        </w:rPr>
        <w:t xml:space="preserve"> </w:t>
      </w:r>
      <w:r w:rsidR="003A3800" w:rsidRPr="30BFDD80">
        <w:rPr>
          <w:lang w:eastAsia="en-AU"/>
        </w:rPr>
        <w:t xml:space="preserve">particularly the </w:t>
      </w:r>
      <w:r w:rsidR="005A43F6">
        <w:rPr>
          <w:lang w:eastAsia="en-AU"/>
        </w:rPr>
        <w:t>PALM</w:t>
      </w:r>
      <w:r w:rsidR="003A3800" w:rsidRPr="30BFDD80">
        <w:rPr>
          <w:lang w:eastAsia="en-AU"/>
        </w:rPr>
        <w:t xml:space="preserve"> scheme, support </w:t>
      </w:r>
      <w:r w:rsidR="003A3800" w:rsidRPr="001A38A7" w:rsidDel="003A3800">
        <w:rPr>
          <w:lang w:eastAsia="en-AU"/>
        </w:rPr>
        <w:t>local</w:t>
      </w:r>
      <w:r w:rsidR="003A3800" w:rsidRPr="30BFDD80">
        <w:rPr>
          <w:lang w:eastAsia="en-AU"/>
        </w:rPr>
        <w:t xml:space="preserve"> livelihoods and the economy.</w:t>
      </w:r>
    </w:p>
    <w:p w14:paraId="6F9798DF" w14:textId="40C6BB58" w:rsidR="003A3800" w:rsidRPr="009B1D37" w:rsidRDefault="2DE5AAAE" w:rsidP="00B25597">
      <w:pPr>
        <w:rPr>
          <w:lang w:eastAsia="en-AU"/>
        </w:rPr>
      </w:pPr>
      <w:r>
        <w:rPr>
          <w:lang w:eastAsia="en-AU"/>
        </w:rPr>
        <w:t>Economic challenges</w:t>
      </w:r>
      <w:r w:rsidRPr="009B1D37">
        <w:rPr>
          <w:lang w:eastAsia="en-AU"/>
        </w:rPr>
        <w:t xml:space="preserve"> include infrastructure</w:t>
      </w:r>
      <w:r>
        <w:rPr>
          <w:lang w:eastAsia="en-AU"/>
        </w:rPr>
        <w:t xml:space="preserve"> needs</w:t>
      </w:r>
      <w:r w:rsidRPr="009B1D37">
        <w:rPr>
          <w:lang w:eastAsia="en-AU"/>
        </w:rPr>
        <w:t xml:space="preserve">, an underdeveloped </w:t>
      </w:r>
      <w:r w:rsidR="17C64AB1" w:rsidRPr="009B1D37">
        <w:rPr>
          <w:lang w:eastAsia="en-AU"/>
        </w:rPr>
        <w:t>agricultural system</w:t>
      </w:r>
      <w:r w:rsidR="42D8C0DC">
        <w:rPr>
          <w:lang w:eastAsia="en-AU"/>
        </w:rPr>
        <w:t>,</w:t>
      </w:r>
      <w:r w:rsidR="17C64AB1" w:rsidRPr="009B1D37">
        <w:rPr>
          <w:lang w:eastAsia="en-AU"/>
        </w:rPr>
        <w:t xml:space="preserve"> </w:t>
      </w:r>
      <w:r w:rsidR="42D8C0DC">
        <w:rPr>
          <w:lang w:eastAsia="en-AU"/>
        </w:rPr>
        <w:t>a</w:t>
      </w:r>
      <w:r w:rsidR="27946D7D">
        <w:rPr>
          <w:lang w:eastAsia="en-AU"/>
        </w:rPr>
        <w:t xml:space="preserve"> </w:t>
      </w:r>
      <w:r w:rsidRPr="009B1D37">
        <w:rPr>
          <w:lang w:eastAsia="en-AU"/>
        </w:rPr>
        <w:t>labour</w:t>
      </w:r>
      <w:r w:rsidR="202DB9E4">
        <w:rPr>
          <w:lang w:eastAsia="en-AU"/>
        </w:rPr>
        <w:t xml:space="preserve"> </w:t>
      </w:r>
      <w:r w:rsidRPr="009B1D37">
        <w:rPr>
          <w:lang w:eastAsia="en-AU"/>
        </w:rPr>
        <w:t>force</w:t>
      </w:r>
      <w:r>
        <w:rPr>
          <w:lang w:eastAsia="en-AU"/>
        </w:rPr>
        <w:t xml:space="preserve"> </w:t>
      </w:r>
      <w:r w:rsidR="27946D7D">
        <w:rPr>
          <w:lang w:eastAsia="en-AU"/>
        </w:rPr>
        <w:t xml:space="preserve">that </w:t>
      </w:r>
      <w:r>
        <w:rPr>
          <w:lang w:eastAsia="en-AU"/>
        </w:rPr>
        <w:t>is geographically dispersed</w:t>
      </w:r>
      <w:r w:rsidRPr="009B1D37">
        <w:rPr>
          <w:lang w:eastAsia="en-AU"/>
        </w:rPr>
        <w:t xml:space="preserve">, the highest electricity costs globally, land tenure issues, and </w:t>
      </w:r>
      <w:r w:rsidR="21A2827C">
        <w:rPr>
          <w:lang w:eastAsia="en-AU"/>
        </w:rPr>
        <w:t>a need to improve</w:t>
      </w:r>
      <w:r w:rsidRPr="009B1D37">
        <w:rPr>
          <w:lang w:eastAsia="en-AU"/>
        </w:rPr>
        <w:t xml:space="preserve"> public financial </w:t>
      </w:r>
      <w:r w:rsidRPr="0008522E">
        <w:rPr>
          <w:lang w:eastAsia="en-AU"/>
        </w:rPr>
        <w:t xml:space="preserve">management. </w:t>
      </w:r>
      <w:r w:rsidR="5A59AF8A" w:rsidRPr="0008522E">
        <w:rPr>
          <w:rFonts w:eastAsia="Calibri Light" w:cs="Calibri Light"/>
        </w:rPr>
        <w:t>In</w:t>
      </w:r>
      <w:r w:rsidR="06C7E567" w:rsidRPr="0008522E">
        <w:rPr>
          <w:rFonts w:eastAsia="Calibri Light" w:cs="Calibri Light"/>
        </w:rPr>
        <w:t xml:space="preserve"> early 2025, </w:t>
      </w:r>
      <w:r w:rsidR="2C3FB514" w:rsidRPr="0008522E">
        <w:rPr>
          <w:rFonts w:eastAsia="Calibri Light" w:cs="Calibri Light"/>
        </w:rPr>
        <w:t>the I</w:t>
      </w:r>
      <w:r w:rsidR="5B782B6F" w:rsidRPr="0008522E">
        <w:rPr>
          <w:rFonts w:eastAsia="Calibri Light" w:cs="Calibri Light"/>
        </w:rPr>
        <w:t>nternational Monetary Fund</w:t>
      </w:r>
      <w:r w:rsidR="684757D9" w:rsidRPr="0008522E">
        <w:rPr>
          <w:rFonts w:eastAsia="Calibri Light" w:cs="Calibri Light"/>
        </w:rPr>
        <w:t xml:space="preserve"> </w:t>
      </w:r>
      <w:r w:rsidR="2C3FB514" w:rsidRPr="0008522E">
        <w:rPr>
          <w:rFonts w:eastAsia="Calibri Light" w:cs="Calibri Light"/>
        </w:rPr>
        <w:t xml:space="preserve">improved </w:t>
      </w:r>
      <w:r w:rsidR="259806FF" w:rsidRPr="0008522E">
        <w:rPr>
          <w:rFonts w:eastAsia="Calibri Light" w:cs="Calibri Light"/>
        </w:rPr>
        <w:t xml:space="preserve">its assessment of </w:t>
      </w:r>
      <w:r w:rsidR="74312C69" w:rsidRPr="0008522E">
        <w:rPr>
          <w:rFonts w:eastAsia="Calibri Light" w:cs="Calibri Light"/>
        </w:rPr>
        <w:t xml:space="preserve">Solomon Islands’ </w:t>
      </w:r>
      <w:r w:rsidR="2C3FB514" w:rsidRPr="0008522E">
        <w:rPr>
          <w:rFonts w:eastAsia="Calibri Light" w:cs="Calibri Light"/>
        </w:rPr>
        <w:t xml:space="preserve">risk of external debt distress </w:t>
      </w:r>
      <w:r w:rsidR="002A010B" w:rsidRPr="0008522E">
        <w:rPr>
          <w:lang w:eastAsia="en-AU"/>
        </w:rPr>
        <w:t>from moderate</w:t>
      </w:r>
      <w:r w:rsidR="002A010B" w:rsidRPr="0008522E">
        <w:rPr>
          <w:rFonts w:eastAsia="Calibri Light" w:cs="Calibri Light"/>
        </w:rPr>
        <w:t xml:space="preserve"> </w:t>
      </w:r>
      <w:r w:rsidR="2C3FB514" w:rsidRPr="0008522E">
        <w:rPr>
          <w:rFonts w:eastAsia="Calibri Light" w:cs="Calibri Light"/>
        </w:rPr>
        <w:t xml:space="preserve">to </w:t>
      </w:r>
      <w:r w:rsidR="1B022CC8" w:rsidRPr="0008522E">
        <w:rPr>
          <w:rFonts w:eastAsia="Calibri Light" w:cs="Calibri Light"/>
        </w:rPr>
        <w:t>low</w:t>
      </w:r>
      <w:r w:rsidR="007108F1" w:rsidRPr="0008522E">
        <w:rPr>
          <w:lang w:eastAsia="en-AU"/>
        </w:rPr>
        <w:t>.</w:t>
      </w:r>
      <w:r w:rsidR="788720F0" w:rsidRPr="0008522E">
        <w:rPr>
          <w:lang w:eastAsia="en-AU"/>
        </w:rPr>
        <w:t xml:space="preserve"> </w:t>
      </w:r>
      <w:r w:rsidR="00331115" w:rsidRPr="0008522E">
        <w:rPr>
          <w:lang w:eastAsia="en-AU"/>
        </w:rPr>
        <w:t>However, t</w:t>
      </w:r>
      <w:r w:rsidR="007108F1" w:rsidRPr="0008522E">
        <w:rPr>
          <w:lang w:eastAsia="en-AU"/>
        </w:rPr>
        <w:t>he p</w:t>
      </w:r>
      <w:r w:rsidR="506BA9B0" w:rsidRPr="0008522E">
        <w:rPr>
          <w:lang w:eastAsia="en-AU"/>
        </w:rPr>
        <w:t xml:space="preserve">ublic </w:t>
      </w:r>
      <w:r w:rsidR="06F5C6A6" w:rsidRPr="0008522E">
        <w:rPr>
          <w:lang w:eastAsia="en-AU"/>
        </w:rPr>
        <w:t xml:space="preserve">debt to gross domestic product </w:t>
      </w:r>
      <w:r w:rsidR="00081CCF">
        <w:rPr>
          <w:lang w:eastAsia="en-AU"/>
        </w:rPr>
        <w:t xml:space="preserve">(GDP) </w:t>
      </w:r>
      <w:r w:rsidR="06F5C6A6" w:rsidRPr="0008522E">
        <w:rPr>
          <w:lang w:eastAsia="en-AU"/>
        </w:rPr>
        <w:t>ratio is</w:t>
      </w:r>
      <w:r w:rsidR="1CB5FDF2" w:rsidRPr="0008522E">
        <w:rPr>
          <w:lang w:eastAsia="en-AU"/>
        </w:rPr>
        <w:t xml:space="preserve"> rising and </w:t>
      </w:r>
      <w:r w:rsidR="1D9C4E6A" w:rsidRPr="0008522E">
        <w:rPr>
          <w:lang w:eastAsia="en-AU"/>
        </w:rPr>
        <w:t>is expected</w:t>
      </w:r>
      <w:r w:rsidR="10E25369" w:rsidRPr="0008522E">
        <w:rPr>
          <w:lang w:eastAsia="en-AU"/>
        </w:rPr>
        <w:t xml:space="preserve"> </w:t>
      </w:r>
      <w:r w:rsidR="06F5C6A6" w:rsidRPr="0008522E">
        <w:rPr>
          <w:lang w:eastAsia="en-AU"/>
        </w:rPr>
        <w:t>to</w:t>
      </w:r>
      <w:r w:rsidR="3E949238" w:rsidRPr="0008522E">
        <w:rPr>
          <w:lang w:eastAsia="en-AU"/>
        </w:rPr>
        <w:t xml:space="preserve"> exceed</w:t>
      </w:r>
      <w:r w:rsidR="06F5C6A6" w:rsidRPr="0008522E">
        <w:rPr>
          <w:lang w:eastAsia="en-AU"/>
        </w:rPr>
        <w:t xml:space="preserve"> 30 per cent by 20</w:t>
      </w:r>
      <w:r w:rsidR="58A02FA2" w:rsidRPr="0008522E">
        <w:rPr>
          <w:lang w:eastAsia="en-AU"/>
        </w:rPr>
        <w:t>29</w:t>
      </w:r>
      <w:r w:rsidR="005345F7">
        <w:rPr>
          <w:lang w:eastAsia="en-AU"/>
        </w:rPr>
        <w:t>,</w:t>
      </w:r>
      <w:r w:rsidR="003A3800" w:rsidRPr="0008522E">
        <w:rPr>
          <w:rStyle w:val="EndnoteReference"/>
          <w:rFonts w:cs="Calibri Light"/>
          <w:lang w:eastAsia="en-AU"/>
        </w:rPr>
        <w:endnoteReference w:id="8"/>
      </w:r>
      <w:r w:rsidR="008B393A" w:rsidRPr="0008522E">
        <w:rPr>
          <w:lang w:eastAsia="en-AU"/>
        </w:rPr>
        <w:t xml:space="preserve"> reflecting challenging fiscal conditions</w:t>
      </w:r>
      <w:r w:rsidR="00E11317" w:rsidRPr="0008522E">
        <w:rPr>
          <w:lang w:eastAsia="en-AU"/>
        </w:rPr>
        <w:t>.</w:t>
      </w:r>
    </w:p>
    <w:p w14:paraId="77683BCD" w14:textId="230E0014" w:rsidR="003A3800" w:rsidRDefault="469D405E" w:rsidP="00B25597">
      <w:pPr>
        <w:rPr>
          <w:lang w:eastAsia="en-AU"/>
        </w:rPr>
      </w:pPr>
      <w:r>
        <w:t>Infrastructure</w:t>
      </w:r>
      <w:r w:rsidRPr="2A22DF3F">
        <w:rPr>
          <w:lang w:eastAsia="en-AU"/>
        </w:rPr>
        <w:t xml:space="preserve"> is a critical enabler of economic and social development. Solomon Islands Government priorities are improv</w:t>
      </w:r>
      <w:r w:rsidR="009A7388">
        <w:rPr>
          <w:lang w:eastAsia="en-AU"/>
        </w:rPr>
        <w:t>ing</w:t>
      </w:r>
      <w:r w:rsidRPr="2A22DF3F">
        <w:rPr>
          <w:lang w:eastAsia="en-AU"/>
        </w:rPr>
        <w:t xml:space="preserve"> transport connectivity</w:t>
      </w:r>
      <w:r w:rsidR="23FD4A09" w:rsidRPr="2A22DF3F">
        <w:rPr>
          <w:lang w:eastAsia="en-AU"/>
        </w:rPr>
        <w:t xml:space="preserve">, </w:t>
      </w:r>
      <w:r w:rsidRPr="2A22DF3F">
        <w:rPr>
          <w:lang w:eastAsia="en-AU"/>
        </w:rPr>
        <w:t>power and water systems</w:t>
      </w:r>
      <w:r w:rsidR="23FD4A09" w:rsidRPr="2A22DF3F">
        <w:rPr>
          <w:lang w:eastAsia="en-AU"/>
        </w:rPr>
        <w:t xml:space="preserve">, </w:t>
      </w:r>
      <w:r w:rsidRPr="2A22DF3F">
        <w:rPr>
          <w:lang w:eastAsia="en-AU"/>
        </w:rPr>
        <w:t xml:space="preserve">and education, security and health facilities. Telecommunications </w:t>
      </w:r>
      <w:proofErr w:type="gramStart"/>
      <w:r w:rsidRPr="2A22DF3F">
        <w:rPr>
          <w:lang w:eastAsia="en-AU"/>
        </w:rPr>
        <w:t>is</w:t>
      </w:r>
      <w:proofErr w:type="gramEnd"/>
      <w:r w:rsidRPr="2A22DF3F">
        <w:rPr>
          <w:lang w:eastAsia="en-AU"/>
        </w:rPr>
        <w:t xml:space="preserve"> also important to </w:t>
      </w:r>
      <w:r w:rsidR="23FD4A09" w:rsidRPr="2A22DF3F">
        <w:rPr>
          <w:lang w:eastAsia="en-AU"/>
        </w:rPr>
        <w:t xml:space="preserve">enable </w:t>
      </w:r>
      <w:r w:rsidRPr="2A22DF3F">
        <w:rPr>
          <w:lang w:eastAsia="en-AU"/>
        </w:rPr>
        <w:t>the uptake of new technologies and ways of working.</w:t>
      </w:r>
      <w:r w:rsidR="00CE42DE">
        <w:rPr>
          <w:lang w:eastAsia="en-AU"/>
        </w:rPr>
        <w:t xml:space="preserve"> Australia has planned for </w:t>
      </w:r>
      <w:r w:rsidRPr="2A22DF3F">
        <w:rPr>
          <w:lang w:eastAsia="en-AU"/>
        </w:rPr>
        <w:t>around SBD9</w:t>
      </w:r>
      <w:r w:rsidR="4B24881B" w:rsidRPr="2A22DF3F">
        <w:rPr>
          <w:lang w:eastAsia="en-AU"/>
        </w:rPr>
        <w:t> </w:t>
      </w:r>
      <w:r w:rsidRPr="2A22DF3F">
        <w:rPr>
          <w:lang w:eastAsia="en-AU"/>
        </w:rPr>
        <w:t>billion in</w:t>
      </w:r>
      <w:r w:rsidR="00CE42DE">
        <w:rPr>
          <w:lang w:eastAsia="en-AU"/>
        </w:rPr>
        <w:t xml:space="preserve"> additional</w:t>
      </w:r>
      <w:r w:rsidR="004917BC">
        <w:rPr>
          <w:lang w:eastAsia="en-AU"/>
        </w:rPr>
        <w:t xml:space="preserve"> </w:t>
      </w:r>
      <w:r w:rsidRPr="2A22DF3F">
        <w:rPr>
          <w:lang w:eastAsia="en-AU"/>
        </w:rPr>
        <w:t>public and private sector</w:t>
      </w:r>
      <w:r w:rsidR="00331115">
        <w:rPr>
          <w:lang w:eastAsia="en-AU"/>
        </w:rPr>
        <w:t xml:space="preserve"> infrastructure</w:t>
      </w:r>
      <w:r w:rsidRPr="2A22DF3F">
        <w:rPr>
          <w:lang w:eastAsia="en-AU"/>
        </w:rPr>
        <w:t xml:space="preserve"> investment, equivalent to approximately 75</w:t>
      </w:r>
      <w:r w:rsidR="4B24881B" w:rsidRPr="2A22DF3F">
        <w:rPr>
          <w:lang w:eastAsia="en-AU"/>
        </w:rPr>
        <w:t> </w:t>
      </w:r>
      <w:r w:rsidRPr="2A22DF3F">
        <w:rPr>
          <w:lang w:eastAsia="en-AU"/>
        </w:rPr>
        <w:t xml:space="preserve">per cent of Solomon Islands’ GDP. Australia is supporting many </w:t>
      </w:r>
      <w:r w:rsidR="009A7388">
        <w:rPr>
          <w:lang w:eastAsia="en-AU"/>
        </w:rPr>
        <w:t xml:space="preserve">infrastructure </w:t>
      </w:r>
      <w:r w:rsidRPr="2A22DF3F">
        <w:rPr>
          <w:lang w:eastAsia="en-AU"/>
        </w:rPr>
        <w:t xml:space="preserve">initiatives, including the Tina River </w:t>
      </w:r>
      <w:r w:rsidR="523F4CB6" w:rsidRPr="2A22DF3F">
        <w:rPr>
          <w:lang w:eastAsia="en-AU"/>
        </w:rPr>
        <w:t>H</w:t>
      </w:r>
      <w:r w:rsidRPr="2A22DF3F">
        <w:rPr>
          <w:lang w:eastAsia="en-AU"/>
        </w:rPr>
        <w:t>ydro</w:t>
      </w:r>
      <w:r w:rsidR="73456257" w:rsidRPr="2A22DF3F">
        <w:rPr>
          <w:lang w:eastAsia="en-AU"/>
        </w:rPr>
        <w:t>power</w:t>
      </w:r>
      <w:r w:rsidRPr="2A22DF3F">
        <w:rPr>
          <w:lang w:eastAsia="en-AU"/>
        </w:rPr>
        <w:t xml:space="preserve"> </w:t>
      </w:r>
      <w:r w:rsidR="47BC8AB5" w:rsidRPr="2A22DF3F">
        <w:rPr>
          <w:lang w:eastAsia="en-AU"/>
        </w:rPr>
        <w:t xml:space="preserve">Development </w:t>
      </w:r>
      <w:r w:rsidR="523F4CB6" w:rsidRPr="2A22DF3F">
        <w:rPr>
          <w:lang w:eastAsia="en-AU"/>
        </w:rPr>
        <w:t xml:space="preserve">Project </w:t>
      </w:r>
      <w:r w:rsidRPr="2A22DF3F">
        <w:rPr>
          <w:lang w:eastAsia="en-AU"/>
        </w:rPr>
        <w:t>and the Naha Birthing</w:t>
      </w:r>
      <w:r w:rsidR="72882B5F" w:rsidRPr="2A22DF3F">
        <w:rPr>
          <w:lang w:eastAsia="en-AU"/>
        </w:rPr>
        <w:t xml:space="preserve"> and Urban Health</w:t>
      </w:r>
      <w:r w:rsidRPr="2A22DF3F">
        <w:rPr>
          <w:lang w:eastAsia="en-AU"/>
        </w:rPr>
        <w:t xml:space="preserve"> Centre. There are many additional needs at community level</w:t>
      </w:r>
      <w:r w:rsidR="58D41F05" w:rsidRPr="2A22DF3F">
        <w:rPr>
          <w:lang w:eastAsia="en-AU"/>
        </w:rPr>
        <w:t>,</w:t>
      </w:r>
      <w:r w:rsidRPr="2A22DF3F">
        <w:rPr>
          <w:lang w:eastAsia="en-AU"/>
        </w:rPr>
        <w:t xml:space="preserve"> particularly improved water and sanitation and access to electricity, with approximately 85</w:t>
      </w:r>
      <w:r w:rsidR="58D41F05" w:rsidRPr="2A22DF3F">
        <w:rPr>
          <w:lang w:eastAsia="en-AU"/>
        </w:rPr>
        <w:t> </w:t>
      </w:r>
      <w:r w:rsidRPr="2A22DF3F">
        <w:rPr>
          <w:lang w:eastAsia="en-AU"/>
        </w:rPr>
        <w:t xml:space="preserve">per cent of the population </w:t>
      </w:r>
      <w:r w:rsidR="58D41F05" w:rsidRPr="2A22DF3F">
        <w:rPr>
          <w:lang w:eastAsia="en-AU"/>
        </w:rPr>
        <w:t xml:space="preserve">not connected </w:t>
      </w:r>
      <w:r w:rsidRPr="2A22DF3F">
        <w:rPr>
          <w:lang w:eastAsia="en-AU"/>
        </w:rPr>
        <w:t>to the grid.</w:t>
      </w:r>
    </w:p>
    <w:p w14:paraId="26B52C50" w14:textId="78659AEE" w:rsidR="003A3800" w:rsidRPr="00EE35E1" w:rsidRDefault="003A3800" w:rsidP="00D573D9">
      <w:pPr>
        <w:pStyle w:val="H3-Heading3"/>
        <w:rPr>
          <w:lang w:eastAsia="en-AU"/>
        </w:rPr>
      </w:pPr>
      <w:r>
        <w:rPr>
          <w:lang w:eastAsia="en-AU"/>
        </w:rPr>
        <w:t>Access to quality health and education</w:t>
      </w:r>
    </w:p>
    <w:p w14:paraId="74CB0E7F" w14:textId="765C3375" w:rsidR="003A3800" w:rsidRPr="009B1D37" w:rsidRDefault="600AFB8D" w:rsidP="00B25597">
      <w:pPr>
        <w:rPr>
          <w:lang w:eastAsia="en-AU"/>
        </w:rPr>
      </w:pPr>
      <w:r w:rsidRPr="009B1D37">
        <w:rPr>
          <w:lang w:eastAsia="en-AU"/>
        </w:rPr>
        <w:t xml:space="preserve">In recent years, Solomon Islands has achieved improvements in </w:t>
      </w:r>
      <w:r w:rsidR="17483420">
        <w:rPr>
          <w:lang w:eastAsia="en-AU"/>
        </w:rPr>
        <w:t>important</w:t>
      </w:r>
      <w:r w:rsidR="2A6D182F">
        <w:rPr>
          <w:lang w:eastAsia="en-AU"/>
        </w:rPr>
        <w:t xml:space="preserve"> </w:t>
      </w:r>
      <w:r w:rsidRPr="00D573D9">
        <w:t>health</w:t>
      </w:r>
      <w:r w:rsidRPr="009B1D37">
        <w:rPr>
          <w:b/>
          <w:bCs/>
          <w:lang w:eastAsia="en-AU"/>
        </w:rPr>
        <w:t xml:space="preserve"> </w:t>
      </w:r>
      <w:r w:rsidRPr="009B1D37">
        <w:rPr>
          <w:lang w:eastAsia="en-AU"/>
        </w:rPr>
        <w:t xml:space="preserve">indicators. Life expectancy has increased </w:t>
      </w:r>
      <w:r>
        <w:rPr>
          <w:lang w:eastAsia="en-AU"/>
        </w:rPr>
        <w:t>(</w:t>
      </w:r>
      <w:r w:rsidRPr="009B1D37">
        <w:rPr>
          <w:lang w:eastAsia="en-AU"/>
        </w:rPr>
        <w:t>from 57</w:t>
      </w:r>
      <w:r w:rsidR="2A6D182F">
        <w:rPr>
          <w:lang w:eastAsia="en-AU"/>
        </w:rPr>
        <w:t> </w:t>
      </w:r>
      <w:r w:rsidRPr="009B1D37">
        <w:rPr>
          <w:lang w:eastAsia="en-AU"/>
        </w:rPr>
        <w:t>years in 1971 to 71</w:t>
      </w:r>
      <w:r w:rsidR="2A6D182F">
        <w:rPr>
          <w:lang w:eastAsia="en-AU"/>
        </w:rPr>
        <w:t> </w:t>
      </w:r>
      <w:r w:rsidRPr="009B1D37">
        <w:rPr>
          <w:lang w:eastAsia="en-AU"/>
        </w:rPr>
        <w:t>years in 20</w:t>
      </w:r>
      <w:r w:rsidR="00812BD3">
        <w:rPr>
          <w:lang w:eastAsia="en-AU"/>
        </w:rPr>
        <w:t>22</w:t>
      </w:r>
      <w:r>
        <w:rPr>
          <w:lang w:eastAsia="en-AU"/>
        </w:rPr>
        <w:t>) and c</w:t>
      </w:r>
      <w:r w:rsidRPr="009B1D37">
        <w:rPr>
          <w:lang w:eastAsia="en-AU"/>
        </w:rPr>
        <w:t xml:space="preserve">hild mortality has reduced </w:t>
      </w:r>
      <w:r>
        <w:rPr>
          <w:lang w:eastAsia="en-AU"/>
        </w:rPr>
        <w:t>(</w:t>
      </w:r>
      <w:r w:rsidRPr="009B1D37">
        <w:rPr>
          <w:lang w:eastAsia="en-AU"/>
        </w:rPr>
        <w:t>from 22.7</w:t>
      </w:r>
      <w:r w:rsidR="2A6D182F">
        <w:rPr>
          <w:lang w:eastAsia="en-AU"/>
        </w:rPr>
        <w:t> </w:t>
      </w:r>
      <w:r w:rsidRPr="009B1D37">
        <w:rPr>
          <w:lang w:eastAsia="en-AU"/>
        </w:rPr>
        <w:t>per 1</w:t>
      </w:r>
      <w:r w:rsidR="5E9EDCB5">
        <w:rPr>
          <w:lang w:eastAsia="en-AU"/>
        </w:rPr>
        <w:t>,</w:t>
      </w:r>
      <w:r w:rsidRPr="009B1D37">
        <w:rPr>
          <w:lang w:eastAsia="en-AU"/>
        </w:rPr>
        <w:t>000</w:t>
      </w:r>
      <w:r w:rsidR="3764E431" w:rsidRPr="009B1D37">
        <w:rPr>
          <w:lang w:eastAsia="en-AU"/>
        </w:rPr>
        <w:t xml:space="preserve"> live</w:t>
      </w:r>
      <w:r w:rsidR="17483420">
        <w:rPr>
          <w:lang w:eastAsia="en-AU"/>
        </w:rPr>
        <w:t xml:space="preserve"> births </w:t>
      </w:r>
      <w:r w:rsidRPr="009B1D37">
        <w:rPr>
          <w:lang w:eastAsia="en-AU"/>
        </w:rPr>
        <w:t>in 2015 to 1</w:t>
      </w:r>
      <w:r w:rsidR="00A80C8B">
        <w:rPr>
          <w:lang w:eastAsia="en-AU"/>
        </w:rPr>
        <w:t>8.3</w:t>
      </w:r>
      <w:r w:rsidR="17483420">
        <w:rPr>
          <w:lang w:eastAsia="en-AU"/>
        </w:rPr>
        <w:t> </w:t>
      </w:r>
      <w:r w:rsidRPr="009B1D37">
        <w:rPr>
          <w:lang w:eastAsia="en-AU"/>
        </w:rPr>
        <w:t>per 1</w:t>
      </w:r>
      <w:r w:rsidR="5E9EDCB5">
        <w:rPr>
          <w:lang w:eastAsia="en-AU"/>
        </w:rPr>
        <w:t>,</w:t>
      </w:r>
      <w:r w:rsidRPr="009B1D37">
        <w:rPr>
          <w:lang w:eastAsia="en-AU"/>
        </w:rPr>
        <w:t>000</w:t>
      </w:r>
      <w:r w:rsidR="6297789B" w:rsidRPr="009B1D37">
        <w:rPr>
          <w:lang w:eastAsia="en-AU"/>
        </w:rPr>
        <w:t xml:space="preserve"> live</w:t>
      </w:r>
      <w:r w:rsidR="17483420">
        <w:rPr>
          <w:lang w:eastAsia="en-AU"/>
        </w:rPr>
        <w:t xml:space="preserve"> births </w:t>
      </w:r>
      <w:r w:rsidRPr="009B1D37">
        <w:rPr>
          <w:lang w:eastAsia="en-AU"/>
        </w:rPr>
        <w:t>in 2020</w:t>
      </w:r>
      <w:r w:rsidR="008F0A60">
        <w:rPr>
          <w:lang w:eastAsia="en-AU"/>
        </w:rPr>
        <w:t>).</w:t>
      </w:r>
      <w:r w:rsidR="007470FE">
        <w:rPr>
          <w:rStyle w:val="EndnoteReference"/>
          <w:lang w:eastAsia="en-AU"/>
        </w:rPr>
        <w:endnoteReference w:id="9"/>
      </w:r>
      <w:r w:rsidRPr="009B1D37">
        <w:rPr>
          <w:lang w:eastAsia="en-AU"/>
        </w:rPr>
        <w:t xml:space="preserve"> However, Solomon Islands faces significant health challenges</w:t>
      </w:r>
      <w:r>
        <w:rPr>
          <w:lang w:eastAsia="en-AU"/>
        </w:rPr>
        <w:t xml:space="preserve">. Issues to be addressed include </w:t>
      </w:r>
      <w:r w:rsidRPr="009B1D37">
        <w:rPr>
          <w:lang w:eastAsia="en-AU"/>
        </w:rPr>
        <w:t>increasing demand for services</w:t>
      </w:r>
      <w:r>
        <w:rPr>
          <w:lang w:eastAsia="en-AU"/>
        </w:rPr>
        <w:t xml:space="preserve"> arising from population growth</w:t>
      </w:r>
      <w:r w:rsidRPr="009B1D37">
        <w:rPr>
          <w:lang w:eastAsia="en-AU"/>
        </w:rPr>
        <w:t xml:space="preserve">, an increasing burden of non-communicable </w:t>
      </w:r>
      <w:r>
        <w:rPr>
          <w:lang w:eastAsia="en-AU"/>
        </w:rPr>
        <w:t>disease, challenges in managing supply chains of medicines and medical supplies</w:t>
      </w:r>
      <w:r w:rsidRPr="009B1D37">
        <w:rPr>
          <w:lang w:eastAsia="en-AU"/>
        </w:rPr>
        <w:t>, and</w:t>
      </w:r>
      <w:r w:rsidR="53D5BED0">
        <w:rPr>
          <w:lang w:eastAsia="en-AU"/>
        </w:rPr>
        <w:t xml:space="preserve"> </w:t>
      </w:r>
      <w:r w:rsidR="436F6C87">
        <w:rPr>
          <w:lang w:eastAsia="en-AU"/>
        </w:rPr>
        <w:t>weak</w:t>
      </w:r>
      <w:r w:rsidRPr="009B1D37">
        <w:rPr>
          <w:lang w:eastAsia="en-AU"/>
        </w:rPr>
        <w:t xml:space="preserve"> health information </w:t>
      </w:r>
      <w:r w:rsidR="65440F62">
        <w:rPr>
          <w:lang w:eastAsia="en-AU"/>
        </w:rPr>
        <w:t>management.</w:t>
      </w:r>
      <w:r w:rsidRPr="009B1D37">
        <w:rPr>
          <w:lang w:eastAsia="en-AU"/>
        </w:rPr>
        <w:t xml:space="preserve"> Climate change exacerbates the challenges faced by the health system, with health facilities</w:t>
      </w:r>
      <w:r w:rsidR="042EB1A8">
        <w:rPr>
          <w:lang w:eastAsia="en-AU"/>
        </w:rPr>
        <w:t>,</w:t>
      </w:r>
      <w:r w:rsidRPr="009B1D37">
        <w:rPr>
          <w:lang w:eastAsia="en-AU"/>
        </w:rPr>
        <w:t xml:space="preserve"> including the National Referral Hospital</w:t>
      </w:r>
      <w:r w:rsidR="042EB1A8">
        <w:rPr>
          <w:lang w:eastAsia="en-AU"/>
        </w:rPr>
        <w:t>,</w:t>
      </w:r>
      <w:r w:rsidRPr="009B1D37">
        <w:rPr>
          <w:lang w:eastAsia="en-AU"/>
        </w:rPr>
        <w:t xml:space="preserve"> increasingly subject to flooding and storm surges, increasing maintenance costs in an already strained health system.</w:t>
      </w:r>
    </w:p>
    <w:p w14:paraId="2CD6B5B8" w14:textId="33C05916" w:rsidR="005A1994" w:rsidRPr="006F2503" w:rsidRDefault="6D259BC4" w:rsidP="2181D48A">
      <w:pPr>
        <w:rPr>
          <w:rFonts w:cs="Calibri Light"/>
          <w:lang w:eastAsia="en-AU"/>
        </w:rPr>
      </w:pPr>
      <w:r w:rsidRPr="0EFACCC8">
        <w:rPr>
          <w:lang w:eastAsia="en-AU"/>
        </w:rPr>
        <w:t xml:space="preserve">Solomon Islands is committed to ensuring equitable access to </w:t>
      </w:r>
      <w:r w:rsidR="1B8CAC33" w:rsidRPr="00D573D9">
        <w:t xml:space="preserve">quality </w:t>
      </w:r>
      <w:r w:rsidRPr="00D573D9">
        <w:t>basic education</w:t>
      </w:r>
      <w:r w:rsidR="00170B28">
        <w:t>. It intends to remove</w:t>
      </w:r>
      <w:r w:rsidR="3CF3F832" w:rsidRPr="0EFACCC8">
        <w:rPr>
          <w:lang w:eastAsia="en-AU"/>
        </w:rPr>
        <w:t xml:space="preserve"> </w:t>
      </w:r>
      <w:r w:rsidR="7CF0E776" w:rsidRPr="0EFACCC8">
        <w:rPr>
          <w:lang w:eastAsia="en-AU"/>
        </w:rPr>
        <w:t>barriers to accessing</w:t>
      </w:r>
      <w:r w:rsidRPr="0EFACCC8">
        <w:rPr>
          <w:lang w:eastAsia="en-AU"/>
        </w:rPr>
        <w:t xml:space="preserve"> education and </w:t>
      </w:r>
      <w:r w:rsidR="7CF0E776" w:rsidRPr="0EFACCC8">
        <w:rPr>
          <w:lang w:eastAsia="en-AU"/>
        </w:rPr>
        <w:t xml:space="preserve">empower </w:t>
      </w:r>
      <w:r w:rsidR="1DC57910" w:rsidRPr="0EFACCC8">
        <w:rPr>
          <w:lang w:eastAsia="en-AU"/>
        </w:rPr>
        <w:t xml:space="preserve">the provinces to manage </w:t>
      </w:r>
      <w:r w:rsidR="7CF0E776" w:rsidRPr="0EFACCC8">
        <w:rPr>
          <w:lang w:eastAsia="en-AU"/>
        </w:rPr>
        <w:t>school</w:t>
      </w:r>
      <w:r w:rsidR="1DC57910" w:rsidRPr="0EFACCC8">
        <w:rPr>
          <w:lang w:eastAsia="en-AU"/>
        </w:rPr>
        <w:t>s</w:t>
      </w:r>
      <w:r w:rsidR="7CF0E776" w:rsidRPr="0EFACCC8">
        <w:rPr>
          <w:lang w:eastAsia="en-AU"/>
        </w:rPr>
        <w:t xml:space="preserve"> and teache</w:t>
      </w:r>
      <w:r w:rsidR="1DC57910" w:rsidRPr="0EFACCC8">
        <w:rPr>
          <w:lang w:eastAsia="en-AU"/>
        </w:rPr>
        <w:t>rs</w:t>
      </w:r>
      <w:r w:rsidRPr="0EFACCC8">
        <w:rPr>
          <w:lang w:eastAsia="en-AU"/>
        </w:rPr>
        <w:t xml:space="preserve">, although these </w:t>
      </w:r>
      <w:r w:rsidR="5D344CB6" w:rsidRPr="0EFACCC8">
        <w:rPr>
          <w:lang w:eastAsia="en-AU"/>
        </w:rPr>
        <w:t xml:space="preserve">reforms will </w:t>
      </w:r>
      <w:r w:rsidR="3BE90A46" w:rsidRPr="0EFACCC8">
        <w:rPr>
          <w:lang w:eastAsia="en-AU"/>
        </w:rPr>
        <w:t>take time to implement</w:t>
      </w:r>
      <w:r w:rsidRPr="0EFACCC8">
        <w:rPr>
          <w:lang w:eastAsia="en-AU"/>
        </w:rPr>
        <w:t xml:space="preserve">. Vocational and higher education allow Solomon Islanders to access more economic </w:t>
      </w:r>
      <w:r w:rsidRPr="0EFACCC8">
        <w:rPr>
          <w:lang w:eastAsia="en-AU"/>
        </w:rPr>
        <w:lastRenderedPageBreak/>
        <w:t>opportunities, including abroad. O</w:t>
      </w:r>
      <w:r w:rsidRPr="0EFACCC8">
        <w:t xml:space="preserve">ngoing challenges include low completion rates and challenging learning conditions. By the end of </w:t>
      </w:r>
      <w:r w:rsidR="1135A03D">
        <w:t>y</w:t>
      </w:r>
      <w:r w:rsidRPr="0EFACCC8">
        <w:t xml:space="preserve">ear </w:t>
      </w:r>
      <w:r w:rsidR="60F333B2">
        <w:t>six</w:t>
      </w:r>
      <w:r w:rsidRPr="0EFACCC8">
        <w:t>, only 70</w:t>
      </w:r>
      <w:r w:rsidR="1135A03D">
        <w:t> </w:t>
      </w:r>
      <w:r w:rsidRPr="0EFACCC8">
        <w:t>per cent of Solomon Islands children achieve at least a minimum proficiency level in reading and mathematics.</w:t>
      </w:r>
      <w:r w:rsidR="003A3800" w:rsidRPr="46ED4AAE">
        <w:rPr>
          <w:rStyle w:val="EndnoteReference"/>
          <w:rFonts w:cstheme="majorBidi"/>
        </w:rPr>
        <w:endnoteReference w:id="10"/>
      </w:r>
      <w:r w:rsidRPr="0EFACCC8">
        <w:t xml:space="preserve"> School infrastructure and the number of qualified teachers are insufficient for the growing school-age population of about 280,000</w:t>
      </w:r>
      <w:r w:rsidR="22053259" w:rsidRPr="006F2503">
        <w:t>.</w:t>
      </w:r>
    </w:p>
    <w:p w14:paraId="67C615FB" w14:textId="37A33544" w:rsidR="003A3800" w:rsidRPr="009B1D37" w:rsidRDefault="003A3800" w:rsidP="00D573D9">
      <w:pPr>
        <w:pStyle w:val="H3-Heading3"/>
        <w:rPr>
          <w:lang w:eastAsia="en-AU"/>
        </w:rPr>
      </w:pPr>
      <w:r w:rsidRPr="00A90F65">
        <w:rPr>
          <w:lang w:eastAsia="en-AU"/>
        </w:rPr>
        <w:t>Climate change</w:t>
      </w:r>
    </w:p>
    <w:p w14:paraId="4C11E6DB" w14:textId="1C2354E7" w:rsidR="003A3800" w:rsidRPr="0040257C" w:rsidRDefault="58B635EB" w:rsidP="00B25597">
      <w:pPr>
        <w:rPr>
          <w:lang w:eastAsia="en-AU"/>
        </w:rPr>
      </w:pPr>
      <w:r w:rsidRPr="0040257C">
        <w:rPr>
          <w:lang w:eastAsia="en-AU"/>
        </w:rPr>
        <w:t xml:space="preserve">Climate change </w:t>
      </w:r>
      <w:r w:rsidR="3AAFC2A7" w:rsidRPr="0040257C">
        <w:rPr>
          <w:lang w:eastAsia="en-AU"/>
        </w:rPr>
        <w:t>is expected to</w:t>
      </w:r>
      <w:r w:rsidRPr="0040257C">
        <w:rPr>
          <w:lang w:eastAsia="en-AU"/>
        </w:rPr>
        <w:t xml:space="preserve"> exacerbate existing challenges to Solomon Islands’ development across all sectors</w:t>
      </w:r>
      <w:r w:rsidR="79310238" w:rsidRPr="0040257C">
        <w:rPr>
          <w:lang w:eastAsia="en-AU"/>
        </w:rPr>
        <w:t>, with implications for the</w:t>
      </w:r>
      <w:r w:rsidR="2FA50AAD" w:rsidRPr="0040257C">
        <w:rPr>
          <w:lang w:eastAsia="en-AU"/>
        </w:rPr>
        <w:t xml:space="preserve"> country’s</w:t>
      </w:r>
      <w:r w:rsidR="79310238" w:rsidRPr="0040257C">
        <w:rPr>
          <w:lang w:eastAsia="en-AU"/>
        </w:rPr>
        <w:t xml:space="preserve"> economy, human development, and security and stability</w:t>
      </w:r>
      <w:r w:rsidR="00A75A91">
        <w:rPr>
          <w:lang w:eastAsia="en-AU"/>
        </w:rPr>
        <w:t>.</w:t>
      </w:r>
    </w:p>
    <w:p w14:paraId="1F7BB93B" w14:textId="4A2F133A" w:rsidR="003A3800" w:rsidRPr="0040257C" w:rsidRDefault="4C81322E" w:rsidP="00B25597">
      <w:pPr>
        <w:rPr>
          <w:lang w:eastAsia="en-AU"/>
        </w:rPr>
      </w:pPr>
      <w:r w:rsidRPr="0040257C">
        <w:rPr>
          <w:lang w:eastAsia="en-AU"/>
        </w:rPr>
        <w:t>Climate projections indicate that Solomon Islands will continue to get warmer</w:t>
      </w:r>
      <w:r w:rsidR="6247B521" w:rsidRPr="0040257C">
        <w:rPr>
          <w:lang w:eastAsia="en-AU"/>
        </w:rPr>
        <w:t xml:space="preserve"> and experience more extreme weather events.</w:t>
      </w:r>
      <w:r w:rsidR="006059A1">
        <w:rPr>
          <w:rStyle w:val="EndnoteReference"/>
          <w:lang w:eastAsia="en-AU"/>
        </w:rPr>
        <w:endnoteReference w:id="11"/>
      </w:r>
      <w:r w:rsidR="51E94F18" w:rsidRPr="0040257C">
        <w:rPr>
          <w:lang w:eastAsia="en-AU"/>
        </w:rPr>
        <w:t xml:space="preserve"> </w:t>
      </w:r>
      <w:r w:rsidR="6A5F6D4D" w:rsidRPr="0040257C">
        <w:rPr>
          <w:lang w:eastAsia="en-AU"/>
        </w:rPr>
        <w:t>With the population concentrated in coastal areas, the country is vulnerable to the impacts of sea level rise and</w:t>
      </w:r>
      <w:r w:rsidR="13126888" w:rsidRPr="0040257C">
        <w:rPr>
          <w:lang w:eastAsia="en-AU"/>
        </w:rPr>
        <w:t xml:space="preserve"> </w:t>
      </w:r>
      <w:r w:rsidR="6A5F6D4D" w:rsidRPr="0040257C">
        <w:rPr>
          <w:lang w:eastAsia="en-AU"/>
        </w:rPr>
        <w:t xml:space="preserve">coastal hazards such as tropical cyclones, storm surges, inundation and erosion. </w:t>
      </w:r>
      <w:r w:rsidR="7955717E" w:rsidRPr="0040257C">
        <w:rPr>
          <w:lang w:eastAsia="en-AU"/>
        </w:rPr>
        <w:t>Sea temperatures are also projected to increase</w:t>
      </w:r>
      <w:r w:rsidR="006F5673">
        <w:rPr>
          <w:lang w:eastAsia="en-AU"/>
        </w:rPr>
        <w:t>,</w:t>
      </w:r>
      <w:r w:rsidR="00A144A5">
        <w:rPr>
          <w:rStyle w:val="EndnoteReference"/>
          <w:lang w:eastAsia="en-AU"/>
        </w:rPr>
        <w:endnoteReference w:id="12"/>
      </w:r>
      <w:r w:rsidR="7955717E" w:rsidRPr="0040257C">
        <w:rPr>
          <w:lang w:eastAsia="en-AU"/>
        </w:rPr>
        <w:t xml:space="preserve"> which when combined with increasing ocean acidification, would have major implications for </w:t>
      </w:r>
      <w:r w:rsidR="264D3F82" w:rsidRPr="0040257C">
        <w:rPr>
          <w:lang w:eastAsia="en-AU"/>
        </w:rPr>
        <w:t xml:space="preserve">Solomon Islands’ </w:t>
      </w:r>
      <w:r w:rsidR="03739BC1" w:rsidRPr="0040257C">
        <w:rPr>
          <w:lang w:eastAsia="en-AU"/>
        </w:rPr>
        <w:t xml:space="preserve">valuable </w:t>
      </w:r>
      <w:r w:rsidR="1E68FD55" w:rsidRPr="0040257C">
        <w:rPr>
          <w:lang w:eastAsia="en-AU"/>
        </w:rPr>
        <w:t>coral reefs</w:t>
      </w:r>
      <w:r w:rsidR="00B73726" w:rsidRPr="46ED4AAE">
        <w:rPr>
          <w:lang w:eastAsia="en-AU"/>
        </w:rPr>
        <w:t>, fisheries</w:t>
      </w:r>
      <w:r w:rsidR="1E68FD55" w:rsidRPr="0040257C">
        <w:rPr>
          <w:lang w:eastAsia="en-AU"/>
        </w:rPr>
        <w:t xml:space="preserve"> and </w:t>
      </w:r>
      <w:r w:rsidR="264D3F82" w:rsidRPr="0040257C">
        <w:rPr>
          <w:lang w:eastAsia="en-AU"/>
        </w:rPr>
        <w:t>marine resources.</w:t>
      </w:r>
    </w:p>
    <w:p w14:paraId="7399E2AF" w14:textId="0AB35CC6" w:rsidR="003A3800" w:rsidRPr="0040257C" w:rsidRDefault="4C41B237" w:rsidP="00B25597">
      <w:pPr>
        <w:rPr>
          <w:lang w:eastAsia="en-AU"/>
        </w:rPr>
      </w:pPr>
      <w:r w:rsidRPr="2A22DF3F">
        <w:rPr>
          <w:lang w:eastAsia="en-AU"/>
        </w:rPr>
        <w:t>Due to</w:t>
      </w:r>
      <w:r w:rsidR="6607AE68" w:rsidRPr="2A22DF3F">
        <w:rPr>
          <w:lang w:eastAsia="en-AU"/>
        </w:rPr>
        <w:t xml:space="preserve"> </w:t>
      </w:r>
      <w:r w:rsidR="1E1E3759" w:rsidRPr="2A22DF3F">
        <w:rPr>
          <w:lang w:eastAsia="en-AU"/>
        </w:rPr>
        <w:t xml:space="preserve">the country’s </w:t>
      </w:r>
      <w:r w:rsidR="6607AE68" w:rsidRPr="2A22DF3F">
        <w:rPr>
          <w:lang w:eastAsia="en-AU"/>
        </w:rPr>
        <w:t xml:space="preserve">heavy </w:t>
      </w:r>
      <w:r w:rsidRPr="2A22DF3F">
        <w:rPr>
          <w:lang w:eastAsia="en-AU"/>
        </w:rPr>
        <w:t xml:space="preserve">reliance on its natural resources, climate change is expected to impact many of </w:t>
      </w:r>
      <w:r w:rsidR="0C82B649" w:rsidRPr="2A22DF3F">
        <w:rPr>
          <w:lang w:eastAsia="en-AU"/>
        </w:rPr>
        <w:t xml:space="preserve">Solomon Islands’ </w:t>
      </w:r>
      <w:r w:rsidRPr="2A22DF3F">
        <w:rPr>
          <w:lang w:eastAsia="en-AU"/>
        </w:rPr>
        <w:t>productive sectors, including fisheries, agriculture and tourism</w:t>
      </w:r>
      <w:r w:rsidR="053F88E3" w:rsidRPr="2A22DF3F">
        <w:rPr>
          <w:lang w:eastAsia="en-AU"/>
        </w:rPr>
        <w:t>, with implications for jobs growth and the economy</w:t>
      </w:r>
      <w:r w:rsidRPr="2A22DF3F">
        <w:rPr>
          <w:lang w:eastAsia="en-AU"/>
        </w:rPr>
        <w:t>.</w:t>
      </w:r>
      <w:r w:rsidR="2F588D54" w:rsidRPr="2A22DF3F">
        <w:rPr>
          <w:lang w:eastAsia="en-AU"/>
        </w:rPr>
        <w:t xml:space="preserve"> </w:t>
      </w:r>
      <w:r w:rsidR="384E1F05" w:rsidRPr="2A22DF3F">
        <w:rPr>
          <w:lang w:eastAsia="en-AU"/>
        </w:rPr>
        <w:t xml:space="preserve">Climate change will </w:t>
      </w:r>
      <w:r w:rsidR="57C2182B" w:rsidRPr="2A22DF3F">
        <w:rPr>
          <w:lang w:eastAsia="en-AU"/>
        </w:rPr>
        <w:t xml:space="preserve">also </w:t>
      </w:r>
      <w:r w:rsidR="384E1F05" w:rsidRPr="2A22DF3F">
        <w:rPr>
          <w:lang w:eastAsia="en-AU"/>
        </w:rPr>
        <w:t xml:space="preserve">increase the vulnerability </w:t>
      </w:r>
      <w:r w:rsidR="56A0E69C" w:rsidRPr="2A22DF3F">
        <w:rPr>
          <w:lang w:eastAsia="en-AU"/>
        </w:rPr>
        <w:t>to extreme weather events and sea level rise of critical infrastructure</w:t>
      </w:r>
      <w:r w:rsidR="672AA3E8" w:rsidRPr="2A22DF3F">
        <w:rPr>
          <w:lang w:eastAsia="en-AU"/>
        </w:rPr>
        <w:t xml:space="preserve">, </w:t>
      </w:r>
      <w:r w:rsidR="32D6C2C0" w:rsidRPr="2A22DF3F">
        <w:rPr>
          <w:lang w:eastAsia="en-AU"/>
        </w:rPr>
        <w:t>i</w:t>
      </w:r>
      <w:r w:rsidR="384E1F05" w:rsidRPr="2A22DF3F">
        <w:rPr>
          <w:lang w:eastAsia="en-AU"/>
        </w:rPr>
        <w:t>ncluding roads, bridges and public buildings</w:t>
      </w:r>
      <w:r w:rsidR="298FB607" w:rsidRPr="2A22DF3F">
        <w:rPr>
          <w:lang w:eastAsia="en-AU"/>
        </w:rPr>
        <w:t>,</w:t>
      </w:r>
      <w:r w:rsidR="0518E9B6" w:rsidRPr="2A22DF3F">
        <w:rPr>
          <w:lang w:eastAsia="en-AU"/>
        </w:rPr>
        <w:t xml:space="preserve"> which are mostly </w:t>
      </w:r>
      <w:r w:rsidR="6649AB91" w:rsidRPr="2A22DF3F">
        <w:rPr>
          <w:lang w:eastAsia="en-AU"/>
        </w:rPr>
        <w:t>situated on the coast and in low-lying areas</w:t>
      </w:r>
      <w:r w:rsidR="24EFCDDA" w:rsidRPr="2A22DF3F">
        <w:rPr>
          <w:lang w:eastAsia="en-AU"/>
        </w:rPr>
        <w:t>.</w:t>
      </w:r>
      <w:r w:rsidR="204F43F7" w:rsidRPr="2A22DF3F">
        <w:rPr>
          <w:lang w:eastAsia="en-AU"/>
        </w:rPr>
        <w:t xml:space="preserve"> Ensuring infrastructure is designed and built to be resilient to future climate change will be </w:t>
      </w:r>
      <w:r w:rsidR="6624B0C3" w:rsidRPr="2A22DF3F">
        <w:rPr>
          <w:lang w:eastAsia="en-AU"/>
        </w:rPr>
        <w:t>critical.</w:t>
      </w:r>
    </w:p>
    <w:p w14:paraId="57403D37" w14:textId="0B017E80" w:rsidR="00324A1E" w:rsidRPr="003525B5" w:rsidRDefault="00324A1E" w:rsidP="00B25597">
      <w:pPr>
        <w:rPr>
          <w:lang w:eastAsia="en-AU"/>
        </w:rPr>
      </w:pPr>
      <w:r w:rsidRPr="003525B5">
        <w:rPr>
          <w:lang w:eastAsia="en-AU"/>
        </w:rPr>
        <w:t xml:space="preserve">Despite rapid urbanisation over the </w:t>
      </w:r>
      <w:r w:rsidR="00E0198F">
        <w:rPr>
          <w:lang w:eastAsia="en-AU"/>
        </w:rPr>
        <w:t>p</w:t>
      </w:r>
      <w:r w:rsidRPr="003525B5">
        <w:rPr>
          <w:lang w:eastAsia="en-AU"/>
        </w:rPr>
        <w:t xml:space="preserve">ast </w:t>
      </w:r>
      <w:r w:rsidR="001B4B62">
        <w:rPr>
          <w:lang w:eastAsia="en-AU"/>
        </w:rPr>
        <w:t>10 </w:t>
      </w:r>
      <w:r w:rsidRPr="003525B5">
        <w:rPr>
          <w:lang w:eastAsia="en-AU"/>
        </w:rPr>
        <w:t>years,</w:t>
      </w:r>
      <w:r w:rsidR="00C5350F">
        <w:rPr>
          <w:lang w:eastAsia="en-AU"/>
        </w:rPr>
        <w:t xml:space="preserve"> </w:t>
      </w:r>
      <w:r w:rsidR="003410A4">
        <w:rPr>
          <w:lang w:eastAsia="en-AU"/>
        </w:rPr>
        <w:t>almost</w:t>
      </w:r>
      <w:r w:rsidR="7EA63360" w:rsidRPr="71238E1B">
        <w:rPr>
          <w:lang w:eastAsia="en-AU"/>
        </w:rPr>
        <w:t xml:space="preserve"> </w:t>
      </w:r>
      <w:r w:rsidRPr="003525B5">
        <w:rPr>
          <w:lang w:eastAsia="en-AU"/>
        </w:rPr>
        <w:t>three-quarters of Solomon Islanders live in rural areas and are reliant on agriculture, forestry and fisheries for both food security and livelihoods. The food system is mostly subsistence</w:t>
      </w:r>
      <w:r w:rsidR="00D64144">
        <w:rPr>
          <w:lang w:eastAsia="en-AU"/>
        </w:rPr>
        <w:t xml:space="preserve"> </w:t>
      </w:r>
      <w:r w:rsidRPr="003525B5">
        <w:rPr>
          <w:lang w:eastAsia="en-AU"/>
        </w:rPr>
        <w:t xml:space="preserve">based, </w:t>
      </w:r>
      <w:r w:rsidR="00920591">
        <w:rPr>
          <w:lang w:eastAsia="en-AU"/>
        </w:rPr>
        <w:t xml:space="preserve">primarily comprising </w:t>
      </w:r>
      <w:r w:rsidRPr="003525B5">
        <w:rPr>
          <w:lang w:eastAsia="en-AU"/>
        </w:rPr>
        <w:t>small-scale agriculture and fishing industries, and most food is grown in coastal areas. Extreme weather events and climate variability have shaped Solomon Islands’ food system over time; traditional knowledge will be important for adapting to future changes.</w:t>
      </w:r>
    </w:p>
    <w:p w14:paraId="52DD3E64" w14:textId="6B329D77" w:rsidR="003A3800" w:rsidRPr="0040257C" w:rsidRDefault="1E9A8541" w:rsidP="00B25597">
      <w:pPr>
        <w:rPr>
          <w:lang w:eastAsia="en-AU"/>
        </w:rPr>
      </w:pPr>
      <w:r w:rsidRPr="00DF5CAC">
        <w:rPr>
          <w:lang w:eastAsia="en-AU"/>
        </w:rPr>
        <w:t xml:space="preserve">Climate change impacts will </w:t>
      </w:r>
      <w:r w:rsidR="00EB2567" w:rsidRPr="00DF5CAC">
        <w:rPr>
          <w:lang w:eastAsia="en-AU"/>
        </w:rPr>
        <w:t xml:space="preserve">exacerbate the vulnerabilities of many communities, </w:t>
      </w:r>
      <w:r w:rsidR="005E0182" w:rsidRPr="00DF5CAC">
        <w:rPr>
          <w:lang w:eastAsia="en-AU"/>
        </w:rPr>
        <w:t>and will predominantly impact</w:t>
      </w:r>
      <w:r w:rsidRPr="00DF5CAC">
        <w:rPr>
          <w:lang w:eastAsia="en-AU"/>
        </w:rPr>
        <w:t xml:space="preserve"> women, people with disabilit</w:t>
      </w:r>
      <w:r w:rsidR="0054387B" w:rsidRPr="00DF5CAC">
        <w:rPr>
          <w:lang w:eastAsia="en-AU"/>
        </w:rPr>
        <w:t>y</w:t>
      </w:r>
      <w:r w:rsidRPr="00DF5CAC">
        <w:rPr>
          <w:lang w:eastAsia="en-AU"/>
        </w:rPr>
        <w:t xml:space="preserve"> and people experiencing other forms of marginalisation</w:t>
      </w:r>
      <w:r w:rsidRPr="0040257C">
        <w:rPr>
          <w:lang w:eastAsia="en-AU"/>
        </w:rPr>
        <w:t xml:space="preserve">. Communities in informal settlements </w:t>
      </w:r>
      <w:r w:rsidR="002D0709">
        <w:rPr>
          <w:lang w:eastAsia="en-AU"/>
        </w:rPr>
        <w:t xml:space="preserve">also </w:t>
      </w:r>
      <w:r w:rsidRPr="0040257C">
        <w:rPr>
          <w:lang w:eastAsia="en-AU"/>
        </w:rPr>
        <w:t>have fewer options to adapt and respond to climate change. Climate change will widen existing inequalities</w:t>
      </w:r>
      <w:r w:rsidR="4BA5B3F5" w:rsidRPr="0040257C">
        <w:rPr>
          <w:lang w:eastAsia="en-AU"/>
        </w:rPr>
        <w:t xml:space="preserve">, including between </w:t>
      </w:r>
      <w:r w:rsidR="0F6ADF67" w:rsidRPr="0040257C">
        <w:rPr>
          <w:lang w:eastAsia="en-AU"/>
        </w:rPr>
        <w:t>rural and urban areas and across provinces due to factors such as remoteness</w:t>
      </w:r>
      <w:r w:rsidR="58183368" w:rsidRPr="0040257C">
        <w:rPr>
          <w:lang w:eastAsia="en-AU"/>
        </w:rPr>
        <w:t xml:space="preserve"> and availability of natural resources</w:t>
      </w:r>
      <w:r w:rsidR="0F6ADF67" w:rsidRPr="0040257C">
        <w:rPr>
          <w:lang w:eastAsia="en-AU"/>
        </w:rPr>
        <w:t>.</w:t>
      </w:r>
    </w:p>
    <w:p w14:paraId="69C217F2" w14:textId="731C7F72" w:rsidR="003A3800" w:rsidRPr="0040257C" w:rsidRDefault="00A27B29" w:rsidP="00B25597">
      <w:pPr>
        <w:rPr>
          <w:lang w:eastAsia="en-AU"/>
        </w:rPr>
      </w:pPr>
      <w:r>
        <w:rPr>
          <w:lang w:eastAsia="en-AU"/>
        </w:rPr>
        <w:t xml:space="preserve">Climate-related </w:t>
      </w:r>
      <w:r w:rsidR="0566DB9E" w:rsidRPr="0040257C">
        <w:rPr>
          <w:lang w:eastAsia="en-AU"/>
        </w:rPr>
        <w:t>migration</w:t>
      </w:r>
      <w:r w:rsidR="004579DD">
        <w:rPr>
          <w:lang w:eastAsia="en-AU"/>
        </w:rPr>
        <w:t xml:space="preserve"> has the potential to trigger instability</w:t>
      </w:r>
      <w:r w:rsidR="002E07AD">
        <w:rPr>
          <w:lang w:eastAsia="en-AU"/>
        </w:rPr>
        <w:t>,</w:t>
      </w:r>
      <w:r w:rsidR="004579DD">
        <w:rPr>
          <w:lang w:eastAsia="en-AU"/>
        </w:rPr>
        <w:t xml:space="preserve"> </w:t>
      </w:r>
      <w:r w:rsidR="002E07AD">
        <w:rPr>
          <w:lang w:eastAsia="en-AU"/>
        </w:rPr>
        <w:t xml:space="preserve">involving </w:t>
      </w:r>
      <w:r w:rsidR="00025253" w:rsidRPr="001F0DE3">
        <w:rPr>
          <w:lang w:eastAsia="en-AU"/>
        </w:rPr>
        <w:t>complex issues of property rights and deep cultural connections to land.</w:t>
      </w:r>
      <w:r w:rsidR="00025253">
        <w:rPr>
          <w:lang w:eastAsia="en-AU"/>
        </w:rPr>
        <w:t xml:space="preserve"> </w:t>
      </w:r>
      <w:r w:rsidR="0566DB9E" w:rsidRPr="0040257C">
        <w:rPr>
          <w:lang w:eastAsia="en-AU"/>
        </w:rPr>
        <w:t>Since 2008, weather-related events have triggered around 26,000</w:t>
      </w:r>
      <w:r w:rsidR="00881DC6">
        <w:rPr>
          <w:lang w:eastAsia="en-AU"/>
        </w:rPr>
        <w:t> </w:t>
      </w:r>
      <w:r w:rsidR="0566DB9E" w:rsidRPr="0040257C">
        <w:rPr>
          <w:lang w:eastAsia="en-AU"/>
        </w:rPr>
        <w:t xml:space="preserve">displacements, with two events (Cyclone Uli in 2010 and Honiara flooding in 2014) responsible for 15,000 of these displacements. Sea level rise has submerged five islands in the </w:t>
      </w:r>
      <w:r w:rsidR="00E310BE">
        <w:rPr>
          <w:lang w:eastAsia="en-AU"/>
        </w:rPr>
        <w:t>p</w:t>
      </w:r>
      <w:r w:rsidR="0566DB9E" w:rsidRPr="0040257C">
        <w:rPr>
          <w:lang w:eastAsia="en-AU"/>
        </w:rPr>
        <w:t>ast</w:t>
      </w:r>
      <w:r w:rsidR="00881DC6">
        <w:rPr>
          <w:lang w:eastAsia="en-AU"/>
        </w:rPr>
        <w:t> </w:t>
      </w:r>
      <w:r w:rsidR="0566DB9E" w:rsidRPr="0040257C">
        <w:rPr>
          <w:lang w:eastAsia="en-AU"/>
        </w:rPr>
        <w:t>50 years</w:t>
      </w:r>
      <w:r w:rsidR="004C2EFA">
        <w:rPr>
          <w:lang w:eastAsia="en-AU"/>
        </w:rPr>
        <w:t xml:space="preserve">. </w:t>
      </w:r>
      <w:r w:rsidR="00D50BA5">
        <w:rPr>
          <w:lang w:eastAsia="en-AU"/>
        </w:rPr>
        <w:t>M</w:t>
      </w:r>
      <w:r w:rsidR="000C1091">
        <w:rPr>
          <w:lang w:eastAsia="en-AU"/>
        </w:rPr>
        <w:t xml:space="preserve">odelling </w:t>
      </w:r>
      <w:r w:rsidR="0566DB9E" w:rsidRPr="0040257C">
        <w:rPr>
          <w:lang w:eastAsia="en-AU"/>
        </w:rPr>
        <w:t xml:space="preserve">indicates that sudden-onset hazards </w:t>
      </w:r>
      <w:r w:rsidR="00DC00E3">
        <w:rPr>
          <w:lang w:eastAsia="en-AU"/>
        </w:rPr>
        <w:t xml:space="preserve">could </w:t>
      </w:r>
      <w:r w:rsidR="0566DB9E" w:rsidRPr="0040257C">
        <w:rPr>
          <w:lang w:eastAsia="en-AU"/>
        </w:rPr>
        <w:t xml:space="preserve">displace </w:t>
      </w:r>
      <w:r w:rsidR="004C0BFA">
        <w:rPr>
          <w:lang w:eastAsia="en-AU"/>
        </w:rPr>
        <w:t>3 </w:t>
      </w:r>
      <w:r w:rsidR="0566DB9E" w:rsidRPr="0040257C">
        <w:rPr>
          <w:lang w:eastAsia="en-AU"/>
        </w:rPr>
        <w:t>per cent of the population</w:t>
      </w:r>
      <w:r w:rsidR="00DC00E3">
        <w:rPr>
          <w:lang w:eastAsia="en-AU"/>
        </w:rPr>
        <w:t xml:space="preserve"> </w:t>
      </w:r>
      <w:r w:rsidR="0566DB9E" w:rsidRPr="0040257C">
        <w:rPr>
          <w:lang w:eastAsia="en-AU"/>
        </w:rPr>
        <w:t>per year</w:t>
      </w:r>
      <w:r w:rsidR="00881DC6">
        <w:rPr>
          <w:lang w:eastAsia="en-AU"/>
        </w:rPr>
        <w:t>.</w:t>
      </w:r>
      <w:r w:rsidR="009C04EF" w:rsidRPr="46ED4AAE">
        <w:rPr>
          <w:rStyle w:val="EndnoteReference"/>
          <w:rFonts w:cstheme="majorBidi"/>
          <w:lang w:eastAsia="en-AU"/>
        </w:rPr>
        <w:endnoteReference w:id="13"/>
      </w:r>
    </w:p>
    <w:p w14:paraId="0263721A" w14:textId="39B777E9" w:rsidR="003A3800" w:rsidRDefault="01387D73" w:rsidP="00B25597">
      <w:pPr>
        <w:rPr>
          <w:rFonts w:eastAsia="Calibri Light"/>
        </w:rPr>
      </w:pPr>
      <w:r>
        <w:rPr>
          <w:lang w:eastAsia="en-AU"/>
        </w:rPr>
        <w:t xml:space="preserve">While Solomon Islands is not a major contributor to </w:t>
      </w:r>
      <w:r w:rsidR="2E21111D">
        <w:rPr>
          <w:lang w:eastAsia="en-AU"/>
        </w:rPr>
        <w:t xml:space="preserve">global greenhouse gas emissions, a low-carbon development pathway offers </w:t>
      </w:r>
      <w:r w:rsidR="247A8B14">
        <w:rPr>
          <w:lang w:eastAsia="en-AU"/>
        </w:rPr>
        <w:t>significant opportunities for the country</w:t>
      </w:r>
      <w:r w:rsidR="22C84E3B">
        <w:rPr>
          <w:lang w:eastAsia="en-AU"/>
        </w:rPr>
        <w:t>. Renewable</w:t>
      </w:r>
      <w:r w:rsidR="22C84E3B" w:rsidRPr="00960A27">
        <w:rPr>
          <w:lang w:eastAsia="en-AU"/>
        </w:rPr>
        <w:t xml:space="preserve"> energy </w:t>
      </w:r>
      <w:r w:rsidR="22C84E3B">
        <w:rPr>
          <w:lang w:eastAsia="en-AU"/>
        </w:rPr>
        <w:t xml:space="preserve">offers </w:t>
      </w:r>
      <w:r w:rsidR="22C84E3B" w:rsidRPr="00960A27">
        <w:rPr>
          <w:lang w:eastAsia="en-AU"/>
        </w:rPr>
        <w:t>cheaper and more reliable alternatives to imported fossil fuels</w:t>
      </w:r>
      <w:r w:rsidR="308A6E2C">
        <w:rPr>
          <w:lang w:eastAsia="en-AU"/>
        </w:rPr>
        <w:t xml:space="preserve">, especially for </w:t>
      </w:r>
      <w:r w:rsidR="308A6E2C" w:rsidRPr="00960A27">
        <w:rPr>
          <w:lang w:eastAsia="en-AU"/>
        </w:rPr>
        <w:t>outer islands and remote communities where electricity transmission is difficult.</w:t>
      </w:r>
      <w:r w:rsidR="373A3244">
        <w:rPr>
          <w:lang w:eastAsia="en-AU"/>
        </w:rPr>
        <w:t xml:space="preserve"> </w:t>
      </w:r>
      <w:r w:rsidR="12C58EAF" w:rsidRPr="009B1D37">
        <w:rPr>
          <w:lang w:eastAsia="en-AU"/>
        </w:rPr>
        <w:t xml:space="preserve">Solomon Islands has committed to reduce its greenhouse gas emissions </w:t>
      </w:r>
      <w:r w:rsidR="5FFDEA98">
        <w:rPr>
          <w:lang w:eastAsia="en-AU"/>
        </w:rPr>
        <w:t>to</w:t>
      </w:r>
      <w:r w:rsidR="12C58EAF" w:rsidRPr="009B1D37">
        <w:rPr>
          <w:lang w:eastAsia="en-AU"/>
        </w:rPr>
        <w:t xml:space="preserve"> 27</w:t>
      </w:r>
      <w:r w:rsidR="343821D7">
        <w:rPr>
          <w:lang w:eastAsia="en-AU"/>
        </w:rPr>
        <w:t> </w:t>
      </w:r>
      <w:r w:rsidR="12C58EAF" w:rsidRPr="009B1D37">
        <w:rPr>
          <w:lang w:eastAsia="en-AU"/>
        </w:rPr>
        <w:t>per</w:t>
      </w:r>
      <w:r w:rsidR="12C58EAF">
        <w:rPr>
          <w:lang w:eastAsia="en-AU"/>
        </w:rPr>
        <w:t xml:space="preserve"> </w:t>
      </w:r>
      <w:r w:rsidR="12C58EAF" w:rsidRPr="009B1D37">
        <w:rPr>
          <w:lang w:eastAsia="en-AU"/>
        </w:rPr>
        <w:t>cent below 2015 level</w:t>
      </w:r>
      <w:r w:rsidR="16F92CD4" w:rsidRPr="009B1D37">
        <w:rPr>
          <w:lang w:eastAsia="en-AU"/>
        </w:rPr>
        <w:t>s</w:t>
      </w:r>
      <w:r w:rsidR="12C58EAF" w:rsidRPr="009B1D37">
        <w:rPr>
          <w:lang w:eastAsia="en-AU"/>
        </w:rPr>
        <w:t xml:space="preserve"> by 2025 </w:t>
      </w:r>
      <w:r w:rsidR="3A53C794" w:rsidRPr="009B1D37">
        <w:rPr>
          <w:lang w:eastAsia="en-AU"/>
        </w:rPr>
        <w:t>and</w:t>
      </w:r>
      <w:r w:rsidR="12C58EAF" w:rsidRPr="009B1D37">
        <w:rPr>
          <w:lang w:eastAsia="en-AU"/>
        </w:rPr>
        <w:t xml:space="preserve"> 45</w:t>
      </w:r>
      <w:r w:rsidR="343821D7">
        <w:rPr>
          <w:lang w:eastAsia="en-AU"/>
        </w:rPr>
        <w:t> </w:t>
      </w:r>
      <w:r w:rsidR="12C58EAF" w:rsidRPr="009B1D37">
        <w:rPr>
          <w:lang w:eastAsia="en-AU"/>
        </w:rPr>
        <w:t>per</w:t>
      </w:r>
      <w:r w:rsidR="12C58EAF">
        <w:rPr>
          <w:lang w:eastAsia="en-AU"/>
        </w:rPr>
        <w:t xml:space="preserve"> </w:t>
      </w:r>
      <w:r w:rsidR="12C58EAF" w:rsidRPr="009B1D37">
        <w:rPr>
          <w:lang w:eastAsia="en-AU"/>
        </w:rPr>
        <w:t>cent below 2015 level</w:t>
      </w:r>
      <w:r w:rsidR="3904212E" w:rsidRPr="009B1D37">
        <w:rPr>
          <w:lang w:eastAsia="en-AU"/>
        </w:rPr>
        <w:t>s</w:t>
      </w:r>
      <w:r w:rsidR="12C58EAF" w:rsidRPr="009B1D37">
        <w:rPr>
          <w:lang w:eastAsia="en-AU"/>
        </w:rPr>
        <w:t xml:space="preserve"> by 2030</w:t>
      </w:r>
      <w:r w:rsidR="003A3800" w:rsidRPr="009B1D37">
        <w:rPr>
          <w:rStyle w:val="EndnoteReference"/>
          <w:rFonts w:cs="Calibri Light"/>
          <w:lang w:eastAsia="en-AU"/>
        </w:rPr>
        <w:endnoteReference w:id="14"/>
      </w:r>
      <w:r w:rsidR="12C58EAF" w:rsidRPr="009B1D37">
        <w:rPr>
          <w:lang w:eastAsia="en-AU"/>
        </w:rPr>
        <w:t xml:space="preserve"> with international assistance</w:t>
      </w:r>
      <w:r w:rsidR="6C0EF608" w:rsidRPr="009B1D37">
        <w:rPr>
          <w:lang w:eastAsia="en-AU"/>
        </w:rPr>
        <w:t xml:space="preserve">, and </w:t>
      </w:r>
      <w:r w:rsidR="12C58EAF" w:rsidRPr="009B1D37">
        <w:rPr>
          <w:lang w:eastAsia="en-AU"/>
        </w:rPr>
        <w:t xml:space="preserve">to integrate gender analysis and gender considerations in planning and implementation of mitigation actions. </w:t>
      </w:r>
      <w:r w:rsidR="445F3DC1" w:rsidRPr="26B60B12">
        <w:rPr>
          <w:lang w:eastAsia="en-AU"/>
        </w:rPr>
        <w:t>The</w:t>
      </w:r>
      <w:r w:rsidR="1B3E11C0" w:rsidRPr="26B60B12">
        <w:rPr>
          <w:lang w:eastAsia="en-AU"/>
        </w:rPr>
        <w:t xml:space="preserve"> Solomon Islands</w:t>
      </w:r>
      <w:r w:rsidR="445F3DC1" w:rsidRPr="391FBCC3">
        <w:rPr>
          <w:lang w:eastAsia="en-AU"/>
        </w:rPr>
        <w:t xml:space="preserve"> </w:t>
      </w:r>
      <w:r w:rsidR="3E8A28B1">
        <w:rPr>
          <w:lang w:eastAsia="en-AU"/>
        </w:rPr>
        <w:t xml:space="preserve">Long-Term </w:t>
      </w:r>
      <w:r w:rsidR="445F3DC1" w:rsidRPr="391FBCC3">
        <w:rPr>
          <w:lang w:eastAsia="en-AU"/>
        </w:rPr>
        <w:t xml:space="preserve">Low Emissions Development Strategy outlines </w:t>
      </w:r>
      <w:r w:rsidR="5F9EAE9B" w:rsidRPr="1DE93EE7">
        <w:rPr>
          <w:lang w:eastAsia="en-AU"/>
        </w:rPr>
        <w:t>a</w:t>
      </w:r>
      <w:r w:rsidR="6F671FA8" w:rsidRPr="391FBCC3">
        <w:rPr>
          <w:lang w:eastAsia="en-AU"/>
        </w:rPr>
        <w:t xml:space="preserve"> </w:t>
      </w:r>
      <w:r w:rsidR="445F3DC1" w:rsidRPr="391FBCC3">
        <w:rPr>
          <w:lang w:eastAsia="en-AU"/>
        </w:rPr>
        <w:t>vision for low</w:t>
      </w:r>
      <w:r w:rsidR="5E3AB594">
        <w:rPr>
          <w:lang w:eastAsia="en-AU"/>
        </w:rPr>
        <w:t>-</w:t>
      </w:r>
      <w:r w:rsidR="445F3DC1" w:rsidRPr="391FBCC3">
        <w:rPr>
          <w:lang w:eastAsia="en-AU"/>
        </w:rPr>
        <w:t xml:space="preserve">emissions, equitable and resilient development, </w:t>
      </w:r>
      <w:r w:rsidR="4BD3D92B" w:rsidRPr="391FBCC3">
        <w:rPr>
          <w:lang w:eastAsia="en-AU"/>
        </w:rPr>
        <w:t xml:space="preserve">including </w:t>
      </w:r>
      <w:r w:rsidR="445F3DC1" w:rsidRPr="391FBCC3">
        <w:rPr>
          <w:lang w:eastAsia="en-AU"/>
        </w:rPr>
        <w:t xml:space="preserve">net zero emissions </w:t>
      </w:r>
      <w:r w:rsidR="65973E68" w:rsidRPr="391FBCC3">
        <w:rPr>
          <w:lang w:eastAsia="en-AU"/>
        </w:rPr>
        <w:t>across all sectors</w:t>
      </w:r>
      <w:r w:rsidR="5C07678E" w:rsidRPr="6DED0822">
        <w:rPr>
          <w:lang w:eastAsia="en-AU"/>
        </w:rPr>
        <w:t xml:space="preserve"> by 2050</w:t>
      </w:r>
      <w:r w:rsidR="65973E68" w:rsidRPr="6DED0822">
        <w:rPr>
          <w:lang w:eastAsia="en-AU"/>
        </w:rPr>
        <w:t>.</w:t>
      </w:r>
      <w:r w:rsidR="00FD167E">
        <w:rPr>
          <w:rStyle w:val="EndnoteReference"/>
          <w:lang w:eastAsia="en-AU"/>
        </w:rPr>
        <w:endnoteReference w:id="15"/>
      </w:r>
      <w:r w:rsidR="12C58EAF" w:rsidRPr="009B1D37">
        <w:rPr>
          <w:lang w:eastAsia="en-AU"/>
        </w:rPr>
        <w:t xml:space="preserve"> </w:t>
      </w:r>
      <w:r w:rsidR="79BC9D14" w:rsidRPr="009B1D37">
        <w:rPr>
          <w:lang w:eastAsia="en-AU"/>
        </w:rPr>
        <w:t xml:space="preserve">The </w:t>
      </w:r>
      <w:r w:rsidR="12C58EAF" w:rsidRPr="009B1D37">
        <w:rPr>
          <w:lang w:eastAsia="en-AU"/>
        </w:rPr>
        <w:t xml:space="preserve">Solomon Islands Government has identified specific actions under its National Development Strategy to improve disaster and climate risk management, adaptation and environmental management. </w:t>
      </w:r>
      <w:r w:rsidR="12C58EAF" w:rsidRPr="36E43682">
        <w:rPr>
          <w:rFonts w:eastAsia="Calibri Light"/>
        </w:rPr>
        <w:t xml:space="preserve">The Solomon Islands National Climate Change Policy </w:t>
      </w:r>
      <w:r w:rsidR="12C58EAF" w:rsidRPr="36E43682">
        <w:rPr>
          <w:rFonts w:eastAsia="Calibri Light"/>
        </w:rPr>
        <w:lastRenderedPageBreak/>
        <w:t>2023</w:t>
      </w:r>
      <w:r w:rsidR="20BE6861">
        <w:rPr>
          <w:rFonts w:eastAsia="Calibri Light"/>
        </w:rPr>
        <w:t>–</w:t>
      </w:r>
      <w:r w:rsidR="12C58EAF" w:rsidRPr="36E43682">
        <w:rPr>
          <w:rFonts w:eastAsia="Calibri Light"/>
        </w:rPr>
        <w:t>2032 guides actions to manage the impacts of climate change, address loss and damage, and strengthen low</w:t>
      </w:r>
      <w:r w:rsidR="5E3AB594">
        <w:rPr>
          <w:rFonts w:eastAsia="Calibri Light"/>
        </w:rPr>
        <w:t>-</w:t>
      </w:r>
      <w:r w:rsidR="12C58EAF" w:rsidRPr="36E43682">
        <w:rPr>
          <w:rFonts w:eastAsia="Calibri Light"/>
        </w:rPr>
        <w:t>emissions growth and resilient development.</w:t>
      </w:r>
      <w:r w:rsidR="000C3CFC">
        <w:rPr>
          <w:rStyle w:val="EndnoteReference"/>
          <w:rFonts w:eastAsia="Calibri Light"/>
        </w:rPr>
        <w:endnoteReference w:id="16"/>
      </w:r>
    </w:p>
    <w:p w14:paraId="5DBE929F" w14:textId="1B6B0986" w:rsidR="00A75A91" w:rsidRPr="009B1D37" w:rsidRDefault="00A75A91" w:rsidP="00B25597">
      <w:pPr>
        <w:rPr>
          <w:rFonts w:cs="Calibri Light"/>
          <w:lang w:eastAsia="en-AU"/>
        </w:rPr>
      </w:pPr>
      <w:r w:rsidRPr="003B50FF">
        <w:rPr>
          <w:lang w:eastAsia="en-AU"/>
        </w:rPr>
        <w:t xml:space="preserve">Addressing the underlying vulnerabilities that drive the social and economic impacts of climate change </w:t>
      </w:r>
      <w:r>
        <w:rPr>
          <w:lang w:eastAsia="en-AU"/>
        </w:rPr>
        <w:t xml:space="preserve">will </w:t>
      </w:r>
      <w:r w:rsidRPr="003B50FF">
        <w:rPr>
          <w:lang w:eastAsia="en-AU"/>
        </w:rPr>
        <w:t xml:space="preserve">continue to be central to </w:t>
      </w:r>
      <w:r>
        <w:rPr>
          <w:lang w:eastAsia="en-AU"/>
        </w:rPr>
        <w:t xml:space="preserve">Australia’s climate change response </w:t>
      </w:r>
      <w:r w:rsidRPr="003B50FF">
        <w:rPr>
          <w:lang w:eastAsia="en-AU"/>
        </w:rPr>
        <w:t>in Solomon Islands</w:t>
      </w:r>
      <w:r>
        <w:rPr>
          <w:lang w:eastAsia="en-AU"/>
        </w:rPr>
        <w:t>.</w:t>
      </w:r>
      <w:r w:rsidRPr="00A75A91">
        <w:t xml:space="preserve"> </w:t>
      </w:r>
      <w:r w:rsidR="00BD73A2" w:rsidRPr="00A75A91">
        <w:rPr>
          <w:lang w:eastAsia="en-AU"/>
        </w:rPr>
        <w:t>Our investments in economic growth</w:t>
      </w:r>
      <w:r w:rsidR="2601544D" w:rsidRPr="7AD81E88">
        <w:rPr>
          <w:lang w:eastAsia="en-AU"/>
        </w:rPr>
        <w:t xml:space="preserve"> </w:t>
      </w:r>
      <w:r w:rsidR="2601544D" w:rsidRPr="1C49D9DE">
        <w:rPr>
          <w:lang w:eastAsia="en-AU"/>
        </w:rPr>
        <w:t xml:space="preserve">through key </w:t>
      </w:r>
      <w:r w:rsidR="2601544D" w:rsidRPr="3A39650D">
        <w:rPr>
          <w:lang w:eastAsia="en-AU"/>
        </w:rPr>
        <w:t xml:space="preserve">sectors such as </w:t>
      </w:r>
      <w:r w:rsidR="2601544D" w:rsidRPr="43BF5434">
        <w:rPr>
          <w:lang w:eastAsia="en-AU"/>
        </w:rPr>
        <w:t>agriculture</w:t>
      </w:r>
      <w:r w:rsidR="00BD73A2" w:rsidRPr="00A75A91">
        <w:rPr>
          <w:lang w:eastAsia="en-AU"/>
        </w:rPr>
        <w:t>, job creation, infrastructure development, health and education are all important for building Solomon Islands’ adaptive capacity and ability to cope with climate shocks.</w:t>
      </w:r>
    </w:p>
    <w:p w14:paraId="2D320CF4" w14:textId="0DD72606" w:rsidR="003A3800" w:rsidRPr="00170A84" w:rsidRDefault="003A3800" w:rsidP="00D573D9">
      <w:pPr>
        <w:pStyle w:val="H3-Heading3"/>
        <w:rPr>
          <w:lang w:eastAsia="en-AU"/>
        </w:rPr>
      </w:pPr>
      <w:r w:rsidRPr="00170A84">
        <w:rPr>
          <w:lang w:eastAsia="en-AU"/>
        </w:rPr>
        <w:t xml:space="preserve">Gender </w:t>
      </w:r>
      <w:r w:rsidR="003D7BDE" w:rsidRPr="00170A84">
        <w:rPr>
          <w:lang w:eastAsia="en-AU"/>
        </w:rPr>
        <w:t xml:space="preserve">equality, disability and social inclusion </w:t>
      </w:r>
      <w:r w:rsidRPr="00170A84">
        <w:rPr>
          <w:lang w:eastAsia="en-AU"/>
        </w:rPr>
        <w:t>(GEDSI)</w:t>
      </w:r>
    </w:p>
    <w:p w14:paraId="02E25E0F" w14:textId="3127935D" w:rsidR="003A3800" w:rsidRPr="009B1D37" w:rsidRDefault="003A3800" w:rsidP="00B25597">
      <w:pPr>
        <w:rPr>
          <w:lang w:eastAsia="en-AU"/>
        </w:rPr>
      </w:pPr>
      <w:r w:rsidRPr="009B1D37">
        <w:rPr>
          <w:lang w:eastAsia="en-AU"/>
        </w:rPr>
        <w:t>Gender inequality is widespread and a serious impediment to development in Solomon Islands</w:t>
      </w:r>
      <w:r>
        <w:rPr>
          <w:lang w:eastAsia="en-AU"/>
        </w:rPr>
        <w:t>.</w:t>
      </w:r>
      <w:r w:rsidRPr="009B1D37">
        <w:rPr>
          <w:lang w:eastAsia="en-AU"/>
        </w:rPr>
        <w:t xml:space="preserve"> Men hold most leadership positions in state, customary and faith-based institutions. Women, girls </w:t>
      </w:r>
      <w:r>
        <w:rPr>
          <w:lang w:eastAsia="en-AU"/>
        </w:rPr>
        <w:t xml:space="preserve">and </w:t>
      </w:r>
      <w:r w:rsidRPr="009B1D37">
        <w:rPr>
          <w:lang w:eastAsia="en-AU"/>
        </w:rPr>
        <w:t>people with disabilit</w:t>
      </w:r>
      <w:r w:rsidR="0054387B">
        <w:rPr>
          <w:lang w:eastAsia="en-AU"/>
        </w:rPr>
        <w:t>y</w:t>
      </w:r>
      <w:r w:rsidRPr="009B1D37">
        <w:rPr>
          <w:lang w:eastAsia="en-AU"/>
        </w:rPr>
        <w:t xml:space="preserve"> face additional challenges in accessing health</w:t>
      </w:r>
      <w:r>
        <w:rPr>
          <w:lang w:eastAsia="en-AU"/>
        </w:rPr>
        <w:t xml:space="preserve"> and education</w:t>
      </w:r>
      <w:r w:rsidRPr="009B1D37">
        <w:rPr>
          <w:lang w:eastAsia="en-AU"/>
        </w:rPr>
        <w:t xml:space="preserve"> services and achieving </w:t>
      </w:r>
      <w:r>
        <w:rPr>
          <w:lang w:eastAsia="en-AU"/>
        </w:rPr>
        <w:t>d</w:t>
      </w:r>
      <w:r w:rsidRPr="009B1D37">
        <w:rPr>
          <w:lang w:eastAsia="en-AU"/>
        </w:rPr>
        <w:t>evelopment gains.</w:t>
      </w:r>
    </w:p>
    <w:p w14:paraId="79897625" w14:textId="665FE3FD" w:rsidR="003A3800" w:rsidRPr="009B1D37" w:rsidRDefault="600AFB8D" w:rsidP="2A22DF3F">
      <w:pPr>
        <w:rPr>
          <w:rFonts w:cstheme="majorBidi"/>
          <w:lang w:eastAsia="en-AU"/>
        </w:rPr>
      </w:pPr>
      <w:r w:rsidRPr="0116F32C">
        <w:rPr>
          <w:lang w:eastAsia="en-AU"/>
        </w:rPr>
        <w:t>High rates of gender-based violence persist with 64</w:t>
      </w:r>
      <w:r w:rsidR="7166AD33">
        <w:rPr>
          <w:lang w:eastAsia="en-AU"/>
        </w:rPr>
        <w:t> </w:t>
      </w:r>
      <w:r w:rsidRPr="0116F32C">
        <w:rPr>
          <w:lang w:eastAsia="en-AU"/>
        </w:rPr>
        <w:t>per cent of ever partnered women having experienced physical or sexual violence from an intimate partner.</w:t>
      </w:r>
      <w:r w:rsidR="003A3800" w:rsidRPr="46ED4AAE">
        <w:rPr>
          <w:rStyle w:val="EndnoteReference"/>
          <w:rFonts w:cstheme="majorBidi"/>
          <w:lang w:eastAsia="en-AU"/>
        </w:rPr>
        <w:endnoteReference w:id="17"/>
      </w:r>
      <w:r w:rsidRPr="0116F32C">
        <w:rPr>
          <w:lang w:eastAsia="en-AU"/>
        </w:rPr>
        <w:t xml:space="preserve"> There are significant gender barriers to accessing education and economic opportunities, with 75</w:t>
      </w:r>
      <w:r w:rsidR="7166AD33">
        <w:rPr>
          <w:lang w:eastAsia="en-AU"/>
        </w:rPr>
        <w:t> </w:t>
      </w:r>
      <w:r w:rsidRPr="0116F32C">
        <w:rPr>
          <w:lang w:eastAsia="en-AU"/>
        </w:rPr>
        <w:t>per cent of women in informal employment and only 16</w:t>
      </w:r>
      <w:r w:rsidR="74933E85">
        <w:rPr>
          <w:lang w:eastAsia="en-AU"/>
        </w:rPr>
        <w:t> </w:t>
      </w:r>
      <w:r w:rsidRPr="0116F32C">
        <w:rPr>
          <w:lang w:eastAsia="en-AU"/>
        </w:rPr>
        <w:t>per cent of women (compared with 21</w:t>
      </w:r>
      <w:r w:rsidR="7166AD33">
        <w:rPr>
          <w:lang w:eastAsia="en-AU"/>
        </w:rPr>
        <w:t> </w:t>
      </w:r>
      <w:r w:rsidRPr="0116F32C">
        <w:rPr>
          <w:lang w:eastAsia="en-AU"/>
        </w:rPr>
        <w:t>per cent of men) having completed secondary school</w:t>
      </w:r>
      <w:r w:rsidR="35EE3908">
        <w:rPr>
          <w:lang w:eastAsia="en-AU"/>
        </w:rPr>
        <w:t>.</w:t>
      </w:r>
      <w:r w:rsidR="003A3800" w:rsidRPr="46ED4AAE">
        <w:rPr>
          <w:rStyle w:val="EndnoteReference"/>
          <w:rFonts w:cstheme="majorBidi"/>
          <w:lang w:eastAsia="en-AU"/>
        </w:rPr>
        <w:endnoteReference w:id="18"/>
      </w:r>
      <w:r w:rsidRPr="0116F32C">
        <w:rPr>
          <w:lang w:eastAsia="en-AU"/>
        </w:rPr>
        <w:t xml:space="preserve"> Solomon Islands has some of the highest adolescent birth rates and lowest rates of met family planning needs in the</w:t>
      </w:r>
      <w:r w:rsidR="348E7011">
        <w:rPr>
          <w:lang w:eastAsia="en-AU"/>
        </w:rPr>
        <w:t xml:space="preserve"> Pacific</w:t>
      </w:r>
      <w:r w:rsidRPr="0116F32C">
        <w:rPr>
          <w:lang w:eastAsia="en-AU"/>
        </w:rPr>
        <w:t xml:space="preserve"> region</w:t>
      </w:r>
      <w:r w:rsidRPr="0116F32C">
        <w:t>.</w:t>
      </w:r>
      <w:r w:rsidR="003A3800" w:rsidRPr="46ED4AAE">
        <w:rPr>
          <w:rStyle w:val="EndnoteReference"/>
          <w:rFonts w:cstheme="majorBidi"/>
        </w:rPr>
        <w:endnoteReference w:id="19"/>
      </w:r>
      <w:r w:rsidRPr="46ED4AAE">
        <w:rPr>
          <w:rStyle w:val="CommentReference"/>
          <w:rFonts w:eastAsiaTheme="minorEastAsia" w:cstheme="majorBidi"/>
          <w:sz w:val="22"/>
          <w:szCs w:val="22"/>
        </w:rPr>
        <w:t xml:space="preserve"> </w:t>
      </w:r>
    </w:p>
    <w:p w14:paraId="29865AE2" w14:textId="148462EA" w:rsidR="00C1009F" w:rsidRPr="00D7273D" w:rsidRDefault="25813C5B" w:rsidP="2181D48A">
      <w:pPr>
        <w:rPr>
          <w:lang w:eastAsia="en-AU"/>
        </w:rPr>
      </w:pPr>
      <w:r w:rsidRPr="2181D48A">
        <w:rPr>
          <w:lang w:eastAsia="en-AU"/>
        </w:rPr>
        <w:t xml:space="preserve">Solomon Islands ratified the </w:t>
      </w:r>
      <w:r w:rsidR="3C889B69" w:rsidRPr="2181D48A">
        <w:rPr>
          <w:lang w:eastAsia="en-AU"/>
        </w:rPr>
        <w:t xml:space="preserve">United Nations </w:t>
      </w:r>
      <w:r w:rsidRPr="2181D48A">
        <w:rPr>
          <w:lang w:eastAsia="en-AU"/>
        </w:rPr>
        <w:t xml:space="preserve">Convention on the Elimination of </w:t>
      </w:r>
      <w:r w:rsidR="595F2EB4" w:rsidRPr="2181D48A">
        <w:rPr>
          <w:lang w:eastAsia="en-AU"/>
        </w:rPr>
        <w:t>A</w:t>
      </w:r>
      <w:r w:rsidRPr="2181D48A">
        <w:rPr>
          <w:lang w:eastAsia="en-AU"/>
        </w:rPr>
        <w:t xml:space="preserve">ll </w:t>
      </w:r>
      <w:r w:rsidR="595F2EB4" w:rsidRPr="2181D48A">
        <w:rPr>
          <w:lang w:eastAsia="en-AU"/>
        </w:rPr>
        <w:t>F</w:t>
      </w:r>
      <w:r w:rsidRPr="2181D48A">
        <w:rPr>
          <w:lang w:eastAsia="en-AU"/>
        </w:rPr>
        <w:t xml:space="preserve">orms of Discrimination </w:t>
      </w:r>
      <w:r w:rsidR="595F2EB4" w:rsidRPr="2181D48A">
        <w:rPr>
          <w:lang w:eastAsia="en-AU"/>
        </w:rPr>
        <w:t>a</w:t>
      </w:r>
      <w:r w:rsidRPr="2181D48A">
        <w:rPr>
          <w:lang w:eastAsia="en-AU"/>
        </w:rPr>
        <w:t>gainst Women in 2002</w:t>
      </w:r>
      <w:r w:rsidR="00544E6B">
        <w:rPr>
          <w:lang w:eastAsia="en-AU"/>
        </w:rPr>
        <w:t>;</w:t>
      </w:r>
      <w:r w:rsidRPr="2181D48A">
        <w:rPr>
          <w:lang w:eastAsia="en-AU"/>
        </w:rPr>
        <w:t xml:space="preserve"> however</w:t>
      </w:r>
      <w:r w:rsidR="362D7536" w:rsidRPr="2181D48A">
        <w:rPr>
          <w:lang w:eastAsia="en-AU"/>
        </w:rPr>
        <w:t>,</w:t>
      </w:r>
      <w:r w:rsidRPr="2181D48A">
        <w:rPr>
          <w:lang w:eastAsia="en-AU"/>
        </w:rPr>
        <w:t xml:space="preserve"> female representation in Solomon Islands </w:t>
      </w:r>
      <w:r w:rsidR="55C5DC75" w:rsidRPr="2181D48A">
        <w:rPr>
          <w:lang w:eastAsia="en-AU"/>
        </w:rPr>
        <w:t>n</w:t>
      </w:r>
      <w:r w:rsidRPr="2181D48A">
        <w:rPr>
          <w:lang w:eastAsia="en-AU"/>
        </w:rPr>
        <w:t xml:space="preserve">ational and </w:t>
      </w:r>
      <w:r w:rsidR="55C5DC75" w:rsidRPr="2181D48A">
        <w:rPr>
          <w:lang w:eastAsia="en-AU"/>
        </w:rPr>
        <w:t>p</w:t>
      </w:r>
      <w:r w:rsidRPr="2181D48A">
        <w:rPr>
          <w:lang w:eastAsia="en-AU"/>
        </w:rPr>
        <w:t xml:space="preserve">rovincial </w:t>
      </w:r>
      <w:r w:rsidR="55C5DC75" w:rsidRPr="2181D48A">
        <w:rPr>
          <w:lang w:eastAsia="en-AU"/>
        </w:rPr>
        <w:t>g</w:t>
      </w:r>
      <w:r w:rsidRPr="2181D48A">
        <w:rPr>
          <w:lang w:eastAsia="en-AU"/>
        </w:rPr>
        <w:t>overnments remains low. Three women were elected to the National Parliament on 17</w:t>
      </w:r>
      <w:r w:rsidR="58FAD571" w:rsidRPr="2181D48A">
        <w:rPr>
          <w:lang w:eastAsia="en-AU"/>
        </w:rPr>
        <w:t> </w:t>
      </w:r>
      <w:r w:rsidRPr="2181D48A">
        <w:rPr>
          <w:lang w:eastAsia="en-AU"/>
        </w:rPr>
        <w:t>April 2024 out of a total of 50</w:t>
      </w:r>
      <w:r w:rsidR="3A1A91FD" w:rsidRPr="2181D48A">
        <w:rPr>
          <w:lang w:eastAsia="en-AU"/>
        </w:rPr>
        <w:t> Members of Parliament</w:t>
      </w:r>
      <w:r w:rsidRPr="2181D48A">
        <w:rPr>
          <w:lang w:eastAsia="en-AU"/>
        </w:rPr>
        <w:t xml:space="preserve">. </w:t>
      </w:r>
      <w:r w:rsidR="007A1E27">
        <w:rPr>
          <w:lang w:eastAsia="en-AU"/>
        </w:rPr>
        <w:t>T</w:t>
      </w:r>
      <w:r w:rsidRPr="2181D48A">
        <w:rPr>
          <w:lang w:eastAsia="en-AU"/>
        </w:rPr>
        <w:t xml:space="preserve">emporary </w:t>
      </w:r>
      <w:r w:rsidR="56562363" w:rsidRPr="2181D48A">
        <w:rPr>
          <w:lang w:eastAsia="en-AU"/>
        </w:rPr>
        <w:t>s</w:t>
      </w:r>
      <w:r w:rsidRPr="2181D48A">
        <w:rPr>
          <w:lang w:eastAsia="en-AU"/>
        </w:rPr>
        <w:t xml:space="preserve">pecial </w:t>
      </w:r>
      <w:r w:rsidR="56562363" w:rsidRPr="2181D48A">
        <w:rPr>
          <w:lang w:eastAsia="en-AU"/>
        </w:rPr>
        <w:t>m</w:t>
      </w:r>
      <w:r w:rsidRPr="2181D48A">
        <w:rPr>
          <w:lang w:eastAsia="en-AU"/>
        </w:rPr>
        <w:t>easures</w:t>
      </w:r>
      <w:r w:rsidR="63C8B7ED" w:rsidRPr="2181D48A">
        <w:rPr>
          <w:lang w:eastAsia="en-AU"/>
        </w:rPr>
        <w:t xml:space="preserve"> to </w:t>
      </w:r>
      <w:r w:rsidR="2F6E7BA7" w:rsidRPr="2181D48A">
        <w:rPr>
          <w:lang w:eastAsia="en-AU"/>
        </w:rPr>
        <w:t>improve women’s political representation</w:t>
      </w:r>
      <w:r w:rsidR="1BE307BB" w:rsidRPr="2181D48A">
        <w:rPr>
          <w:lang w:eastAsia="en-AU"/>
        </w:rPr>
        <w:t xml:space="preserve"> in Provincial Assemblies</w:t>
      </w:r>
      <w:r w:rsidR="007A1E27">
        <w:rPr>
          <w:lang w:eastAsia="en-AU"/>
        </w:rPr>
        <w:t xml:space="preserve"> are being considered</w:t>
      </w:r>
      <w:r w:rsidR="00D7273D">
        <w:rPr>
          <w:lang w:eastAsia="en-AU"/>
        </w:rPr>
        <w:t>.</w:t>
      </w:r>
      <w:r w:rsidR="00524966">
        <w:rPr>
          <w:lang w:eastAsia="en-AU"/>
        </w:rPr>
        <w:t xml:space="preserve"> </w:t>
      </w:r>
    </w:p>
    <w:p w14:paraId="02D19BE5" w14:textId="074CC3AE" w:rsidR="0091498B" w:rsidRDefault="7ED34AF4" w:rsidP="00B25597">
      <w:pPr>
        <w:rPr>
          <w:rFonts w:cs="Calibri Light"/>
          <w:color w:val="313E48" w:themeColor="text2"/>
          <w:lang w:eastAsia="en-AU"/>
        </w:rPr>
      </w:pPr>
      <w:r w:rsidRPr="12346C2A">
        <w:rPr>
          <w:lang w:eastAsia="en-AU"/>
        </w:rPr>
        <w:t xml:space="preserve">There is limited </w:t>
      </w:r>
      <w:r w:rsidR="6A1834A3" w:rsidRPr="12346C2A">
        <w:rPr>
          <w:lang w:eastAsia="en-AU"/>
        </w:rPr>
        <w:t xml:space="preserve">disability </w:t>
      </w:r>
      <w:r w:rsidRPr="12346C2A">
        <w:rPr>
          <w:lang w:eastAsia="en-AU"/>
        </w:rPr>
        <w:t>data in Solomon Islands</w:t>
      </w:r>
      <w:r w:rsidR="007A1E27">
        <w:rPr>
          <w:lang w:eastAsia="en-AU"/>
        </w:rPr>
        <w:t>. A</w:t>
      </w:r>
      <w:r w:rsidR="6D6C6F43">
        <w:rPr>
          <w:lang w:eastAsia="en-AU"/>
        </w:rPr>
        <w:t>vailable data indicate</w:t>
      </w:r>
      <w:r w:rsidR="007A1E27">
        <w:rPr>
          <w:lang w:eastAsia="en-AU"/>
        </w:rPr>
        <w:t>s</w:t>
      </w:r>
      <w:r w:rsidRPr="12346C2A">
        <w:rPr>
          <w:lang w:eastAsia="en-AU"/>
        </w:rPr>
        <w:t xml:space="preserve"> that</w:t>
      </w:r>
      <w:r w:rsidR="004E2DD8">
        <w:rPr>
          <w:lang w:eastAsia="en-AU"/>
        </w:rPr>
        <w:t xml:space="preserve"> potentially</w:t>
      </w:r>
      <w:r w:rsidRPr="12346C2A">
        <w:rPr>
          <w:lang w:eastAsia="en-AU"/>
        </w:rPr>
        <w:t xml:space="preserve"> 14</w:t>
      </w:r>
      <w:r w:rsidR="7166AD33">
        <w:rPr>
          <w:lang w:eastAsia="en-AU"/>
        </w:rPr>
        <w:t> </w:t>
      </w:r>
      <w:r w:rsidRPr="12346C2A">
        <w:rPr>
          <w:lang w:eastAsia="en-AU"/>
        </w:rPr>
        <w:t>per cent of the total population</w:t>
      </w:r>
      <w:r w:rsidR="00C1009F" w:rsidRPr="46ED4AAE">
        <w:rPr>
          <w:rStyle w:val="EndnoteReference"/>
          <w:rFonts w:cstheme="majorBidi"/>
          <w:lang w:eastAsia="en-AU"/>
        </w:rPr>
        <w:endnoteReference w:id="20"/>
      </w:r>
      <w:r w:rsidRPr="12346C2A">
        <w:rPr>
          <w:lang w:eastAsia="en-AU"/>
        </w:rPr>
        <w:t xml:space="preserve"> live wit</w:t>
      </w:r>
      <w:r w:rsidR="6D3E4966">
        <w:rPr>
          <w:lang w:eastAsia="en-AU"/>
        </w:rPr>
        <w:t xml:space="preserve">h </w:t>
      </w:r>
      <w:r w:rsidR="616628F4">
        <w:rPr>
          <w:lang w:eastAsia="en-AU"/>
        </w:rPr>
        <w:t>a</w:t>
      </w:r>
      <w:r w:rsidRPr="12346C2A">
        <w:rPr>
          <w:lang w:eastAsia="en-AU"/>
        </w:rPr>
        <w:t xml:space="preserve"> disability</w:t>
      </w:r>
      <w:r w:rsidR="18EDB37F" w:rsidRPr="12346C2A">
        <w:rPr>
          <w:lang w:eastAsia="en-AU"/>
        </w:rPr>
        <w:t>, likely an underestimate given global prevalence</w:t>
      </w:r>
      <w:r w:rsidRPr="12346C2A">
        <w:rPr>
          <w:lang w:eastAsia="en-AU"/>
        </w:rPr>
        <w:t xml:space="preserve">. </w:t>
      </w:r>
      <w:r w:rsidR="579A00F2" w:rsidRPr="12346C2A">
        <w:rPr>
          <w:lang w:eastAsia="en-AU"/>
        </w:rPr>
        <w:t>The prominence given to children with disabilit</w:t>
      </w:r>
      <w:r w:rsidR="123AF8B6">
        <w:rPr>
          <w:lang w:eastAsia="en-AU"/>
        </w:rPr>
        <w:t>y</w:t>
      </w:r>
      <w:r w:rsidR="579A00F2" w:rsidRPr="12346C2A">
        <w:rPr>
          <w:lang w:eastAsia="en-AU"/>
        </w:rPr>
        <w:t xml:space="preserve"> in the </w:t>
      </w:r>
      <w:r w:rsidR="72B08A53">
        <w:rPr>
          <w:lang w:eastAsia="en-AU"/>
        </w:rPr>
        <w:t xml:space="preserve">Solomon Islands </w:t>
      </w:r>
      <w:r w:rsidR="579A00F2" w:rsidRPr="12346C2A">
        <w:rPr>
          <w:lang w:eastAsia="en-AU"/>
        </w:rPr>
        <w:t>National Education Action Plan</w:t>
      </w:r>
      <w:r w:rsidR="7736A775">
        <w:rPr>
          <w:lang w:eastAsia="en-AU"/>
        </w:rPr>
        <w:t> 2022–2026</w:t>
      </w:r>
      <w:r w:rsidR="579A00F2" w:rsidRPr="12346C2A">
        <w:rPr>
          <w:lang w:eastAsia="en-AU"/>
        </w:rPr>
        <w:t xml:space="preserve"> and subsequent work towards inclusive education are encouraging signs of commitment from the Solomon Islands Government</w:t>
      </w:r>
      <w:r w:rsidR="66877460">
        <w:rPr>
          <w:lang w:eastAsia="en-AU"/>
        </w:rPr>
        <w:t>.</w:t>
      </w:r>
      <w:r w:rsidR="579A00F2" w:rsidRPr="12346C2A">
        <w:rPr>
          <w:lang w:eastAsia="en-AU"/>
        </w:rPr>
        <w:t xml:space="preserve"> </w:t>
      </w:r>
      <w:r w:rsidR="66877460">
        <w:rPr>
          <w:lang w:eastAsia="en-AU"/>
        </w:rPr>
        <w:t>H</w:t>
      </w:r>
      <w:r w:rsidR="579A00F2" w:rsidRPr="12346C2A">
        <w:rPr>
          <w:lang w:eastAsia="en-AU"/>
        </w:rPr>
        <w:t>owever, students with disabilit</w:t>
      </w:r>
      <w:r w:rsidR="123AF8B6">
        <w:rPr>
          <w:lang w:eastAsia="en-AU"/>
        </w:rPr>
        <w:t>y</w:t>
      </w:r>
      <w:r w:rsidR="579A00F2" w:rsidRPr="12346C2A">
        <w:rPr>
          <w:lang w:eastAsia="en-AU"/>
        </w:rPr>
        <w:t xml:space="preserve"> experience compounding barriers, such as inaccessible infrastructure and services and discriminatory attitudes</w:t>
      </w:r>
      <w:r w:rsidR="579A00F2" w:rsidRPr="00FF4402">
        <w:rPr>
          <w:rFonts w:cs="Calibri Light"/>
          <w:color w:val="313E48" w:themeColor="text2"/>
          <w:lang w:eastAsia="en-AU"/>
        </w:rPr>
        <w:t>.</w:t>
      </w:r>
    </w:p>
    <w:p w14:paraId="55D00FAA" w14:textId="0379A462" w:rsidR="00562680" w:rsidRPr="009B1D37" w:rsidRDefault="74EA5525" w:rsidP="00B25597">
      <w:pPr>
        <w:rPr>
          <w:lang w:eastAsia="en-AU"/>
        </w:rPr>
      </w:pPr>
      <w:r w:rsidRPr="321937C1">
        <w:rPr>
          <w:lang w:eastAsia="en-AU"/>
        </w:rPr>
        <w:t xml:space="preserve">In June 2023, the Solomon Islands Government ratified the </w:t>
      </w:r>
      <w:r w:rsidR="6B995EF1" w:rsidRPr="321937C1">
        <w:rPr>
          <w:lang w:eastAsia="en-AU"/>
        </w:rPr>
        <w:t>United Nations</w:t>
      </w:r>
      <w:r w:rsidRPr="321937C1">
        <w:rPr>
          <w:lang w:eastAsia="en-AU"/>
        </w:rPr>
        <w:t xml:space="preserve"> Convention on the Rights of Persons with Disabilit</w:t>
      </w:r>
      <w:r w:rsidR="5F8E5D4E" w:rsidRPr="321937C1">
        <w:rPr>
          <w:lang w:eastAsia="en-AU"/>
        </w:rPr>
        <w:t>ies</w:t>
      </w:r>
      <w:r w:rsidR="469ED058" w:rsidRPr="321937C1">
        <w:rPr>
          <w:lang w:eastAsia="en-AU"/>
        </w:rPr>
        <w:t>, but support is needed</w:t>
      </w:r>
      <w:r w:rsidRPr="321937C1">
        <w:rPr>
          <w:lang w:eastAsia="en-AU"/>
        </w:rPr>
        <w:t xml:space="preserve"> </w:t>
      </w:r>
      <w:r w:rsidR="1F59EDC3" w:rsidRPr="321937C1">
        <w:rPr>
          <w:lang w:eastAsia="en-AU"/>
        </w:rPr>
        <w:t>for</w:t>
      </w:r>
      <w:r w:rsidRPr="321937C1">
        <w:rPr>
          <w:lang w:eastAsia="en-AU"/>
        </w:rPr>
        <w:t xml:space="preserve"> the requisite policy and legislative changes</w:t>
      </w:r>
      <w:r w:rsidR="1F59EDC3" w:rsidRPr="321937C1">
        <w:rPr>
          <w:lang w:eastAsia="en-AU"/>
        </w:rPr>
        <w:t xml:space="preserve"> for implementation. </w:t>
      </w:r>
      <w:r w:rsidR="0060615B">
        <w:rPr>
          <w:lang w:eastAsia="en-AU"/>
        </w:rPr>
        <w:t xml:space="preserve">We will continue to </w:t>
      </w:r>
      <w:r w:rsidR="00B5438D">
        <w:rPr>
          <w:lang w:eastAsia="en-AU"/>
        </w:rPr>
        <w:t xml:space="preserve">partner </w:t>
      </w:r>
      <w:r w:rsidR="00B5438D" w:rsidRPr="00DD38BF">
        <w:rPr>
          <w:lang w:eastAsia="en-AU"/>
        </w:rPr>
        <w:t>with</w:t>
      </w:r>
      <w:r w:rsidR="0060615B" w:rsidRPr="00DD38BF">
        <w:rPr>
          <w:lang w:eastAsia="en-AU"/>
        </w:rPr>
        <w:t xml:space="preserve"> t</w:t>
      </w:r>
      <w:r w:rsidR="25299359" w:rsidRPr="00DD38BF">
        <w:rPr>
          <w:lang w:eastAsia="en-AU"/>
        </w:rPr>
        <w:t>he</w:t>
      </w:r>
      <w:r w:rsidRPr="00DD38BF">
        <w:rPr>
          <w:lang w:eastAsia="en-AU"/>
        </w:rPr>
        <w:t xml:space="preserve"> peak</w:t>
      </w:r>
      <w:r w:rsidR="25299359" w:rsidRPr="00DD38BF">
        <w:rPr>
          <w:lang w:eastAsia="en-AU"/>
        </w:rPr>
        <w:t xml:space="preserve"> disability rights</w:t>
      </w:r>
      <w:r w:rsidRPr="00DD38BF">
        <w:rPr>
          <w:lang w:eastAsia="en-AU"/>
        </w:rPr>
        <w:t xml:space="preserve"> organisation, </w:t>
      </w:r>
      <w:r w:rsidR="6F6BC111" w:rsidRPr="00DD38BF">
        <w:rPr>
          <w:lang w:eastAsia="en-AU"/>
        </w:rPr>
        <w:t>National Disability Forum of Solomon Islands</w:t>
      </w:r>
      <w:r w:rsidR="1507C55A" w:rsidRPr="00DD38BF">
        <w:rPr>
          <w:lang w:eastAsia="en-AU"/>
        </w:rPr>
        <w:t>.</w:t>
      </w:r>
    </w:p>
    <w:p w14:paraId="6938626A" w14:textId="5B86BE2E" w:rsidR="002F4955" w:rsidRPr="00DC7B09" w:rsidRDefault="002F4955" w:rsidP="00DC7B09">
      <w:pPr>
        <w:pStyle w:val="H2-Heading2"/>
      </w:pPr>
      <w:r w:rsidRPr="00DC7B09">
        <w:lastRenderedPageBreak/>
        <w:t xml:space="preserve">Section 3: Joint objectives of the Australia – </w:t>
      </w:r>
      <w:r w:rsidR="00AC6996">
        <w:t>Solomon Islands</w:t>
      </w:r>
      <w:r w:rsidRPr="00DC7B09">
        <w:t xml:space="preserve"> </w:t>
      </w:r>
      <w:r w:rsidR="00E82723">
        <w:t>d</w:t>
      </w:r>
      <w:r w:rsidRPr="00DC7B09">
        <w:t xml:space="preserve">evelopment </w:t>
      </w:r>
      <w:r w:rsidR="00E82723">
        <w:t>p</w:t>
      </w:r>
      <w:r w:rsidRPr="00DC7B09">
        <w:t>artnership </w:t>
      </w:r>
    </w:p>
    <w:p w14:paraId="30CCCF8E" w14:textId="56136DAB" w:rsidR="0038244A" w:rsidRPr="00454887" w:rsidRDefault="0038244A" w:rsidP="00B25597">
      <w:pPr>
        <w:rPr>
          <w:lang w:eastAsia="en-AU"/>
        </w:rPr>
      </w:pPr>
      <w:r w:rsidRPr="00454887">
        <w:rPr>
          <w:lang w:eastAsia="en-AU"/>
        </w:rPr>
        <w:t xml:space="preserve">The goal, objectives, priorities and programs in our development partnership </w:t>
      </w:r>
      <w:r w:rsidR="00CA5281">
        <w:rPr>
          <w:lang w:eastAsia="en-AU"/>
        </w:rPr>
        <w:t>were</w:t>
      </w:r>
      <w:r w:rsidRPr="00454887">
        <w:rPr>
          <w:lang w:eastAsia="en-AU"/>
        </w:rPr>
        <w:t xml:space="preserve"> planned in consultation with the Solomon Islands Government and guided by Solomon Islands’ National Development Strategy and Australia’s International Development Policy.</w:t>
      </w:r>
    </w:p>
    <w:p w14:paraId="7C1681C5" w14:textId="35D36DFF" w:rsidR="0038244A" w:rsidRPr="00454887" w:rsidRDefault="17B454B7" w:rsidP="00B25597">
      <w:pPr>
        <w:rPr>
          <w:lang w:eastAsia="en-AU"/>
        </w:rPr>
      </w:pPr>
      <w:r w:rsidRPr="2A22DF3F">
        <w:rPr>
          <w:lang w:eastAsia="en-AU"/>
        </w:rPr>
        <w:t xml:space="preserve">The overarching goal for the Australia – Solomon Islands development partnership is supporting a stable and </w:t>
      </w:r>
      <w:r w:rsidR="7F80FA17" w:rsidRPr="2A22DF3F">
        <w:rPr>
          <w:lang w:eastAsia="en-AU"/>
        </w:rPr>
        <w:t xml:space="preserve">prosperous </w:t>
      </w:r>
      <w:r w:rsidRPr="2A22DF3F">
        <w:rPr>
          <w:lang w:eastAsia="en-AU"/>
        </w:rPr>
        <w:t xml:space="preserve">Solomon Islands. </w:t>
      </w:r>
      <w:r w:rsidR="51861046" w:rsidRPr="2A22DF3F">
        <w:rPr>
          <w:lang w:eastAsia="en-AU"/>
        </w:rPr>
        <w:t>Our three</w:t>
      </w:r>
      <w:r w:rsidR="27CEC750" w:rsidRPr="2A22DF3F">
        <w:rPr>
          <w:lang w:eastAsia="en-AU"/>
        </w:rPr>
        <w:t xml:space="preserve"> development partnership objectives</w:t>
      </w:r>
      <w:r w:rsidR="687C022C" w:rsidRPr="2A22DF3F">
        <w:rPr>
          <w:lang w:eastAsia="en-AU"/>
        </w:rPr>
        <w:t xml:space="preserve"> and how we will work together to progress them, are summarised in Table 1 and set out in detail later in this section</w:t>
      </w:r>
      <w:r w:rsidR="4A5623FD" w:rsidRPr="2A22DF3F">
        <w:rPr>
          <w:lang w:eastAsia="en-AU"/>
        </w:rPr>
        <w:t xml:space="preserve">. </w:t>
      </w:r>
      <w:r w:rsidR="4F76E32E" w:rsidRPr="2A22DF3F">
        <w:rPr>
          <w:lang w:eastAsia="en-AU"/>
        </w:rPr>
        <w:t>These</w:t>
      </w:r>
      <w:r w:rsidRPr="2A22DF3F">
        <w:rPr>
          <w:lang w:eastAsia="en-AU"/>
        </w:rPr>
        <w:t xml:space="preserve"> objectives align </w:t>
      </w:r>
      <w:r w:rsidR="4F76E32E" w:rsidRPr="2A22DF3F">
        <w:rPr>
          <w:lang w:eastAsia="en-AU"/>
        </w:rPr>
        <w:t>with</w:t>
      </w:r>
      <w:r w:rsidRPr="2A22DF3F">
        <w:rPr>
          <w:lang w:eastAsia="en-AU"/>
        </w:rPr>
        <w:t xml:space="preserve"> the goals and objectives of the National Development Strategy </w:t>
      </w:r>
      <w:r w:rsidR="65F47218" w:rsidRPr="2A22DF3F">
        <w:rPr>
          <w:lang w:eastAsia="en-AU"/>
        </w:rPr>
        <w:t>in areas where Australia is well</w:t>
      </w:r>
      <w:r w:rsidR="00873369">
        <w:rPr>
          <w:lang w:eastAsia="en-AU"/>
        </w:rPr>
        <w:t xml:space="preserve"> </w:t>
      </w:r>
      <w:r w:rsidR="65F47218" w:rsidRPr="2A22DF3F">
        <w:rPr>
          <w:lang w:eastAsia="en-AU"/>
        </w:rPr>
        <w:t>placed to offer support.</w:t>
      </w:r>
      <w:r w:rsidRPr="2A22DF3F">
        <w:rPr>
          <w:lang w:eastAsia="en-AU"/>
        </w:rPr>
        <w:t xml:space="preserve"> A mid</w:t>
      </w:r>
      <w:r w:rsidR="02E59025" w:rsidRPr="2A22DF3F">
        <w:rPr>
          <w:lang w:eastAsia="en-AU"/>
        </w:rPr>
        <w:t>-</w:t>
      </w:r>
      <w:r w:rsidRPr="2A22DF3F">
        <w:rPr>
          <w:lang w:eastAsia="en-AU"/>
        </w:rPr>
        <w:t xml:space="preserve">cycle review of this DPP will be undertaken to review progress and </w:t>
      </w:r>
      <w:proofErr w:type="gramStart"/>
      <w:r w:rsidR="37BE4B33" w:rsidRPr="2A22DF3F">
        <w:rPr>
          <w:lang w:eastAsia="en-AU"/>
        </w:rPr>
        <w:t>make adjustments</w:t>
      </w:r>
      <w:proofErr w:type="gramEnd"/>
      <w:r w:rsidRPr="2A22DF3F">
        <w:rPr>
          <w:lang w:eastAsia="en-AU"/>
        </w:rPr>
        <w:t xml:space="preserve"> as required.</w:t>
      </w:r>
    </w:p>
    <w:p w14:paraId="7B67814B" w14:textId="36BE4A14" w:rsidR="002F4955" w:rsidRDefault="124E7C4E" w:rsidP="00D573D9">
      <w:pPr>
        <w:pStyle w:val="Tabletitle"/>
      </w:pPr>
      <w:r>
        <w:t xml:space="preserve">Table 1: Australia – </w:t>
      </w:r>
      <w:r w:rsidR="25C357FC">
        <w:t>Solomon Islands</w:t>
      </w:r>
      <w:r>
        <w:t xml:space="preserve"> </w:t>
      </w:r>
      <w:r w:rsidR="671A587A">
        <w:t>development partnership</w:t>
      </w:r>
    </w:p>
    <w:p w14:paraId="4CD804CB" w14:textId="23DB6D41" w:rsidR="009C22DC" w:rsidRPr="00AC3C20" w:rsidRDefault="0DEEC520" w:rsidP="00B25597">
      <w:pPr>
        <w:rPr>
          <w:b/>
          <w:bCs/>
          <w:lang w:eastAsia="en-AU"/>
        </w:rPr>
      </w:pPr>
      <w:r w:rsidRPr="2A22DF3F">
        <w:rPr>
          <w:b/>
          <w:bCs/>
          <w:lang w:eastAsia="en-AU"/>
        </w:rPr>
        <w:t xml:space="preserve">Goal: A </w:t>
      </w:r>
      <w:r w:rsidR="67D9C9FC" w:rsidRPr="2A22DF3F">
        <w:rPr>
          <w:b/>
          <w:bCs/>
          <w:lang w:eastAsia="en-AU"/>
        </w:rPr>
        <w:t>stable</w:t>
      </w:r>
      <w:r w:rsidR="03B13843" w:rsidRPr="2A22DF3F">
        <w:rPr>
          <w:b/>
          <w:bCs/>
          <w:lang w:eastAsia="en-AU"/>
        </w:rPr>
        <w:t xml:space="preserve"> </w:t>
      </w:r>
      <w:r w:rsidRPr="2A22DF3F">
        <w:rPr>
          <w:b/>
          <w:bCs/>
          <w:lang w:eastAsia="en-AU"/>
        </w:rPr>
        <w:t xml:space="preserve">and </w:t>
      </w:r>
      <w:r w:rsidR="3D3EF2D8" w:rsidRPr="2A22DF3F">
        <w:rPr>
          <w:b/>
          <w:bCs/>
          <w:lang w:eastAsia="en-AU"/>
        </w:rPr>
        <w:t>prosperous</w:t>
      </w:r>
      <w:r w:rsidRPr="2A22DF3F">
        <w:rPr>
          <w:b/>
          <w:bCs/>
          <w:lang w:eastAsia="en-AU"/>
        </w:rPr>
        <w:t xml:space="preserve"> </w:t>
      </w:r>
      <w:r w:rsidR="03B13843" w:rsidRPr="2A22DF3F">
        <w:rPr>
          <w:b/>
          <w:bCs/>
          <w:lang w:eastAsia="en-AU"/>
        </w:rPr>
        <w:t>Solomon Islands</w:t>
      </w:r>
      <w:r w:rsidRPr="2A22DF3F">
        <w:rPr>
          <w:b/>
          <w:bCs/>
          <w:lang w:eastAsia="en-AU"/>
        </w:rPr>
        <w:t> </w:t>
      </w:r>
    </w:p>
    <w:tbl>
      <w:tblPr>
        <w:tblStyle w:val="DPPtable1"/>
        <w:tblW w:w="5000" w:type="pct"/>
        <w:tblLook w:val="06A0" w:firstRow="1" w:lastRow="0" w:firstColumn="1" w:lastColumn="0" w:noHBand="1" w:noVBand="1"/>
        <w:tblCaption w:val="Australia – Solomon Islands development partnership "/>
        <w:tblDescription w:val="The objectives, outcomes and focus areas to support the goal of a stable and prosperous Solomon Islands&#10;"/>
      </w:tblPr>
      <w:tblGrid>
        <w:gridCol w:w="1697"/>
        <w:gridCol w:w="2843"/>
        <w:gridCol w:w="2835"/>
        <w:gridCol w:w="2820"/>
      </w:tblGrid>
      <w:tr w:rsidR="004B03EC" w:rsidRPr="0037504E" w14:paraId="4C7F5D06" w14:textId="77777777" w:rsidTr="00275453">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63CC4FA" w14:textId="77777777" w:rsidR="002F4955" w:rsidRPr="00183643" w:rsidRDefault="002F4955" w:rsidP="00CE22E0">
            <w:pPr>
              <w:pStyle w:val="Table1col1head"/>
              <w:rPr>
                <w:b w:val="0"/>
                <w:bCs w:val="0"/>
                <w:sz w:val="16"/>
                <w:szCs w:val="16"/>
              </w:rPr>
            </w:pPr>
            <w:r w:rsidRPr="00183643">
              <w:rPr>
                <w:sz w:val="16"/>
                <w:szCs w:val="16"/>
              </w:rPr>
              <w:t>Objective</w:t>
            </w:r>
          </w:p>
        </w:tc>
        <w:tc>
          <w:tcPr>
            <w:tcW w:w="0" w:type="dxa"/>
            <w:shd w:val="clear" w:color="auto" w:fill="D6E8D2" w:themeFill="accent3" w:themeFillTint="33"/>
            <w:hideMark/>
          </w:tcPr>
          <w:p w14:paraId="345D6D82" w14:textId="592FBD63" w:rsidR="002F4955" w:rsidRPr="00183643" w:rsidRDefault="002F4955" w:rsidP="005750C0">
            <w:pPr>
              <w:pStyle w:val="Table1colheads"/>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Objective 1</w:t>
            </w:r>
          </w:p>
          <w:p w14:paraId="7F3EE106" w14:textId="689F7BF2" w:rsidR="002F4955" w:rsidRPr="00183643" w:rsidRDefault="7DF278DA" w:rsidP="005750C0">
            <w:pPr>
              <w:pStyle w:val="Table1colheads"/>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Inclusive economic growth</w:t>
            </w:r>
            <w:r w:rsidR="6122E35F" w:rsidRPr="00183643">
              <w:rPr>
                <w:sz w:val="16"/>
                <w:szCs w:val="16"/>
              </w:rPr>
              <w:t>, infrastructure</w:t>
            </w:r>
            <w:r w:rsidRPr="00183643">
              <w:rPr>
                <w:sz w:val="16"/>
                <w:szCs w:val="16"/>
              </w:rPr>
              <w:t xml:space="preserve"> and job creation</w:t>
            </w:r>
          </w:p>
        </w:tc>
        <w:tc>
          <w:tcPr>
            <w:tcW w:w="0" w:type="dxa"/>
            <w:shd w:val="clear" w:color="auto" w:fill="FBEED2" w:themeFill="accent4" w:themeFillTint="33"/>
            <w:hideMark/>
          </w:tcPr>
          <w:p w14:paraId="2A4BAA5A" w14:textId="17815C54" w:rsidR="002F4955" w:rsidRPr="00183643" w:rsidRDefault="002F4955" w:rsidP="005750C0">
            <w:pPr>
              <w:pStyle w:val="Table1colheads"/>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 xml:space="preserve">Objective </w:t>
            </w:r>
            <w:r w:rsidR="00171D49" w:rsidRPr="00183643">
              <w:rPr>
                <w:sz w:val="16"/>
                <w:szCs w:val="16"/>
              </w:rPr>
              <w:t>2</w:t>
            </w:r>
          </w:p>
          <w:p w14:paraId="33D30C3F" w14:textId="5045A3F6" w:rsidR="002F4955" w:rsidRPr="00183643" w:rsidRDefault="305C4ED2" w:rsidP="005750C0">
            <w:pPr>
              <w:pStyle w:val="Table1colheads"/>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Investing in people</w:t>
            </w:r>
            <w:r w:rsidR="1B4A69AF" w:rsidRPr="00183643">
              <w:rPr>
                <w:sz w:val="16"/>
                <w:szCs w:val="16"/>
              </w:rPr>
              <w:t xml:space="preserve">, </w:t>
            </w:r>
            <w:r w:rsidRPr="00183643">
              <w:rPr>
                <w:sz w:val="16"/>
                <w:szCs w:val="16"/>
              </w:rPr>
              <w:t>communities</w:t>
            </w:r>
            <w:r w:rsidR="548A018C" w:rsidRPr="00183643">
              <w:rPr>
                <w:sz w:val="16"/>
                <w:szCs w:val="16"/>
              </w:rPr>
              <w:t xml:space="preserve"> and links to Australia and the region</w:t>
            </w:r>
          </w:p>
        </w:tc>
        <w:tc>
          <w:tcPr>
            <w:tcW w:w="0" w:type="dxa"/>
            <w:shd w:val="clear" w:color="auto" w:fill="F0DBD4" w:themeFill="accent5" w:themeFillTint="33"/>
            <w:hideMark/>
          </w:tcPr>
          <w:p w14:paraId="4289A6A7" w14:textId="58BFC26E" w:rsidR="002F4955" w:rsidRPr="00183643" w:rsidRDefault="2B3214A5" w:rsidP="005750C0">
            <w:pPr>
              <w:pStyle w:val="Table1colheads"/>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Objective</w:t>
            </w:r>
            <w:r w:rsidR="7F13099B" w:rsidRPr="00183643">
              <w:rPr>
                <w:sz w:val="16"/>
                <w:szCs w:val="16"/>
              </w:rPr>
              <w:t xml:space="preserve"> </w:t>
            </w:r>
            <w:r w:rsidRPr="00183643">
              <w:rPr>
                <w:sz w:val="16"/>
                <w:szCs w:val="16"/>
              </w:rPr>
              <w:t>3</w:t>
            </w:r>
          </w:p>
          <w:p w14:paraId="35CB1F5F" w14:textId="2C534A05" w:rsidR="002F4955" w:rsidRPr="00183643" w:rsidRDefault="21015258" w:rsidP="005750C0">
            <w:pPr>
              <w:pStyle w:val="Table1colheads"/>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 xml:space="preserve">Improved </w:t>
            </w:r>
            <w:r w:rsidR="03F1FD42" w:rsidRPr="00183643">
              <w:rPr>
                <w:sz w:val="16"/>
                <w:szCs w:val="16"/>
              </w:rPr>
              <w:t>stability, security and resilience</w:t>
            </w:r>
          </w:p>
        </w:tc>
      </w:tr>
      <w:tr w:rsidR="004B03EC" w:rsidRPr="000E77A9" w14:paraId="2438B97E" w14:textId="77777777" w:rsidTr="00275453">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D207D08" w14:textId="77777777" w:rsidR="00883182" w:rsidRPr="00183643" w:rsidRDefault="00883182" w:rsidP="00CE22E0">
            <w:pPr>
              <w:pStyle w:val="Table1col1head"/>
              <w:rPr>
                <w:sz w:val="16"/>
                <w:szCs w:val="16"/>
              </w:rPr>
            </w:pPr>
            <w:r w:rsidRPr="00183643">
              <w:rPr>
                <w:sz w:val="16"/>
                <w:szCs w:val="16"/>
              </w:rPr>
              <w:t>Outcomes</w:t>
            </w:r>
          </w:p>
        </w:tc>
        <w:tc>
          <w:tcPr>
            <w:tcW w:w="0" w:type="dxa"/>
            <w:shd w:val="clear" w:color="auto" w:fill="D6E8D2" w:themeFill="accent3" w:themeFillTint="33"/>
            <w:hideMark/>
          </w:tcPr>
          <w:p w14:paraId="02488B04" w14:textId="77777777" w:rsidR="00FD3984" w:rsidRPr="00183643" w:rsidRDefault="00883182" w:rsidP="0030187B">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1.1</w:t>
            </w:r>
          </w:p>
          <w:p w14:paraId="48F480AF" w14:textId="28D08653" w:rsidR="00883182" w:rsidRPr="00183643" w:rsidRDefault="00883182"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Infrastructure</w:t>
            </w:r>
            <w:r w:rsidR="00FD3984" w:rsidRPr="00183643">
              <w:rPr>
                <w:sz w:val="16"/>
                <w:szCs w:val="16"/>
              </w:rPr>
              <w:t xml:space="preserve">: </w:t>
            </w:r>
            <w:r w:rsidR="009C1DA9" w:rsidRPr="00183643">
              <w:rPr>
                <w:sz w:val="16"/>
                <w:szCs w:val="16"/>
              </w:rPr>
              <w:t>I</w:t>
            </w:r>
            <w:r w:rsidRPr="00183643">
              <w:rPr>
                <w:sz w:val="16"/>
                <w:szCs w:val="16"/>
              </w:rPr>
              <w:t>nvestment in high</w:t>
            </w:r>
            <w:r w:rsidR="000A1621" w:rsidRPr="00183643">
              <w:rPr>
                <w:sz w:val="16"/>
                <w:szCs w:val="16"/>
              </w:rPr>
              <w:t>-</w:t>
            </w:r>
            <w:r w:rsidRPr="00183643">
              <w:rPr>
                <w:sz w:val="16"/>
                <w:szCs w:val="16"/>
              </w:rPr>
              <w:t>quality, climate</w:t>
            </w:r>
            <w:r w:rsidR="00EA7DC9" w:rsidRPr="00183643">
              <w:rPr>
                <w:sz w:val="16"/>
                <w:szCs w:val="16"/>
              </w:rPr>
              <w:t xml:space="preserve"> </w:t>
            </w:r>
            <w:r w:rsidRPr="00183643">
              <w:rPr>
                <w:sz w:val="16"/>
                <w:szCs w:val="16"/>
              </w:rPr>
              <w:t>resilient infrastructure supports economic growth and improved access to essential services</w:t>
            </w:r>
          </w:p>
          <w:p w14:paraId="79CB8CA7" w14:textId="77777777" w:rsidR="00FD3984" w:rsidRPr="00183643" w:rsidRDefault="00883182" w:rsidP="0030187B">
            <w:pPr>
              <w:pStyle w:val="TableBodyCopy"/>
              <w:cnfStyle w:val="000000000000" w:firstRow="0" w:lastRow="0" w:firstColumn="0" w:lastColumn="0" w:oddVBand="0" w:evenVBand="0" w:oddHBand="0" w:evenHBand="0" w:firstRowFirstColumn="0" w:firstRowLastColumn="0" w:lastRowFirstColumn="0" w:lastRowLastColumn="0"/>
              <w:rPr>
                <w:rFonts w:cstheme="minorBidi"/>
                <w:sz w:val="16"/>
                <w:szCs w:val="16"/>
              </w:rPr>
            </w:pPr>
            <w:r w:rsidRPr="00183643">
              <w:rPr>
                <w:rFonts w:cstheme="minorBidi"/>
                <w:sz w:val="16"/>
                <w:szCs w:val="16"/>
              </w:rPr>
              <w:t>Outcome 1.2</w:t>
            </w:r>
          </w:p>
          <w:p w14:paraId="116AC63B" w14:textId="0212AEF8" w:rsidR="00883182" w:rsidRPr="00183643" w:rsidRDefault="00F42415" w:rsidP="00D573D9">
            <w:pPr>
              <w:pStyle w:val="TableBodyCopy"/>
              <w:cnfStyle w:val="000000000000" w:firstRow="0" w:lastRow="0" w:firstColumn="0" w:lastColumn="0" w:oddVBand="0" w:evenVBand="0" w:oddHBand="0" w:evenHBand="0" w:firstRowFirstColumn="0" w:firstRowLastColumn="0" w:lastRowFirstColumn="0" w:lastRowLastColumn="0"/>
              <w:rPr>
                <w:rFonts w:cstheme="minorBidi"/>
                <w:sz w:val="16"/>
                <w:szCs w:val="16"/>
              </w:rPr>
            </w:pPr>
            <w:r w:rsidRPr="00183643">
              <w:rPr>
                <w:rFonts w:cstheme="minorBidi"/>
                <w:sz w:val="16"/>
                <w:szCs w:val="16"/>
              </w:rPr>
              <w:t>Private sector</w:t>
            </w:r>
            <w:r w:rsidR="00FD3984" w:rsidRPr="00183643">
              <w:rPr>
                <w:rFonts w:cstheme="minorBidi"/>
                <w:sz w:val="16"/>
                <w:szCs w:val="16"/>
              </w:rPr>
              <w:t xml:space="preserve">: </w:t>
            </w:r>
            <w:r w:rsidR="00883182" w:rsidRPr="00183643">
              <w:rPr>
                <w:rFonts w:cstheme="minorBidi"/>
                <w:sz w:val="16"/>
                <w:szCs w:val="16"/>
              </w:rPr>
              <w:t xml:space="preserve">Increase in </w:t>
            </w:r>
            <w:r w:rsidRPr="00183643">
              <w:rPr>
                <w:rFonts w:cstheme="minorBidi"/>
                <w:sz w:val="16"/>
                <w:szCs w:val="16"/>
              </w:rPr>
              <w:t xml:space="preserve">business activity, </w:t>
            </w:r>
            <w:r w:rsidR="00883182" w:rsidRPr="00183643">
              <w:rPr>
                <w:rFonts w:cstheme="minorBidi"/>
                <w:sz w:val="16"/>
                <w:szCs w:val="16"/>
              </w:rPr>
              <w:t>trade, agricultur</w:t>
            </w:r>
            <w:r w:rsidRPr="00183643">
              <w:rPr>
                <w:rFonts w:cstheme="minorBidi"/>
                <w:sz w:val="16"/>
                <w:szCs w:val="16"/>
              </w:rPr>
              <w:t>al production and connection to</w:t>
            </w:r>
            <w:r w:rsidR="00883182" w:rsidRPr="00183643">
              <w:rPr>
                <w:rFonts w:cstheme="minorBidi"/>
                <w:sz w:val="16"/>
                <w:szCs w:val="16"/>
              </w:rPr>
              <w:t xml:space="preserve"> supply chains for more diverse livelihoods</w:t>
            </w:r>
          </w:p>
          <w:p w14:paraId="0AF284C1" w14:textId="77777777" w:rsidR="00FD3984" w:rsidRPr="00183643" w:rsidRDefault="1FC00EB6" w:rsidP="0030187B">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1.3</w:t>
            </w:r>
          </w:p>
          <w:p w14:paraId="5141A44B" w14:textId="0E9FBA24" w:rsidR="00883182" w:rsidRPr="00183643" w:rsidRDefault="1FC00EB6" w:rsidP="00FD3984">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Skills</w:t>
            </w:r>
            <w:r w:rsidR="5BD7D1F8" w:rsidRPr="00183643">
              <w:rPr>
                <w:sz w:val="16"/>
                <w:szCs w:val="16"/>
              </w:rPr>
              <w:t xml:space="preserve"> and jobs</w:t>
            </w:r>
            <w:r w:rsidR="00FD3984" w:rsidRPr="00183643">
              <w:rPr>
                <w:sz w:val="16"/>
                <w:szCs w:val="16"/>
              </w:rPr>
              <w:t xml:space="preserve">: </w:t>
            </w:r>
            <w:r w:rsidR="00883182" w:rsidRPr="00183643">
              <w:rPr>
                <w:sz w:val="16"/>
                <w:szCs w:val="16"/>
              </w:rPr>
              <w:t>Enhanced tertiary and vocational opportunities allow Solomon Islanders, especially youth and women, to access more economic opportunities including labour mobility</w:t>
            </w:r>
          </w:p>
        </w:tc>
        <w:tc>
          <w:tcPr>
            <w:tcW w:w="0" w:type="dxa"/>
            <w:shd w:val="clear" w:color="auto" w:fill="FBEED2" w:themeFill="accent4" w:themeFillTint="33"/>
            <w:hideMark/>
          </w:tcPr>
          <w:p w14:paraId="752C491D" w14:textId="77777777" w:rsidR="00FD3984" w:rsidRPr="00183643" w:rsidRDefault="00883182" w:rsidP="0030187B">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2.1</w:t>
            </w:r>
          </w:p>
          <w:p w14:paraId="207809D7" w14:textId="1521CB89" w:rsidR="00883182" w:rsidRPr="00183643" w:rsidRDefault="00884EB4"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Health</w:t>
            </w:r>
            <w:r w:rsidR="00420BA6" w:rsidRPr="00183643">
              <w:rPr>
                <w:sz w:val="16"/>
                <w:szCs w:val="16"/>
              </w:rPr>
              <w:t xml:space="preserve">, </w:t>
            </w:r>
            <w:r w:rsidRPr="00183643">
              <w:rPr>
                <w:sz w:val="16"/>
                <w:szCs w:val="16"/>
              </w:rPr>
              <w:t>education</w:t>
            </w:r>
            <w:r w:rsidR="00420BA6" w:rsidRPr="00183643">
              <w:rPr>
                <w:sz w:val="16"/>
                <w:szCs w:val="16"/>
              </w:rPr>
              <w:t xml:space="preserve"> and community resilience</w:t>
            </w:r>
            <w:r w:rsidR="00FD3984" w:rsidRPr="00183643">
              <w:rPr>
                <w:sz w:val="16"/>
                <w:szCs w:val="16"/>
              </w:rPr>
              <w:t xml:space="preserve">: </w:t>
            </w:r>
            <w:r w:rsidR="00E60AF0" w:rsidRPr="00183643">
              <w:rPr>
                <w:sz w:val="16"/>
                <w:szCs w:val="16"/>
              </w:rPr>
              <w:t>E</w:t>
            </w:r>
            <w:r w:rsidR="00883182" w:rsidRPr="00183643">
              <w:rPr>
                <w:sz w:val="16"/>
                <w:szCs w:val="16"/>
              </w:rPr>
              <w:t>ssential health</w:t>
            </w:r>
            <w:r w:rsidR="006A2094" w:rsidRPr="00183643">
              <w:rPr>
                <w:sz w:val="16"/>
                <w:szCs w:val="16"/>
              </w:rPr>
              <w:t xml:space="preserve"> and education </w:t>
            </w:r>
            <w:r w:rsidR="0098646E" w:rsidRPr="00183643">
              <w:rPr>
                <w:sz w:val="16"/>
                <w:szCs w:val="16"/>
              </w:rPr>
              <w:t xml:space="preserve">services </w:t>
            </w:r>
            <w:r w:rsidR="007531B1">
              <w:rPr>
                <w:sz w:val="16"/>
                <w:szCs w:val="16"/>
              </w:rPr>
              <w:t xml:space="preserve">are improved </w:t>
            </w:r>
            <w:r w:rsidR="00883182" w:rsidRPr="00183643">
              <w:rPr>
                <w:sz w:val="16"/>
                <w:szCs w:val="16"/>
              </w:rPr>
              <w:t>for all Solomon Islanders</w:t>
            </w:r>
            <w:r w:rsidR="006A2094" w:rsidRPr="00183643">
              <w:rPr>
                <w:sz w:val="16"/>
                <w:szCs w:val="16"/>
              </w:rPr>
              <w:t>, and communities are more resilient</w:t>
            </w:r>
          </w:p>
          <w:p w14:paraId="001FA97D" w14:textId="77777777" w:rsidR="00FD3984" w:rsidRPr="00183643" w:rsidRDefault="5E317F87"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2.2</w:t>
            </w:r>
          </w:p>
          <w:p w14:paraId="7B120097" w14:textId="753DAA83" w:rsidR="00883182" w:rsidRPr="00183643" w:rsidRDefault="21E98360"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 xml:space="preserve">Gender </w:t>
            </w:r>
            <w:r w:rsidR="650193AF" w:rsidRPr="00183643">
              <w:rPr>
                <w:sz w:val="16"/>
                <w:szCs w:val="16"/>
              </w:rPr>
              <w:t>e</w:t>
            </w:r>
            <w:r w:rsidR="02F110FE" w:rsidRPr="00183643">
              <w:rPr>
                <w:sz w:val="16"/>
                <w:szCs w:val="16"/>
              </w:rPr>
              <w:t>quality</w:t>
            </w:r>
            <w:r w:rsidR="32AEF581" w:rsidRPr="00183643">
              <w:rPr>
                <w:sz w:val="16"/>
                <w:szCs w:val="16"/>
              </w:rPr>
              <w:t xml:space="preserve"> and </w:t>
            </w:r>
            <w:r w:rsidR="4620EBE3" w:rsidRPr="00183643">
              <w:rPr>
                <w:sz w:val="16"/>
                <w:szCs w:val="16"/>
              </w:rPr>
              <w:t>d</w:t>
            </w:r>
            <w:r w:rsidR="32AEF581" w:rsidRPr="00183643">
              <w:rPr>
                <w:sz w:val="16"/>
                <w:szCs w:val="16"/>
              </w:rPr>
              <w:t>isability equity</w:t>
            </w:r>
            <w:r w:rsidR="00FD3984" w:rsidRPr="00183643">
              <w:rPr>
                <w:sz w:val="16"/>
                <w:szCs w:val="16"/>
              </w:rPr>
              <w:t xml:space="preserve">: </w:t>
            </w:r>
            <w:r w:rsidR="13E91949" w:rsidRPr="00183643">
              <w:rPr>
                <w:rFonts w:cstheme="minorBidi"/>
                <w:sz w:val="16"/>
                <w:szCs w:val="16"/>
              </w:rPr>
              <w:t>More women</w:t>
            </w:r>
            <w:r w:rsidR="77FEC567" w:rsidRPr="00183643">
              <w:rPr>
                <w:rFonts w:cstheme="minorBidi"/>
                <w:sz w:val="16"/>
                <w:szCs w:val="16"/>
              </w:rPr>
              <w:t xml:space="preserve">, </w:t>
            </w:r>
            <w:r w:rsidR="13E91949" w:rsidRPr="00183643">
              <w:rPr>
                <w:rFonts w:cstheme="minorBidi"/>
                <w:sz w:val="16"/>
                <w:szCs w:val="16"/>
              </w:rPr>
              <w:t>girls</w:t>
            </w:r>
            <w:r w:rsidR="271C7E94" w:rsidRPr="00183643">
              <w:rPr>
                <w:rFonts w:cstheme="minorBidi"/>
                <w:sz w:val="16"/>
                <w:szCs w:val="16"/>
              </w:rPr>
              <w:t xml:space="preserve"> and </w:t>
            </w:r>
            <w:r w:rsidR="0035335C" w:rsidRPr="00183643">
              <w:rPr>
                <w:rFonts w:cstheme="minorBidi"/>
                <w:sz w:val="16"/>
                <w:szCs w:val="16"/>
              </w:rPr>
              <w:t>people</w:t>
            </w:r>
            <w:r w:rsidR="271C7E94" w:rsidRPr="00183643">
              <w:rPr>
                <w:rFonts w:cstheme="minorBidi"/>
                <w:sz w:val="16"/>
                <w:szCs w:val="16"/>
              </w:rPr>
              <w:t xml:space="preserve"> with disabilit</w:t>
            </w:r>
            <w:r w:rsidR="00553047" w:rsidRPr="00183643">
              <w:rPr>
                <w:rFonts w:cstheme="minorBidi"/>
                <w:sz w:val="16"/>
                <w:szCs w:val="16"/>
              </w:rPr>
              <w:t>y</w:t>
            </w:r>
            <w:r w:rsidR="13E91949" w:rsidRPr="00183643">
              <w:rPr>
                <w:rFonts w:cstheme="minorBidi"/>
                <w:sz w:val="16"/>
                <w:szCs w:val="16"/>
              </w:rPr>
              <w:t xml:space="preserve"> are safer, </w:t>
            </w:r>
            <w:r w:rsidR="20B12A0B" w:rsidRPr="00183643">
              <w:rPr>
                <w:rFonts w:cstheme="minorBidi"/>
                <w:sz w:val="16"/>
                <w:szCs w:val="16"/>
              </w:rPr>
              <w:t xml:space="preserve">participate economically and </w:t>
            </w:r>
            <w:r w:rsidR="08B404F6" w:rsidRPr="00183643">
              <w:rPr>
                <w:rFonts w:cstheme="minorBidi"/>
                <w:sz w:val="16"/>
                <w:szCs w:val="16"/>
              </w:rPr>
              <w:t xml:space="preserve">are </w:t>
            </w:r>
            <w:r w:rsidR="10CAECC7" w:rsidRPr="00183643">
              <w:rPr>
                <w:rFonts w:cstheme="minorBidi"/>
                <w:sz w:val="16"/>
                <w:szCs w:val="16"/>
              </w:rPr>
              <w:t>involved</w:t>
            </w:r>
            <w:r w:rsidR="2AA61ECC" w:rsidRPr="00183643">
              <w:rPr>
                <w:rFonts w:cstheme="minorBidi"/>
                <w:sz w:val="16"/>
                <w:szCs w:val="16"/>
              </w:rPr>
              <w:t xml:space="preserve"> in </w:t>
            </w:r>
            <w:r w:rsidR="13E91949" w:rsidRPr="00183643">
              <w:rPr>
                <w:rFonts w:cstheme="minorBidi"/>
                <w:sz w:val="16"/>
                <w:szCs w:val="16"/>
              </w:rPr>
              <w:t xml:space="preserve">decision-making </w:t>
            </w:r>
          </w:p>
          <w:p w14:paraId="2B1173D2" w14:textId="72E412D7" w:rsidR="00FD3984" w:rsidRPr="00183643" w:rsidRDefault="40835F34"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2.3</w:t>
            </w:r>
          </w:p>
          <w:p w14:paraId="25A1739D" w14:textId="05BC3497" w:rsidR="00883182" w:rsidRPr="00183643" w:rsidRDefault="40835F34" w:rsidP="00FD3984">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Linkages</w:t>
            </w:r>
            <w:r w:rsidR="00FD3984" w:rsidRPr="00183643">
              <w:rPr>
                <w:sz w:val="16"/>
                <w:szCs w:val="16"/>
              </w:rPr>
              <w:t xml:space="preserve">: </w:t>
            </w:r>
            <w:r w:rsidRPr="00183643">
              <w:rPr>
                <w:sz w:val="16"/>
                <w:szCs w:val="16"/>
              </w:rPr>
              <w:t>Enduring relationships between individuals, leaders and institutions strengthen the relationship between Australia and Solomon Islands</w:t>
            </w:r>
          </w:p>
        </w:tc>
        <w:tc>
          <w:tcPr>
            <w:tcW w:w="0" w:type="dxa"/>
            <w:shd w:val="clear" w:color="auto" w:fill="F0DBD4" w:themeFill="accent5" w:themeFillTint="33"/>
            <w:hideMark/>
          </w:tcPr>
          <w:p w14:paraId="17F12ACF" w14:textId="625C4AA4" w:rsidR="00FD3984" w:rsidRPr="00183643" w:rsidRDefault="17423E0B" w:rsidP="0030187B">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3.1</w:t>
            </w:r>
          </w:p>
          <w:p w14:paraId="4F0BE39C" w14:textId="654389B1" w:rsidR="009C132B" w:rsidRPr="00183643" w:rsidRDefault="2B933994"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G</w:t>
            </w:r>
            <w:r w:rsidR="17423E0B" w:rsidRPr="00183643">
              <w:rPr>
                <w:sz w:val="16"/>
                <w:szCs w:val="16"/>
              </w:rPr>
              <w:t>overnance</w:t>
            </w:r>
            <w:r w:rsidR="00FD3984" w:rsidRPr="00183643">
              <w:rPr>
                <w:sz w:val="16"/>
                <w:szCs w:val="16"/>
              </w:rPr>
              <w:t xml:space="preserve">: </w:t>
            </w:r>
            <w:r w:rsidR="17423E0B" w:rsidRPr="00183643">
              <w:rPr>
                <w:sz w:val="16"/>
                <w:szCs w:val="16"/>
              </w:rPr>
              <w:t xml:space="preserve">Strengthened policies and systems </w:t>
            </w:r>
            <w:r w:rsidR="00C24894">
              <w:rPr>
                <w:sz w:val="16"/>
                <w:szCs w:val="16"/>
              </w:rPr>
              <w:t xml:space="preserve">are </w:t>
            </w:r>
            <w:r w:rsidR="00C24894" w:rsidRPr="00183643">
              <w:rPr>
                <w:sz w:val="16"/>
                <w:szCs w:val="16"/>
              </w:rPr>
              <w:t>enabl</w:t>
            </w:r>
            <w:r w:rsidR="00C24894">
              <w:rPr>
                <w:sz w:val="16"/>
                <w:szCs w:val="16"/>
              </w:rPr>
              <w:t>ing</w:t>
            </w:r>
            <w:r w:rsidR="00C24894" w:rsidRPr="00183643">
              <w:rPr>
                <w:sz w:val="16"/>
                <w:szCs w:val="16"/>
              </w:rPr>
              <w:t xml:space="preserve"> </w:t>
            </w:r>
            <w:r w:rsidR="17423E0B" w:rsidRPr="00183643">
              <w:rPr>
                <w:sz w:val="16"/>
                <w:szCs w:val="16"/>
              </w:rPr>
              <w:t xml:space="preserve">Solomon Islands </w:t>
            </w:r>
            <w:r w:rsidR="00C60C8A">
              <w:rPr>
                <w:sz w:val="16"/>
                <w:szCs w:val="16"/>
              </w:rPr>
              <w:t>G</w:t>
            </w:r>
            <w:r w:rsidR="17423E0B" w:rsidRPr="00183643">
              <w:rPr>
                <w:sz w:val="16"/>
                <w:szCs w:val="16"/>
              </w:rPr>
              <w:t>overnment institutions to be more inclusive and accountable to citizens</w:t>
            </w:r>
          </w:p>
          <w:p w14:paraId="571E0BAF" w14:textId="3E302A96" w:rsidR="00FD3984" w:rsidRPr="00183643" w:rsidRDefault="121D0061"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 xml:space="preserve">Outcome </w:t>
            </w:r>
            <w:r w:rsidR="50003F84" w:rsidRPr="00183643">
              <w:rPr>
                <w:sz w:val="16"/>
                <w:szCs w:val="16"/>
              </w:rPr>
              <w:t>3</w:t>
            </w:r>
            <w:r w:rsidRPr="00183643">
              <w:rPr>
                <w:sz w:val="16"/>
                <w:szCs w:val="16"/>
              </w:rPr>
              <w:t>.</w:t>
            </w:r>
            <w:r w:rsidR="4320949F" w:rsidRPr="00183643">
              <w:rPr>
                <w:sz w:val="16"/>
                <w:szCs w:val="16"/>
              </w:rPr>
              <w:t>2</w:t>
            </w:r>
          </w:p>
          <w:p w14:paraId="72A75A7F" w14:textId="455FE28C" w:rsidR="5463EF62" w:rsidRPr="00183643" w:rsidRDefault="114E8CC1"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Climate change and disaster res</w:t>
            </w:r>
            <w:r w:rsidR="0A70B997" w:rsidRPr="00183643">
              <w:rPr>
                <w:sz w:val="16"/>
                <w:szCs w:val="16"/>
              </w:rPr>
              <w:t>ilienc</w:t>
            </w:r>
            <w:r w:rsidRPr="00183643">
              <w:rPr>
                <w:sz w:val="16"/>
                <w:szCs w:val="16"/>
              </w:rPr>
              <w:t>e</w:t>
            </w:r>
            <w:r w:rsidR="00FD3984" w:rsidRPr="00183643">
              <w:rPr>
                <w:sz w:val="16"/>
                <w:szCs w:val="16"/>
              </w:rPr>
              <w:t xml:space="preserve">: </w:t>
            </w:r>
            <w:r w:rsidR="5463EF62" w:rsidRPr="00183643">
              <w:rPr>
                <w:sz w:val="16"/>
                <w:szCs w:val="16"/>
              </w:rPr>
              <w:t>Support to</w:t>
            </w:r>
            <w:r w:rsidR="00A033D4" w:rsidRPr="00183643">
              <w:rPr>
                <w:sz w:val="16"/>
                <w:szCs w:val="16"/>
              </w:rPr>
              <w:t xml:space="preserve"> government,</w:t>
            </w:r>
            <w:r w:rsidR="5463EF62" w:rsidRPr="00183643">
              <w:rPr>
                <w:sz w:val="16"/>
                <w:szCs w:val="16"/>
              </w:rPr>
              <w:t xml:space="preserve"> civil society and communities equips them to adapt to climate change and prepare for and respond to disasters</w:t>
            </w:r>
          </w:p>
          <w:p w14:paraId="0CA1BC7C" w14:textId="088398B5" w:rsidR="00FD3984" w:rsidRPr="00183643" w:rsidRDefault="009C132B" w:rsidP="00D573D9">
            <w:pPr>
              <w:pStyle w:val="TableBodyCopy"/>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Outcome 3.3</w:t>
            </w:r>
          </w:p>
          <w:p w14:paraId="6541B139" w14:textId="303205E5" w:rsidR="00883182" w:rsidRPr="00183643" w:rsidRDefault="009C132B" w:rsidP="00FD3984">
            <w:pPr>
              <w:pStyle w:val="TableBodyCopy"/>
              <w:cnfStyle w:val="000000000000" w:firstRow="0" w:lastRow="0" w:firstColumn="0" w:lastColumn="0" w:oddVBand="0" w:evenVBand="0" w:oddHBand="0" w:evenHBand="0" w:firstRowFirstColumn="0" w:firstRowLastColumn="0" w:lastRowFirstColumn="0" w:lastRowLastColumn="0"/>
              <w:rPr>
                <w:rFonts w:cstheme="minorBidi"/>
                <w:sz w:val="16"/>
                <w:szCs w:val="16"/>
              </w:rPr>
            </w:pPr>
            <w:r w:rsidRPr="00183643">
              <w:rPr>
                <w:sz w:val="16"/>
                <w:szCs w:val="16"/>
              </w:rPr>
              <w:t>Security and stability</w:t>
            </w:r>
            <w:r w:rsidR="00FD3984" w:rsidRPr="00183643">
              <w:rPr>
                <w:sz w:val="16"/>
                <w:szCs w:val="16"/>
              </w:rPr>
              <w:t xml:space="preserve">: </w:t>
            </w:r>
            <w:r w:rsidRPr="00183643">
              <w:rPr>
                <w:rFonts w:cstheme="minorBidi"/>
                <w:sz w:val="16"/>
                <w:szCs w:val="16"/>
              </w:rPr>
              <w:t>Enhanced capacity in policing, maritime security, rule of law, border security, cybersecurity and the justice sector</w:t>
            </w:r>
          </w:p>
        </w:tc>
      </w:tr>
      <w:tr w:rsidR="00A54D03" w:rsidRPr="000E77A9" w14:paraId="670B563D" w14:textId="77777777" w:rsidTr="00275453">
        <w:trPr>
          <w:trHeight w:val="4139"/>
        </w:trPr>
        <w:tc>
          <w:tcPr>
            <w:cnfStyle w:val="001000000000" w:firstRow="0" w:lastRow="0" w:firstColumn="1" w:lastColumn="0" w:oddVBand="0" w:evenVBand="0" w:oddHBand="0" w:evenHBand="0" w:firstRowFirstColumn="0" w:firstRowLastColumn="0" w:lastRowFirstColumn="0" w:lastRowLastColumn="0"/>
            <w:tcW w:w="0" w:type="dxa"/>
          </w:tcPr>
          <w:p w14:paraId="2F30CBD3" w14:textId="77777777" w:rsidR="00883182" w:rsidRPr="00183643" w:rsidRDefault="00883182" w:rsidP="00CE22E0">
            <w:pPr>
              <w:pStyle w:val="Table1col1head"/>
              <w:rPr>
                <w:sz w:val="16"/>
                <w:szCs w:val="16"/>
              </w:rPr>
            </w:pPr>
            <w:r w:rsidRPr="00183643">
              <w:rPr>
                <w:sz w:val="16"/>
                <w:szCs w:val="16"/>
              </w:rPr>
              <w:t>Focus areas</w:t>
            </w:r>
          </w:p>
        </w:tc>
        <w:tc>
          <w:tcPr>
            <w:tcW w:w="0" w:type="dxa"/>
            <w:shd w:val="clear" w:color="auto" w:fill="D6E8D2" w:themeFill="accent3" w:themeFillTint="33"/>
          </w:tcPr>
          <w:p w14:paraId="720C7D33" w14:textId="37DD8C97" w:rsidR="002213B9" w:rsidRPr="00183643" w:rsidRDefault="002213B9" w:rsidP="002213B9">
            <w:pPr>
              <w:pStyle w:val="TableBodyCopy"/>
              <w:cnfStyle w:val="000000000000" w:firstRow="0" w:lastRow="0" w:firstColumn="0" w:lastColumn="0" w:oddVBand="0" w:evenVBand="0" w:oddHBand="0" w:evenHBand="0" w:firstRowFirstColumn="0" w:firstRowLastColumn="0" w:lastRowFirstColumn="0" w:lastRowLastColumn="0"/>
              <w:rPr>
                <w:sz w:val="16"/>
                <w:szCs w:val="16"/>
                <w:lang w:eastAsia="en-AU"/>
              </w:rPr>
            </w:pPr>
            <w:r w:rsidRPr="00183643">
              <w:rPr>
                <w:sz w:val="16"/>
                <w:szCs w:val="16"/>
                <w:lang w:eastAsia="en-AU"/>
              </w:rPr>
              <w:t>Objective 1 focus areas</w:t>
            </w:r>
            <w:r w:rsidR="00705E07" w:rsidRPr="00183643">
              <w:rPr>
                <w:sz w:val="16"/>
                <w:szCs w:val="16"/>
                <w:lang w:eastAsia="en-AU"/>
              </w:rPr>
              <w:t>:</w:t>
            </w:r>
          </w:p>
          <w:p w14:paraId="6DF50936" w14:textId="77777777" w:rsidR="00883182" w:rsidRPr="00183643" w:rsidRDefault="00883182"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Labour mobility</w:t>
            </w:r>
          </w:p>
          <w:p w14:paraId="2B3BB6D3" w14:textId="77777777" w:rsidR="00883182" w:rsidRPr="00183643" w:rsidRDefault="00883182"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Infrastructure</w:t>
            </w:r>
          </w:p>
          <w:p w14:paraId="13A1AA05" w14:textId="77C43787" w:rsidR="00883182" w:rsidRPr="00183643" w:rsidRDefault="00883182"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 xml:space="preserve">Economic </w:t>
            </w:r>
            <w:r w:rsidR="007D7EE5" w:rsidRPr="00183643">
              <w:rPr>
                <w:sz w:val="16"/>
                <w:szCs w:val="16"/>
              </w:rPr>
              <w:t>g</w:t>
            </w:r>
            <w:r w:rsidRPr="00183643">
              <w:rPr>
                <w:sz w:val="16"/>
                <w:szCs w:val="16"/>
              </w:rPr>
              <w:t>rowth and private sector development</w:t>
            </w:r>
          </w:p>
          <w:p w14:paraId="04D89E50" w14:textId="092F3532" w:rsidR="00883182" w:rsidRPr="00183643" w:rsidRDefault="00883182"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 xml:space="preserve">Technical </w:t>
            </w:r>
            <w:r w:rsidR="00317A14" w:rsidRPr="00183643">
              <w:rPr>
                <w:sz w:val="16"/>
                <w:szCs w:val="16"/>
              </w:rPr>
              <w:t>and v</w:t>
            </w:r>
            <w:r w:rsidRPr="00183643">
              <w:rPr>
                <w:sz w:val="16"/>
                <w:szCs w:val="16"/>
              </w:rPr>
              <w:t xml:space="preserve">ocational </w:t>
            </w:r>
            <w:r w:rsidR="002766E8" w:rsidRPr="00183643">
              <w:rPr>
                <w:sz w:val="16"/>
                <w:szCs w:val="16"/>
              </w:rPr>
              <w:t>e</w:t>
            </w:r>
            <w:r w:rsidRPr="00183643">
              <w:rPr>
                <w:sz w:val="16"/>
                <w:szCs w:val="16"/>
              </w:rPr>
              <w:t xml:space="preserve">ducation and </w:t>
            </w:r>
            <w:r w:rsidR="002766E8" w:rsidRPr="00183643">
              <w:rPr>
                <w:sz w:val="16"/>
                <w:szCs w:val="16"/>
              </w:rPr>
              <w:t>t</w:t>
            </w:r>
            <w:r w:rsidRPr="00183643">
              <w:rPr>
                <w:sz w:val="16"/>
                <w:szCs w:val="16"/>
              </w:rPr>
              <w:t>raining and skills</w:t>
            </w:r>
          </w:p>
          <w:p w14:paraId="050F9C5A" w14:textId="77777777" w:rsidR="00883182" w:rsidRPr="00183643" w:rsidRDefault="1FC00EB6"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Scholarships</w:t>
            </w:r>
          </w:p>
          <w:p w14:paraId="19FB48D5" w14:textId="4C14C0EA" w:rsidR="00FE2C13" w:rsidRPr="00183643" w:rsidRDefault="00FE2C13" w:rsidP="00BC44AF">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Budget support and economic reform</w:t>
            </w:r>
          </w:p>
        </w:tc>
        <w:tc>
          <w:tcPr>
            <w:tcW w:w="0" w:type="dxa"/>
            <w:shd w:val="clear" w:color="auto" w:fill="FBEED2" w:themeFill="accent4" w:themeFillTint="33"/>
          </w:tcPr>
          <w:p w14:paraId="72BE8A84" w14:textId="1E14C4E0" w:rsidR="002213B9" w:rsidRPr="00183643" w:rsidRDefault="002213B9" w:rsidP="002213B9">
            <w:pPr>
              <w:pStyle w:val="TableBodyCopy"/>
              <w:cnfStyle w:val="000000000000" w:firstRow="0" w:lastRow="0" w:firstColumn="0" w:lastColumn="0" w:oddVBand="0" w:evenVBand="0" w:oddHBand="0" w:evenHBand="0" w:firstRowFirstColumn="0" w:firstRowLastColumn="0" w:lastRowFirstColumn="0" w:lastRowLastColumn="0"/>
              <w:rPr>
                <w:sz w:val="16"/>
                <w:szCs w:val="16"/>
                <w:lang w:eastAsia="en-AU"/>
              </w:rPr>
            </w:pPr>
            <w:r w:rsidRPr="00183643">
              <w:rPr>
                <w:sz w:val="16"/>
                <w:szCs w:val="16"/>
                <w:lang w:eastAsia="en-AU"/>
              </w:rPr>
              <w:t>Objective 2 focus areas</w:t>
            </w:r>
            <w:r w:rsidR="00171D49" w:rsidRPr="00183643">
              <w:rPr>
                <w:sz w:val="16"/>
                <w:szCs w:val="16"/>
                <w:lang w:eastAsia="en-AU"/>
              </w:rPr>
              <w:t>:</w:t>
            </w:r>
          </w:p>
          <w:p w14:paraId="2175978C" w14:textId="321882E7" w:rsidR="00FD3E18" w:rsidRPr="00183643" w:rsidRDefault="00FE2C13"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Basic e</w:t>
            </w:r>
            <w:r w:rsidR="00FD3E18" w:rsidRPr="00183643">
              <w:rPr>
                <w:sz w:val="16"/>
                <w:szCs w:val="16"/>
              </w:rPr>
              <w:t>ducation</w:t>
            </w:r>
          </w:p>
          <w:p w14:paraId="374388A9" w14:textId="5DE56F13" w:rsidR="00FD3E18" w:rsidRPr="00183643" w:rsidRDefault="45BDF1DC"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Health</w:t>
            </w:r>
          </w:p>
          <w:p w14:paraId="49FD4874" w14:textId="1F134A2B" w:rsidR="00FD3E18" w:rsidRPr="00183643" w:rsidRDefault="003B68F0"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Gender</w:t>
            </w:r>
            <w:r w:rsidR="00C63BD5" w:rsidRPr="00183643">
              <w:rPr>
                <w:sz w:val="16"/>
                <w:szCs w:val="16"/>
              </w:rPr>
              <w:t xml:space="preserve"> equality</w:t>
            </w:r>
            <w:r w:rsidRPr="00183643">
              <w:rPr>
                <w:sz w:val="16"/>
                <w:szCs w:val="16"/>
              </w:rPr>
              <w:t xml:space="preserve"> and disability</w:t>
            </w:r>
            <w:r w:rsidR="00C63BD5" w:rsidRPr="00183643">
              <w:rPr>
                <w:sz w:val="16"/>
                <w:szCs w:val="16"/>
              </w:rPr>
              <w:t xml:space="preserve"> equity</w:t>
            </w:r>
          </w:p>
          <w:p w14:paraId="14D17597" w14:textId="5BA6658A" w:rsidR="00FD3E18" w:rsidRPr="00183643" w:rsidRDefault="003641E5"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Water, sanitation and hygiene</w:t>
            </w:r>
            <w:r w:rsidR="00FD3E18" w:rsidRPr="00183643">
              <w:rPr>
                <w:sz w:val="16"/>
                <w:szCs w:val="16"/>
              </w:rPr>
              <w:t xml:space="preserve"> infrastructure</w:t>
            </w:r>
          </w:p>
          <w:p w14:paraId="4298E777" w14:textId="78309CB2" w:rsidR="00FD3E18" w:rsidRPr="00183643" w:rsidRDefault="00FD3E18"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Faith</w:t>
            </w:r>
            <w:r w:rsidR="007D7EE5" w:rsidRPr="00183643">
              <w:rPr>
                <w:sz w:val="16"/>
                <w:szCs w:val="16"/>
              </w:rPr>
              <w:t>-</w:t>
            </w:r>
            <w:r w:rsidRPr="00183643">
              <w:rPr>
                <w:sz w:val="16"/>
                <w:szCs w:val="16"/>
              </w:rPr>
              <w:t>based organisations</w:t>
            </w:r>
          </w:p>
          <w:p w14:paraId="5489E962" w14:textId="490BB7EA" w:rsidR="00883182" w:rsidRPr="00183643" w:rsidRDefault="45BDF1DC" w:rsidP="00D573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6"/>
                <w:szCs w:val="16"/>
              </w:rPr>
            </w:pPr>
            <w:r w:rsidRPr="00183643">
              <w:rPr>
                <w:sz w:val="16"/>
                <w:szCs w:val="16"/>
              </w:rPr>
              <w:t>Community partnerships</w:t>
            </w:r>
          </w:p>
          <w:p w14:paraId="60E1016F" w14:textId="77777777" w:rsidR="00883182" w:rsidRPr="00183643" w:rsidRDefault="7F60C042" w:rsidP="00D573D9">
            <w:pPr>
              <w:pStyle w:val="Tablebullet"/>
              <w:cnfStyle w:val="000000000000" w:firstRow="0" w:lastRow="0" w:firstColumn="0" w:lastColumn="0" w:oddVBand="0" w:evenVBand="0" w:oddHBand="0" w:evenHBand="0" w:firstRowFirstColumn="0" w:firstRowLastColumn="0" w:lastRowFirstColumn="0" w:lastRowLastColumn="0"/>
              <w:rPr>
                <w:color w:val="242424"/>
                <w:sz w:val="16"/>
                <w:szCs w:val="16"/>
              </w:rPr>
            </w:pPr>
            <w:r w:rsidRPr="00183643">
              <w:rPr>
                <w:color w:val="242424"/>
                <w:sz w:val="16"/>
                <w:szCs w:val="16"/>
              </w:rPr>
              <w:t>Leadership programs</w:t>
            </w:r>
          </w:p>
          <w:p w14:paraId="52A044BC" w14:textId="77777777" w:rsidR="00883182" w:rsidRPr="00183643" w:rsidRDefault="7F60C042" w:rsidP="00D573D9">
            <w:pPr>
              <w:pStyle w:val="Tablebullet"/>
              <w:cnfStyle w:val="000000000000" w:firstRow="0" w:lastRow="0" w:firstColumn="0" w:lastColumn="0" w:oddVBand="0" w:evenVBand="0" w:oddHBand="0" w:evenHBand="0" w:firstRowFirstColumn="0" w:firstRowLastColumn="0" w:lastRowFirstColumn="0" w:lastRowLastColumn="0"/>
              <w:rPr>
                <w:color w:val="242424"/>
                <w:sz w:val="16"/>
                <w:szCs w:val="16"/>
              </w:rPr>
            </w:pPr>
            <w:r w:rsidRPr="00183643">
              <w:rPr>
                <w:color w:val="242424"/>
                <w:sz w:val="16"/>
                <w:szCs w:val="16"/>
              </w:rPr>
              <w:t>Sports</w:t>
            </w:r>
          </w:p>
          <w:p w14:paraId="667E8312" w14:textId="361C9434" w:rsidR="00883182" w:rsidRPr="00183643" w:rsidRDefault="7F60C042" w:rsidP="00BC44AF">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color w:val="242424"/>
                <w:sz w:val="16"/>
                <w:szCs w:val="16"/>
              </w:rPr>
              <w:t>Australian Volunteers Program</w:t>
            </w:r>
          </w:p>
        </w:tc>
        <w:tc>
          <w:tcPr>
            <w:tcW w:w="0" w:type="dxa"/>
            <w:shd w:val="clear" w:color="auto" w:fill="F0DBD4" w:themeFill="accent5" w:themeFillTint="33"/>
          </w:tcPr>
          <w:p w14:paraId="75C62C92" w14:textId="7FB24B7A" w:rsidR="002213B9" w:rsidRPr="00183643" w:rsidRDefault="002213B9" w:rsidP="002213B9">
            <w:pPr>
              <w:pStyle w:val="TableBodyCopy"/>
              <w:cnfStyle w:val="000000000000" w:firstRow="0" w:lastRow="0" w:firstColumn="0" w:lastColumn="0" w:oddVBand="0" w:evenVBand="0" w:oddHBand="0" w:evenHBand="0" w:firstRowFirstColumn="0" w:firstRowLastColumn="0" w:lastRowFirstColumn="0" w:lastRowLastColumn="0"/>
              <w:rPr>
                <w:sz w:val="16"/>
                <w:szCs w:val="16"/>
                <w:lang w:eastAsia="en-AU"/>
              </w:rPr>
            </w:pPr>
            <w:r w:rsidRPr="00183643">
              <w:rPr>
                <w:sz w:val="16"/>
                <w:szCs w:val="16"/>
                <w:lang w:eastAsia="en-AU"/>
              </w:rPr>
              <w:t>Objective 3 focus areas</w:t>
            </w:r>
            <w:r w:rsidR="00171D49" w:rsidRPr="00183643">
              <w:rPr>
                <w:sz w:val="16"/>
                <w:szCs w:val="16"/>
                <w:lang w:eastAsia="en-AU"/>
              </w:rPr>
              <w:t>:</w:t>
            </w:r>
          </w:p>
          <w:p w14:paraId="594CF563" w14:textId="77777777" w:rsidR="00582ECC" w:rsidRPr="00183643" w:rsidRDefault="00582ECC"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Law and justice</w:t>
            </w:r>
          </w:p>
          <w:p w14:paraId="786EB239" w14:textId="77C0FA55" w:rsidR="00582ECC" w:rsidRPr="00183643" w:rsidRDefault="4225CACE"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Governance</w:t>
            </w:r>
          </w:p>
          <w:p w14:paraId="3C31509D" w14:textId="77777777" w:rsidR="00582ECC" w:rsidRPr="00183643" w:rsidRDefault="00582ECC"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Support to elections, media and civil society</w:t>
            </w:r>
          </w:p>
          <w:p w14:paraId="4AEE7359" w14:textId="5DA254B2" w:rsidR="00582ECC" w:rsidRPr="00183643" w:rsidRDefault="4225CACE"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Policing</w:t>
            </w:r>
            <w:r w:rsidR="4AA9C5FE" w:rsidRPr="00183643">
              <w:rPr>
                <w:sz w:val="16"/>
                <w:szCs w:val="16"/>
              </w:rPr>
              <w:t>,</w:t>
            </w:r>
            <w:r w:rsidRPr="00183643">
              <w:rPr>
                <w:sz w:val="16"/>
                <w:szCs w:val="16"/>
              </w:rPr>
              <w:t xml:space="preserve"> </w:t>
            </w:r>
            <w:r w:rsidR="007D7EE5" w:rsidRPr="00183643">
              <w:rPr>
                <w:sz w:val="16"/>
                <w:szCs w:val="16"/>
              </w:rPr>
              <w:t>defence and border force cooperation</w:t>
            </w:r>
          </w:p>
          <w:p w14:paraId="18402541" w14:textId="5F84354F" w:rsidR="000216EB" w:rsidRPr="00183643" w:rsidRDefault="000216EB"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Cyber support</w:t>
            </w:r>
          </w:p>
          <w:p w14:paraId="779F0530" w14:textId="7BC640B5" w:rsidR="0048113B" w:rsidRPr="00183643" w:rsidRDefault="4AA9C5FE"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Explosive</w:t>
            </w:r>
            <w:r w:rsidR="16E90DAF" w:rsidRPr="00183643">
              <w:rPr>
                <w:sz w:val="16"/>
                <w:szCs w:val="16"/>
              </w:rPr>
              <w:t xml:space="preserve"> </w:t>
            </w:r>
            <w:r w:rsidR="007D7EE5" w:rsidRPr="00183643">
              <w:rPr>
                <w:sz w:val="16"/>
                <w:szCs w:val="16"/>
              </w:rPr>
              <w:t>ordnance disposal</w:t>
            </w:r>
          </w:p>
          <w:p w14:paraId="5CC63A68" w14:textId="77777777" w:rsidR="0048113B" w:rsidRPr="00183643" w:rsidRDefault="31287758"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Climate change</w:t>
            </w:r>
          </w:p>
          <w:p w14:paraId="5CE562C7" w14:textId="55B46F0B" w:rsidR="0048113B" w:rsidRPr="00183643" w:rsidRDefault="31287758" w:rsidP="00D573D9">
            <w:pPr>
              <w:pStyle w:val="Tablebullet"/>
              <w:cnfStyle w:val="000000000000" w:firstRow="0" w:lastRow="0" w:firstColumn="0" w:lastColumn="0" w:oddVBand="0" w:evenVBand="0" w:oddHBand="0" w:evenHBand="0" w:firstRowFirstColumn="0" w:firstRowLastColumn="0" w:lastRowFirstColumn="0" w:lastRowLastColumn="0"/>
              <w:rPr>
                <w:sz w:val="16"/>
                <w:szCs w:val="16"/>
              </w:rPr>
            </w:pPr>
            <w:r w:rsidRPr="00183643">
              <w:rPr>
                <w:sz w:val="16"/>
                <w:szCs w:val="16"/>
              </w:rPr>
              <w:t>Humanitarian and disaster recovery</w:t>
            </w:r>
          </w:p>
        </w:tc>
      </w:tr>
    </w:tbl>
    <w:p w14:paraId="644A5318" w14:textId="33308DF8" w:rsidR="001F2EB5" w:rsidRPr="00D573D9" w:rsidRDefault="001F2EB5" w:rsidP="00275453">
      <w:pPr>
        <w:keepNext/>
        <w:rPr>
          <w:b/>
        </w:rPr>
      </w:pPr>
      <w:r w:rsidRPr="00D573D9">
        <w:rPr>
          <w:b/>
          <w:bCs/>
        </w:rPr>
        <w:lastRenderedPageBreak/>
        <w:t xml:space="preserve">Ways of </w:t>
      </w:r>
      <w:r w:rsidR="0091754C" w:rsidRPr="00AC3C20">
        <w:rPr>
          <w:b/>
          <w:bCs/>
        </w:rPr>
        <w:t>w</w:t>
      </w:r>
      <w:r w:rsidRPr="00D573D9">
        <w:rPr>
          <w:b/>
          <w:bCs/>
        </w:rPr>
        <w:t>orking</w:t>
      </w:r>
    </w:p>
    <w:p w14:paraId="62ADB0E0" w14:textId="63F9F690" w:rsidR="00705E07" w:rsidRPr="00787486" w:rsidRDefault="00705E07" w:rsidP="00B25597">
      <w:pPr>
        <w:rPr>
          <w:lang w:eastAsia="en-AU"/>
        </w:rPr>
      </w:pPr>
      <w:r>
        <w:rPr>
          <w:lang w:eastAsia="en-AU"/>
        </w:rPr>
        <w:t>We will work together to progress the objectives set out in Table</w:t>
      </w:r>
      <w:r w:rsidR="000D04A0">
        <w:rPr>
          <w:lang w:eastAsia="en-AU"/>
        </w:rPr>
        <w:t> </w:t>
      </w:r>
      <w:r>
        <w:rPr>
          <w:lang w:eastAsia="en-AU"/>
        </w:rPr>
        <w:t>1 through:</w:t>
      </w:r>
    </w:p>
    <w:p w14:paraId="1262B31D" w14:textId="13F1A878" w:rsidR="001F2EB5" w:rsidRDefault="6A15DAE6" w:rsidP="00D573D9">
      <w:pPr>
        <w:pStyle w:val="NormalBullets-L1"/>
      </w:pPr>
      <w:r>
        <w:t xml:space="preserve">holding </w:t>
      </w:r>
      <w:r w:rsidR="63BAB91A">
        <w:t xml:space="preserve">ongoing </w:t>
      </w:r>
      <w:r w:rsidR="4D0C9BF7">
        <w:t xml:space="preserve">consultation and </w:t>
      </w:r>
      <w:r w:rsidR="4D0C9BF7" w:rsidRPr="009C0A53">
        <w:t>policy dialogue with</w:t>
      </w:r>
      <w:r w:rsidR="4D0C9BF7">
        <w:t xml:space="preserve"> </w:t>
      </w:r>
      <w:r w:rsidR="01F697A8">
        <w:t xml:space="preserve">the </w:t>
      </w:r>
      <w:r w:rsidR="4D0C9BF7">
        <w:t xml:space="preserve">Solomon Islands Government and </w:t>
      </w:r>
      <w:r w:rsidR="0102DF29">
        <w:t xml:space="preserve">ensuring </w:t>
      </w:r>
      <w:r w:rsidR="4D0C9BF7">
        <w:t>regular and timely reporting on program implementation</w:t>
      </w:r>
    </w:p>
    <w:p w14:paraId="6F7E0885" w14:textId="5D8F03B2" w:rsidR="001F2EB5" w:rsidRPr="002576C0" w:rsidRDefault="00705E07" w:rsidP="00D573D9">
      <w:pPr>
        <w:pStyle w:val="NormalBullets-L1"/>
      </w:pPr>
      <w:r>
        <w:t>promoting locally led development</w:t>
      </w:r>
      <w:r w:rsidR="00DD6F46">
        <w:t xml:space="preserve">, </w:t>
      </w:r>
      <w:r w:rsidR="00DD6F46" w:rsidRPr="009C0A53">
        <w:t>including strengthening collaboration with civil society</w:t>
      </w:r>
      <w:r w:rsidR="005410E3" w:rsidRPr="009C0A53">
        <w:t xml:space="preserve"> organisations</w:t>
      </w:r>
    </w:p>
    <w:p w14:paraId="5119BDDE" w14:textId="01905B76" w:rsidR="001F2EB5" w:rsidRDefault="00705E07" w:rsidP="00D573D9">
      <w:pPr>
        <w:pStyle w:val="NormalBullets-L1"/>
      </w:pPr>
      <w:r>
        <w:t>maximising effectiveness and results</w:t>
      </w:r>
    </w:p>
    <w:p w14:paraId="6395C8AF" w14:textId="369A0B9C" w:rsidR="001F2EB5" w:rsidRDefault="00650136" w:rsidP="00D573D9">
      <w:pPr>
        <w:pStyle w:val="NormalBullets-L1"/>
      </w:pPr>
      <w:r>
        <w:t xml:space="preserve">taking a </w:t>
      </w:r>
      <w:r w:rsidR="00705E07">
        <w:t>twin-track approach to gender equality, disability and social inclusion and climate change</w:t>
      </w:r>
    </w:p>
    <w:p w14:paraId="0440D604" w14:textId="46AD7474" w:rsidR="001F2EB5" w:rsidRDefault="00705E07" w:rsidP="00D573D9">
      <w:pPr>
        <w:pStyle w:val="NormalBullets-L1"/>
      </w:pPr>
      <w:r>
        <w:t>coordinati</w:t>
      </w:r>
      <w:r w:rsidR="00A96A40">
        <w:t>ng</w:t>
      </w:r>
      <w:r>
        <w:t xml:space="preserve"> </w:t>
      </w:r>
      <w:r w:rsidR="001F2EB5">
        <w:t>with other donors</w:t>
      </w:r>
      <w:r w:rsidR="00650136">
        <w:t>.</w:t>
      </w:r>
    </w:p>
    <w:p w14:paraId="3433C0B2" w14:textId="51878134" w:rsidR="002F4955" w:rsidRPr="00517701" w:rsidRDefault="5B9CA877" w:rsidP="00517701">
      <w:pPr>
        <w:pStyle w:val="H3-Heading3"/>
      </w:pPr>
      <w:r>
        <w:t xml:space="preserve">Objective 1: </w:t>
      </w:r>
      <w:r w:rsidR="4225CACE">
        <w:t>Inclusive economic growth</w:t>
      </w:r>
      <w:r w:rsidR="40EE1AA1">
        <w:t>, infrastructure</w:t>
      </w:r>
      <w:r w:rsidR="4225CACE">
        <w:t xml:space="preserve"> and job creation</w:t>
      </w:r>
    </w:p>
    <w:p w14:paraId="0E2A7F20" w14:textId="0DCAFBF2" w:rsidR="00B2712B" w:rsidRPr="00D573D9" w:rsidRDefault="7269C543" w:rsidP="00786FE2">
      <w:pPr>
        <w:rPr>
          <w:lang w:eastAsia="en-AU"/>
        </w:rPr>
      </w:pPr>
      <w:r w:rsidRPr="2A22DF3F">
        <w:rPr>
          <w:lang w:eastAsia="en-AU"/>
        </w:rPr>
        <w:t>The Solomon Islands Government has identified i</w:t>
      </w:r>
      <w:r w:rsidR="0700B282" w:rsidRPr="2A22DF3F">
        <w:rPr>
          <w:lang w:eastAsia="en-AU"/>
        </w:rPr>
        <w:t xml:space="preserve">nfrastructure, economic growth and job creation as critical for </w:t>
      </w:r>
      <w:r w:rsidR="7819C7F7" w:rsidRPr="2A22DF3F">
        <w:rPr>
          <w:lang w:eastAsia="en-AU"/>
        </w:rPr>
        <w:t>Solomon Islands’</w:t>
      </w:r>
      <w:r w:rsidR="0700B282" w:rsidRPr="2A22DF3F">
        <w:rPr>
          <w:lang w:eastAsia="en-AU"/>
        </w:rPr>
        <w:t xml:space="preserve"> development and stability, and in turn its partnership with Australia. </w:t>
      </w:r>
      <w:r w:rsidR="406EBE32" w:rsidRPr="2A22DF3F">
        <w:rPr>
          <w:lang w:eastAsia="en-AU"/>
        </w:rPr>
        <w:t>We anticipate that c</w:t>
      </w:r>
      <w:r w:rsidR="098204CD" w:rsidRPr="2A22DF3F">
        <w:rPr>
          <w:lang w:eastAsia="en-AU"/>
        </w:rPr>
        <w:t xml:space="preserve">limate change </w:t>
      </w:r>
      <w:r w:rsidR="02BF2A31" w:rsidRPr="2A22DF3F">
        <w:rPr>
          <w:lang w:eastAsia="en-AU"/>
        </w:rPr>
        <w:t xml:space="preserve">will </w:t>
      </w:r>
      <w:r w:rsidR="098204CD" w:rsidRPr="2A22DF3F">
        <w:rPr>
          <w:lang w:eastAsia="en-AU"/>
        </w:rPr>
        <w:t>impact many of Solomon Islands’ productive sectors, including fisheries, agriculture and tourism, with implications for jobs growth and the economy.</w:t>
      </w:r>
      <w:r w:rsidR="6C4A392A" w:rsidRPr="2A22DF3F">
        <w:rPr>
          <w:lang w:eastAsia="en-AU"/>
        </w:rPr>
        <w:t xml:space="preserve"> </w:t>
      </w:r>
      <w:proofErr w:type="gramStart"/>
      <w:r w:rsidR="581E871B" w:rsidRPr="2A22DF3F">
        <w:rPr>
          <w:lang w:eastAsia="en-AU"/>
        </w:rPr>
        <w:t xml:space="preserve">With this in mind, </w:t>
      </w:r>
      <w:r w:rsidR="0700B282" w:rsidRPr="2A22DF3F">
        <w:rPr>
          <w:lang w:eastAsia="en-AU"/>
        </w:rPr>
        <w:t>Objective</w:t>
      </w:r>
      <w:proofErr w:type="gramEnd"/>
      <w:r w:rsidR="05D3E399" w:rsidRPr="2A22DF3F">
        <w:rPr>
          <w:lang w:eastAsia="en-AU"/>
        </w:rPr>
        <w:t> </w:t>
      </w:r>
      <w:r w:rsidR="0700B282" w:rsidRPr="2A22DF3F">
        <w:rPr>
          <w:lang w:eastAsia="en-AU"/>
        </w:rPr>
        <w:t>1 will contribute directly to enhancing Solomon Islands’ inclusive economic growth and job creation. We will focus on infrastructure, encouraging private sector growth</w:t>
      </w:r>
      <w:r w:rsidR="373A3244" w:rsidRPr="2A22DF3F">
        <w:rPr>
          <w:lang w:eastAsia="en-AU"/>
        </w:rPr>
        <w:t xml:space="preserve"> </w:t>
      </w:r>
      <w:r w:rsidR="75C27751" w:rsidRPr="2A22DF3F">
        <w:rPr>
          <w:lang w:eastAsia="en-AU"/>
        </w:rPr>
        <w:t>(</w:t>
      </w:r>
      <w:r w:rsidR="373A3244" w:rsidRPr="2A22DF3F">
        <w:rPr>
          <w:lang w:eastAsia="en-AU"/>
        </w:rPr>
        <w:t>including in agriculture</w:t>
      </w:r>
      <w:r w:rsidR="75C27751" w:rsidRPr="2A22DF3F">
        <w:rPr>
          <w:lang w:eastAsia="en-AU"/>
        </w:rPr>
        <w:t>)</w:t>
      </w:r>
      <w:r w:rsidR="0700B282" w:rsidRPr="2A22DF3F">
        <w:rPr>
          <w:lang w:eastAsia="en-AU"/>
        </w:rPr>
        <w:t>, and providing workers with the skills they need for productive jobs.</w:t>
      </w:r>
      <w:r w:rsidR="661E1B98" w:rsidRPr="2A22DF3F">
        <w:rPr>
          <w:lang w:eastAsia="en-AU"/>
        </w:rPr>
        <w:t xml:space="preserve"> Investment in agriculture will contribute to</w:t>
      </w:r>
      <w:r w:rsidR="2B2D4D1F" w:rsidRPr="2A22DF3F">
        <w:rPr>
          <w:lang w:eastAsia="en-AU"/>
        </w:rPr>
        <w:t xml:space="preserve"> </w:t>
      </w:r>
      <w:r w:rsidR="661E1B98" w:rsidRPr="2A22DF3F">
        <w:rPr>
          <w:lang w:eastAsia="en-AU"/>
        </w:rPr>
        <w:t xml:space="preserve">economic growth, while strengthening food security, climate resilience and stability. </w:t>
      </w:r>
      <w:r w:rsidR="4F0AB349" w:rsidRPr="2A22DF3F">
        <w:rPr>
          <w:lang w:eastAsia="en-AU"/>
        </w:rPr>
        <w:t>Australia is the largest investor in infrastructure in Solomon Islands</w:t>
      </w:r>
      <w:r w:rsidR="00580A25">
        <w:rPr>
          <w:lang w:eastAsia="en-AU"/>
        </w:rPr>
        <w:t>.</w:t>
      </w:r>
      <w:r w:rsidR="00051446">
        <w:rPr>
          <w:lang w:eastAsia="en-AU"/>
        </w:rPr>
        <w:t xml:space="preserve"> </w:t>
      </w:r>
      <w:r w:rsidR="009065C5">
        <w:rPr>
          <w:lang w:eastAsia="en-AU"/>
        </w:rPr>
        <w:t xml:space="preserve">Working in all provinces, </w:t>
      </w:r>
      <w:r w:rsidR="0700B282" w:rsidRPr="2A22DF3F">
        <w:rPr>
          <w:lang w:eastAsia="en-AU"/>
        </w:rPr>
        <w:t>Australia will assist Solomon Islands with its economic priorities through a range of existing and new phases of programs.</w:t>
      </w:r>
    </w:p>
    <w:p w14:paraId="2992B660" w14:textId="17C0E6C2" w:rsidR="3186E48D" w:rsidRPr="00D573D9" w:rsidRDefault="470143F2" w:rsidP="00D573D9">
      <w:pPr>
        <w:rPr>
          <w:lang w:eastAsia="en-AU"/>
        </w:rPr>
      </w:pPr>
      <w:r w:rsidRPr="2A22DF3F">
        <w:rPr>
          <w:lang w:eastAsia="en-AU"/>
        </w:rPr>
        <w:t>Creating more jobs and providing economic opportunities</w:t>
      </w:r>
      <w:r w:rsidR="706895F8" w:rsidRPr="2A22DF3F">
        <w:rPr>
          <w:lang w:eastAsia="en-AU"/>
        </w:rPr>
        <w:t>, particularly in rural areas,</w:t>
      </w:r>
      <w:r w:rsidRPr="2A22DF3F">
        <w:rPr>
          <w:lang w:eastAsia="en-AU"/>
        </w:rPr>
        <w:t xml:space="preserve"> </w:t>
      </w:r>
      <w:r w:rsidR="1093AA0B" w:rsidRPr="2A22DF3F">
        <w:rPr>
          <w:lang w:eastAsia="en-AU"/>
        </w:rPr>
        <w:t xml:space="preserve">is </w:t>
      </w:r>
      <w:r w:rsidRPr="2A22DF3F">
        <w:rPr>
          <w:lang w:eastAsia="en-AU"/>
        </w:rPr>
        <w:t xml:space="preserve">essential for Solomon Islanders to support themselves and their families and </w:t>
      </w:r>
      <w:r w:rsidR="5272DA9C" w:rsidRPr="2A22DF3F">
        <w:rPr>
          <w:lang w:eastAsia="en-AU"/>
        </w:rPr>
        <w:t xml:space="preserve">is </w:t>
      </w:r>
      <w:r w:rsidRPr="2A22DF3F">
        <w:rPr>
          <w:lang w:eastAsia="en-AU"/>
        </w:rPr>
        <w:t>linked to human development outcomes. Australia will continue to create inclusive jobs for Solomon Islanders through our partnerships with the private sector</w:t>
      </w:r>
      <w:r w:rsidR="78C6464D" w:rsidRPr="2A22DF3F">
        <w:rPr>
          <w:lang w:eastAsia="en-AU"/>
        </w:rPr>
        <w:t xml:space="preserve"> and</w:t>
      </w:r>
      <w:r w:rsidRPr="2A22DF3F">
        <w:rPr>
          <w:lang w:eastAsia="en-AU"/>
        </w:rPr>
        <w:t xml:space="preserve"> our labour mobility, skills and training programs, as well as our focus on using local labour and companies in our infrastructure projects. Australia is well positioned to drive change under</w:t>
      </w:r>
      <w:r w:rsidR="4509680F" w:rsidRPr="2A22DF3F">
        <w:rPr>
          <w:lang w:eastAsia="en-AU"/>
        </w:rPr>
        <w:t xml:space="preserve"> this objective</w:t>
      </w:r>
      <w:r w:rsidR="0ECEEF3E" w:rsidRPr="2A22DF3F">
        <w:rPr>
          <w:lang w:eastAsia="en-AU"/>
        </w:rPr>
        <w:t>, which</w:t>
      </w:r>
      <w:r w:rsidR="4509680F" w:rsidRPr="2A22DF3F">
        <w:rPr>
          <w:lang w:eastAsia="en-AU"/>
        </w:rPr>
        <w:t xml:space="preserve"> contributes to </w:t>
      </w:r>
      <w:r w:rsidR="2F892D9C" w:rsidRPr="2A22DF3F">
        <w:rPr>
          <w:lang w:eastAsia="en-AU"/>
        </w:rPr>
        <w:t>Australia’s</w:t>
      </w:r>
      <w:r w:rsidR="4509680F" w:rsidRPr="2A22DF3F">
        <w:rPr>
          <w:lang w:eastAsia="en-AU"/>
        </w:rPr>
        <w:t xml:space="preserve"> </w:t>
      </w:r>
      <w:r w:rsidRPr="2A22DF3F">
        <w:rPr>
          <w:lang w:eastAsia="en-AU"/>
        </w:rPr>
        <w:t>International Development Policy</w:t>
      </w:r>
      <w:r w:rsidR="2F892D9C" w:rsidRPr="2A22DF3F">
        <w:rPr>
          <w:lang w:eastAsia="en-AU"/>
        </w:rPr>
        <w:t>’s</w:t>
      </w:r>
      <w:r w:rsidRPr="2A22DF3F">
        <w:rPr>
          <w:lang w:eastAsia="en-AU"/>
        </w:rPr>
        <w:t xml:space="preserve"> </w:t>
      </w:r>
      <w:r w:rsidR="379D2BFE" w:rsidRPr="2A22DF3F">
        <w:rPr>
          <w:lang w:eastAsia="en-AU"/>
        </w:rPr>
        <w:t xml:space="preserve">commitment </w:t>
      </w:r>
      <w:r w:rsidRPr="2A22DF3F">
        <w:rPr>
          <w:lang w:eastAsia="en-AU"/>
        </w:rPr>
        <w:t xml:space="preserve">to prioritising local leadership, job opportunities and procurement, including direct financing to partner governments. Focusing on local content and funding for local partners, both government and in the private sector, has a double dividend, creating local jobs and delivering direct economic benefits. Australia has demonstrated its ability to deliver on this objective, having created more than </w:t>
      </w:r>
      <w:r w:rsidR="008E6B94">
        <w:rPr>
          <w:lang w:eastAsia="en-AU"/>
        </w:rPr>
        <w:t>27</w:t>
      </w:r>
      <w:r w:rsidRPr="2A22DF3F">
        <w:rPr>
          <w:lang w:eastAsia="en-AU"/>
        </w:rPr>
        <w:t>,</w:t>
      </w:r>
      <w:r w:rsidR="008E6B94">
        <w:rPr>
          <w:lang w:eastAsia="en-AU"/>
        </w:rPr>
        <w:t>3</w:t>
      </w:r>
      <w:r w:rsidRPr="2A22DF3F">
        <w:rPr>
          <w:lang w:eastAsia="en-AU"/>
        </w:rPr>
        <w:t>00</w:t>
      </w:r>
      <w:r w:rsidR="4BC62584" w:rsidRPr="2A22DF3F">
        <w:rPr>
          <w:lang w:eastAsia="en-AU"/>
        </w:rPr>
        <w:t> </w:t>
      </w:r>
      <w:r w:rsidRPr="2A22DF3F">
        <w:rPr>
          <w:lang w:eastAsia="en-AU"/>
        </w:rPr>
        <w:t xml:space="preserve">jobs for Solomon Islanders </w:t>
      </w:r>
      <w:r w:rsidR="00207CEB">
        <w:rPr>
          <w:lang w:eastAsia="en-AU"/>
        </w:rPr>
        <w:t xml:space="preserve">since 2021 </w:t>
      </w:r>
      <w:r w:rsidRPr="2A22DF3F">
        <w:rPr>
          <w:lang w:eastAsia="en-AU"/>
        </w:rPr>
        <w:t>and provid</w:t>
      </w:r>
      <w:r w:rsidR="5121ECD3" w:rsidRPr="2A22DF3F">
        <w:rPr>
          <w:lang w:eastAsia="en-AU"/>
        </w:rPr>
        <w:t>ed</w:t>
      </w:r>
      <w:r w:rsidRPr="2A22DF3F">
        <w:rPr>
          <w:lang w:eastAsia="en-AU"/>
        </w:rPr>
        <w:t xml:space="preserve"> </w:t>
      </w:r>
      <w:r w:rsidR="0C6F41FC" w:rsidRPr="2A22DF3F">
        <w:rPr>
          <w:lang w:eastAsia="en-AU"/>
        </w:rPr>
        <w:t>more than</w:t>
      </w:r>
      <w:r w:rsidRPr="2A22DF3F">
        <w:rPr>
          <w:lang w:eastAsia="en-AU"/>
        </w:rPr>
        <w:t xml:space="preserve"> AUD2</w:t>
      </w:r>
      <w:r w:rsidR="00F6362D">
        <w:rPr>
          <w:lang w:eastAsia="en-AU"/>
        </w:rPr>
        <w:t>10</w:t>
      </w:r>
      <w:r w:rsidR="4BC62584" w:rsidRPr="2A22DF3F">
        <w:rPr>
          <w:lang w:eastAsia="en-AU"/>
        </w:rPr>
        <w:t> </w:t>
      </w:r>
      <w:r w:rsidRPr="2A22DF3F">
        <w:rPr>
          <w:lang w:eastAsia="en-AU"/>
        </w:rPr>
        <w:t>million in budget support to the Solomon Islands Government since 2019.</w:t>
      </w:r>
    </w:p>
    <w:p w14:paraId="74D9BA58" w14:textId="4288A64E" w:rsidR="0040257C" w:rsidRPr="00D573D9" w:rsidRDefault="3186E48D" w:rsidP="00D573D9">
      <w:pPr>
        <w:rPr>
          <w:lang w:eastAsia="en-AU"/>
        </w:rPr>
      </w:pPr>
      <w:r w:rsidRPr="00D573D9">
        <w:rPr>
          <w:lang w:eastAsia="en-AU"/>
        </w:rPr>
        <w:t xml:space="preserve">Australia’s provision of budget support has supported major expenditure priorities of the Solomon Islands Government including the Pacific Games </w:t>
      </w:r>
      <w:r w:rsidR="00B01BCD">
        <w:rPr>
          <w:lang w:eastAsia="en-AU"/>
        </w:rPr>
        <w:t xml:space="preserve">held in </w:t>
      </w:r>
      <w:r w:rsidRPr="00D573D9">
        <w:rPr>
          <w:lang w:eastAsia="en-AU"/>
        </w:rPr>
        <w:t xml:space="preserve">November 2023 and the elections </w:t>
      </w:r>
      <w:r w:rsidR="00B01BCD">
        <w:rPr>
          <w:lang w:eastAsia="en-AU"/>
        </w:rPr>
        <w:t xml:space="preserve">held in </w:t>
      </w:r>
      <w:r w:rsidRPr="00D573D9">
        <w:rPr>
          <w:lang w:eastAsia="en-AU"/>
        </w:rPr>
        <w:t>April 2024.</w:t>
      </w:r>
      <w:r w:rsidR="00927966">
        <w:rPr>
          <w:lang w:eastAsia="en-AU"/>
        </w:rPr>
        <w:t xml:space="preserve"> </w:t>
      </w:r>
      <w:r w:rsidRPr="00D573D9">
        <w:rPr>
          <w:lang w:eastAsia="en-AU"/>
        </w:rPr>
        <w:t xml:space="preserve">Further budget support and technical assistance will support the Solomon Islands </w:t>
      </w:r>
      <w:r w:rsidR="00220424">
        <w:rPr>
          <w:lang w:eastAsia="en-AU"/>
        </w:rPr>
        <w:t>G</w:t>
      </w:r>
      <w:r w:rsidRPr="00D573D9">
        <w:rPr>
          <w:lang w:eastAsia="en-AU"/>
        </w:rPr>
        <w:t>overnment to address its fiscal pressures and effect economic reform. Australia is committed to helping Solomon Islands progress economic reforms in areas such as tax, mining and energy to improve revenue and attract greater investment. Technical advis</w:t>
      </w:r>
      <w:r w:rsidR="00554635">
        <w:rPr>
          <w:lang w:eastAsia="en-AU"/>
        </w:rPr>
        <w:t>e</w:t>
      </w:r>
      <w:r w:rsidRPr="00D573D9">
        <w:rPr>
          <w:lang w:eastAsia="en-AU"/>
        </w:rPr>
        <w:t>rs will enhance public financial management and support debt sustainability including by supporting cash flow management and forecasting activities. Support for economic reforms will be coordinated through the Joint Policy Reform Group.</w:t>
      </w:r>
    </w:p>
    <w:p w14:paraId="61DF3904" w14:textId="36C4DF66" w:rsidR="002A264F" w:rsidRPr="00D573D9" w:rsidRDefault="007232FC" w:rsidP="00D573D9">
      <w:pPr>
        <w:rPr>
          <w:lang w:eastAsia="en-AU"/>
        </w:rPr>
      </w:pPr>
      <w:r w:rsidRPr="7C49B7F0">
        <w:rPr>
          <w:lang w:eastAsia="en-AU"/>
        </w:rPr>
        <w:t xml:space="preserve">The ability to trade and be export ready is crucial to economic growth. Strongim Bisnis has been Australia’s flagship private sector development program in Solomon Islands since 2017. It has built strategic partnerships with local businesses </w:t>
      </w:r>
      <w:r w:rsidR="00A857B4" w:rsidRPr="7C49B7F0">
        <w:rPr>
          <w:lang w:eastAsia="en-AU"/>
        </w:rPr>
        <w:t xml:space="preserve">and </w:t>
      </w:r>
      <w:r w:rsidRPr="7C49B7F0">
        <w:rPr>
          <w:lang w:eastAsia="en-AU"/>
        </w:rPr>
        <w:t>supported civil society organisations and the Solomon Islands Government. It has a strong track record of increasing incomes, generating new jobs, leveraging new private</w:t>
      </w:r>
      <w:r w:rsidR="00581A49" w:rsidRPr="7C49B7F0">
        <w:rPr>
          <w:lang w:eastAsia="en-AU"/>
        </w:rPr>
        <w:t xml:space="preserve"> </w:t>
      </w:r>
      <w:r w:rsidRPr="7C49B7F0">
        <w:rPr>
          <w:lang w:eastAsia="en-AU"/>
        </w:rPr>
        <w:t>sector investments and expanding sales of value-added products locally and overseas</w:t>
      </w:r>
      <w:r w:rsidR="004C7672" w:rsidRPr="7C49B7F0">
        <w:rPr>
          <w:lang w:eastAsia="en-AU"/>
        </w:rPr>
        <w:t>,</w:t>
      </w:r>
      <w:r w:rsidR="0040257C" w:rsidRPr="7C49B7F0">
        <w:rPr>
          <w:lang w:eastAsia="en-AU"/>
        </w:rPr>
        <w:t xml:space="preserve"> including in agriculture and tourism</w:t>
      </w:r>
      <w:r w:rsidRPr="7C49B7F0">
        <w:rPr>
          <w:lang w:eastAsia="en-AU"/>
        </w:rPr>
        <w:t xml:space="preserve">. A third phase will help businesses in target sectors increase sales and profits to increase employment and household incomes with </w:t>
      </w:r>
      <w:r w:rsidR="00DE4D13" w:rsidRPr="7C49B7F0">
        <w:rPr>
          <w:lang w:eastAsia="en-AU"/>
        </w:rPr>
        <w:t xml:space="preserve">a </w:t>
      </w:r>
      <w:r w:rsidRPr="7C49B7F0">
        <w:rPr>
          <w:lang w:eastAsia="en-AU"/>
        </w:rPr>
        <w:t xml:space="preserve">focus </w:t>
      </w:r>
      <w:r w:rsidRPr="7C49B7F0">
        <w:rPr>
          <w:lang w:eastAsia="en-AU"/>
        </w:rPr>
        <w:lastRenderedPageBreak/>
        <w:t>on women, youth and people with disabilit</w:t>
      </w:r>
      <w:r w:rsidR="00553047" w:rsidRPr="7C49B7F0">
        <w:rPr>
          <w:lang w:eastAsia="en-AU"/>
        </w:rPr>
        <w:t>y</w:t>
      </w:r>
      <w:r w:rsidRPr="7C49B7F0">
        <w:rPr>
          <w:lang w:eastAsia="en-AU"/>
        </w:rPr>
        <w:t xml:space="preserve"> and increasing the labour force participation rate.</w:t>
      </w:r>
      <w:r w:rsidR="00B731F8" w:rsidRPr="7C49B7F0">
        <w:rPr>
          <w:lang w:eastAsia="en-AU"/>
        </w:rPr>
        <w:t xml:space="preserve"> </w:t>
      </w:r>
      <w:r w:rsidR="002A264F" w:rsidRPr="7C49B7F0">
        <w:rPr>
          <w:lang w:eastAsia="en-AU"/>
        </w:rPr>
        <w:t>The Solomon Islands Government also has an important role to play in supporting the private sector through partnerships and reforms to improve the enabling environment.</w:t>
      </w:r>
    </w:p>
    <w:p w14:paraId="5478E71F" w14:textId="76D50F4D" w:rsidR="00D00EF7" w:rsidRPr="00D573D9" w:rsidRDefault="06F6EC92" w:rsidP="00D573D9">
      <w:pPr>
        <w:rPr>
          <w:lang w:eastAsia="en-AU"/>
        </w:rPr>
      </w:pPr>
      <w:r w:rsidRPr="321937C1">
        <w:rPr>
          <w:lang w:eastAsia="en-AU"/>
        </w:rPr>
        <w:t>Gender equality and w</w:t>
      </w:r>
      <w:r w:rsidR="585F7B6B" w:rsidRPr="321937C1">
        <w:rPr>
          <w:lang w:eastAsia="en-AU"/>
        </w:rPr>
        <w:t>omen’s economic empowerment</w:t>
      </w:r>
      <w:r w:rsidR="6A9E1ED2" w:rsidRPr="321937C1">
        <w:rPr>
          <w:lang w:eastAsia="en-AU"/>
        </w:rPr>
        <w:t xml:space="preserve"> </w:t>
      </w:r>
      <w:r w:rsidR="18514C4A" w:rsidRPr="321937C1">
        <w:rPr>
          <w:lang w:eastAsia="en-AU"/>
        </w:rPr>
        <w:t xml:space="preserve">activities </w:t>
      </w:r>
      <w:r w:rsidR="548DF59A" w:rsidRPr="321937C1">
        <w:rPr>
          <w:lang w:eastAsia="en-AU"/>
        </w:rPr>
        <w:t>support</w:t>
      </w:r>
      <w:r w:rsidR="18514C4A" w:rsidRPr="321937C1">
        <w:rPr>
          <w:lang w:eastAsia="en-AU"/>
        </w:rPr>
        <w:t xml:space="preserve"> inclusive </w:t>
      </w:r>
      <w:r w:rsidR="3745AFE4" w:rsidRPr="321937C1">
        <w:rPr>
          <w:lang w:eastAsia="en-AU"/>
        </w:rPr>
        <w:t xml:space="preserve">economic </w:t>
      </w:r>
      <w:r w:rsidR="18514C4A" w:rsidRPr="321937C1">
        <w:rPr>
          <w:lang w:eastAsia="en-AU"/>
        </w:rPr>
        <w:t xml:space="preserve">growth </w:t>
      </w:r>
      <w:r w:rsidR="1E4C0D69" w:rsidRPr="321937C1">
        <w:rPr>
          <w:lang w:eastAsia="en-AU"/>
        </w:rPr>
        <w:t>in Solomon Islands</w:t>
      </w:r>
      <w:r w:rsidR="6A9E1ED2" w:rsidRPr="321937C1">
        <w:rPr>
          <w:lang w:eastAsia="en-AU"/>
        </w:rPr>
        <w:t>, and we will continue to mainstream gender</w:t>
      </w:r>
      <w:r w:rsidR="00FF4BA7">
        <w:rPr>
          <w:lang w:eastAsia="en-AU"/>
        </w:rPr>
        <w:t xml:space="preserve"> considerations across our activities</w:t>
      </w:r>
      <w:r w:rsidR="005128EE">
        <w:rPr>
          <w:lang w:eastAsia="en-AU"/>
        </w:rPr>
        <w:t xml:space="preserve"> </w:t>
      </w:r>
      <w:r w:rsidR="6EC67014" w:rsidRPr="321937C1">
        <w:rPr>
          <w:lang w:eastAsia="en-AU"/>
        </w:rPr>
        <w:t>– especially in infrastructure and economic cooperation</w:t>
      </w:r>
      <w:r w:rsidR="6A9E1ED2" w:rsidRPr="321937C1">
        <w:rPr>
          <w:lang w:eastAsia="en-AU"/>
        </w:rPr>
        <w:t>.</w:t>
      </w:r>
      <w:r w:rsidR="585F7B6B" w:rsidRPr="321937C1">
        <w:rPr>
          <w:lang w:eastAsia="en-AU"/>
        </w:rPr>
        <w:t xml:space="preserve"> </w:t>
      </w:r>
      <w:r w:rsidR="7F9BAD21" w:rsidRPr="321937C1">
        <w:rPr>
          <w:lang w:eastAsia="en-AU"/>
        </w:rPr>
        <w:t xml:space="preserve">For example, </w:t>
      </w:r>
      <w:r w:rsidRPr="321937C1">
        <w:rPr>
          <w:lang w:eastAsia="en-AU"/>
        </w:rPr>
        <w:t>Strongim Bisnis</w:t>
      </w:r>
      <w:r w:rsidR="41B7CC4B" w:rsidRPr="321937C1">
        <w:rPr>
          <w:lang w:eastAsia="en-AU"/>
        </w:rPr>
        <w:t xml:space="preserve"> has led </w:t>
      </w:r>
      <w:r w:rsidRPr="321937C1">
        <w:rPr>
          <w:lang w:eastAsia="en-AU"/>
        </w:rPr>
        <w:t xml:space="preserve">to </w:t>
      </w:r>
      <w:r w:rsidR="141F8796" w:rsidRPr="321937C1">
        <w:rPr>
          <w:lang w:eastAsia="en-AU"/>
        </w:rPr>
        <w:t>more than</w:t>
      </w:r>
      <w:r w:rsidR="105434BB" w:rsidRPr="321937C1">
        <w:rPr>
          <w:rFonts w:cs="Calibri Light"/>
          <w:lang w:eastAsia="en-AU"/>
        </w:rPr>
        <w:t xml:space="preserve"> </w:t>
      </w:r>
      <w:r w:rsidR="122BE0AE" w:rsidRPr="321937C1">
        <w:rPr>
          <w:rFonts w:cs="Calibri Light"/>
          <w:lang w:eastAsia="en-AU"/>
        </w:rPr>
        <w:t>10</w:t>
      </w:r>
      <w:r w:rsidR="287A2D35" w:rsidRPr="321937C1">
        <w:rPr>
          <w:rFonts w:cs="Calibri Light"/>
          <w:lang w:eastAsia="en-AU"/>
        </w:rPr>
        <w:t>00</w:t>
      </w:r>
      <w:r w:rsidR="2FC196B3" w:rsidRPr="321937C1">
        <w:rPr>
          <w:rFonts w:cs="Calibri Light"/>
          <w:lang w:eastAsia="en-AU"/>
        </w:rPr>
        <w:t> </w:t>
      </w:r>
      <w:r w:rsidR="105434BB" w:rsidRPr="321937C1">
        <w:rPr>
          <w:rFonts w:cs="Calibri Light"/>
          <w:lang w:eastAsia="en-AU"/>
        </w:rPr>
        <w:t>businesses owned or led by women, youth or people with disabilit</w:t>
      </w:r>
      <w:r w:rsidR="00553047" w:rsidRPr="321937C1">
        <w:rPr>
          <w:rFonts w:cs="Calibri Light"/>
          <w:lang w:eastAsia="en-AU"/>
        </w:rPr>
        <w:t>y</w:t>
      </w:r>
      <w:r w:rsidR="105434BB" w:rsidRPr="321937C1">
        <w:rPr>
          <w:rFonts w:cs="Calibri Light"/>
          <w:lang w:eastAsia="en-AU"/>
        </w:rPr>
        <w:t xml:space="preserve"> adopt</w:t>
      </w:r>
      <w:r w:rsidRPr="321937C1">
        <w:rPr>
          <w:rFonts w:cs="Calibri Light"/>
          <w:lang w:eastAsia="en-AU"/>
        </w:rPr>
        <w:t xml:space="preserve">ing </w:t>
      </w:r>
      <w:r w:rsidR="105434BB" w:rsidRPr="321937C1">
        <w:rPr>
          <w:rFonts w:cs="Calibri Light"/>
          <w:lang w:eastAsia="en-AU"/>
        </w:rPr>
        <w:t>improved business practices</w:t>
      </w:r>
      <w:r w:rsidR="276AED26" w:rsidRPr="321937C1">
        <w:rPr>
          <w:rFonts w:cs="Calibri Light"/>
          <w:lang w:eastAsia="en-AU"/>
        </w:rPr>
        <w:t xml:space="preserve"> in 2023</w:t>
      </w:r>
      <w:r w:rsidR="105434BB" w:rsidRPr="321937C1">
        <w:rPr>
          <w:rFonts w:cs="Calibri Light"/>
          <w:lang w:eastAsia="en-AU"/>
        </w:rPr>
        <w:t>.</w:t>
      </w:r>
    </w:p>
    <w:p w14:paraId="3D8B6120" w14:textId="2411986D" w:rsidR="007232FC" w:rsidRPr="00D573D9" w:rsidRDefault="06225E9B" w:rsidP="00D573D9">
      <w:pPr>
        <w:rPr>
          <w:lang w:eastAsia="en-AU"/>
        </w:rPr>
      </w:pPr>
      <w:r w:rsidRPr="00D573D9">
        <w:rPr>
          <w:lang w:eastAsia="en-AU"/>
        </w:rPr>
        <w:t>Our partnerships in agriculture, biosecurity and customs</w:t>
      </w:r>
      <w:r w:rsidR="00020AA5">
        <w:rPr>
          <w:lang w:eastAsia="en-AU"/>
        </w:rPr>
        <w:t xml:space="preserve"> </w:t>
      </w:r>
      <w:r w:rsidR="00344FC6">
        <w:rPr>
          <w:lang w:eastAsia="en-AU"/>
        </w:rPr>
        <w:t>–</w:t>
      </w:r>
      <w:r w:rsidR="00344FC6" w:rsidRPr="00D573D9">
        <w:rPr>
          <w:lang w:eastAsia="en-AU"/>
        </w:rPr>
        <w:t xml:space="preserve"> </w:t>
      </w:r>
      <w:r w:rsidRPr="00D573D9">
        <w:rPr>
          <w:lang w:eastAsia="en-AU"/>
        </w:rPr>
        <w:t>and work to grow the private sector’s capabilities</w:t>
      </w:r>
      <w:r w:rsidR="00020AA5">
        <w:rPr>
          <w:lang w:eastAsia="en-AU"/>
        </w:rPr>
        <w:t xml:space="preserve"> </w:t>
      </w:r>
      <w:r w:rsidR="00D83C72">
        <w:rPr>
          <w:lang w:eastAsia="en-AU"/>
        </w:rPr>
        <w:t>–</w:t>
      </w:r>
      <w:r w:rsidR="00D83C72" w:rsidRPr="00D573D9">
        <w:rPr>
          <w:lang w:eastAsia="en-AU"/>
        </w:rPr>
        <w:t xml:space="preserve"> </w:t>
      </w:r>
      <w:r w:rsidRPr="00D573D9">
        <w:rPr>
          <w:lang w:eastAsia="en-AU"/>
        </w:rPr>
        <w:t xml:space="preserve">will help to increase Solomon Islands’ ability to trade with Australia and the rest of the world. </w:t>
      </w:r>
      <w:r w:rsidR="58DB4EFB" w:rsidRPr="00D573D9">
        <w:rPr>
          <w:lang w:eastAsia="en-AU"/>
        </w:rPr>
        <w:t>The Pacific Horticultural and Agricultural Market Access Plus (PHAMA Plus)</w:t>
      </w:r>
      <w:r w:rsidR="00952D79">
        <w:rPr>
          <w:lang w:eastAsia="en-AU"/>
        </w:rPr>
        <w:t xml:space="preserve"> Program</w:t>
      </w:r>
      <w:r w:rsidR="58DB4EFB" w:rsidRPr="00D573D9">
        <w:rPr>
          <w:lang w:eastAsia="en-AU"/>
        </w:rPr>
        <w:t xml:space="preserve">, is assisting local companies to meet international requirements, such as food safety and organic certification, to help boost exports. Australia’s </w:t>
      </w:r>
      <w:r w:rsidR="00FB3055">
        <w:rPr>
          <w:lang w:eastAsia="en-AU"/>
        </w:rPr>
        <w:t>10</w:t>
      </w:r>
      <w:r w:rsidR="18B81A55" w:rsidRPr="00D573D9">
        <w:rPr>
          <w:lang w:eastAsia="en-AU"/>
        </w:rPr>
        <w:t>-</w:t>
      </w:r>
      <w:r w:rsidR="58DB4EFB" w:rsidRPr="00D573D9">
        <w:rPr>
          <w:lang w:eastAsia="en-AU"/>
        </w:rPr>
        <w:t xml:space="preserve">year biosecurity partnership with the Solomon Islands Government is supporting </w:t>
      </w:r>
      <w:r w:rsidR="00F65FE4">
        <w:rPr>
          <w:lang w:eastAsia="en-AU"/>
        </w:rPr>
        <w:t>the Solomon Islands</w:t>
      </w:r>
      <w:r w:rsidR="58DB4EFB" w:rsidRPr="00D573D9">
        <w:rPr>
          <w:lang w:eastAsia="en-AU"/>
        </w:rPr>
        <w:t xml:space="preserve"> Ministry of Agriculture and Livestock to conduct plant and animal health surveys and training, carry out pest and disease prevention, and improve market access and trade facilitation. Australia’s funding of the Pacific Trade Invest Australia office </w:t>
      </w:r>
      <w:r w:rsidR="01B7EF60" w:rsidRPr="00D573D9">
        <w:rPr>
          <w:lang w:eastAsia="en-AU"/>
        </w:rPr>
        <w:t>helps</w:t>
      </w:r>
      <w:r w:rsidR="58DB4EFB" w:rsidRPr="00D573D9">
        <w:rPr>
          <w:lang w:eastAsia="en-AU"/>
        </w:rPr>
        <w:t xml:space="preserve"> generate new trade deals for Solomon Island</w:t>
      </w:r>
      <w:r w:rsidR="00E200AE">
        <w:rPr>
          <w:lang w:eastAsia="en-AU"/>
        </w:rPr>
        <w:t>s</w:t>
      </w:r>
      <w:r w:rsidR="58DB4EFB" w:rsidRPr="00D573D9">
        <w:rPr>
          <w:lang w:eastAsia="en-AU"/>
        </w:rPr>
        <w:t xml:space="preserve"> companies</w:t>
      </w:r>
      <w:r w:rsidR="01B7EF60" w:rsidRPr="00D573D9">
        <w:rPr>
          <w:lang w:eastAsia="en-AU"/>
        </w:rPr>
        <w:t>;</w:t>
      </w:r>
      <w:r w:rsidR="58DB4EFB" w:rsidRPr="00D573D9">
        <w:rPr>
          <w:lang w:eastAsia="en-AU"/>
        </w:rPr>
        <w:t xml:space="preserve"> and our funding of the Pacific Islands Forum Secretariat office in Geneva is ensuring Solomon Islands’ interests are represented at the World Trade Organization.</w:t>
      </w:r>
      <w:r w:rsidR="009250D2" w:rsidRPr="00D573D9">
        <w:rPr>
          <w:lang w:eastAsia="en-AU"/>
        </w:rPr>
        <w:t xml:space="preserve"> The Australian Centre for </w:t>
      </w:r>
      <w:r w:rsidR="00CB65F6">
        <w:rPr>
          <w:lang w:eastAsia="en-AU"/>
        </w:rPr>
        <w:t xml:space="preserve">International </w:t>
      </w:r>
      <w:r w:rsidR="009250D2" w:rsidRPr="00D573D9">
        <w:rPr>
          <w:lang w:eastAsia="en-AU"/>
        </w:rPr>
        <w:t xml:space="preserve">Agricultural </w:t>
      </w:r>
      <w:r w:rsidR="00CB65F6">
        <w:rPr>
          <w:lang w:eastAsia="en-AU"/>
        </w:rPr>
        <w:t>Research</w:t>
      </w:r>
      <w:r w:rsidR="009250D2" w:rsidRPr="00D573D9">
        <w:rPr>
          <w:lang w:eastAsia="en-AU"/>
        </w:rPr>
        <w:t xml:space="preserve"> has a long-running program in Solomon Islands to support the agriculture sector.</w:t>
      </w:r>
    </w:p>
    <w:p w14:paraId="18B46B6B" w14:textId="7C9DF4B0" w:rsidR="00BD77B3" w:rsidRDefault="4F20ECBB" w:rsidP="00D573D9">
      <w:pPr>
        <w:rPr>
          <w:lang w:eastAsia="en-AU"/>
        </w:rPr>
      </w:pPr>
      <w:r w:rsidRPr="60A7A2E6">
        <w:rPr>
          <w:lang w:eastAsia="en-AU"/>
        </w:rPr>
        <w:t>Maximising access to Australia’s</w:t>
      </w:r>
      <w:r w:rsidR="0967D78E" w:rsidRPr="60A7A2E6">
        <w:rPr>
          <w:lang w:eastAsia="en-AU"/>
        </w:rPr>
        <w:t xml:space="preserve"> PALM</w:t>
      </w:r>
      <w:r w:rsidRPr="60A7A2E6">
        <w:rPr>
          <w:lang w:eastAsia="en-AU"/>
        </w:rPr>
        <w:t xml:space="preserve"> scheme is a priority for Solomon Islands and it continues to be a shining light of our economic partnership. Thousands of Solomon Islanders have participated in Australia’s labour mobility program since 2018</w:t>
      </w:r>
      <w:r w:rsidR="00BD534C">
        <w:rPr>
          <w:lang w:eastAsia="en-AU"/>
        </w:rPr>
        <w:t xml:space="preserve"> and the</w:t>
      </w:r>
      <w:r w:rsidR="00BD534C" w:rsidRPr="60A7A2E6">
        <w:rPr>
          <w:lang w:eastAsia="en-AU"/>
        </w:rPr>
        <w:t xml:space="preserve"> scheme has transformed the lives of many Solomon Islanders, helping them build homes, pay for school fees and </w:t>
      </w:r>
      <w:r w:rsidR="00BD534C">
        <w:rPr>
          <w:lang w:eastAsia="en-AU"/>
        </w:rPr>
        <w:t>grow</w:t>
      </w:r>
      <w:r w:rsidR="00BD534C" w:rsidRPr="60A7A2E6">
        <w:rPr>
          <w:lang w:eastAsia="en-AU"/>
        </w:rPr>
        <w:t xml:space="preserve"> the capital needed to start new businesses. </w:t>
      </w:r>
      <w:r w:rsidR="00BD534C">
        <w:rPr>
          <w:lang w:eastAsia="en-AU"/>
        </w:rPr>
        <w:t>It</w:t>
      </w:r>
      <w:r w:rsidR="00BD534C" w:rsidRPr="60A7A2E6">
        <w:rPr>
          <w:lang w:eastAsia="en-AU"/>
        </w:rPr>
        <w:t xml:space="preserve"> also drives demand for Solomon Islands exports to Australia of goods consumed by workers, such as cassava</w:t>
      </w:r>
      <w:r w:rsidR="00BD534C">
        <w:rPr>
          <w:lang w:eastAsia="en-AU"/>
        </w:rPr>
        <w:t>.</w:t>
      </w:r>
      <w:r w:rsidR="00BD534C" w:rsidRPr="60A7A2E6">
        <w:rPr>
          <w:lang w:eastAsia="en-AU"/>
        </w:rPr>
        <w:t xml:space="preserve"> </w:t>
      </w:r>
      <w:r w:rsidRPr="00163C18">
        <w:rPr>
          <w:lang w:eastAsia="en-AU"/>
        </w:rPr>
        <w:t xml:space="preserve">The Central Bank of Solomon Islands estimates Solomon Islander labour mobility workers remitted </w:t>
      </w:r>
      <w:r w:rsidR="00966C92" w:rsidRPr="00163C18">
        <w:rPr>
          <w:lang w:eastAsia="en-AU"/>
        </w:rPr>
        <w:t xml:space="preserve">approximately </w:t>
      </w:r>
      <w:r w:rsidRPr="00163C18">
        <w:rPr>
          <w:lang w:eastAsia="en-AU"/>
        </w:rPr>
        <w:t>AUD</w:t>
      </w:r>
      <w:r w:rsidR="06A06C6A" w:rsidRPr="00163C18">
        <w:rPr>
          <w:lang w:eastAsia="en-AU"/>
        </w:rPr>
        <w:t>80</w:t>
      </w:r>
      <w:r w:rsidR="4F2E3F34" w:rsidRPr="00163C18">
        <w:rPr>
          <w:lang w:eastAsia="en-AU"/>
        </w:rPr>
        <w:t> </w:t>
      </w:r>
      <w:r w:rsidRPr="00163C18">
        <w:rPr>
          <w:lang w:eastAsia="en-AU"/>
        </w:rPr>
        <w:t>million</w:t>
      </w:r>
      <w:r w:rsidR="00966C92" w:rsidRPr="00163C18">
        <w:rPr>
          <w:lang w:eastAsia="en-AU"/>
        </w:rPr>
        <w:t xml:space="preserve"> in 2024, equivalent to</w:t>
      </w:r>
      <w:r w:rsidR="52068F6C" w:rsidRPr="00163C18">
        <w:rPr>
          <w:lang w:eastAsia="en-AU"/>
        </w:rPr>
        <w:t xml:space="preserve"> around 85</w:t>
      </w:r>
      <w:r w:rsidR="005B13FC">
        <w:rPr>
          <w:lang w:eastAsia="en-AU"/>
        </w:rPr>
        <w:t> </w:t>
      </w:r>
      <w:r w:rsidR="52068F6C" w:rsidRPr="00163C18">
        <w:rPr>
          <w:lang w:eastAsia="en-AU"/>
        </w:rPr>
        <w:t xml:space="preserve">per cent of </w:t>
      </w:r>
      <w:r w:rsidR="00966C92" w:rsidRPr="00163C18">
        <w:rPr>
          <w:lang w:eastAsia="en-AU"/>
        </w:rPr>
        <w:t xml:space="preserve">the </w:t>
      </w:r>
      <w:r w:rsidR="52068F6C" w:rsidRPr="00163C18">
        <w:rPr>
          <w:lang w:eastAsia="en-AU"/>
        </w:rPr>
        <w:t xml:space="preserve">Solomon Islands Government </w:t>
      </w:r>
      <w:r w:rsidR="00966C92" w:rsidRPr="00163C18">
        <w:rPr>
          <w:lang w:eastAsia="en-AU"/>
        </w:rPr>
        <w:t xml:space="preserve">2024 </w:t>
      </w:r>
      <w:r w:rsidR="52068F6C" w:rsidRPr="00163C18">
        <w:rPr>
          <w:lang w:eastAsia="en-AU"/>
        </w:rPr>
        <w:t>development budget expenditure</w:t>
      </w:r>
      <w:r w:rsidRPr="00163C18">
        <w:rPr>
          <w:lang w:eastAsia="en-AU"/>
        </w:rPr>
        <w:t>.</w:t>
      </w:r>
      <w:r w:rsidR="2859228C" w:rsidRPr="00163C18">
        <w:rPr>
          <w:lang w:eastAsia="en-AU"/>
        </w:rPr>
        <w:t xml:space="preserve"> </w:t>
      </w:r>
      <w:r w:rsidR="00BD77B3" w:rsidRPr="00163C18">
        <w:rPr>
          <w:lang w:eastAsia="en-AU"/>
        </w:rPr>
        <w:t>Through the Pacific Labour Support Program, which commenced in 2025, we are focused on improving skills</w:t>
      </w:r>
      <w:r w:rsidR="00BD77B3">
        <w:rPr>
          <w:lang w:eastAsia="en-AU"/>
        </w:rPr>
        <w:t xml:space="preserve"> delivery in line </w:t>
      </w:r>
      <w:r w:rsidR="005D3D21">
        <w:rPr>
          <w:lang w:eastAsia="en-AU"/>
        </w:rPr>
        <w:t xml:space="preserve">with PALM employer demand and enhancing support to PALM workers </w:t>
      </w:r>
      <w:r w:rsidR="003036D9">
        <w:rPr>
          <w:lang w:eastAsia="en-AU"/>
        </w:rPr>
        <w:t>on return to Solomon Islands to capitalise on their earnings and create job</w:t>
      </w:r>
      <w:r w:rsidR="00A45A7C">
        <w:rPr>
          <w:lang w:eastAsia="en-AU"/>
        </w:rPr>
        <w:t xml:space="preserve"> opportunities locally.</w:t>
      </w:r>
    </w:p>
    <w:p w14:paraId="631D4D63" w14:textId="49A1B9D3" w:rsidR="007232FC" w:rsidRPr="00D573D9" w:rsidRDefault="3EA9B7F4" w:rsidP="00E82723">
      <w:pPr>
        <w:rPr>
          <w:lang w:eastAsia="en-AU"/>
        </w:rPr>
      </w:pPr>
      <w:r w:rsidRPr="60A7A2E6">
        <w:rPr>
          <w:lang w:eastAsia="en-AU"/>
        </w:rPr>
        <w:t xml:space="preserve">We recognise the need for vocational training and higher educational opportunities. </w:t>
      </w:r>
      <w:r w:rsidR="3B822CA6" w:rsidRPr="60A7A2E6">
        <w:rPr>
          <w:lang w:eastAsia="en-AU"/>
        </w:rPr>
        <w:t xml:space="preserve">Australia’s leading investment in skills in Solomon Islands, the </w:t>
      </w:r>
      <w:r w:rsidR="57F93A53" w:rsidRPr="60A7A2E6">
        <w:rPr>
          <w:lang w:eastAsia="en-AU"/>
        </w:rPr>
        <w:t>Australia Pacific Training Coalition</w:t>
      </w:r>
      <w:r w:rsidR="00390C90">
        <w:rPr>
          <w:lang w:eastAsia="en-AU"/>
        </w:rPr>
        <w:t xml:space="preserve"> </w:t>
      </w:r>
      <w:r w:rsidR="2C741759" w:rsidRPr="60A7A2E6">
        <w:rPr>
          <w:lang w:eastAsia="en-AU"/>
        </w:rPr>
        <w:t>provides</w:t>
      </w:r>
      <w:r w:rsidR="3B822CA6" w:rsidRPr="60A7A2E6">
        <w:rPr>
          <w:lang w:eastAsia="en-AU"/>
        </w:rPr>
        <w:t xml:space="preserve"> job-ready skills for the domestic market, and </w:t>
      </w:r>
      <w:r w:rsidR="2EE5A59F" w:rsidRPr="60A7A2E6">
        <w:rPr>
          <w:lang w:eastAsia="en-AU"/>
        </w:rPr>
        <w:t>prepares workers</w:t>
      </w:r>
      <w:r w:rsidR="3B822CA6" w:rsidRPr="60A7A2E6">
        <w:rPr>
          <w:lang w:eastAsia="en-AU"/>
        </w:rPr>
        <w:t xml:space="preserve"> for international job opportunities, including under the PALM scheme. </w:t>
      </w:r>
      <w:r w:rsidR="192474EF" w:rsidRPr="00270E8A">
        <w:rPr>
          <w:lang w:eastAsia="en-AU"/>
        </w:rPr>
        <w:t>Since 2007, 2</w:t>
      </w:r>
      <w:r w:rsidR="192474EF" w:rsidRPr="60A7A2E6">
        <w:rPr>
          <w:lang w:eastAsia="en-AU"/>
        </w:rPr>
        <w:t>,</w:t>
      </w:r>
      <w:r w:rsidR="192474EF" w:rsidRPr="00270E8A">
        <w:rPr>
          <w:lang w:eastAsia="en-AU"/>
        </w:rPr>
        <w:t>816 Solomon Islanders (1</w:t>
      </w:r>
      <w:r w:rsidR="192474EF" w:rsidRPr="60A7A2E6">
        <w:rPr>
          <w:lang w:eastAsia="en-AU"/>
        </w:rPr>
        <w:t>,</w:t>
      </w:r>
      <w:r w:rsidR="192474EF" w:rsidRPr="00270E8A">
        <w:rPr>
          <w:lang w:eastAsia="en-AU"/>
        </w:rPr>
        <w:t>354</w:t>
      </w:r>
      <w:r w:rsidR="00DA4242">
        <w:rPr>
          <w:lang w:eastAsia="en-AU"/>
        </w:rPr>
        <w:t> </w:t>
      </w:r>
      <w:r w:rsidR="192474EF" w:rsidRPr="00270E8A">
        <w:rPr>
          <w:lang w:eastAsia="en-AU"/>
        </w:rPr>
        <w:t>women and 1</w:t>
      </w:r>
      <w:r w:rsidR="192474EF" w:rsidRPr="60A7A2E6">
        <w:rPr>
          <w:lang w:eastAsia="en-AU"/>
        </w:rPr>
        <w:t>,</w:t>
      </w:r>
      <w:r w:rsidR="192474EF" w:rsidRPr="00270E8A">
        <w:rPr>
          <w:lang w:eastAsia="en-AU"/>
        </w:rPr>
        <w:t>462</w:t>
      </w:r>
      <w:r w:rsidR="00DA4242">
        <w:rPr>
          <w:lang w:eastAsia="en-AU"/>
        </w:rPr>
        <w:t> </w:t>
      </w:r>
      <w:r w:rsidR="192474EF" w:rsidRPr="00270E8A">
        <w:rPr>
          <w:lang w:eastAsia="en-AU"/>
        </w:rPr>
        <w:t>men) have gained Australian accredited full qualifications. A further 526</w:t>
      </w:r>
      <w:r w:rsidR="00DA4242">
        <w:rPr>
          <w:lang w:eastAsia="en-AU"/>
        </w:rPr>
        <w:t> </w:t>
      </w:r>
      <w:r w:rsidR="192474EF" w:rsidRPr="00270E8A">
        <w:rPr>
          <w:lang w:eastAsia="en-AU"/>
        </w:rPr>
        <w:t>Solomon Islanders have completed an accredited short course, while 2</w:t>
      </w:r>
      <w:r w:rsidR="192474EF" w:rsidRPr="60A7A2E6">
        <w:rPr>
          <w:lang w:eastAsia="en-AU"/>
        </w:rPr>
        <w:t>,</w:t>
      </w:r>
      <w:r w:rsidR="192474EF" w:rsidRPr="00270E8A">
        <w:rPr>
          <w:lang w:eastAsia="en-AU"/>
        </w:rPr>
        <w:t>193 have completed a non-accredited short course and 3</w:t>
      </w:r>
      <w:r w:rsidR="192474EF" w:rsidRPr="60A7A2E6">
        <w:rPr>
          <w:lang w:eastAsia="en-AU"/>
        </w:rPr>
        <w:t>,</w:t>
      </w:r>
      <w:r w:rsidR="192474EF" w:rsidRPr="00270E8A">
        <w:rPr>
          <w:lang w:eastAsia="en-AU"/>
        </w:rPr>
        <w:t>124 a micro</w:t>
      </w:r>
      <w:r w:rsidR="00BD534C">
        <w:rPr>
          <w:lang w:eastAsia="en-AU"/>
        </w:rPr>
        <w:t>-</w:t>
      </w:r>
      <w:r w:rsidR="192474EF" w:rsidRPr="00270E8A">
        <w:rPr>
          <w:lang w:eastAsia="en-AU"/>
        </w:rPr>
        <w:t>credential course</w:t>
      </w:r>
      <w:r w:rsidR="3B822CA6" w:rsidRPr="60A7A2E6">
        <w:rPr>
          <w:lang w:eastAsia="en-AU"/>
        </w:rPr>
        <w:t>. Australia</w:t>
      </w:r>
      <w:r w:rsidR="00BD534C">
        <w:rPr>
          <w:lang w:eastAsia="en-AU"/>
        </w:rPr>
        <w:t>’s new</w:t>
      </w:r>
      <w:r w:rsidR="3B822CA6" w:rsidRPr="60A7A2E6">
        <w:rPr>
          <w:lang w:eastAsia="en-AU"/>
        </w:rPr>
        <w:t xml:space="preserve"> skills investment will continue to provide vital skills and training</w:t>
      </w:r>
      <w:r w:rsidR="68D66312" w:rsidRPr="60A7A2E6">
        <w:rPr>
          <w:lang w:eastAsia="en-AU"/>
        </w:rPr>
        <w:t>,</w:t>
      </w:r>
      <w:r w:rsidR="3B822CA6" w:rsidRPr="60A7A2E6">
        <w:rPr>
          <w:lang w:eastAsia="en-AU"/>
        </w:rPr>
        <w:t xml:space="preserve"> </w:t>
      </w:r>
      <w:r w:rsidR="3AAABEC7" w:rsidRPr="60A7A2E6">
        <w:rPr>
          <w:lang w:eastAsia="en-AU"/>
        </w:rPr>
        <w:t xml:space="preserve">with the training to be </w:t>
      </w:r>
      <w:r w:rsidR="3B822CA6" w:rsidRPr="60A7A2E6">
        <w:rPr>
          <w:lang w:eastAsia="en-AU"/>
        </w:rPr>
        <w:t>market test</w:t>
      </w:r>
      <w:r w:rsidR="68D66312" w:rsidRPr="60A7A2E6">
        <w:rPr>
          <w:lang w:eastAsia="en-AU"/>
        </w:rPr>
        <w:t xml:space="preserve">ed </w:t>
      </w:r>
      <w:r w:rsidR="3B822CA6" w:rsidRPr="60A7A2E6">
        <w:rPr>
          <w:lang w:eastAsia="en-AU"/>
        </w:rPr>
        <w:t xml:space="preserve">to ensure </w:t>
      </w:r>
      <w:r w:rsidR="3AAABEC7" w:rsidRPr="60A7A2E6">
        <w:rPr>
          <w:lang w:eastAsia="en-AU"/>
        </w:rPr>
        <w:t>it</w:t>
      </w:r>
      <w:r w:rsidR="3B822CA6" w:rsidRPr="60A7A2E6">
        <w:rPr>
          <w:lang w:eastAsia="en-AU"/>
        </w:rPr>
        <w:t xml:space="preserve"> is in line with Solomon Islands priorities.</w:t>
      </w:r>
    </w:p>
    <w:p w14:paraId="762EC606" w14:textId="5C62B9DA" w:rsidR="007232FC" w:rsidRPr="00D573D9" w:rsidRDefault="6973852A" w:rsidP="00D573D9">
      <w:pPr>
        <w:rPr>
          <w:lang w:eastAsia="en-AU"/>
        </w:rPr>
      </w:pPr>
      <w:r w:rsidRPr="2181D48A">
        <w:rPr>
          <w:lang w:eastAsia="en-AU"/>
        </w:rPr>
        <w:t xml:space="preserve">Australia Awards provide the next generation of Solomon Islands leaders with the skills and knowledge to drive economic and development change. Our Australia Awards are growing, through increased opportunities for PhD, </w:t>
      </w:r>
      <w:r w:rsidR="4CE6088E" w:rsidRPr="2181D48A">
        <w:rPr>
          <w:lang w:eastAsia="en-AU"/>
        </w:rPr>
        <w:t>m</w:t>
      </w:r>
      <w:r w:rsidRPr="2181D48A">
        <w:rPr>
          <w:lang w:eastAsia="en-AU"/>
        </w:rPr>
        <w:t>aster</w:t>
      </w:r>
      <w:r w:rsidR="007A1D87">
        <w:rPr>
          <w:lang w:eastAsia="en-AU"/>
        </w:rPr>
        <w:t>’</w:t>
      </w:r>
      <w:r w:rsidRPr="2181D48A">
        <w:rPr>
          <w:lang w:eastAsia="en-AU"/>
        </w:rPr>
        <w:t>s</w:t>
      </w:r>
      <w:r w:rsidR="4CE6088E" w:rsidRPr="2181D48A">
        <w:rPr>
          <w:lang w:eastAsia="en-AU"/>
        </w:rPr>
        <w:t xml:space="preserve"> and</w:t>
      </w:r>
      <w:r w:rsidRPr="2181D48A">
        <w:rPr>
          <w:lang w:eastAsia="en-AU"/>
        </w:rPr>
        <w:t xml:space="preserve"> </w:t>
      </w:r>
      <w:r w:rsidR="4CE6088E" w:rsidRPr="2181D48A">
        <w:rPr>
          <w:lang w:eastAsia="en-AU"/>
        </w:rPr>
        <w:t>b</w:t>
      </w:r>
      <w:r w:rsidRPr="2181D48A">
        <w:rPr>
          <w:lang w:eastAsia="en-AU"/>
        </w:rPr>
        <w:t>achelor</w:t>
      </w:r>
      <w:r w:rsidR="4CE6088E" w:rsidRPr="2181D48A">
        <w:rPr>
          <w:lang w:eastAsia="en-AU"/>
        </w:rPr>
        <w:t xml:space="preserve"> degrees</w:t>
      </w:r>
      <w:r w:rsidRPr="2181D48A">
        <w:rPr>
          <w:lang w:eastAsia="en-AU"/>
        </w:rPr>
        <w:t xml:space="preserve"> and bespoke short-term training opportunities in Australia. Since 2006, </w:t>
      </w:r>
      <w:r w:rsidR="3DD03452" w:rsidRPr="2181D48A">
        <w:rPr>
          <w:lang w:eastAsia="en-AU"/>
        </w:rPr>
        <w:t>600</w:t>
      </w:r>
      <w:r w:rsidR="001C1FB2" w:rsidRPr="2181D48A">
        <w:rPr>
          <w:lang w:eastAsia="en-AU"/>
        </w:rPr>
        <w:t> </w:t>
      </w:r>
      <w:r w:rsidRPr="2181D48A">
        <w:rPr>
          <w:lang w:eastAsia="en-AU"/>
        </w:rPr>
        <w:t xml:space="preserve">Solomon Islanders have studied under Australia Awards and Australia Awards Pacific Scholarships. In March 2024, Australia signed a Memorandum of Understanding with the Solomon Islands National University, building on </w:t>
      </w:r>
      <w:r w:rsidR="2C1FAF81" w:rsidRPr="2181D48A">
        <w:rPr>
          <w:lang w:eastAsia="en-AU"/>
        </w:rPr>
        <w:t>a</w:t>
      </w:r>
      <w:r w:rsidRPr="2181D48A">
        <w:rPr>
          <w:lang w:eastAsia="en-AU"/>
        </w:rPr>
        <w:t xml:space="preserve"> </w:t>
      </w:r>
      <w:r w:rsidR="008C3EE8">
        <w:rPr>
          <w:lang w:eastAsia="en-AU"/>
        </w:rPr>
        <w:t>10</w:t>
      </w:r>
      <w:r w:rsidRPr="2181D48A">
        <w:rPr>
          <w:lang w:eastAsia="en-AU"/>
        </w:rPr>
        <w:t>-year relationship, to strengthen tertiary education in Solomon Islands.</w:t>
      </w:r>
    </w:p>
    <w:p w14:paraId="7B6FC611" w14:textId="40C04B28" w:rsidR="007232FC" w:rsidRPr="00D573D9" w:rsidRDefault="007232FC" w:rsidP="00D573D9">
      <w:pPr>
        <w:rPr>
          <w:rFonts w:cs="Calibri Light"/>
          <w:lang w:eastAsia="en-AU"/>
        </w:rPr>
      </w:pPr>
      <w:r w:rsidRPr="00D573D9">
        <w:rPr>
          <w:lang w:eastAsia="en-AU"/>
        </w:rPr>
        <w:t xml:space="preserve">We are committed to working with </w:t>
      </w:r>
      <w:r w:rsidR="00B35FD0">
        <w:rPr>
          <w:lang w:eastAsia="en-AU"/>
        </w:rPr>
        <w:t xml:space="preserve">the </w:t>
      </w:r>
      <w:r w:rsidRPr="00D573D9">
        <w:rPr>
          <w:lang w:eastAsia="en-AU"/>
        </w:rPr>
        <w:t>Solomon Islands Government to deliver high-quality, climate resilient infrastructure that supports long-term economic growth and jobs across the country. Our infrastructure projects prioritise local expertise</w:t>
      </w:r>
      <w:r w:rsidR="00492BDC" w:rsidRPr="00D573D9">
        <w:rPr>
          <w:lang w:eastAsia="en-AU"/>
        </w:rPr>
        <w:t>, create local jobs in the construction phase</w:t>
      </w:r>
      <w:r w:rsidRPr="00D573D9">
        <w:rPr>
          <w:lang w:eastAsia="en-AU"/>
        </w:rPr>
        <w:t xml:space="preserve"> and avoid unsustainable debt burdens. </w:t>
      </w:r>
      <w:r w:rsidR="00492BDC" w:rsidRPr="00D573D9">
        <w:rPr>
          <w:lang w:eastAsia="en-AU"/>
        </w:rPr>
        <w:lastRenderedPageBreak/>
        <w:t>Australia has invested</w:t>
      </w:r>
      <w:r w:rsidRPr="00D573D9">
        <w:rPr>
          <w:lang w:eastAsia="en-AU"/>
        </w:rPr>
        <w:t xml:space="preserve"> </w:t>
      </w:r>
      <w:r w:rsidR="00C60E3E">
        <w:rPr>
          <w:lang w:eastAsia="en-AU"/>
        </w:rPr>
        <w:t>more than</w:t>
      </w:r>
      <w:r w:rsidRPr="00D573D9">
        <w:rPr>
          <w:lang w:eastAsia="en-AU"/>
        </w:rPr>
        <w:t xml:space="preserve"> AUD900</w:t>
      </w:r>
      <w:r w:rsidR="001C1FB2">
        <w:rPr>
          <w:lang w:eastAsia="en-AU"/>
        </w:rPr>
        <w:t> </w:t>
      </w:r>
      <w:r w:rsidRPr="00D573D9">
        <w:rPr>
          <w:lang w:eastAsia="en-AU"/>
        </w:rPr>
        <w:t>million in infrastructure since 2019.</w:t>
      </w:r>
      <w:r w:rsidR="00937E98">
        <w:rPr>
          <w:lang w:eastAsia="en-AU"/>
        </w:rPr>
        <w:t xml:space="preserve"> </w:t>
      </w:r>
      <w:r w:rsidRPr="00D573D9">
        <w:rPr>
          <w:lang w:eastAsia="en-AU"/>
        </w:rPr>
        <w:t>We will continue to work closely with like</w:t>
      </w:r>
      <w:r w:rsidR="00073A04">
        <w:rPr>
          <w:lang w:eastAsia="en-AU"/>
        </w:rPr>
        <w:t>-</w:t>
      </w:r>
      <w:r w:rsidRPr="00D573D9">
        <w:rPr>
          <w:lang w:eastAsia="en-AU"/>
        </w:rPr>
        <w:t xml:space="preserve">minded partners to leverage co-financing and maximise </w:t>
      </w:r>
      <w:r w:rsidR="00531D6A" w:rsidRPr="00D573D9">
        <w:rPr>
          <w:lang w:eastAsia="en-AU"/>
        </w:rPr>
        <w:t>our reach</w:t>
      </w:r>
      <w:r w:rsidRPr="00D573D9">
        <w:rPr>
          <w:lang w:eastAsia="en-AU"/>
        </w:rPr>
        <w:t>.</w:t>
      </w:r>
    </w:p>
    <w:p w14:paraId="0A0E7DFA" w14:textId="194E567A" w:rsidR="007232FC" w:rsidRPr="00D573D9" w:rsidRDefault="007232FC" w:rsidP="00D573D9">
      <w:pPr>
        <w:rPr>
          <w:lang w:eastAsia="en-AU"/>
        </w:rPr>
      </w:pPr>
      <w:r w:rsidRPr="00D573D9">
        <w:rPr>
          <w:lang w:eastAsia="en-AU"/>
        </w:rPr>
        <w:t xml:space="preserve">To drive growth, help diversify the economy and support rural development, </w:t>
      </w:r>
      <w:r w:rsidR="18CA612E" w:rsidRPr="00D573D9">
        <w:rPr>
          <w:lang w:eastAsia="en-AU"/>
        </w:rPr>
        <w:t xml:space="preserve">the grant-financed </w:t>
      </w:r>
      <w:r w:rsidR="00453A8F" w:rsidRPr="00D573D9">
        <w:rPr>
          <w:lang w:eastAsia="en-AU"/>
        </w:rPr>
        <w:t xml:space="preserve">Solomon Islands Infrastructure Program (SIIP) </w:t>
      </w:r>
      <w:r w:rsidRPr="00D573D9">
        <w:rPr>
          <w:lang w:eastAsia="en-AU"/>
        </w:rPr>
        <w:t>focuses on economic infrastructure including transport (land, sea and air) and markets, and social infrastructure including health, water and sanitation. SIIP is supporting long-term institutional change through capacity development, including infrastructure pipeline planning and asset management.</w:t>
      </w:r>
      <w:r w:rsidR="001F569B" w:rsidRPr="00D573D9">
        <w:rPr>
          <w:lang w:eastAsia="en-AU"/>
        </w:rPr>
        <w:t xml:space="preserve"> A major project that will be delivered in coming years is the Naha Birthing </w:t>
      </w:r>
      <w:r w:rsidR="004D6FFD">
        <w:rPr>
          <w:lang w:eastAsia="en-AU"/>
        </w:rPr>
        <w:t>and Urban Health Centre</w:t>
      </w:r>
      <w:r w:rsidR="001F569B" w:rsidRPr="00D573D9">
        <w:rPr>
          <w:lang w:eastAsia="en-AU"/>
        </w:rPr>
        <w:t>.</w:t>
      </w:r>
    </w:p>
    <w:p w14:paraId="6903A6C6" w14:textId="03F4F486" w:rsidR="007232FC" w:rsidRPr="00D573D9" w:rsidRDefault="007232FC" w:rsidP="00D573D9">
      <w:pPr>
        <w:rPr>
          <w:lang w:eastAsia="en-AU"/>
        </w:rPr>
      </w:pPr>
      <w:r w:rsidRPr="00D573D9">
        <w:rPr>
          <w:lang w:eastAsia="en-AU"/>
        </w:rPr>
        <w:t>Australia improve</w:t>
      </w:r>
      <w:r w:rsidR="001F569B" w:rsidRPr="00D573D9">
        <w:rPr>
          <w:lang w:eastAsia="en-AU"/>
        </w:rPr>
        <w:t>s</w:t>
      </w:r>
      <w:r w:rsidRPr="00D573D9">
        <w:rPr>
          <w:lang w:eastAsia="en-AU"/>
        </w:rPr>
        <w:t xml:space="preserve"> community infrastructure and connectivity and employment opportunities for vulnerable people by contributing to the second phase of the World Bank Community Access and Urban Services Enhancement Project. </w:t>
      </w:r>
      <w:r w:rsidR="00AB51FA" w:rsidRPr="00D573D9">
        <w:rPr>
          <w:lang w:eastAsia="en-AU"/>
        </w:rPr>
        <w:t xml:space="preserve">Like </w:t>
      </w:r>
      <w:r w:rsidR="00B80E9C">
        <w:rPr>
          <w:lang w:eastAsia="en-AU"/>
        </w:rPr>
        <w:t xml:space="preserve">the first </w:t>
      </w:r>
      <w:r w:rsidR="00FE42E5">
        <w:rPr>
          <w:lang w:eastAsia="en-AU"/>
        </w:rPr>
        <w:t>phase</w:t>
      </w:r>
      <w:r w:rsidR="00B80E9C">
        <w:rPr>
          <w:lang w:eastAsia="en-AU"/>
        </w:rPr>
        <w:t xml:space="preserve"> of the project</w:t>
      </w:r>
      <w:r w:rsidR="00AB51FA" w:rsidRPr="00D573D9">
        <w:rPr>
          <w:lang w:eastAsia="en-AU"/>
        </w:rPr>
        <w:t xml:space="preserve">, </w:t>
      </w:r>
      <w:r w:rsidR="00B80E9C">
        <w:rPr>
          <w:lang w:eastAsia="en-AU"/>
        </w:rPr>
        <w:t>the second phase</w:t>
      </w:r>
      <w:r w:rsidR="00AB51FA" w:rsidRPr="00D573D9">
        <w:rPr>
          <w:lang w:eastAsia="en-AU"/>
        </w:rPr>
        <w:t xml:space="preserve"> will improve</w:t>
      </w:r>
      <w:r w:rsidRPr="00D573D9">
        <w:rPr>
          <w:lang w:eastAsia="en-AU"/>
        </w:rPr>
        <w:t xml:space="preserve"> basic infrastructure and services for vulnerable urban populations (including youth and women) in Honiara, Auki, Gizo, Munda and Noro</w:t>
      </w:r>
      <w:r w:rsidR="00DF3684" w:rsidRPr="00D573D9">
        <w:rPr>
          <w:lang w:eastAsia="en-AU"/>
        </w:rPr>
        <w:t xml:space="preserve">. </w:t>
      </w:r>
      <w:r w:rsidR="00F14A22" w:rsidRPr="00D573D9">
        <w:rPr>
          <w:lang w:eastAsia="en-AU"/>
        </w:rPr>
        <w:t>Australia’s investments in infrastructure</w:t>
      </w:r>
      <w:r w:rsidR="00B71860" w:rsidRPr="00D573D9">
        <w:rPr>
          <w:lang w:eastAsia="en-AU"/>
        </w:rPr>
        <w:t xml:space="preserve"> will also </w:t>
      </w:r>
      <w:r w:rsidR="00F14A22" w:rsidRPr="00D573D9">
        <w:rPr>
          <w:lang w:eastAsia="en-AU"/>
        </w:rPr>
        <w:t>advance the objectives</w:t>
      </w:r>
      <w:r w:rsidR="00B71860" w:rsidRPr="00D573D9">
        <w:rPr>
          <w:lang w:eastAsia="en-AU"/>
        </w:rPr>
        <w:t xml:space="preserve"> of the Solomon Islands National Urban Policy</w:t>
      </w:r>
      <w:r w:rsidR="00F14A22" w:rsidRPr="00D573D9">
        <w:rPr>
          <w:lang w:eastAsia="en-AU"/>
        </w:rPr>
        <w:t xml:space="preserve"> </w:t>
      </w:r>
      <w:r w:rsidR="00E0107F">
        <w:rPr>
          <w:lang w:eastAsia="en-AU"/>
        </w:rPr>
        <w:t xml:space="preserve">2020–2035 </w:t>
      </w:r>
      <w:r w:rsidR="009B6FB6" w:rsidRPr="00D573D9">
        <w:rPr>
          <w:lang w:eastAsia="en-AU"/>
        </w:rPr>
        <w:t>toward</w:t>
      </w:r>
      <w:r w:rsidR="003E2C2E">
        <w:rPr>
          <w:lang w:eastAsia="en-AU"/>
        </w:rPr>
        <w:t>s</w:t>
      </w:r>
      <w:r w:rsidR="009B6FB6" w:rsidRPr="00D573D9">
        <w:rPr>
          <w:lang w:eastAsia="en-AU"/>
        </w:rPr>
        <w:t xml:space="preserve"> sustainable urban growth</w:t>
      </w:r>
      <w:r w:rsidR="00760817" w:rsidRPr="00D573D9">
        <w:rPr>
          <w:lang w:eastAsia="en-AU"/>
        </w:rPr>
        <w:t>.</w:t>
      </w:r>
    </w:p>
    <w:p w14:paraId="4C21FAA8" w14:textId="42AEC085" w:rsidR="00DF3684" w:rsidRPr="00D573D9" w:rsidRDefault="1BC7E837" w:rsidP="00D573D9">
      <w:pPr>
        <w:rPr>
          <w:lang w:eastAsia="en-AU"/>
        </w:rPr>
      </w:pPr>
      <w:r w:rsidRPr="00D573D9">
        <w:rPr>
          <w:rFonts w:cs="Calibri Light"/>
          <w:lang w:eastAsia="en-AU"/>
        </w:rPr>
        <w:t xml:space="preserve">The </w:t>
      </w:r>
      <w:r w:rsidRPr="00D573D9">
        <w:rPr>
          <w:lang w:eastAsia="en-AU"/>
        </w:rPr>
        <w:t xml:space="preserve">AIFFP is supporting a steady pipeline of major infrastructure projects in Solomon Islands across multiple sectors. Two projects are agreed and announced and will be implemented during </w:t>
      </w:r>
      <w:r w:rsidR="00FF49FE">
        <w:rPr>
          <w:lang w:eastAsia="en-AU"/>
        </w:rPr>
        <w:t xml:space="preserve">the period covered by </w:t>
      </w:r>
      <w:r w:rsidRPr="00D573D9">
        <w:rPr>
          <w:lang w:eastAsia="en-AU"/>
        </w:rPr>
        <w:t xml:space="preserve">this DPP: loan and grant financing for the Tina River Hydropower Development Project </w:t>
      </w:r>
      <w:r w:rsidR="00D95E39">
        <w:rPr>
          <w:lang w:eastAsia="en-AU"/>
        </w:rPr>
        <w:t>t</w:t>
      </w:r>
      <w:r w:rsidRPr="00D573D9">
        <w:rPr>
          <w:lang w:eastAsia="en-AU"/>
        </w:rPr>
        <w:t xml:space="preserve">ransmission </w:t>
      </w:r>
      <w:r w:rsidR="00D95E39">
        <w:rPr>
          <w:lang w:eastAsia="en-AU"/>
        </w:rPr>
        <w:t>s</w:t>
      </w:r>
      <w:r w:rsidRPr="00D573D9">
        <w:rPr>
          <w:lang w:eastAsia="en-AU"/>
        </w:rPr>
        <w:t>ystem and support</w:t>
      </w:r>
      <w:r w:rsidR="00656998">
        <w:rPr>
          <w:lang w:eastAsia="en-AU"/>
        </w:rPr>
        <w:t xml:space="preserve"> for</w:t>
      </w:r>
      <w:r w:rsidRPr="00D573D9">
        <w:rPr>
          <w:lang w:eastAsia="en-AU"/>
        </w:rPr>
        <w:t xml:space="preserve"> the operations of the Tulagi Shipyard in</w:t>
      </w:r>
      <w:r w:rsidR="00E37E3A">
        <w:rPr>
          <w:lang w:eastAsia="en-AU"/>
        </w:rPr>
        <w:t xml:space="preserve"> </w:t>
      </w:r>
      <w:r w:rsidRPr="00D573D9">
        <w:rPr>
          <w:lang w:eastAsia="en-AU"/>
        </w:rPr>
        <w:t xml:space="preserve">Central Province. </w:t>
      </w:r>
      <w:r w:rsidR="18B11DC6" w:rsidRPr="00D573D9">
        <w:rPr>
          <w:lang w:eastAsia="en-AU"/>
        </w:rPr>
        <w:t xml:space="preserve">Telecommunications infrastructure has also been a strength of our presence in Solomon Islands. </w:t>
      </w:r>
      <w:r w:rsidR="17EF0385" w:rsidRPr="00D573D9">
        <w:rPr>
          <w:lang w:eastAsia="en-AU"/>
        </w:rPr>
        <w:t xml:space="preserve">Consistent with its mandate, </w:t>
      </w:r>
      <w:r w:rsidR="009D0A75">
        <w:rPr>
          <w:lang w:eastAsia="en-AU"/>
        </w:rPr>
        <w:t xml:space="preserve">the </w:t>
      </w:r>
      <w:r w:rsidRPr="00D573D9">
        <w:rPr>
          <w:lang w:eastAsia="en-AU"/>
        </w:rPr>
        <w:t xml:space="preserve">AIFFP will continue working with </w:t>
      </w:r>
      <w:r w:rsidR="00F03A5D">
        <w:rPr>
          <w:lang w:eastAsia="en-AU"/>
        </w:rPr>
        <w:t xml:space="preserve">the </w:t>
      </w:r>
      <w:r w:rsidRPr="00D573D9">
        <w:rPr>
          <w:lang w:eastAsia="en-AU"/>
        </w:rPr>
        <w:t xml:space="preserve">Solomon Islands Government to identify opportunities to </w:t>
      </w:r>
      <w:r w:rsidR="27BBE971" w:rsidRPr="00D573D9">
        <w:rPr>
          <w:lang w:eastAsia="en-AU"/>
        </w:rPr>
        <w:t xml:space="preserve">finance </w:t>
      </w:r>
      <w:r w:rsidRPr="00D573D9">
        <w:rPr>
          <w:lang w:eastAsia="en-AU"/>
        </w:rPr>
        <w:t>quality climate resilient infrastructure in Solomon</w:t>
      </w:r>
      <w:r w:rsidR="00D950B9">
        <w:rPr>
          <w:lang w:eastAsia="en-AU"/>
        </w:rPr>
        <w:t> </w:t>
      </w:r>
      <w:r w:rsidRPr="00D573D9">
        <w:rPr>
          <w:lang w:eastAsia="en-AU"/>
        </w:rPr>
        <w:t>Islands that avoids unsustainable debt burdens</w:t>
      </w:r>
      <w:r w:rsidR="00B54C30">
        <w:rPr>
          <w:lang w:eastAsia="en-AU"/>
        </w:rPr>
        <w:t>.</w:t>
      </w:r>
      <w:r w:rsidR="5EFC6DED" w:rsidRPr="00D573D9">
        <w:rPr>
          <w:lang w:eastAsia="en-AU"/>
        </w:rPr>
        <w:t xml:space="preserve"> SIIP </w:t>
      </w:r>
      <w:r w:rsidR="00AC751D">
        <w:rPr>
          <w:lang w:eastAsia="en-AU"/>
        </w:rPr>
        <w:t xml:space="preserve">will be </w:t>
      </w:r>
      <w:r w:rsidR="0FC12E66" w:rsidRPr="00D573D9">
        <w:rPr>
          <w:lang w:eastAsia="en-AU"/>
        </w:rPr>
        <w:t xml:space="preserve">available to </w:t>
      </w:r>
      <w:r w:rsidR="5EFC6DED" w:rsidRPr="00D573D9">
        <w:rPr>
          <w:lang w:eastAsia="en-AU"/>
        </w:rPr>
        <w:t xml:space="preserve">support projects to become </w:t>
      </w:r>
      <w:r w:rsidR="00135A66">
        <w:rPr>
          <w:lang w:eastAsia="en-AU"/>
        </w:rPr>
        <w:t>AIFFP</w:t>
      </w:r>
      <w:r w:rsidR="00D950B9">
        <w:rPr>
          <w:lang w:eastAsia="en-AU"/>
        </w:rPr>
        <w:t> </w:t>
      </w:r>
      <w:r w:rsidR="5EFC6DED" w:rsidRPr="00D573D9">
        <w:rPr>
          <w:lang w:eastAsia="en-AU"/>
        </w:rPr>
        <w:t>finance</w:t>
      </w:r>
      <w:r w:rsidR="00D950B9">
        <w:rPr>
          <w:lang w:eastAsia="en-AU"/>
        </w:rPr>
        <w:t> </w:t>
      </w:r>
      <w:r w:rsidR="5EFC6DED" w:rsidRPr="00D573D9">
        <w:rPr>
          <w:lang w:eastAsia="en-AU"/>
        </w:rPr>
        <w:t>ready.</w:t>
      </w:r>
    </w:p>
    <w:p w14:paraId="612B1E38" w14:textId="3A99FA45" w:rsidR="002F4955" w:rsidRPr="009F3ACA" w:rsidRDefault="002F4955" w:rsidP="00DC316E">
      <w:pPr>
        <w:pStyle w:val="H3-Heading3"/>
      </w:pPr>
      <w:r w:rsidRPr="5738B046">
        <w:t xml:space="preserve">Objective 2: </w:t>
      </w:r>
      <w:r w:rsidR="007232FC">
        <w:t>Investing in people</w:t>
      </w:r>
      <w:r w:rsidR="00042E0F">
        <w:t xml:space="preserve">, </w:t>
      </w:r>
      <w:r w:rsidR="007232FC">
        <w:t>communities</w:t>
      </w:r>
      <w:r w:rsidR="00042E0F">
        <w:t xml:space="preserve"> and links to Australia and the region</w:t>
      </w:r>
    </w:p>
    <w:p w14:paraId="1ED50EF0" w14:textId="11300D0E" w:rsidR="00DF0B19" w:rsidRPr="00D573D9" w:rsidRDefault="00DF0B19" w:rsidP="00D573D9">
      <w:pPr>
        <w:rPr>
          <w:lang w:eastAsia="en-AU"/>
        </w:rPr>
      </w:pPr>
      <w:r w:rsidRPr="00D573D9">
        <w:rPr>
          <w:lang w:eastAsia="en-AU"/>
        </w:rPr>
        <w:t>Investing in people and communities is essential for Solomon Islands</w:t>
      </w:r>
      <w:r w:rsidR="00AC751D">
        <w:rPr>
          <w:lang w:eastAsia="en-AU"/>
        </w:rPr>
        <w:t>’</w:t>
      </w:r>
      <w:r w:rsidRPr="00D573D9">
        <w:rPr>
          <w:lang w:eastAsia="en-AU"/>
        </w:rPr>
        <w:t xml:space="preserve"> economic and social development and is key for building human capital, resilience and wellbeing. Aligning with the National Development Strategy, Australia will invest in education, health, gender equality and disability </w:t>
      </w:r>
      <w:r w:rsidR="00FB36CC">
        <w:rPr>
          <w:lang w:eastAsia="en-AU"/>
        </w:rPr>
        <w:t>equity</w:t>
      </w:r>
      <w:r w:rsidRPr="00D573D9">
        <w:rPr>
          <w:lang w:eastAsia="en-AU"/>
        </w:rPr>
        <w:t xml:space="preserve">, and community partnerships. </w:t>
      </w:r>
      <w:r w:rsidR="00AD115A" w:rsidRPr="00D573D9">
        <w:rPr>
          <w:lang w:eastAsia="en-AU"/>
        </w:rPr>
        <w:t>Our long history of</w:t>
      </w:r>
      <w:r w:rsidR="004844AC">
        <w:rPr>
          <w:lang w:eastAsia="en-AU"/>
        </w:rPr>
        <w:t> </w:t>
      </w:r>
      <w:r w:rsidR="00AD115A" w:rsidRPr="00D573D9">
        <w:rPr>
          <w:lang w:eastAsia="en-AU"/>
        </w:rPr>
        <w:t>engagement with Solomon Islands across human development initiatives</w:t>
      </w:r>
      <w:r w:rsidR="00B761BA" w:rsidRPr="00D573D9">
        <w:rPr>
          <w:lang w:eastAsia="en-AU"/>
        </w:rPr>
        <w:t xml:space="preserve"> positions us well to continue to support</w:t>
      </w:r>
      <w:r w:rsidR="004E4F26">
        <w:rPr>
          <w:lang w:eastAsia="en-AU"/>
        </w:rPr>
        <w:t> </w:t>
      </w:r>
      <w:r w:rsidR="00B761BA" w:rsidRPr="00D573D9">
        <w:rPr>
          <w:lang w:eastAsia="en-AU"/>
        </w:rPr>
        <w:t xml:space="preserve">the </w:t>
      </w:r>
      <w:r w:rsidR="00B0755A" w:rsidRPr="00D573D9">
        <w:rPr>
          <w:lang w:eastAsia="en-AU"/>
        </w:rPr>
        <w:t xml:space="preserve">ambitions of the </w:t>
      </w:r>
      <w:r w:rsidR="00707955" w:rsidRPr="00D573D9">
        <w:rPr>
          <w:lang w:eastAsia="en-AU"/>
        </w:rPr>
        <w:t xml:space="preserve">Solomon Islands </w:t>
      </w:r>
      <w:r w:rsidR="00AB14D5">
        <w:rPr>
          <w:lang w:eastAsia="en-AU"/>
        </w:rPr>
        <w:t>G</w:t>
      </w:r>
      <w:r w:rsidR="00707955" w:rsidRPr="00D573D9">
        <w:rPr>
          <w:lang w:eastAsia="en-AU"/>
        </w:rPr>
        <w:t xml:space="preserve">overnment to </w:t>
      </w:r>
      <w:r w:rsidR="00222F1E" w:rsidRPr="00D573D9">
        <w:rPr>
          <w:lang w:eastAsia="en-AU"/>
        </w:rPr>
        <w:t xml:space="preserve">improve the </w:t>
      </w:r>
      <w:r w:rsidR="00AE5D3A" w:rsidRPr="00D573D9">
        <w:rPr>
          <w:lang w:eastAsia="en-AU"/>
        </w:rPr>
        <w:t>social and economic livelihoods of</w:t>
      </w:r>
      <w:r w:rsidR="004E4F26">
        <w:rPr>
          <w:lang w:eastAsia="en-AU"/>
        </w:rPr>
        <w:t> </w:t>
      </w:r>
      <w:r w:rsidR="00AE5D3A" w:rsidRPr="00D573D9">
        <w:rPr>
          <w:lang w:eastAsia="en-AU"/>
        </w:rPr>
        <w:t>Solomon</w:t>
      </w:r>
      <w:r w:rsidR="004E4F26">
        <w:rPr>
          <w:lang w:eastAsia="en-AU"/>
        </w:rPr>
        <w:t> </w:t>
      </w:r>
      <w:r w:rsidR="00AE5D3A" w:rsidRPr="00D573D9">
        <w:rPr>
          <w:lang w:eastAsia="en-AU"/>
        </w:rPr>
        <w:t>Islanders.</w:t>
      </w:r>
    </w:p>
    <w:p w14:paraId="6EAACE60" w14:textId="26251787" w:rsidR="00DF0B19" w:rsidRPr="00D573D9" w:rsidRDefault="2417C41A" w:rsidP="00E82723">
      <w:pPr>
        <w:rPr>
          <w:lang w:eastAsia="en-AU"/>
        </w:rPr>
      </w:pPr>
      <w:r w:rsidRPr="2A22DF3F">
        <w:rPr>
          <w:lang w:eastAsia="en-AU"/>
        </w:rPr>
        <w:t>Australia is Solomon Islands</w:t>
      </w:r>
      <w:r w:rsidR="0A4FAEE9" w:rsidRPr="2A22DF3F">
        <w:rPr>
          <w:lang w:eastAsia="en-AU"/>
        </w:rPr>
        <w:t>’</w:t>
      </w:r>
      <w:r w:rsidRPr="2A22DF3F">
        <w:rPr>
          <w:lang w:eastAsia="en-AU"/>
        </w:rPr>
        <w:t xml:space="preserve"> largest bilateral partner in the education sector, with dedicated basic education programs running for a decade (totalling approximately AUD100</w:t>
      </w:r>
      <w:r w:rsidR="4BC62584" w:rsidRPr="2A22DF3F">
        <w:rPr>
          <w:lang w:eastAsia="en-AU"/>
        </w:rPr>
        <w:t> </w:t>
      </w:r>
      <w:r w:rsidRPr="2A22DF3F">
        <w:rPr>
          <w:lang w:eastAsia="en-AU"/>
        </w:rPr>
        <w:t>million from 2015</w:t>
      </w:r>
      <w:r w:rsidR="0A4FAEE9" w:rsidRPr="2A22DF3F">
        <w:rPr>
          <w:lang w:eastAsia="en-AU"/>
        </w:rPr>
        <w:t xml:space="preserve"> to </w:t>
      </w:r>
      <w:r w:rsidRPr="2A22DF3F">
        <w:rPr>
          <w:lang w:eastAsia="en-AU"/>
        </w:rPr>
        <w:t>2025). The Education Sector Support Program (2019</w:t>
      </w:r>
      <w:r w:rsidR="045CA49F" w:rsidRPr="2A22DF3F">
        <w:rPr>
          <w:lang w:eastAsia="en-AU"/>
        </w:rPr>
        <w:t xml:space="preserve"> to </w:t>
      </w:r>
      <w:r w:rsidRPr="2A22DF3F">
        <w:rPr>
          <w:lang w:eastAsia="en-AU"/>
        </w:rPr>
        <w:t>2025), in partnership with New Zealand, has delivered 40</w:t>
      </w:r>
      <w:r w:rsidR="3D1682EF" w:rsidRPr="2A22DF3F">
        <w:rPr>
          <w:lang w:eastAsia="en-AU"/>
        </w:rPr>
        <w:t> </w:t>
      </w:r>
      <w:r w:rsidRPr="2A22DF3F">
        <w:rPr>
          <w:lang w:eastAsia="en-AU"/>
        </w:rPr>
        <w:t>school infrastructure projects, provided 3,000</w:t>
      </w:r>
      <w:r w:rsidR="3D1682EF" w:rsidRPr="2A22DF3F">
        <w:rPr>
          <w:lang w:eastAsia="en-AU"/>
        </w:rPr>
        <w:t> </w:t>
      </w:r>
      <w:r w:rsidRPr="2A22DF3F">
        <w:rPr>
          <w:lang w:eastAsia="en-AU"/>
        </w:rPr>
        <w:t>untrained teachers with basic teaching qualifications and developed 82</w:t>
      </w:r>
      <w:r w:rsidR="3D1682EF" w:rsidRPr="2A22DF3F">
        <w:rPr>
          <w:lang w:eastAsia="en-AU"/>
        </w:rPr>
        <w:t> </w:t>
      </w:r>
      <w:r w:rsidRPr="2A22DF3F">
        <w:rPr>
          <w:lang w:eastAsia="en-AU"/>
        </w:rPr>
        <w:t xml:space="preserve">curriculum titles. </w:t>
      </w:r>
      <w:r w:rsidR="03D1C1DB" w:rsidRPr="2A22DF3F">
        <w:rPr>
          <w:lang w:eastAsia="en-AU"/>
        </w:rPr>
        <w:t>The program</w:t>
      </w:r>
      <w:r w:rsidRPr="2A22DF3F">
        <w:rPr>
          <w:lang w:eastAsia="en-AU"/>
        </w:rPr>
        <w:t xml:space="preserve"> was instrumental </w:t>
      </w:r>
      <w:r w:rsidR="0036256A">
        <w:rPr>
          <w:lang w:eastAsia="en-AU"/>
        </w:rPr>
        <w:t>to the</w:t>
      </w:r>
      <w:r w:rsidRPr="2A22DF3F">
        <w:rPr>
          <w:lang w:eastAsia="en-AU"/>
        </w:rPr>
        <w:t xml:space="preserve"> development of legislation for the </w:t>
      </w:r>
      <w:r w:rsidRPr="2A22DF3F">
        <w:rPr>
          <w:i/>
          <w:iCs/>
          <w:lang w:eastAsia="en-AU"/>
        </w:rPr>
        <w:t>Education Act 2023</w:t>
      </w:r>
      <w:r w:rsidRPr="2A22DF3F">
        <w:rPr>
          <w:lang w:eastAsia="en-AU"/>
        </w:rPr>
        <w:t xml:space="preserve">, the biggest education reform </w:t>
      </w:r>
      <w:r w:rsidR="7A05CC37" w:rsidRPr="2A22DF3F">
        <w:rPr>
          <w:lang w:eastAsia="en-AU"/>
        </w:rPr>
        <w:t xml:space="preserve">in Solomon Islands </w:t>
      </w:r>
      <w:r w:rsidRPr="2A22DF3F">
        <w:rPr>
          <w:lang w:eastAsia="en-AU"/>
        </w:rPr>
        <w:t xml:space="preserve">since </w:t>
      </w:r>
      <w:r w:rsidR="7A05CC37" w:rsidRPr="2A22DF3F">
        <w:rPr>
          <w:lang w:eastAsia="en-AU"/>
        </w:rPr>
        <w:t xml:space="preserve">its </w:t>
      </w:r>
      <w:r w:rsidRPr="2A22DF3F">
        <w:rPr>
          <w:lang w:eastAsia="en-AU"/>
        </w:rPr>
        <w:t>independence</w:t>
      </w:r>
      <w:r w:rsidR="7A05CC37" w:rsidRPr="2A22DF3F">
        <w:rPr>
          <w:lang w:eastAsia="en-AU"/>
        </w:rPr>
        <w:t>,</w:t>
      </w:r>
      <w:r w:rsidR="3E968095" w:rsidRPr="2A22DF3F">
        <w:rPr>
          <w:lang w:eastAsia="en-AU"/>
        </w:rPr>
        <w:t xml:space="preserve"> </w:t>
      </w:r>
      <w:r w:rsidR="426DB807" w:rsidRPr="2A22DF3F">
        <w:rPr>
          <w:lang w:eastAsia="en-AU"/>
        </w:rPr>
        <w:t>which include</w:t>
      </w:r>
      <w:r w:rsidR="3E968095" w:rsidRPr="2A22DF3F">
        <w:rPr>
          <w:lang w:eastAsia="en-AU"/>
        </w:rPr>
        <w:t>d</w:t>
      </w:r>
      <w:r w:rsidR="385FDC03" w:rsidRPr="2A22DF3F">
        <w:rPr>
          <w:lang w:eastAsia="en-AU"/>
        </w:rPr>
        <w:t xml:space="preserve"> regulation and administration of</w:t>
      </w:r>
      <w:r w:rsidR="426DB807" w:rsidRPr="2A22DF3F">
        <w:rPr>
          <w:lang w:eastAsia="en-AU"/>
        </w:rPr>
        <w:t xml:space="preserve"> </w:t>
      </w:r>
      <w:r w:rsidR="08AB6620" w:rsidRPr="2A22DF3F">
        <w:rPr>
          <w:lang w:eastAsia="en-AU"/>
        </w:rPr>
        <w:t>e</w:t>
      </w:r>
      <w:r w:rsidR="426DB807" w:rsidRPr="2A22DF3F">
        <w:rPr>
          <w:lang w:eastAsia="en-AU"/>
        </w:rPr>
        <w:t xml:space="preserve">arly </w:t>
      </w:r>
      <w:r w:rsidR="08AB6620" w:rsidRPr="2A22DF3F">
        <w:rPr>
          <w:lang w:eastAsia="en-AU"/>
        </w:rPr>
        <w:t>c</w:t>
      </w:r>
      <w:r w:rsidR="426DB807" w:rsidRPr="2A22DF3F">
        <w:rPr>
          <w:lang w:eastAsia="en-AU"/>
        </w:rPr>
        <w:t xml:space="preserve">hildhood </w:t>
      </w:r>
      <w:r w:rsidR="08AB6620" w:rsidRPr="2A22DF3F">
        <w:rPr>
          <w:lang w:eastAsia="en-AU"/>
        </w:rPr>
        <w:t>e</w:t>
      </w:r>
      <w:r w:rsidR="426DB807" w:rsidRPr="2A22DF3F">
        <w:rPr>
          <w:lang w:eastAsia="en-AU"/>
        </w:rPr>
        <w:t>ducation</w:t>
      </w:r>
      <w:r w:rsidR="3790E210" w:rsidRPr="2A22DF3F">
        <w:rPr>
          <w:lang w:eastAsia="en-AU"/>
        </w:rPr>
        <w:t xml:space="preserve"> centres</w:t>
      </w:r>
      <w:r w:rsidR="426DB807" w:rsidRPr="2A22DF3F">
        <w:rPr>
          <w:lang w:eastAsia="en-AU"/>
        </w:rPr>
        <w:t>, replac</w:t>
      </w:r>
      <w:r w:rsidR="1FFAD080" w:rsidRPr="2A22DF3F">
        <w:rPr>
          <w:lang w:eastAsia="en-AU"/>
        </w:rPr>
        <w:t>ement of</w:t>
      </w:r>
      <w:r w:rsidR="426DB807" w:rsidRPr="2A22DF3F">
        <w:rPr>
          <w:lang w:eastAsia="en-AU"/>
        </w:rPr>
        <w:t xml:space="preserve"> Education Authorities with Education Providers and devol</w:t>
      </w:r>
      <w:r w:rsidR="1FFAD080" w:rsidRPr="2A22DF3F">
        <w:rPr>
          <w:lang w:eastAsia="en-AU"/>
        </w:rPr>
        <w:t>ution of</w:t>
      </w:r>
      <w:r w:rsidR="426DB807" w:rsidRPr="2A22DF3F">
        <w:rPr>
          <w:lang w:eastAsia="en-AU"/>
        </w:rPr>
        <w:t xml:space="preserve"> powers to Education Providers to take on </w:t>
      </w:r>
      <w:r w:rsidR="08AB6620" w:rsidRPr="2A22DF3F">
        <w:rPr>
          <w:lang w:eastAsia="en-AU"/>
        </w:rPr>
        <w:t>t</w:t>
      </w:r>
      <w:r w:rsidR="426DB807" w:rsidRPr="2A22DF3F">
        <w:rPr>
          <w:lang w:eastAsia="en-AU"/>
        </w:rPr>
        <w:t xml:space="preserve">eacher </w:t>
      </w:r>
      <w:r w:rsidR="08AB6620" w:rsidRPr="2A22DF3F">
        <w:rPr>
          <w:lang w:eastAsia="en-AU"/>
        </w:rPr>
        <w:t>m</w:t>
      </w:r>
      <w:r w:rsidR="426DB807" w:rsidRPr="2A22DF3F">
        <w:rPr>
          <w:lang w:eastAsia="en-AU"/>
        </w:rPr>
        <w:t xml:space="preserve">anagement responsibilities. </w:t>
      </w:r>
      <w:r w:rsidR="218A68AA" w:rsidRPr="2A22DF3F">
        <w:rPr>
          <w:lang w:eastAsia="en-AU"/>
        </w:rPr>
        <w:t xml:space="preserve">The </w:t>
      </w:r>
      <w:r w:rsidR="03D1C1DB" w:rsidRPr="2A22DF3F">
        <w:rPr>
          <w:lang w:eastAsia="en-AU"/>
        </w:rPr>
        <w:t>p</w:t>
      </w:r>
      <w:r w:rsidR="218A68AA" w:rsidRPr="2A22DF3F">
        <w:rPr>
          <w:lang w:eastAsia="en-AU"/>
        </w:rPr>
        <w:t>rogram</w:t>
      </w:r>
      <w:r w:rsidRPr="2A22DF3F">
        <w:rPr>
          <w:lang w:eastAsia="en-AU"/>
        </w:rPr>
        <w:t xml:space="preserve"> has supported critical reforms and strengthening of education sector</w:t>
      </w:r>
      <w:r w:rsidR="4BC318A8" w:rsidRPr="2A22DF3F">
        <w:rPr>
          <w:lang w:eastAsia="en-AU"/>
        </w:rPr>
        <w:t> </w:t>
      </w:r>
      <w:r w:rsidRPr="2A22DF3F">
        <w:rPr>
          <w:lang w:eastAsia="en-AU"/>
        </w:rPr>
        <w:t>management.</w:t>
      </w:r>
    </w:p>
    <w:p w14:paraId="29BC2AC5" w14:textId="7B71796C" w:rsidR="00DF0B19" w:rsidRPr="00D573D9" w:rsidRDefault="555880EA" w:rsidP="00D573D9">
      <w:pPr>
        <w:rPr>
          <w:lang w:eastAsia="en-AU"/>
        </w:rPr>
      </w:pPr>
      <w:r w:rsidRPr="2181D48A">
        <w:rPr>
          <w:lang w:eastAsia="en-AU"/>
        </w:rPr>
        <w:t xml:space="preserve">Australia will maintain its long-term support for Solomon Islands education through </w:t>
      </w:r>
      <w:r w:rsidR="756F9A95" w:rsidRPr="2181D48A">
        <w:rPr>
          <w:lang w:eastAsia="en-AU"/>
        </w:rPr>
        <w:t>our</w:t>
      </w:r>
      <w:r w:rsidRPr="2181D48A">
        <w:rPr>
          <w:lang w:eastAsia="en-AU"/>
        </w:rPr>
        <w:t xml:space="preserve"> new Solomon Islands</w:t>
      </w:r>
      <w:r w:rsidR="482527A8" w:rsidRPr="2181D48A">
        <w:rPr>
          <w:lang w:eastAsia="en-AU"/>
        </w:rPr>
        <w:t xml:space="preserve"> – </w:t>
      </w:r>
      <w:r w:rsidRPr="2181D48A">
        <w:rPr>
          <w:lang w:eastAsia="en-AU"/>
        </w:rPr>
        <w:t>Australia Partnership for Education</w:t>
      </w:r>
      <w:r w:rsidR="438D68F3" w:rsidRPr="2181D48A">
        <w:rPr>
          <w:lang w:eastAsia="en-AU"/>
        </w:rPr>
        <w:t xml:space="preserve"> launched in</w:t>
      </w:r>
      <w:r w:rsidR="00BD534C">
        <w:rPr>
          <w:lang w:eastAsia="en-AU"/>
        </w:rPr>
        <w:t xml:space="preserve"> January</w:t>
      </w:r>
      <w:r w:rsidR="438D68F3" w:rsidRPr="2181D48A">
        <w:rPr>
          <w:lang w:eastAsia="en-AU"/>
        </w:rPr>
        <w:t xml:space="preserve"> 2025</w:t>
      </w:r>
      <w:r w:rsidRPr="2181D48A">
        <w:rPr>
          <w:lang w:eastAsia="en-AU"/>
        </w:rPr>
        <w:t>. Our new partnership will strengthen the foundation for improved access to quality elementary and lower secondary</w:t>
      </w:r>
      <w:r w:rsidR="22C4DF5E" w:rsidRPr="2181D48A">
        <w:rPr>
          <w:lang w:eastAsia="en-AU"/>
        </w:rPr>
        <w:t xml:space="preserve"> (year</w:t>
      </w:r>
      <w:r w:rsidR="21E5D4A2" w:rsidRPr="2181D48A">
        <w:rPr>
          <w:lang w:eastAsia="en-AU"/>
        </w:rPr>
        <w:t xml:space="preserve"> </w:t>
      </w:r>
      <w:r w:rsidR="40263EFC" w:rsidRPr="2181D48A">
        <w:rPr>
          <w:lang w:eastAsia="en-AU"/>
        </w:rPr>
        <w:t>six to nine</w:t>
      </w:r>
      <w:r w:rsidR="22C4DF5E" w:rsidRPr="2181D48A">
        <w:rPr>
          <w:lang w:eastAsia="en-AU"/>
        </w:rPr>
        <w:t>)</w:t>
      </w:r>
      <w:r w:rsidRPr="2181D48A">
        <w:rPr>
          <w:lang w:eastAsia="en-AU"/>
        </w:rPr>
        <w:t xml:space="preserve"> education in Solomon Islands. We will do this through delivering inclusive and resilient school infrastructure, including </w:t>
      </w:r>
      <w:r w:rsidR="65AA8A38" w:rsidRPr="2181D48A">
        <w:rPr>
          <w:lang w:eastAsia="en-AU"/>
        </w:rPr>
        <w:t xml:space="preserve">water, sanitation and </w:t>
      </w:r>
      <w:r w:rsidR="006973A3" w:rsidRPr="2181D48A">
        <w:rPr>
          <w:lang w:eastAsia="en-AU"/>
        </w:rPr>
        <w:t>hygiene</w:t>
      </w:r>
      <w:r w:rsidR="006973A3">
        <w:rPr>
          <w:lang w:eastAsia="en-AU"/>
        </w:rPr>
        <w:t> </w:t>
      </w:r>
      <w:r w:rsidR="65AA8A38" w:rsidRPr="2181D48A">
        <w:rPr>
          <w:lang w:eastAsia="en-AU"/>
        </w:rPr>
        <w:t>(</w:t>
      </w:r>
      <w:r w:rsidRPr="2181D48A">
        <w:rPr>
          <w:lang w:eastAsia="en-AU"/>
        </w:rPr>
        <w:t>WASH</w:t>
      </w:r>
      <w:r w:rsidR="65AA8A38" w:rsidRPr="2181D48A">
        <w:rPr>
          <w:lang w:eastAsia="en-AU"/>
        </w:rPr>
        <w:t>)</w:t>
      </w:r>
      <w:r w:rsidRPr="2181D48A">
        <w:rPr>
          <w:lang w:eastAsia="en-AU"/>
        </w:rPr>
        <w:t xml:space="preserve"> facilities, information and communication technology</w:t>
      </w:r>
      <w:r w:rsidR="65AA8A38" w:rsidRPr="2181D48A">
        <w:rPr>
          <w:lang w:eastAsia="en-AU"/>
        </w:rPr>
        <w:t>,</w:t>
      </w:r>
      <w:r w:rsidRPr="2181D48A">
        <w:rPr>
          <w:lang w:eastAsia="en-AU"/>
        </w:rPr>
        <w:t xml:space="preserve"> and sustainable energy options. We will also strengthen the capacity of the S</w:t>
      </w:r>
      <w:r w:rsidR="04538082" w:rsidRPr="2181D48A">
        <w:rPr>
          <w:lang w:eastAsia="en-AU"/>
        </w:rPr>
        <w:t>olomon Islands National University</w:t>
      </w:r>
      <w:r w:rsidRPr="2181D48A">
        <w:rPr>
          <w:lang w:eastAsia="en-AU"/>
        </w:rPr>
        <w:t xml:space="preserve"> to improve training for new Solomon Islands teachers. In partnership with </w:t>
      </w:r>
      <w:r w:rsidR="4EA2A8E8" w:rsidRPr="2181D48A">
        <w:rPr>
          <w:lang w:eastAsia="en-AU"/>
        </w:rPr>
        <w:t>the United Nations Children’s Fund (</w:t>
      </w:r>
      <w:r w:rsidRPr="2181D48A">
        <w:rPr>
          <w:lang w:eastAsia="en-AU"/>
        </w:rPr>
        <w:t>UNICEF</w:t>
      </w:r>
      <w:r w:rsidR="4EA2A8E8" w:rsidRPr="2181D48A">
        <w:rPr>
          <w:lang w:eastAsia="en-AU"/>
        </w:rPr>
        <w:t>)</w:t>
      </w:r>
      <w:r w:rsidR="65AA8A38" w:rsidRPr="2181D48A">
        <w:rPr>
          <w:lang w:eastAsia="en-AU"/>
        </w:rPr>
        <w:t>,</w:t>
      </w:r>
      <w:r w:rsidRPr="2181D48A">
        <w:rPr>
          <w:lang w:eastAsia="en-AU"/>
        </w:rPr>
        <w:t xml:space="preserve"> we are providing WASH </w:t>
      </w:r>
      <w:r w:rsidRPr="2181D48A">
        <w:rPr>
          <w:lang w:eastAsia="en-AU"/>
        </w:rPr>
        <w:lastRenderedPageBreak/>
        <w:t>infrastructure facilities in 30</w:t>
      </w:r>
      <w:r w:rsidR="40263EFC" w:rsidRPr="2181D48A">
        <w:rPr>
          <w:lang w:eastAsia="en-AU"/>
        </w:rPr>
        <w:t> </w:t>
      </w:r>
      <w:r w:rsidRPr="2181D48A">
        <w:rPr>
          <w:lang w:eastAsia="en-AU"/>
        </w:rPr>
        <w:t xml:space="preserve">schools in </w:t>
      </w:r>
      <w:r w:rsidR="145FF38F" w:rsidRPr="2181D48A">
        <w:rPr>
          <w:lang w:eastAsia="en-AU"/>
        </w:rPr>
        <w:t xml:space="preserve">the </w:t>
      </w:r>
      <w:r w:rsidRPr="2181D48A">
        <w:rPr>
          <w:lang w:eastAsia="en-AU"/>
        </w:rPr>
        <w:t xml:space="preserve">Central Islands Province with a focus on girls’ access. </w:t>
      </w:r>
      <w:r w:rsidR="080B8F28" w:rsidRPr="2181D48A">
        <w:rPr>
          <w:rFonts w:cs="Calibri Light"/>
          <w:lang w:eastAsia="en-AU"/>
        </w:rPr>
        <w:t>O</w:t>
      </w:r>
      <w:r w:rsidRPr="2181D48A">
        <w:rPr>
          <w:rFonts w:cs="Calibri Light"/>
          <w:lang w:eastAsia="en-AU"/>
        </w:rPr>
        <w:t>ver the life of the DPP</w:t>
      </w:r>
      <w:r w:rsidR="080B8F28" w:rsidRPr="2181D48A">
        <w:rPr>
          <w:rFonts w:cs="Calibri Light"/>
          <w:lang w:eastAsia="en-AU"/>
        </w:rPr>
        <w:t>, we will explore</w:t>
      </w:r>
      <w:r w:rsidRPr="2181D48A">
        <w:rPr>
          <w:rFonts w:cs="Calibri Light"/>
          <w:lang w:eastAsia="en-AU"/>
        </w:rPr>
        <w:t xml:space="preserve"> how we can </w:t>
      </w:r>
      <w:r w:rsidR="0036256A">
        <w:rPr>
          <w:rFonts w:cs="Calibri Light"/>
          <w:lang w:eastAsia="en-AU"/>
        </w:rPr>
        <w:t xml:space="preserve">further </w:t>
      </w:r>
      <w:r w:rsidRPr="2181D48A">
        <w:rPr>
          <w:rFonts w:cs="Calibri Light"/>
          <w:lang w:eastAsia="en-AU"/>
        </w:rPr>
        <w:t>expand our support for WASH in schools and in vulnerable communities</w:t>
      </w:r>
      <w:r w:rsidR="43F3F91A" w:rsidRPr="2181D48A">
        <w:rPr>
          <w:rFonts w:cs="Calibri Light"/>
          <w:lang w:eastAsia="en-AU"/>
        </w:rPr>
        <w:t>.</w:t>
      </w:r>
    </w:p>
    <w:p w14:paraId="1C1CC6D6" w14:textId="4B4C0BEF" w:rsidR="0011314B" w:rsidRPr="00D573D9" w:rsidRDefault="00DF0B19" w:rsidP="00E82723">
      <w:pPr>
        <w:rPr>
          <w:lang w:eastAsia="en-AU"/>
        </w:rPr>
      </w:pPr>
      <w:r w:rsidRPr="00D573D9">
        <w:rPr>
          <w:lang w:eastAsia="en-AU"/>
        </w:rPr>
        <w:t xml:space="preserve">Australia’s bilateral, regional and global investments in health will support the achievement of the </w:t>
      </w:r>
      <w:r w:rsidR="00432B57">
        <w:rPr>
          <w:lang w:eastAsia="en-AU"/>
        </w:rPr>
        <w:t xml:space="preserve">Solomon Islands </w:t>
      </w:r>
      <w:r w:rsidRPr="00D573D9">
        <w:rPr>
          <w:lang w:eastAsia="en-AU"/>
        </w:rPr>
        <w:t xml:space="preserve">National Health Strategic Plan 2022–2031, with a current focus on three key areas: improving health infrastructure, delivering essential services and building a stronger health system. </w:t>
      </w:r>
      <w:r w:rsidR="00BD534C">
        <w:rPr>
          <w:lang w:eastAsia="en-AU"/>
        </w:rPr>
        <w:t>Our</w:t>
      </w:r>
      <w:r w:rsidR="00BD534C" w:rsidRPr="00D573D9">
        <w:rPr>
          <w:lang w:eastAsia="en-AU"/>
        </w:rPr>
        <w:t xml:space="preserve"> </w:t>
      </w:r>
      <w:r w:rsidRPr="00D573D9">
        <w:rPr>
          <w:lang w:eastAsia="en-AU"/>
        </w:rPr>
        <w:t>new bilateral health investment</w:t>
      </w:r>
      <w:r w:rsidR="00BD534C">
        <w:rPr>
          <w:lang w:eastAsia="en-AU"/>
        </w:rPr>
        <w:t>, which</w:t>
      </w:r>
      <w:r w:rsidRPr="00D573D9">
        <w:rPr>
          <w:lang w:eastAsia="en-AU"/>
        </w:rPr>
        <w:t xml:space="preserve"> </w:t>
      </w:r>
      <w:r w:rsidR="00C337FC">
        <w:rPr>
          <w:lang w:eastAsia="en-AU"/>
        </w:rPr>
        <w:t>commenced</w:t>
      </w:r>
      <w:r w:rsidRPr="00D573D9">
        <w:rPr>
          <w:lang w:eastAsia="en-AU"/>
        </w:rPr>
        <w:t xml:space="preserve"> in</w:t>
      </w:r>
      <w:r w:rsidR="00BD534C">
        <w:rPr>
          <w:lang w:eastAsia="en-AU"/>
        </w:rPr>
        <w:t xml:space="preserve"> February</w:t>
      </w:r>
      <w:r w:rsidRPr="00D573D9">
        <w:rPr>
          <w:lang w:eastAsia="en-AU"/>
        </w:rPr>
        <w:t xml:space="preserve"> 2025</w:t>
      </w:r>
      <w:r w:rsidR="00315E9B">
        <w:rPr>
          <w:lang w:eastAsia="en-AU"/>
        </w:rPr>
        <w:t>,</w:t>
      </w:r>
      <w:r w:rsidRPr="00D573D9">
        <w:rPr>
          <w:lang w:eastAsia="en-AU"/>
        </w:rPr>
        <w:t xml:space="preserve"> will focus on provincial level service delivery</w:t>
      </w:r>
      <w:r w:rsidR="0011314B" w:rsidRPr="00D573D9">
        <w:rPr>
          <w:lang w:eastAsia="en-AU"/>
        </w:rPr>
        <w:t>.</w:t>
      </w:r>
      <w:r w:rsidR="00090137" w:rsidRPr="00D573D9">
        <w:rPr>
          <w:lang w:eastAsia="en-AU"/>
        </w:rPr>
        <w:t xml:space="preserve"> </w:t>
      </w:r>
      <w:r w:rsidRPr="00D573D9">
        <w:rPr>
          <w:lang w:eastAsia="en-AU"/>
        </w:rPr>
        <w:t xml:space="preserve">The Naha Birthing and Urban Health Centre in East Honiara will be the flagship project of our health infrastructure support, supplemented by smaller infrastructure projects across the country. </w:t>
      </w:r>
      <w:r w:rsidR="0011314B" w:rsidRPr="00D573D9">
        <w:rPr>
          <w:lang w:eastAsia="en-AU"/>
        </w:rPr>
        <w:t>Australia’s regional health initiative, Partnerships for a Healthy Region, will extend the reach of our bilateral program through targeted activities to strengthen health security, health service delivery and health systems</w:t>
      </w:r>
      <w:r w:rsidR="00D95442">
        <w:rPr>
          <w:lang w:eastAsia="en-AU"/>
        </w:rPr>
        <w:t>,</w:t>
      </w:r>
      <w:r w:rsidR="5190C142" w:rsidRPr="00D573D9">
        <w:rPr>
          <w:lang w:eastAsia="en-AU"/>
        </w:rPr>
        <w:t xml:space="preserve"> promoting a One Health approach across </w:t>
      </w:r>
      <w:r w:rsidR="00624CE7">
        <w:rPr>
          <w:lang w:eastAsia="en-AU"/>
        </w:rPr>
        <w:t xml:space="preserve">the </w:t>
      </w:r>
      <w:r w:rsidR="5190C142" w:rsidRPr="00D573D9">
        <w:rPr>
          <w:lang w:eastAsia="en-AU"/>
        </w:rPr>
        <w:t xml:space="preserve">human and animal </w:t>
      </w:r>
      <w:r w:rsidR="00A61CFB">
        <w:rPr>
          <w:lang w:eastAsia="en-AU"/>
        </w:rPr>
        <w:t>health</w:t>
      </w:r>
      <w:r w:rsidR="008E70FD">
        <w:rPr>
          <w:lang w:eastAsia="en-AU"/>
        </w:rPr>
        <w:t> </w:t>
      </w:r>
      <w:r w:rsidR="5190C142" w:rsidRPr="00D573D9">
        <w:rPr>
          <w:lang w:eastAsia="en-AU"/>
        </w:rPr>
        <w:t>sectors.</w:t>
      </w:r>
    </w:p>
    <w:p w14:paraId="44242076" w14:textId="39396A87" w:rsidR="00DF0B19" w:rsidRPr="00D573D9" w:rsidRDefault="00DF0B19" w:rsidP="00D573D9">
      <w:pPr>
        <w:rPr>
          <w:lang w:eastAsia="en-AU"/>
        </w:rPr>
      </w:pPr>
      <w:r w:rsidRPr="00D573D9">
        <w:rPr>
          <w:lang w:eastAsia="en-AU"/>
        </w:rPr>
        <w:t xml:space="preserve">We will explore options for enhancing the many clinical partnerships and institutional linkages between Solomon Islands and Australia to achieve targeted and sustainable outcomes aligned with Solomon Islands priorities and to build capacity of clinical and corporate teams to operate the new Naha </w:t>
      </w:r>
      <w:r w:rsidR="004D6FFD">
        <w:rPr>
          <w:lang w:eastAsia="en-AU"/>
        </w:rPr>
        <w:t>Birthing and Urban Health Centre</w:t>
      </w:r>
      <w:r w:rsidRPr="00D573D9">
        <w:rPr>
          <w:lang w:eastAsia="en-AU"/>
        </w:rPr>
        <w:t>. We will increase our focus on supporting essential service delivery in the provinces and responding to Solomon Islands Government priorities such as non-communicable diseases, malaria control, medical supplies and health infrastructure.</w:t>
      </w:r>
      <w:r w:rsidR="00834BF1" w:rsidRPr="00D573D9">
        <w:rPr>
          <w:lang w:eastAsia="en-AU"/>
        </w:rPr>
        <w:t xml:space="preserve"> We have also assisted with provision of medical supplies.</w:t>
      </w:r>
    </w:p>
    <w:p w14:paraId="0875448D" w14:textId="7EB9A055" w:rsidR="00DF0B19" w:rsidRPr="00D573D9" w:rsidRDefault="00DF0B19" w:rsidP="00D573D9">
      <w:pPr>
        <w:rPr>
          <w:lang w:eastAsia="en-AU"/>
        </w:rPr>
      </w:pPr>
      <w:r w:rsidRPr="00D573D9">
        <w:rPr>
          <w:lang w:eastAsia="en-AU"/>
        </w:rPr>
        <w:t>Australia is Solomon Islands</w:t>
      </w:r>
      <w:r w:rsidR="00625059">
        <w:rPr>
          <w:lang w:eastAsia="en-AU"/>
        </w:rPr>
        <w:t>’</w:t>
      </w:r>
      <w:r w:rsidRPr="00D573D9">
        <w:rPr>
          <w:lang w:eastAsia="en-AU"/>
        </w:rPr>
        <w:t xml:space="preserve"> largest partner supporting gender equality and disability </w:t>
      </w:r>
      <w:r w:rsidR="00960D7C">
        <w:rPr>
          <w:lang w:eastAsia="en-AU"/>
        </w:rPr>
        <w:t>equity</w:t>
      </w:r>
      <w:r w:rsidRPr="00D573D9">
        <w:rPr>
          <w:lang w:eastAsia="en-AU"/>
        </w:rPr>
        <w:t xml:space="preserve">, working closely with the Ministry of Women, Youth, Children and Family Affairs to assist </w:t>
      </w:r>
      <w:r w:rsidR="00FE111B">
        <w:rPr>
          <w:lang w:eastAsia="en-AU"/>
        </w:rPr>
        <w:t xml:space="preserve">the </w:t>
      </w:r>
      <w:r w:rsidRPr="00D573D9">
        <w:rPr>
          <w:lang w:eastAsia="en-AU"/>
        </w:rPr>
        <w:t xml:space="preserve">Solomon Islands Government </w:t>
      </w:r>
      <w:r w:rsidR="00C11FE3">
        <w:rPr>
          <w:lang w:eastAsia="en-AU"/>
        </w:rPr>
        <w:t xml:space="preserve">to </w:t>
      </w:r>
      <w:r w:rsidRPr="00D573D9">
        <w:rPr>
          <w:lang w:eastAsia="en-AU"/>
        </w:rPr>
        <w:t>meet its objectives under the National Development Strategy and the Solomon Islands National Disability Inclusive Development Policy 2023–2030.</w:t>
      </w:r>
    </w:p>
    <w:p w14:paraId="39EE0681" w14:textId="4FD237AE" w:rsidR="00DF0B19" w:rsidRPr="00D573D9" w:rsidRDefault="00DF0B19" w:rsidP="00D573D9">
      <w:pPr>
        <w:rPr>
          <w:lang w:eastAsia="en-AU"/>
        </w:rPr>
      </w:pPr>
      <w:r w:rsidRPr="00D573D9">
        <w:rPr>
          <w:lang w:eastAsia="en-AU"/>
        </w:rPr>
        <w:t xml:space="preserve">We will work with </w:t>
      </w:r>
      <w:r w:rsidR="00467D7A">
        <w:rPr>
          <w:lang w:eastAsia="en-AU"/>
        </w:rPr>
        <w:t xml:space="preserve">the </w:t>
      </w:r>
      <w:r w:rsidRPr="00D573D9">
        <w:rPr>
          <w:lang w:eastAsia="en-AU"/>
        </w:rPr>
        <w:t xml:space="preserve">Solomon Islands Government, key women’s organisations and other partners on three key priorities: ending violence against women (including </w:t>
      </w:r>
      <w:r w:rsidR="009250D2" w:rsidRPr="00D573D9">
        <w:rPr>
          <w:lang w:eastAsia="en-AU"/>
        </w:rPr>
        <w:t xml:space="preserve">by improving </w:t>
      </w:r>
      <w:r w:rsidRPr="00D573D9">
        <w:rPr>
          <w:lang w:eastAsia="en-AU"/>
        </w:rPr>
        <w:t>women’s access to justice)</w:t>
      </w:r>
      <w:r w:rsidR="00DC1BAD">
        <w:rPr>
          <w:lang w:eastAsia="en-AU"/>
        </w:rPr>
        <w:t>,</w:t>
      </w:r>
      <w:r w:rsidRPr="00D573D9">
        <w:rPr>
          <w:lang w:eastAsia="en-AU"/>
        </w:rPr>
        <w:t xml:space="preserve"> women’s leadership and decision-making (including advocacy for temporary special measures)</w:t>
      </w:r>
      <w:r w:rsidR="00DC1BAD">
        <w:rPr>
          <w:lang w:eastAsia="en-AU"/>
        </w:rPr>
        <w:t>,</w:t>
      </w:r>
      <w:r w:rsidRPr="00D573D9">
        <w:rPr>
          <w:lang w:eastAsia="en-AU"/>
        </w:rPr>
        <w:t xml:space="preserve"> and women’s rights and economic empowerment</w:t>
      </w:r>
      <w:r w:rsidR="00033CA5">
        <w:rPr>
          <w:lang w:eastAsia="en-AU"/>
        </w:rPr>
        <w:t>.</w:t>
      </w:r>
      <w:r w:rsidR="4ED737AD" w:rsidRPr="00D573D9">
        <w:rPr>
          <w:lang w:eastAsia="en-AU"/>
        </w:rPr>
        <w:t xml:space="preserve"> </w:t>
      </w:r>
      <w:r w:rsidR="00033CA5">
        <w:rPr>
          <w:lang w:eastAsia="en-AU"/>
        </w:rPr>
        <w:t>G</w:t>
      </w:r>
      <w:r w:rsidR="4ED737AD" w:rsidRPr="00D573D9">
        <w:rPr>
          <w:lang w:eastAsia="en-AU"/>
        </w:rPr>
        <w:t xml:space="preserve">ender will </w:t>
      </w:r>
      <w:r w:rsidR="00033CA5">
        <w:rPr>
          <w:lang w:eastAsia="en-AU"/>
        </w:rPr>
        <w:t xml:space="preserve">also </w:t>
      </w:r>
      <w:r w:rsidR="4ED737AD" w:rsidRPr="00D573D9">
        <w:rPr>
          <w:lang w:eastAsia="en-AU"/>
        </w:rPr>
        <w:t xml:space="preserve">be mainstreamed and essential to achieving all </w:t>
      </w:r>
      <w:r w:rsidR="00EE1B75">
        <w:rPr>
          <w:lang w:eastAsia="en-AU"/>
        </w:rPr>
        <w:t>the</w:t>
      </w:r>
      <w:r w:rsidR="4ED737AD" w:rsidRPr="00D573D9">
        <w:rPr>
          <w:lang w:eastAsia="en-AU"/>
        </w:rPr>
        <w:t xml:space="preserve"> objectives</w:t>
      </w:r>
      <w:r w:rsidR="00EE1B75">
        <w:rPr>
          <w:lang w:eastAsia="en-AU"/>
        </w:rPr>
        <w:t xml:space="preserve"> of this DPP</w:t>
      </w:r>
      <w:r w:rsidR="4ED737AD" w:rsidRPr="00D573D9">
        <w:rPr>
          <w:lang w:eastAsia="en-AU"/>
        </w:rPr>
        <w:t>.</w:t>
      </w:r>
      <w:r w:rsidRPr="00D573D9">
        <w:rPr>
          <w:lang w:eastAsia="en-AU"/>
        </w:rPr>
        <w:t xml:space="preserve"> We will do this through our bilateral programs and regional programs such as Pacific Women Lead. In </w:t>
      </w:r>
      <w:r w:rsidR="00A80625">
        <w:rPr>
          <w:lang w:eastAsia="en-AU"/>
        </w:rPr>
        <w:t>line</w:t>
      </w:r>
      <w:r w:rsidR="00A80625" w:rsidRPr="00D573D9">
        <w:rPr>
          <w:lang w:eastAsia="en-AU"/>
        </w:rPr>
        <w:t xml:space="preserve"> </w:t>
      </w:r>
      <w:r w:rsidRPr="00D573D9">
        <w:rPr>
          <w:lang w:eastAsia="en-AU"/>
        </w:rPr>
        <w:t xml:space="preserve">with </w:t>
      </w:r>
      <w:r w:rsidR="009D6EFB">
        <w:rPr>
          <w:lang w:eastAsia="en-AU"/>
        </w:rPr>
        <w:t>Australia’s</w:t>
      </w:r>
      <w:r w:rsidRPr="00D573D9">
        <w:rPr>
          <w:lang w:eastAsia="en-AU"/>
        </w:rPr>
        <w:t xml:space="preserve"> </w:t>
      </w:r>
      <w:r w:rsidR="009D6EFB">
        <w:rPr>
          <w:lang w:eastAsia="en-AU"/>
        </w:rPr>
        <w:t>I</w:t>
      </w:r>
      <w:r w:rsidRPr="00D573D9">
        <w:rPr>
          <w:lang w:eastAsia="en-AU"/>
        </w:rPr>
        <w:t xml:space="preserve">nternational </w:t>
      </w:r>
      <w:r w:rsidR="009D6EFB">
        <w:rPr>
          <w:lang w:eastAsia="en-AU"/>
        </w:rPr>
        <w:t>D</w:t>
      </w:r>
      <w:r w:rsidRPr="00D573D9">
        <w:rPr>
          <w:lang w:eastAsia="en-AU"/>
        </w:rPr>
        <w:t xml:space="preserve">evelopment </w:t>
      </w:r>
      <w:r w:rsidR="009D6EFB">
        <w:rPr>
          <w:lang w:eastAsia="en-AU"/>
        </w:rPr>
        <w:t>P</w:t>
      </w:r>
      <w:r w:rsidRPr="00D573D9">
        <w:rPr>
          <w:lang w:eastAsia="en-AU"/>
        </w:rPr>
        <w:t xml:space="preserve">olicy and </w:t>
      </w:r>
      <w:r w:rsidR="00AE343C">
        <w:rPr>
          <w:lang w:eastAsia="en-AU"/>
        </w:rPr>
        <w:t>the Australian Government Department of Foreign Affairs and Trade’s</w:t>
      </w:r>
      <w:r w:rsidR="00AE0C6D">
        <w:rPr>
          <w:lang w:eastAsia="en-AU"/>
        </w:rPr>
        <w:t xml:space="preserve"> International</w:t>
      </w:r>
      <w:r w:rsidRPr="00D573D9">
        <w:rPr>
          <w:lang w:eastAsia="en-AU"/>
        </w:rPr>
        <w:t xml:space="preserve"> Gender Equality Strategy, we will enhance support for gender equality by ensuring that</w:t>
      </w:r>
      <w:r w:rsidR="009E3FF0">
        <w:rPr>
          <w:lang w:eastAsia="en-AU"/>
        </w:rPr>
        <w:t xml:space="preserve"> at least</w:t>
      </w:r>
      <w:r w:rsidRPr="00D573D9">
        <w:rPr>
          <w:lang w:eastAsia="en-AU"/>
        </w:rPr>
        <w:t xml:space="preserve"> 80</w:t>
      </w:r>
      <w:r w:rsidR="00C60E3E">
        <w:rPr>
          <w:lang w:eastAsia="en-AU"/>
        </w:rPr>
        <w:t> </w:t>
      </w:r>
      <w:r w:rsidRPr="00D573D9">
        <w:rPr>
          <w:lang w:eastAsia="en-AU"/>
        </w:rPr>
        <w:t xml:space="preserve">per cent of investments address gender equality effectively and </w:t>
      </w:r>
      <w:r w:rsidR="005D3741">
        <w:rPr>
          <w:lang w:eastAsia="en-AU"/>
        </w:rPr>
        <w:t xml:space="preserve">that </w:t>
      </w:r>
      <w:r w:rsidRPr="00D573D9">
        <w:rPr>
          <w:lang w:eastAsia="en-AU"/>
        </w:rPr>
        <w:t xml:space="preserve">all new investments </w:t>
      </w:r>
      <w:r w:rsidR="00C60E3E">
        <w:rPr>
          <w:lang w:eastAsia="en-AU"/>
        </w:rPr>
        <w:t>more than</w:t>
      </w:r>
      <w:r w:rsidRPr="00D573D9">
        <w:rPr>
          <w:lang w:eastAsia="en-AU"/>
        </w:rPr>
        <w:t xml:space="preserve"> AUD3</w:t>
      </w:r>
      <w:r w:rsidR="00C60E3E">
        <w:rPr>
          <w:lang w:eastAsia="en-AU"/>
        </w:rPr>
        <w:t> </w:t>
      </w:r>
      <w:r w:rsidRPr="00D573D9">
        <w:rPr>
          <w:lang w:eastAsia="en-AU"/>
        </w:rPr>
        <w:t>million include gender equality outcomes.</w:t>
      </w:r>
    </w:p>
    <w:p w14:paraId="707D7DB2" w14:textId="3F72B8A6" w:rsidR="00DF0B19" w:rsidRPr="00D573D9" w:rsidRDefault="3C00885C" w:rsidP="00D573D9">
      <w:pPr>
        <w:rPr>
          <w:lang w:eastAsia="en-AU"/>
        </w:rPr>
      </w:pPr>
      <w:r w:rsidRPr="321937C1">
        <w:rPr>
          <w:lang w:eastAsia="en-AU"/>
        </w:rPr>
        <w:t xml:space="preserve">Australia has provided grant funding and technical assistance to </w:t>
      </w:r>
      <w:r w:rsidR="00BD534C">
        <w:rPr>
          <w:lang w:eastAsia="en-AU"/>
        </w:rPr>
        <w:t>the</w:t>
      </w:r>
      <w:r w:rsidR="37568373" w:rsidRPr="321937C1">
        <w:rPr>
          <w:lang w:eastAsia="en-AU"/>
        </w:rPr>
        <w:t xml:space="preserve"> National Disability Forum </w:t>
      </w:r>
      <w:r w:rsidR="0D503C9D" w:rsidRPr="321937C1">
        <w:rPr>
          <w:lang w:eastAsia="en-AU"/>
        </w:rPr>
        <w:t xml:space="preserve">of </w:t>
      </w:r>
      <w:r w:rsidR="37568373" w:rsidRPr="321937C1">
        <w:rPr>
          <w:lang w:eastAsia="en-AU"/>
        </w:rPr>
        <w:t xml:space="preserve">Solomon </w:t>
      </w:r>
      <w:proofErr w:type="gramStart"/>
      <w:r w:rsidR="37568373" w:rsidRPr="321937C1">
        <w:rPr>
          <w:lang w:eastAsia="en-AU"/>
        </w:rPr>
        <w:t>Islands</w:t>
      </w:r>
      <w:proofErr w:type="gramEnd"/>
      <w:r w:rsidR="22E1CCDA" w:rsidRPr="321937C1">
        <w:rPr>
          <w:lang w:eastAsia="en-AU"/>
        </w:rPr>
        <w:t xml:space="preserve"> </w:t>
      </w:r>
      <w:r w:rsidRPr="321937C1">
        <w:rPr>
          <w:lang w:eastAsia="en-AU"/>
        </w:rPr>
        <w:t xml:space="preserve">and </w:t>
      </w:r>
      <w:r w:rsidRPr="005B61CC">
        <w:rPr>
          <w:lang w:eastAsia="en-AU"/>
        </w:rPr>
        <w:t xml:space="preserve">we will continue to explore ways to strengthen their voice and contribution to policy debate in Solomon Islands, </w:t>
      </w:r>
      <w:r w:rsidR="179A4E4A" w:rsidRPr="005B61CC">
        <w:rPr>
          <w:lang w:eastAsia="en-AU"/>
        </w:rPr>
        <w:t>guided by their priorities</w:t>
      </w:r>
      <w:r w:rsidRPr="005B61CC">
        <w:rPr>
          <w:lang w:eastAsia="en-AU"/>
        </w:rPr>
        <w:t>.</w:t>
      </w:r>
      <w:r w:rsidRPr="321937C1">
        <w:rPr>
          <w:lang w:eastAsia="en-AU"/>
        </w:rPr>
        <w:t xml:space="preserve"> </w:t>
      </w:r>
      <w:r w:rsidR="00E0738F">
        <w:rPr>
          <w:lang w:eastAsia="en-AU"/>
        </w:rPr>
        <w:t xml:space="preserve">The </w:t>
      </w:r>
      <w:r w:rsidR="622423AD" w:rsidRPr="321937C1">
        <w:rPr>
          <w:lang w:eastAsia="en-AU"/>
        </w:rPr>
        <w:t>National Disability Forum</w:t>
      </w:r>
      <w:r w:rsidR="3AF5E06A" w:rsidRPr="321937C1">
        <w:rPr>
          <w:lang w:eastAsia="en-AU"/>
        </w:rPr>
        <w:t xml:space="preserve"> of</w:t>
      </w:r>
      <w:r w:rsidR="00BD534C">
        <w:rPr>
          <w:lang w:eastAsia="en-AU"/>
        </w:rPr>
        <w:t xml:space="preserve"> </w:t>
      </w:r>
      <w:r w:rsidR="4D082E55" w:rsidRPr="321937C1">
        <w:rPr>
          <w:lang w:eastAsia="en-AU"/>
        </w:rPr>
        <w:t>Solomon Islands</w:t>
      </w:r>
      <w:r w:rsidRPr="321937C1">
        <w:rPr>
          <w:lang w:eastAsia="en-AU"/>
        </w:rPr>
        <w:t xml:space="preserve"> is one of seven members of the consortium of NGOs implementing the Disaster READY fund, with funding to support other NGOs to better incorporate disability </w:t>
      </w:r>
      <w:r w:rsidR="09FD04F5" w:rsidRPr="321937C1">
        <w:rPr>
          <w:lang w:eastAsia="en-AU"/>
        </w:rPr>
        <w:t>equity</w:t>
      </w:r>
      <w:r w:rsidRPr="321937C1">
        <w:rPr>
          <w:lang w:eastAsia="en-AU"/>
        </w:rPr>
        <w:t xml:space="preserve"> in their workplans.</w:t>
      </w:r>
    </w:p>
    <w:p w14:paraId="1208CF2E" w14:textId="6AAF17C4" w:rsidR="00847CD8" w:rsidRPr="00D573D9" w:rsidRDefault="00DF0B19" w:rsidP="00D573D9">
      <w:pPr>
        <w:rPr>
          <w:lang w:eastAsia="en-AU"/>
        </w:rPr>
      </w:pPr>
      <w:r w:rsidRPr="7E61FB33">
        <w:rPr>
          <w:lang w:eastAsia="en-AU"/>
        </w:rPr>
        <w:t xml:space="preserve">Communities will be given opportunities to improve their living standards through small </w:t>
      </w:r>
      <w:r w:rsidR="42B59FFD" w:rsidRPr="7E61FB33">
        <w:rPr>
          <w:lang w:eastAsia="en-AU"/>
        </w:rPr>
        <w:t>projects</w:t>
      </w:r>
      <w:r w:rsidRPr="7E61FB33">
        <w:rPr>
          <w:lang w:eastAsia="en-AU"/>
        </w:rPr>
        <w:t xml:space="preserve"> under the Solomon Islands – Australia Community Partnerships</w:t>
      </w:r>
      <w:r w:rsidR="007943BB">
        <w:rPr>
          <w:lang w:eastAsia="en-AU"/>
        </w:rPr>
        <w:t xml:space="preserve"> program</w:t>
      </w:r>
      <w:r w:rsidR="1D8B4426" w:rsidRPr="7E61FB33">
        <w:rPr>
          <w:lang w:eastAsia="en-AU"/>
        </w:rPr>
        <w:t>.</w:t>
      </w:r>
      <w:r w:rsidRPr="7E61FB33">
        <w:rPr>
          <w:lang w:eastAsia="en-AU"/>
        </w:rPr>
        <w:t xml:space="preserve"> We will prioritise small-scale infrastructure projects that benefit disadvantaged groups</w:t>
      </w:r>
      <w:r w:rsidR="00AE0AB9">
        <w:rPr>
          <w:lang w:eastAsia="en-AU"/>
        </w:rPr>
        <w:t>,</w:t>
      </w:r>
      <w:r w:rsidRPr="7E61FB33">
        <w:rPr>
          <w:lang w:eastAsia="en-AU"/>
        </w:rPr>
        <w:t xml:space="preserve"> such as</w:t>
      </w:r>
      <w:r w:rsidR="00E6230E">
        <w:rPr>
          <w:lang w:eastAsia="en-AU"/>
        </w:rPr>
        <w:t xml:space="preserve"> people from isolated communities,</w:t>
      </w:r>
      <w:r w:rsidRPr="7E61FB33">
        <w:rPr>
          <w:lang w:eastAsia="en-AU"/>
        </w:rPr>
        <w:t xml:space="preserve"> women, youth</w:t>
      </w:r>
      <w:r w:rsidR="00EA189C">
        <w:rPr>
          <w:lang w:eastAsia="en-AU"/>
        </w:rPr>
        <w:t>,</w:t>
      </w:r>
      <w:r w:rsidR="00E6230E">
        <w:rPr>
          <w:lang w:eastAsia="en-AU"/>
        </w:rPr>
        <w:t xml:space="preserve"> and</w:t>
      </w:r>
      <w:r w:rsidRPr="7E61FB33">
        <w:rPr>
          <w:lang w:eastAsia="en-AU"/>
        </w:rPr>
        <w:t xml:space="preserve"> </w:t>
      </w:r>
      <w:r w:rsidR="00721A08" w:rsidRPr="7E61FB33">
        <w:rPr>
          <w:lang w:eastAsia="en-AU"/>
        </w:rPr>
        <w:t xml:space="preserve">people </w:t>
      </w:r>
      <w:r w:rsidRPr="7E61FB33">
        <w:rPr>
          <w:lang w:eastAsia="en-AU"/>
        </w:rPr>
        <w:t>with disabilit</w:t>
      </w:r>
      <w:r w:rsidR="00721A08" w:rsidRPr="7E61FB33">
        <w:rPr>
          <w:lang w:eastAsia="en-AU"/>
        </w:rPr>
        <w:t>y</w:t>
      </w:r>
      <w:r w:rsidR="00AE0AB9">
        <w:rPr>
          <w:lang w:eastAsia="en-AU"/>
        </w:rPr>
        <w:t>,</w:t>
      </w:r>
      <w:r w:rsidRPr="7E61FB33">
        <w:rPr>
          <w:lang w:eastAsia="en-AU"/>
        </w:rPr>
        <w:t xml:space="preserve"> </w:t>
      </w:r>
      <w:r w:rsidR="00C074D5">
        <w:rPr>
          <w:lang w:eastAsia="en-AU"/>
        </w:rPr>
        <w:t>a</w:t>
      </w:r>
      <w:r w:rsidR="00BC03B9">
        <w:rPr>
          <w:lang w:eastAsia="en-AU"/>
        </w:rPr>
        <w:t xml:space="preserve">nd </w:t>
      </w:r>
      <w:r w:rsidR="006E70BA">
        <w:rPr>
          <w:lang w:eastAsia="en-AU"/>
        </w:rPr>
        <w:t xml:space="preserve">that are </w:t>
      </w:r>
      <w:r w:rsidRPr="7E61FB33">
        <w:rPr>
          <w:lang w:eastAsia="en-AU"/>
        </w:rPr>
        <w:t>awarded across all provinces of Solomon Islands.</w:t>
      </w:r>
    </w:p>
    <w:p w14:paraId="7AFBB8C1" w14:textId="0D78869C" w:rsidR="004B03ED" w:rsidRPr="00D573D9" w:rsidRDefault="004B03ED" w:rsidP="00E82723">
      <w:pPr>
        <w:rPr>
          <w:rFonts w:cs="Calibri Light"/>
          <w:lang w:eastAsia="en-AU"/>
        </w:rPr>
      </w:pPr>
      <w:r w:rsidRPr="00D573D9">
        <w:rPr>
          <w:lang w:eastAsia="en-AU"/>
        </w:rPr>
        <w:t xml:space="preserve">Australia and Solomon Islands are family with interconnected futures – we share a region, an ocean and a history of partnership. Many of our investments – including </w:t>
      </w:r>
      <w:r w:rsidR="00BD6155">
        <w:rPr>
          <w:lang w:eastAsia="en-AU"/>
        </w:rPr>
        <w:t xml:space="preserve">the </w:t>
      </w:r>
      <w:r w:rsidRPr="00D573D9">
        <w:rPr>
          <w:lang w:eastAsia="en-AU"/>
        </w:rPr>
        <w:t>PALM</w:t>
      </w:r>
      <w:r w:rsidR="00BD6155">
        <w:rPr>
          <w:lang w:eastAsia="en-AU"/>
        </w:rPr>
        <w:t xml:space="preserve"> scheme</w:t>
      </w:r>
      <w:r w:rsidRPr="00D573D9">
        <w:rPr>
          <w:lang w:eastAsia="en-AU"/>
        </w:rPr>
        <w:t>, Pacific Engagement Visa, Australia Awards, Australian Volunteers Program, Defence Cooperation</w:t>
      </w:r>
      <w:r w:rsidR="002B42D9">
        <w:rPr>
          <w:lang w:eastAsia="en-AU"/>
        </w:rPr>
        <w:t xml:space="preserve"> Program</w:t>
      </w:r>
      <w:r w:rsidRPr="00D573D9">
        <w:rPr>
          <w:lang w:eastAsia="en-AU"/>
        </w:rPr>
        <w:t xml:space="preserve">, Australian NGO Cooperation Program and sports diplomacy </w:t>
      </w:r>
      <w:r w:rsidR="00424B2B">
        <w:rPr>
          <w:lang w:eastAsia="en-AU"/>
        </w:rPr>
        <w:t xml:space="preserve">– </w:t>
      </w:r>
      <w:r w:rsidRPr="00D573D9">
        <w:rPr>
          <w:lang w:eastAsia="en-AU"/>
        </w:rPr>
        <w:t>help to build strong linkages between our communities and our nations, creating deeper connections and understanding between Australia and Solomon Islands.</w:t>
      </w:r>
    </w:p>
    <w:p w14:paraId="205B130F" w14:textId="13B07209" w:rsidR="002F4955" w:rsidRPr="009F3ACA" w:rsidRDefault="73BBFF6B" w:rsidP="00E737AF">
      <w:pPr>
        <w:pStyle w:val="H3-Heading3"/>
      </w:pPr>
      <w:r w:rsidRPr="00A90F65">
        <w:lastRenderedPageBreak/>
        <w:t xml:space="preserve">Objective 3: </w:t>
      </w:r>
      <w:r w:rsidR="18E8EADC" w:rsidRPr="00A90F65">
        <w:t xml:space="preserve">Improved </w:t>
      </w:r>
      <w:r w:rsidR="581A1C6F" w:rsidRPr="00A90F65">
        <w:t>stability, security and resilience</w:t>
      </w:r>
    </w:p>
    <w:p w14:paraId="1F6620BF" w14:textId="2F229691" w:rsidR="000A142A" w:rsidRPr="00D573D9" w:rsidRDefault="7F2FC0D4" w:rsidP="00D573D9">
      <w:pPr>
        <w:rPr>
          <w:lang w:eastAsia="en-AU"/>
        </w:rPr>
      </w:pPr>
      <w:r w:rsidRPr="2A22DF3F">
        <w:rPr>
          <w:lang w:eastAsia="en-AU"/>
        </w:rPr>
        <w:t>Strengthening</w:t>
      </w:r>
      <w:r w:rsidR="52916187" w:rsidRPr="2A22DF3F">
        <w:rPr>
          <w:lang w:eastAsia="en-AU"/>
        </w:rPr>
        <w:t xml:space="preserve"> stability</w:t>
      </w:r>
      <w:r w:rsidR="5469561B" w:rsidRPr="2A22DF3F">
        <w:rPr>
          <w:lang w:eastAsia="en-AU"/>
        </w:rPr>
        <w:t>, security</w:t>
      </w:r>
      <w:r w:rsidR="52916187" w:rsidRPr="2A22DF3F">
        <w:rPr>
          <w:lang w:eastAsia="en-AU"/>
        </w:rPr>
        <w:t xml:space="preserve"> and </w:t>
      </w:r>
      <w:r w:rsidR="4ABF5C98" w:rsidRPr="2A22DF3F">
        <w:rPr>
          <w:lang w:eastAsia="en-AU"/>
        </w:rPr>
        <w:t>resilien</w:t>
      </w:r>
      <w:r w:rsidR="52916187" w:rsidRPr="2A22DF3F">
        <w:rPr>
          <w:lang w:eastAsia="en-AU"/>
        </w:rPr>
        <w:t>ce</w:t>
      </w:r>
      <w:r w:rsidR="4ABF5C98" w:rsidRPr="2A22DF3F">
        <w:rPr>
          <w:lang w:eastAsia="en-AU"/>
        </w:rPr>
        <w:t xml:space="preserve"> to disasters and climate change will enable </w:t>
      </w:r>
      <w:r w:rsidR="52916187" w:rsidRPr="2A22DF3F">
        <w:rPr>
          <w:lang w:eastAsia="en-AU"/>
        </w:rPr>
        <w:t xml:space="preserve">Solomon Islands to grow its </w:t>
      </w:r>
      <w:r w:rsidR="4ABF5C98" w:rsidRPr="2A22DF3F">
        <w:rPr>
          <w:lang w:eastAsia="en-AU"/>
        </w:rPr>
        <w:t xml:space="preserve">economy </w:t>
      </w:r>
      <w:r w:rsidR="52916187" w:rsidRPr="2A22DF3F">
        <w:rPr>
          <w:lang w:eastAsia="en-AU"/>
        </w:rPr>
        <w:t>and improve the</w:t>
      </w:r>
      <w:r w:rsidR="4ABF5C98" w:rsidRPr="2A22DF3F">
        <w:rPr>
          <w:lang w:eastAsia="en-AU"/>
        </w:rPr>
        <w:t xml:space="preserve"> livelihoods and wellbeing</w:t>
      </w:r>
      <w:r w:rsidR="52916187" w:rsidRPr="2A22DF3F">
        <w:rPr>
          <w:lang w:eastAsia="en-AU"/>
        </w:rPr>
        <w:t xml:space="preserve"> of its people</w:t>
      </w:r>
      <w:r w:rsidR="4ABF5C98" w:rsidRPr="2A22DF3F">
        <w:rPr>
          <w:lang w:eastAsia="en-AU"/>
        </w:rPr>
        <w:t xml:space="preserve">. </w:t>
      </w:r>
      <w:r w:rsidR="52916187" w:rsidRPr="2A22DF3F">
        <w:rPr>
          <w:lang w:eastAsia="en-AU"/>
        </w:rPr>
        <w:t xml:space="preserve">Australia </w:t>
      </w:r>
      <w:r w:rsidR="553ACDA4" w:rsidRPr="2A22DF3F">
        <w:rPr>
          <w:lang w:eastAsia="en-AU"/>
        </w:rPr>
        <w:t>will continue our</w:t>
      </w:r>
      <w:r w:rsidR="52916187" w:rsidRPr="2A22DF3F">
        <w:rPr>
          <w:lang w:eastAsia="en-AU"/>
        </w:rPr>
        <w:t xml:space="preserve"> enduring partnership with Solomon Islands</w:t>
      </w:r>
      <w:r w:rsidR="553ACDA4" w:rsidRPr="2A22DF3F">
        <w:rPr>
          <w:lang w:eastAsia="en-AU"/>
        </w:rPr>
        <w:t xml:space="preserve"> to</w:t>
      </w:r>
      <w:r w:rsidR="50D020C7" w:rsidRPr="2A22DF3F">
        <w:rPr>
          <w:lang w:eastAsia="en-AU"/>
        </w:rPr>
        <w:t xml:space="preserve"> strengthen </w:t>
      </w:r>
      <w:r w:rsidR="3E565E1F" w:rsidRPr="2A22DF3F">
        <w:rPr>
          <w:lang w:eastAsia="en-AU"/>
        </w:rPr>
        <w:t xml:space="preserve">its </w:t>
      </w:r>
      <w:r w:rsidR="50D020C7" w:rsidRPr="2A22DF3F">
        <w:rPr>
          <w:lang w:eastAsia="en-AU"/>
        </w:rPr>
        <w:t>public institutions</w:t>
      </w:r>
      <w:r w:rsidR="5E5A07AC" w:rsidRPr="2A22DF3F">
        <w:rPr>
          <w:lang w:eastAsia="en-AU"/>
        </w:rPr>
        <w:t xml:space="preserve">. </w:t>
      </w:r>
      <w:r w:rsidR="2FCA38A4" w:rsidRPr="2A22DF3F">
        <w:rPr>
          <w:lang w:eastAsia="en-AU"/>
        </w:rPr>
        <w:t xml:space="preserve">Our shared commitment to democracy and the rule of law </w:t>
      </w:r>
      <w:r w:rsidR="52916187" w:rsidRPr="2A22DF3F">
        <w:rPr>
          <w:lang w:eastAsia="en-AU"/>
        </w:rPr>
        <w:t>underpins</w:t>
      </w:r>
      <w:r w:rsidR="2FCA38A4" w:rsidRPr="2A22DF3F">
        <w:rPr>
          <w:lang w:eastAsia="en-AU"/>
        </w:rPr>
        <w:t xml:space="preserve"> our approach to driving change under Objective</w:t>
      </w:r>
      <w:r w:rsidR="4357954F" w:rsidRPr="2A22DF3F">
        <w:rPr>
          <w:lang w:eastAsia="en-AU"/>
        </w:rPr>
        <w:t> </w:t>
      </w:r>
      <w:r w:rsidR="2FCA38A4" w:rsidRPr="2A22DF3F">
        <w:rPr>
          <w:lang w:eastAsia="en-AU"/>
        </w:rPr>
        <w:t xml:space="preserve">3. </w:t>
      </w:r>
      <w:r w:rsidR="00EF09F6">
        <w:rPr>
          <w:lang w:eastAsia="en-AU"/>
        </w:rPr>
        <w:t xml:space="preserve">We will be conscious of </w:t>
      </w:r>
      <w:r w:rsidR="553ACDA4" w:rsidRPr="2A22DF3F">
        <w:rPr>
          <w:lang w:eastAsia="en-AU"/>
        </w:rPr>
        <w:t>the importance of women</w:t>
      </w:r>
      <w:r w:rsidR="15891064" w:rsidRPr="2A22DF3F">
        <w:rPr>
          <w:lang w:eastAsia="en-AU"/>
        </w:rPr>
        <w:t>’</w:t>
      </w:r>
      <w:r w:rsidR="553ACDA4" w:rsidRPr="2A22DF3F">
        <w:rPr>
          <w:lang w:eastAsia="en-AU"/>
        </w:rPr>
        <w:t>s empowerment and gender equality to more peaceful and stable outcomes for</w:t>
      </w:r>
      <w:r w:rsidR="008E70FD">
        <w:rPr>
          <w:lang w:eastAsia="en-AU"/>
        </w:rPr>
        <w:t> </w:t>
      </w:r>
      <w:r w:rsidR="553ACDA4" w:rsidRPr="2A22DF3F">
        <w:rPr>
          <w:lang w:eastAsia="en-AU"/>
        </w:rPr>
        <w:t>communities</w:t>
      </w:r>
      <w:r w:rsidR="43A52DE8" w:rsidRPr="2A22DF3F">
        <w:rPr>
          <w:lang w:eastAsia="en-AU"/>
        </w:rPr>
        <w:t>.</w:t>
      </w:r>
    </w:p>
    <w:p w14:paraId="4F1A35F0" w14:textId="64A9CC4D" w:rsidR="00A038B0" w:rsidRPr="00D573D9" w:rsidDel="00970F1A" w:rsidRDefault="00A038B0" w:rsidP="00D573D9">
      <w:pPr>
        <w:rPr>
          <w:lang w:eastAsia="en-AU"/>
        </w:rPr>
      </w:pPr>
      <w:r w:rsidRPr="00D573D9">
        <w:rPr>
          <w:lang w:eastAsia="en-AU"/>
        </w:rPr>
        <w:t xml:space="preserve">Australia’s governance and </w:t>
      </w:r>
      <w:r w:rsidR="544D8DEE" w:rsidRPr="00D573D9">
        <w:rPr>
          <w:lang w:eastAsia="en-AU"/>
        </w:rPr>
        <w:t xml:space="preserve">law and </w:t>
      </w:r>
      <w:r w:rsidRPr="00D573D9">
        <w:rPr>
          <w:lang w:eastAsia="en-AU"/>
        </w:rPr>
        <w:t>justice investments will help build an effective and accountable Solomon Islands state that drives its own development</w:t>
      </w:r>
      <w:r w:rsidR="005843C1" w:rsidRPr="00D573D9">
        <w:rPr>
          <w:lang w:eastAsia="en-AU"/>
        </w:rPr>
        <w:t xml:space="preserve"> at </w:t>
      </w:r>
      <w:r w:rsidR="002E6C9C">
        <w:rPr>
          <w:lang w:eastAsia="en-AU"/>
        </w:rPr>
        <w:t xml:space="preserve">the </w:t>
      </w:r>
      <w:r w:rsidR="003F018A" w:rsidRPr="00D573D9">
        <w:rPr>
          <w:lang w:eastAsia="en-AU"/>
        </w:rPr>
        <w:t>national, provincial and community level</w:t>
      </w:r>
      <w:r w:rsidR="00B74345">
        <w:rPr>
          <w:lang w:eastAsia="en-AU"/>
        </w:rPr>
        <w:t>s</w:t>
      </w:r>
      <w:r w:rsidRPr="00D573D9">
        <w:rPr>
          <w:lang w:eastAsia="en-AU"/>
        </w:rPr>
        <w:t xml:space="preserve">. </w:t>
      </w:r>
      <w:r w:rsidRPr="00D573D9" w:rsidDel="00970F1A">
        <w:rPr>
          <w:lang w:eastAsia="en-AU"/>
        </w:rPr>
        <w:t>Acknowledging the important role that a strong and dynamic civil society and media play in building and strengthening democracy, Australia will continue our civil society strengthening program and support to local media institutions to amplify local voices and ensure accountable democratic institutions.</w:t>
      </w:r>
    </w:p>
    <w:p w14:paraId="3B942762" w14:textId="5CF6FF7B" w:rsidR="00A038B0" w:rsidRPr="00D573D9" w:rsidRDefault="21F85B58" w:rsidP="00D573D9">
      <w:pPr>
        <w:rPr>
          <w:lang w:eastAsia="en-AU"/>
        </w:rPr>
      </w:pPr>
      <w:r w:rsidRPr="00D573D9">
        <w:rPr>
          <w:lang w:eastAsia="en-AU"/>
        </w:rPr>
        <w:t xml:space="preserve">The Australia </w:t>
      </w:r>
      <w:r w:rsidR="00E6625F">
        <w:rPr>
          <w:lang w:eastAsia="en-AU"/>
        </w:rPr>
        <w:t xml:space="preserve">– </w:t>
      </w:r>
      <w:r w:rsidRPr="00D573D9">
        <w:rPr>
          <w:lang w:eastAsia="en-AU"/>
        </w:rPr>
        <w:t>Solomon Islands Partnership for Governance (ASIP-Gov)</w:t>
      </w:r>
      <w:r w:rsidR="0064484C">
        <w:rPr>
          <w:lang w:eastAsia="en-AU"/>
        </w:rPr>
        <w:t xml:space="preserve"> </w:t>
      </w:r>
      <w:r w:rsidRPr="00D573D9">
        <w:rPr>
          <w:lang w:eastAsia="en-AU"/>
        </w:rPr>
        <w:t xml:space="preserve">will remain our flagship program </w:t>
      </w:r>
      <w:r w:rsidR="00097182" w:rsidRPr="00D573D9">
        <w:rPr>
          <w:lang w:eastAsia="en-AU"/>
        </w:rPr>
        <w:t>to support macroeco</w:t>
      </w:r>
      <w:r w:rsidR="003120B6" w:rsidRPr="00D573D9">
        <w:rPr>
          <w:lang w:eastAsia="en-AU"/>
        </w:rPr>
        <w:t>nomic and fiscal stability</w:t>
      </w:r>
      <w:r w:rsidRPr="00D573D9">
        <w:rPr>
          <w:lang w:eastAsia="en-AU"/>
        </w:rPr>
        <w:t>. The program provides specialised technical assistance consisting of long-term embedded advisers</w:t>
      </w:r>
      <w:r w:rsidR="7F969B55" w:rsidRPr="00D573D9">
        <w:rPr>
          <w:lang w:eastAsia="en-AU"/>
        </w:rPr>
        <w:t xml:space="preserve"> and</w:t>
      </w:r>
      <w:r w:rsidRPr="00D573D9">
        <w:rPr>
          <w:lang w:eastAsia="en-AU"/>
        </w:rPr>
        <w:t xml:space="preserve"> short-term specialists</w:t>
      </w:r>
      <w:r w:rsidR="002B42DF" w:rsidRPr="00D573D9">
        <w:rPr>
          <w:lang w:eastAsia="en-AU"/>
        </w:rPr>
        <w:t xml:space="preserve">. </w:t>
      </w:r>
      <w:r w:rsidRPr="00D573D9">
        <w:rPr>
          <w:lang w:eastAsia="en-AU"/>
        </w:rPr>
        <w:t xml:space="preserve">Bespoke leadership development opportunities for key current and emerging leaders will also be crucial to strengthening </w:t>
      </w:r>
      <w:r w:rsidR="007A24F7">
        <w:rPr>
          <w:lang w:eastAsia="en-AU"/>
        </w:rPr>
        <w:t xml:space="preserve">the </w:t>
      </w:r>
      <w:r w:rsidRPr="00D573D9">
        <w:rPr>
          <w:lang w:eastAsia="en-AU"/>
        </w:rPr>
        <w:t>Solomon Islands Government’s capability. Targeted areas of capacity building to meet Solomon Islands</w:t>
      </w:r>
      <w:r w:rsidR="00976EB0">
        <w:rPr>
          <w:lang w:eastAsia="en-AU"/>
        </w:rPr>
        <w:t>’</w:t>
      </w:r>
      <w:r w:rsidRPr="00D573D9">
        <w:rPr>
          <w:lang w:eastAsia="en-AU"/>
        </w:rPr>
        <w:t xml:space="preserve"> priorities will include areas </w:t>
      </w:r>
      <w:r w:rsidR="00B33BD2">
        <w:rPr>
          <w:lang w:eastAsia="en-AU"/>
        </w:rPr>
        <w:t xml:space="preserve">such </w:t>
      </w:r>
      <w:r w:rsidRPr="00D573D9">
        <w:rPr>
          <w:lang w:eastAsia="en-AU"/>
        </w:rPr>
        <w:t>as procurement and contracting, debt management, financial management, and information and communications technology and cyber</w:t>
      </w:r>
      <w:r w:rsidR="00B33BD2">
        <w:rPr>
          <w:lang w:eastAsia="en-AU"/>
        </w:rPr>
        <w:t>security</w:t>
      </w:r>
      <w:r w:rsidR="003120B6" w:rsidRPr="00D573D9">
        <w:rPr>
          <w:lang w:eastAsia="en-AU"/>
        </w:rPr>
        <w:t>.</w:t>
      </w:r>
    </w:p>
    <w:p w14:paraId="3DB7A35B" w14:textId="63548CD9" w:rsidR="00A038B0" w:rsidRPr="00D573D9" w:rsidRDefault="744A1A6B" w:rsidP="00D573D9">
      <w:pPr>
        <w:rPr>
          <w:lang w:eastAsia="en-AU"/>
        </w:rPr>
      </w:pPr>
      <w:r w:rsidRPr="2A22DF3F">
        <w:rPr>
          <w:lang w:eastAsia="en-AU"/>
        </w:rPr>
        <w:t>Australia and Solomon Islands share a commitment to democra</w:t>
      </w:r>
      <w:r w:rsidR="00DB2FFE">
        <w:rPr>
          <w:lang w:eastAsia="en-AU"/>
        </w:rPr>
        <w:t>tic values, including free and fair elections</w:t>
      </w:r>
      <w:r w:rsidRPr="2A22DF3F">
        <w:rPr>
          <w:lang w:eastAsia="en-AU"/>
        </w:rPr>
        <w:t>. Australia will continue to support Solomon Islands to strengthen electoral administration and implement priority electoral reforms through the next electoral cycle, including in the lead</w:t>
      </w:r>
      <w:r w:rsidR="14138E01" w:rsidRPr="2A22DF3F">
        <w:rPr>
          <w:lang w:eastAsia="en-AU"/>
        </w:rPr>
        <w:t>-</w:t>
      </w:r>
      <w:r w:rsidRPr="2A22DF3F">
        <w:rPr>
          <w:lang w:eastAsia="en-AU"/>
        </w:rPr>
        <w:t>up to the elections to be held in 2028. This will include our continued support to the United Nations Development Program</w:t>
      </w:r>
      <w:r w:rsidR="648904B7" w:rsidRPr="2A22DF3F">
        <w:rPr>
          <w:lang w:eastAsia="en-AU"/>
        </w:rPr>
        <w:t>me</w:t>
      </w:r>
      <w:r w:rsidRPr="2A22DF3F">
        <w:rPr>
          <w:lang w:eastAsia="en-AU"/>
        </w:rPr>
        <w:t>’s Strengthening the Electoral Cycle Project and the longstanding technical partnership between the Australian Electoral Commission and the Solomon Islands Electoral Commission.</w:t>
      </w:r>
    </w:p>
    <w:p w14:paraId="008DAB2F" w14:textId="384B37A6" w:rsidR="000B4A67" w:rsidRPr="00D573D9" w:rsidRDefault="009250D2" w:rsidP="00D573D9">
      <w:pPr>
        <w:rPr>
          <w:lang w:eastAsia="en-AU"/>
        </w:rPr>
      </w:pPr>
      <w:r w:rsidRPr="7BFCFE06">
        <w:rPr>
          <w:lang w:eastAsia="en-AU"/>
        </w:rPr>
        <w:t>Solomon Islands is exposed to a range of natural hazards including earthquakes, volcanic eruptions, tsunamis, landslides, tropical cyclones, droughts and floods, making disaster preparedness crucial.</w:t>
      </w:r>
      <w:r w:rsidRPr="00D573D9">
        <w:rPr>
          <w:lang w:eastAsia="en-AU"/>
        </w:rPr>
        <w:t xml:space="preserve"> </w:t>
      </w:r>
      <w:r w:rsidR="0B8F6393" w:rsidRPr="00D573D9">
        <w:rPr>
          <w:lang w:eastAsia="en-AU"/>
        </w:rPr>
        <w:t>Australia supports disaster preparedness and risk reduction initiatives throughout the Pacific. Australia maintains a</w:t>
      </w:r>
      <w:r w:rsidR="00527BF8">
        <w:rPr>
          <w:lang w:eastAsia="en-AU"/>
        </w:rPr>
        <w:t xml:space="preserve"> </w:t>
      </w:r>
      <w:r w:rsidR="0B8F6393" w:rsidRPr="00D573D9">
        <w:rPr>
          <w:lang w:eastAsia="en-AU"/>
        </w:rPr>
        <w:t>response capability to deploy technical expertise and relief supplies to the region within 48</w:t>
      </w:r>
      <w:r w:rsidR="00526634">
        <w:rPr>
          <w:lang w:eastAsia="en-AU"/>
        </w:rPr>
        <w:t> </w:t>
      </w:r>
      <w:r w:rsidR="0B8F6393" w:rsidRPr="00D573D9">
        <w:rPr>
          <w:lang w:eastAsia="en-AU"/>
        </w:rPr>
        <w:t>hours of a request for assistance. This includes deploy</w:t>
      </w:r>
      <w:r w:rsidR="00790F6B">
        <w:rPr>
          <w:lang w:eastAsia="en-AU"/>
        </w:rPr>
        <w:t>ing</w:t>
      </w:r>
      <w:r w:rsidR="0B8F6393" w:rsidRPr="00D573D9">
        <w:rPr>
          <w:lang w:eastAsia="en-AU"/>
        </w:rPr>
        <w:t xml:space="preserve"> civilian technical experts (such as medical, hazard and disaster assistance response</w:t>
      </w:r>
      <w:r w:rsidR="00790F6B">
        <w:rPr>
          <w:lang w:eastAsia="en-AU"/>
        </w:rPr>
        <w:t>,</w:t>
      </w:r>
      <w:r w:rsidR="0B8F6393" w:rsidRPr="00D573D9">
        <w:rPr>
          <w:lang w:eastAsia="en-AU"/>
        </w:rPr>
        <w:t xml:space="preserve"> and powerline restoration expertise), funding key humanitarian expert response agencies (such as the Red Cross, </w:t>
      </w:r>
      <w:r w:rsidR="0014462B">
        <w:rPr>
          <w:lang w:eastAsia="en-AU"/>
        </w:rPr>
        <w:t>the United Nations</w:t>
      </w:r>
      <w:r w:rsidR="0B8F6393" w:rsidRPr="00D573D9">
        <w:rPr>
          <w:lang w:eastAsia="en-AU"/>
        </w:rPr>
        <w:t xml:space="preserve"> and NGOs) and distribut</w:t>
      </w:r>
      <w:r w:rsidR="00B27F3C">
        <w:rPr>
          <w:lang w:eastAsia="en-AU"/>
        </w:rPr>
        <w:t>i</w:t>
      </w:r>
      <w:r w:rsidR="00790F6B">
        <w:rPr>
          <w:lang w:eastAsia="en-AU"/>
        </w:rPr>
        <w:t>ng</w:t>
      </w:r>
      <w:r w:rsidR="0B8F6393" w:rsidRPr="00D573D9">
        <w:rPr>
          <w:lang w:eastAsia="en-AU"/>
        </w:rPr>
        <w:t xml:space="preserve"> relief supplies from Australia’s global humanitarian warehouse in Brisbane, with capability to support up to 11,000</w:t>
      </w:r>
      <w:r w:rsidR="00823068">
        <w:rPr>
          <w:lang w:eastAsia="en-AU"/>
        </w:rPr>
        <w:t> </w:t>
      </w:r>
      <w:r w:rsidR="0B8F6393" w:rsidRPr="00D573D9">
        <w:rPr>
          <w:lang w:eastAsia="en-AU"/>
        </w:rPr>
        <w:t>families (or 55,000</w:t>
      </w:r>
      <w:r w:rsidR="00823068">
        <w:rPr>
          <w:lang w:eastAsia="en-AU"/>
        </w:rPr>
        <w:t> </w:t>
      </w:r>
      <w:r w:rsidR="0B8F6393" w:rsidRPr="00D573D9">
        <w:rPr>
          <w:lang w:eastAsia="en-AU"/>
        </w:rPr>
        <w:t>people). Australia will continue to respond to humanitarian disasters at the request of the Solomon Islands Government.</w:t>
      </w:r>
    </w:p>
    <w:p w14:paraId="4C580F14" w14:textId="5A8C24AD" w:rsidR="000B4A67" w:rsidRPr="00D573D9" w:rsidRDefault="64196868" w:rsidP="00D573D9">
      <w:pPr>
        <w:rPr>
          <w:lang w:eastAsia="en-AU"/>
        </w:rPr>
      </w:pPr>
      <w:r w:rsidRPr="00D573D9">
        <w:rPr>
          <w:lang w:eastAsia="en-AU"/>
        </w:rPr>
        <w:t>Australia will</w:t>
      </w:r>
      <w:r w:rsidR="00527BF8">
        <w:rPr>
          <w:lang w:eastAsia="en-AU"/>
        </w:rPr>
        <w:t xml:space="preserve"> also</w:t>
      </w:r>
      <w:r w:rsidRPr="00D573D9">
        <w:rPr>
          <w:lang w:eastAsia="en-AU"/>
        </w:rPr>
        <w:t xml:space="preserve"> continue to support the Solomon Islands Government to better prepare for and respond to disasters</w:t>
      </w:r>
      <w:r w:rsidR="009250D2" w:rsidRPr="00D573D9">
        <w:rPr>
          <w:lang w:eastAsia="en-AU"/>
        </w:rPr>
        <w:t xml:space="preserve"> </w:t>
      </w:r>
      <w:r w:rsidRPr="00D573D9">
        <w:rPr>
          <w:lang w:eastAsia="en-AU"/>
        </w:rPr>
        <w:t>through a new, dedicated humanitarian and disaster risk resilience program</w:t>
      </w:r>
      <w:r w:rsidR="005A62A9">
        <w:rPr>
          <w:lang w:eastAsia="en-AU"/>
        </w:rPr>
        <w:t xml:space="preserve"> and improved infrastructure</w:t>
      </w:r>
      <w:r w:rsidRPr="00D573D9">
        <w:rPr>
          <w:lang w:eastAsia="en-AU"/>
        </w:rPr>
        <w:t>.</w:t>
      </w:r>
      <w:r>
        <w:rPr>
          <w:lang w:eastAsia="en-AU"/>
        </w:rPr>
        <w:t xml:space="preserve"> </w:t>
      </w:r>
      <w:r w:rsidR="009250D2" w:rsidRPr="002B422F">
        <w:rPr>
          <w:rFonts w:cs="Calibri Light"/>
          <w:lang w:eastAsia="en-AU"/>
        </w:rPr>
        <w:t>Australia</w:t>
      </w:r>
      <w:r w:rsidR="00872600" w:rsidRPr="002B422F">
        <w:rPr>
          <w:rFonts w:cs="Calibri Light"/>
          <w:lang w:eastAsia="en-AU"/>
        </w:rPr>
        <w:t xml:space="preserve"> is committed to </w:t>
      </w:r>
      <w:r w:rsidR="000E709E" w:rsidRPr="002B422F">
        <w:rPr>
          <w:rFonts w:cs="Calibri Light"/>
          <w:lang w:eastAsia="en-AU"/>
        </w:rPr>
        <w:t>partnering</w:t>
      </w:r>
      <w:r w:rsidR="00872600" w:rsidRPr="002B422F">
        <w:rPr>
          <w:rFonts w:cs="Calibri Light"/>
          <w:lang w:eastAsia="en-AU"/>
        </w:rPr>
        <w:t xml:space="preserve"> with Solomon Islands to establish a new </w:t>
      </w:r>
      <w:r w:rsidR="00E372B2" w:rsidRPr="002B422F">
        <w:rPr>
          <w:rFonts w:cs="Calibri Light"/>
          <w:lang w:eastAsia="en-AU"/>
        </w:rPr>
        <w:t>humanitarian warehousing precinct in Honiara</w:t>
      </w:r>
      <w:r w:rsidR="00E372B2">
        <w:rPr>
          <w:rFonts w:cs="Calibri Light"/>
          <w:lang w:eastAsia="en-AU"/>
        </w:rPr>
        <w:t xml:space="preserve">. </w:t>
      </w:r>
      <w:r w:rsidR="00A26E78">
        <w:rPr>
          <w:rFonts w:cs="Calibri Light"/>
          <w:lang w:eastAsia="en-AU"/>
        </w:rPr>
        <w:t>Scoping is also underway for a</w:t>
      </w:r>
      <w:r w:rsidR="002B62CC">
        <w:rPr>
          <w:rFonts w:cs="Calibri Light"/>
          <w:lang w:eastAsia="en-AU"/>
        </w:rPr>
        <w:t xml:space="preserve"> national humanitarian and disaster relief warehouse in Auki</w:t>
      </w:r>
      <w:r w:rsidR="006C1542">
        <w:rPr>
          <w:rFonts w:cs="Calibri Light"/>
          <w:lang w:eastAsia="en-AU"/>
        </w:rPr>
        <w:t xml:space="preserve"> in</w:t>
      </w:r>
      <w:r w:rsidR="00E372B2">
        <w:rPr>
          <w:rFonts w:cs="Calibri Light"/>
          <w:lang w:eastAsia="en-AU"/>
        </w:rPr>
        <w:t xml:space="preserve"> </w:t>
      </w:r>
      <w:r w:rsidR="00CC5E00">
        <w:rPr>
          <w:rFonts w:cs="Calibri Light"/>
          <w:lang w:eastAsia="en-AU"/>
        </w:rPr>
        <w:t xml:space="preserve">Malaita </w:t>
      </w:r>
      <w:r w:rsidR="00EA2255">
        <w:rPr>
          <w:rFonts w:cs="Calibri Light"/>
          <w:lang w:eastAsia="en-AU"/>
        </w:rPr>
        <w:t>P</w:t>
      </w:r>
      <w:r w:rsidR="006C1542">
        <w:rPr>
          <w:rFonts w:cs="Calibri Light"/>
          <w:lang w:eastAsia="en-AU"/>
        </w:rPr>
        <w:t xml:space="preserve">rovince </w:t>
      </w:r>
      <w:r w:rsidR="009250D2" w:rsidRPr="00D573D9">
        <w:rPr>
          <w:rFonts w:cs="Calibri Light"/>
          <w:lang w:eastAsia="en-AU"/>
        </w:rPr>
        <w:t xml:space="preserve">to improve national response capability through the </w:t>
      </w:r>
      <w:r w:rsidRPr="00D573D9">
        <w:rPr>
          <w:rFonts w:cs="Calibri Light"/>
          <w:lang w:eastAsia="en-AU"/>
        </w:rPr>
        <w:t xml:space="preserve">Pacific Humanitarian Warehousing Program </w:t>
      </w:r>
      <w:r w:rsidR="00557BBB">
        <w:rPr>
          <w:rFonts w:cs="Calibri Light"/>
          <w:lang w:eastAsia="en-AU"/>
        </w:rPr>
        <w:t>(</w:t>
      </w:r>
      <w:r w:rsidRPr="00D573D9">
        <w:rPr>
          <w:rFonts w:cs="Calibri Light"/>
          <w:lang w:eastAsia="en-AU"/>
        </w:rPr>
        <w:t>2023</w:t>
      </w:r>
      <w:r w:rsidR="00557BBB">
        <w:rPr>
          <w:rFonts w:cs="Calibri Light"/>
          <w:lang w:eastAsia="en-AU"/>
        </w:rPr>
        <w:t xml:space="preserve"> to</w:t>
      </w:r>
      <w:r w:rsidR="0047110B">
        <w:rPr>
          <w:rFonts w:cs="Calibri Light"/>
          <w:lang w:eastAsia="en-AU"/>
        </w:rPr>
        <w:t> </w:t>
      </w:r>
      <w:r w:rsidRPr="00D573D9">
        <w:rPr>
          <w:rFonts w:cs="Calibri Light"/>
          <w:lang w:eastAsia="en-AU"/>
        </w:rPr>
        <w:t>2031</w:t>
      </w:r>
      <w:r w:rsidR="00557BBB">
        <w:rPr>
          <w:rFonts w:cs="Calibri Light"/>
          <w:lang w:eastAsia="en-AU"/>
        </w:rPr>
        <w:t>)</w:t>
      </w:r>
      <w:r w:rsidRPr="00D573D9">
        <w:rPr>
          <w:rFonts w:cs="Calibri Light"/>
          <w:lang w:eastAsia="en-AU"/>
        </w:rPr>
        <w:t xml:space="preserve"> in partnership with the Pacific Community, Partners in the Blue Pacific and France. </w:t>
      </w:r>
      <w:r w:rsidR="005A62A9">
        <w:rPr>
          <w:rFonts w:cs="Calibri Light"/>
          <w:lang w:eastAsia="en-AU"/>
        </w:rPr>
        <w:t xml:space="preserve">Defence is supporting the construction of humanitarian stores in Lata and Temotu. </w:t>
      </w:r>
      <w:r w:rsidR="00EA2255">
        <w:rPr>
          <w:rFonts w:cs="Calibri Light"/>
          <w:lang w:eastAsia="en-AU"/>
        </w:rPr>
        <w:t>The n</w:t>
      </w:r>
      <w:r w:rsidR="003773CA">
        <w:rPr>
          <w:rFonts w:cs="Calibri Light"/>
          <w:lang w:eastAsia="en-AU"/>
        </w:rPr>
        <w:t>ew warehouse facilities will strengthen Solomon Islands</w:t>
      </w:r>
      <w:r w:rsidR="00033228">
        <w:rPr>
          <w:rFonts w:cs="Calibri Light"/>
          <w:lang w:eastAsia="en-AU"/>
        </w:rPr>
        <w:t xml:space="preserve"> to support impacted communities in the first 48</w:t>
      </w:r>
      <w:r w:rsidR="003D5BA9">
        <w:rPr>
          <w:rFonts w:cs="Calibri Light"/>
          <w:lang w:eastAsia="en-AU"/>
        </w:rPr>
        <w:t> </w:t>
      </w:r>
      <w:r w:rsidR="00033228">
        <w:rPr>
          <w:rFonts w:cs="Calibri Light"/>
          <w:lang w:eastAsia="en-AU"/>
        </w:rPr>
        <w:t>hours after a disaster.</w:t>
      </w:r>
      <w:r w:rsidRPr="00D573D9">
        <w:rPr>
          <w:rFonts w:cs="Calibri Light"/>
          <w:lang w:eastAsia="en-AU"/>
        </w:rPr>
        <w:t xml:space="preserve"> Through the Australian Humanitarian Partnership, we will continue </w:t>
      </w:r>
      <w:r w:rsidR="002C4DD6">
        <w:rPr>
          <w:rFonts w:cs="Calibri Light"/>
          <w:lang w:eastAsia="en-AU"/>
        </w:rPr>
        <w:t xml:space="preserve">to </w:t>
      </w:r>
      <w:r w:rsidRPr="00D573D9">
        <w:rPr>
          <w:rFonts w:cs="Calibri Light"/>
          <w:lang w:eastAsia="en-AU"/>
        </w:rPr>
        <w:t xml:space="preserve">support local partners and the community to implement Disaster READY, a climate change adaptation and disaster risk reduction and resilience program. </w:t>
      </w:r>
      <w:r w:rsidR="50C43B4E" w:rsidRPr="00D573D9">
        <w:rPr>
          <w:lang w:eastAsia="en-AU"/>
        </w:rPr>
        <w:t>The Disaster READY program includes a focus on ensuring women, youth, children, people with disabilit</w:t>
      </w:r>
      <w:r w:rsidR="00721A08">
        <w:rPr>
          <w:lang w:eastAsia="en-AU"/>
        </w:rPr>
        <w:t>y</w:t>
      </w:r>
      <w:r w:rsidR="50C43B4E" w:rsidRPr="00D573D9">
        <w:rPr>
          <w:lang w:eastAsia="en-AU"/>
        </w:rPr>
        <w:t xml:space="preserve"> and other at-risk groups are more resilient to </w:t>
      </w:r>
      <w:r w:rsidR="50C43B4E" w:rsidRPr="00D573D9">
        <w:rPr>
          <w:lang w:eastAsia="en-AU"/>
        </w:rPr>
        <w:lastRenderedPageBreak/>
        <w:t xml:space="preserve">disasters. </w:t>
      </w:r>
      <w:r w:rsidRPr="00D573D9">
        <w:rPr>
          <w:rFonts w:cs="Calibri Light"/>
          <w:lang w:eastAsia="en-AU"/>
        </w:rPr>
        <w:t xml:space="preserve">Australia will continue to support joint </w:t>
      </w:r>
      <w:r w:rsidR="006A6257">
        <w:rPr>
          <w:rFonts w:cs="Calibri Light"/>
          <w:lang w:eastAsia="en-AU"/>
        </w:rPr>
        <w:t>humanitarian assistance and disaster relief</w:t>
      </w:r>
      <w:r w:rsidRPr="00D573D9">
        <w:rPr>
          <w:rFonts w:cs="Calibri Light"/>
          <w:lang w:eastAsia="en-AU"/>
        </w:rPr>
        <w:t xml:space="preserve"> exercises in Solomon Islands through the Australian Defence Force and the Solomon Islands National Disaster Management Office.</w:t>
      </w:r>
    </w:p>
    <w:p w14:paraId="669101AC" w14:textId="1DD30779" w:rsidR="009250D2" w:rsidRPr="00D573D9" w:rsidRDefault="0E663A87" w:rsidP="00D573D9">
      <w:pPr>
        <w:rPr>
          <w:lang w:eastAsia="en-AU"/>
        </w:rPr>
      </w:pPr>
      <w:r w:rsidRPr="00D573D9">
        <w:rPr>
          <w:lang w:eastAsia="en-AU"/>
        </w:rPr>
        <w:t xml:space="preserve">Acknowledging that climate change will exacerbate </w:t>
      </w:r>
      <w:r w:rsidR="58C0826F" w:rsidRPr="00D573D9">
        <w:rPr>
          <w:lang w:eastAsia="en-AU"/>
        </w:rPr>
        <w:t xml:space="preserve">Solomon Islands’ </w:t>
      </w:r>
      <w:r w:rsidRPr="00D573D9">
        <w:rPr>
          <w:lang w:eastAsia="en-AU"/>
        </w:rPr>
        <w:t xml:space="preserve">development challenges across all sectors, we will integrate climate considerations across </w:t>
      </w:r>
      <w:r w:rsidR="4EF0F04F" w:rsidRPr="00D573D9">
        <w:rPr>
          <w:lang w:eastAsia="en-AU"/>
        </w:rPr>
        <w:t xml:space="preserve">all our </w:t>
      </w:r>
      <w:r w:rsidR="3A4B2313" w:rsidRPr="00D573D9">
        <w:rPr>
          <w:lang w:eastAsia="en-AU"/>
        </w:rPr>
        <w:t>development</w:t>
      </w:r>
      <w:r w:rsidR="4EF0F04F" w:rsidRPr="00D573D9">
        <w:rPr>
          <w:lang w:eastAsia="en-AU"/>
        </w:rPr>
        <w:t xml:space="preserve"> investments in Solomon Islands</w:t>
      </w:r>
      <w:r w:rsidR="009250D2" w:rsidRPr="00D573D9">
        <w:rPr>
          <w:lang w:eastAsia="en-AU"/>
        </w:rPr>
        <w:t xml:space="preserve"> and increase the number of investments that have a climate change objective</w:t>
      </w:r>
      <w:r w:rsidR="4EF0F04F" w:rsidRPr="00D573D9">
        <w:rPr>
          <w:lang w:eastAsia="en-AU"/>
        </w:rPr>
        <w:t xml:space="preserve">. This will be complemented by targeted investments that </w:t>
      </w:r>
      <w:r w:rsidR="462718A1" w:rsidRPr="00D573D9">
        <w:rPr>
          <w:lang w:eastAsia="en-AU"/>
        </w:rPr>
        <w:t xml:space="preserve">will help </w:t>
      </w:r>
      <w:r w:rsidR="5BBA4315" w:rsidRPr="00D573D9">
        <w:rPr>
          <w:lang w:eastAsia="en-AU"/>
        </w:rPr>
        <w:t>Solomon Islands</w:t>
      </w:r>
      <w:r w:rsidR="7AF5AFCF" w:rsidRPr="00D573D9">
        <w:rPr>
          <w:lang w:eastAsia="en-AU"/>
        </w:rPr>
        <w:t xml:space="preserve"> to </w:t>
      </w:r>
      <w:r w:rsidR="5BBA4315" w:rsidRPr="00D573D9">
        <w:rPr>
          <w:lang w:eastAsia="en-AU"/>
        </w:rPr>
        <w:t xml:space="preserve">access </w:t>
      </w:r>
      <w:r w:rsidR="57D0E745" w:rsidRPr="00D573D9">
        <w:rPr>
          <w:lang w:eastAsia="en-AU"/>
        </w:rPr>
        <w:t xml:space="preserve">more </w:t>
      </w:r>
      <w:r w:rsidR="5BBA4315" w:rsidRPr="00D573D9">
        <w:rPr>
          <w:lang w:eastAsia="en-AU"/>
        </w:rPr>
        <w:t>climate finance</w:t>
      </w:r>
      <w:r w:rsidR="1C906575" w:rsidRPr="00D573D9">
        <w:rPr>
          <w:lang w:eastAsia="en-AU"/>
        </w:rPr>
        <w:t>, transition to renewable energy and build resilience to the impacts of climate change</w:t>
      </w:r>
      <w:r w:rsidR="5BBA4315" w:rsidRPr="00D573D9">
        <w:rPr>
          <w:lang w:eastAsia="en-AU"/>
        </w:rPr>
        <w:t xml:space="preserve">. </w:t>
      </w:r>
      <w:r w:rsidR="7CD87B17" w:rsidRPr="00D573D9">
        <w:rPr>
          <w:lang w:eastAsia="en-AU"/>
        </w:rPr>
        <w:t xml:space="preserve">We will partner with the Global Green Growth Institute to help Solomon Islands </w:t>
      </w:r>
      <w:r w:rsidR="46DC9DA1" w:rsidRPr="00D573D9">
        <w:rPr>
          <w:lang w:eastAsia="en-AU"/>
        </w:rPr>
        <w:t>undertake national adaptation planning</w:t>
      </w:r>
      <w:r w:rsidR="288A95E3" w:rsidRPr="00D573D9">
        <w:rPr>
          <w:lang w:eastAsia="en-AU"/>
        </w:rPr>
        <w:t>, build institutional capacity, and mobilise climate finance for priority adaptation projects</w:t>
      </w:r>
      <w:r w:rsidR="7CD87B17" w:rsidRPr="00D573D9">
        <w:rPr>
          <w:lang w:eastAsia="en-AU"/>
        </w:rPr>
        <w:t>.</w:t>
      </w:r>
    </w:p>
    <w:p w14:paraId="45360B1B" w14:textId="4D67D8BD" w:rsidR="00042E0F" w:rsidRPr="00D573D9" w:rsidRDefault="7CD87B17" w:rsidP="00D573D9">
      <w:pPr>
        <w:rPr>
          <w:rFonts w:cs="Calibri Light"/>
          <w:lang w:eastAsia="en-AU"/>
        </w:rPr>
      </w:pPr>
      <w:r w:rsidRPr="00D573D9">
        <w:rPr>
          <w:lang w:eastAsia="en-AU"/>
        </w:rPr>
        <w:t xml:space="preserve">We will </w:t>
      </w:r>
      <w:r w:rsidR="6C0E1A3E" w:rsidRPr="00D573D9">
        <w:rPr>
          <w:rFonts w:cs="Calibri Light"/>
          <w:lang w:eastAsia="en-AU"/>
        </w:rPr>
        <w:t>support Solomon Islands’ transition toward</w:t>
      </w:r>
      <w:r w:rsidR="003E2C2E">
        <w:rPr>
          <w:rFonts w:cs="Calibri Light"/>
          <w:lang w:eastAsia="en-AU"/>
        </w:rPr>
        <w:t>s</w:t>
      </w:r>
      <w:r w:rsidR="6C0E1A3E" w:rsidRPr="00D573D9">
        <w:rPr>
          <w:rFonts w:cs="Calibri Light"/>
          <w:lang w:eastAsia="en-AU"/>
        </w:rPr>
        <w:t xml:space="preserve"> secure, resilient, reliable and accessible clean energy through </w:t>
      </w:r>
      <w:r w:rsidR="4F237F86" w:rsidRPr="00D573D9">
        <w:rPr>
          <w:rFonts w:cs="Calibri Light"/>
          <w:lang w:eastAsia="en-AU"/>
        </w:rPr>
        <w:t>initiatives</w:t>
      </w:r>
      <w:r w:rsidRPr="00D573D9">
        <w:rPr>
          <w:lang w:eastAsia="en-AU"/>
        </w:rPr>
        <w:t xml:space="preserve"> such as the Tina River Hydropower Development Project and </w:t>
      </w:r>
      <w:r w:rsidR="2C9AFF70" w:rsidRPr="05BA3EC2">
        <w:rPr>
          <w:lang w:eastAsia="en-AU"/>
        </w:rPr>
        <w:t>the</w:t>
      </w:r>
      <w:r w:rsidRPr="00D573D9">
        <w:rPr>
          <w:lang w:eastAsia="en-AU"/>
        </w:rPr>
        <w:t xml:space="preserve"> Pacific Climate Infrastructure Financing Partnership</w:t>
      </w:r>
      <w:r w:rsidR="3E331F39" w:rsidRPr="259A5CC4">
        <w:rPr>
          <w:lang w:eastAsia="en-AU"/>
        </w:rPr>
        <w:t xml:space="preserve">, </w:t>
      </w:r>
      <w:r w:rsidR="3E331F39" w:rsidRPr="00066C03">
        <w:rPr>
          <w:lang w:eastAsia="en-AU"/>
        </w:rPr>
        <w:t xml:space="preserve">including the REnew </w:t>
      </w:r>
      <w:r w:rsidR="004A496B" w:rsidRPr="00066C03">
        <w:rPr>
          <w:lang w:eastAsia="en-AU"/>
        </w:rPr>
        <w:t xml:space="preserve">Pacific </w:t>
      </w:r>
      <w:r w:rsidR="008255DD">
        <w:rPr>
          <w:lang w:eastAsia="en-AU"/>
        </w:rPr>
        <w:t>p</w:t>
      </w:r>
      <w:r w:rsidR="3E331F39" w:rsidRPr="00066C03">
        <w:rPr>
          <w:lang w:eastAsia="en-AU"/>
        </w:rPr>
        <w:t>rogram</w:t>
      </w:r>
      <w:r w:rsidR="215D6086" w:rsidRPr="71356060">
        <w:rPr>
          <w:lang w:eastAsia="en-AU"/>
        </w:rPr>
        <w:t>.</w:t>
      </w:r>
      <w:r w:rsidR="215D6086" w:rsidRPr="00D573D9">
        <w:rPr>
          <w:lang w:eastAsia="en-AU"/>
        </w:rPr>
        <w:t xml:space="preserve"> These projects </w:t>
      </w:r>
      <w:r w:rsidRPr="00D573D9">
        <w:rPr>
          <w:lang w:eastAsia="en-AU"/>
        </w:rPr>
        <w:t>will bring together tangible project delivery capability to ensure timely and effective rollout of renewable energy projects in remote and rural communities that will drive human development.</w:t>
      </w:r>
    </w:p>
    <w:p w14:paraId="49B48873" w14:textId="664C1DB0" w:rsidR="3F034A67" w:rsidRPr="00D573D9" w:rsidRDefault="775A5A17" w:rsidP="00D573D9">
      <w:pPr>
        <w:rPr>
          <w:lang w:eastAsia="en-AU"/>
        </w:rPr>
      </w:pPr>
      <w:r w:rsidRPr="00D573D9">
        <w:rPr>
          <w:lang w:eastAsia="en-AU"/>
        </w:rPr>
        <w:t xml:space="preserve">Australia will also continue to assist Solomon Islands in addressing the impacts of climate change through regional programs, including the longstanding Climate and Oceans Support Program </w:t>
      </w:r>
      <w:r w:rsidR="006C6A6F">
        <w:rPr>
          <w:lang w:eastAsia="en-AU"/>
        </w:rPr>
        <w:t>in</w:t>
      </w:r>
      <w:r w:rsidRPr="00D573D9">
        <w:rPr>
          <w:lang w:eastAsia="en-AU"/>
        </w:rPr>
        <w:t xml:space="preserve"> the Pacific, Governance for Resilient Development in the Pacific,</w:t>
      </w:r>
      <w:r w:rsidR="00015CAC">
        <w:rPr>
          <w:lang w:eastAsia="en-AU"/>
        </w:rPr>
        <w:t xml:space="preserve"> Climate Resilient Communities</w:t>
      </w:r>
      <w:r w:rsidR="00162D51">
        <w:rPr>
          <w:lang w:eastAsia="en-AU"/>
        </w:rPr>
        <w:t>,</w:t>
      </w:r>
      <w:r w:rsidRPr="00D573D9">
        <w:rPr>
          <w:lang w:eastAsia="en-AU"/>
        </w:rPr>
        <w:t xml:space="preserve"> the Pacific Insurance and Climate Adaptation Program</w:t>
      </w:r>
      <w:r w:rsidR="001B421A">
        <w:rPr>
          <w:lang w:eastAsia="en-AU"/>
        </w:rPr>
        <w:t>me</w:t>
      </w:r>
      <w:r w:rsidRPr="00D573D9">
        <w:rPr>
          <w:lang w:eastAsia="en-AU"/>
        </w:rPr>
        <w:t xml:space="preserve">, Climate Resilient by Nature </w:t>
      </w:r>
      <w:r w:rsidR="00EC6EC0" w:rsidRPr="00D573D9">
        <w:rPr>
          <w:lang w:eastAsia="en-AU"/>
        </w:rPr>
        <w:t>and the Australian Water Partnership.</w:t>
      </w:r>
      <w:r w:rsidR="00184ABE" w:rsidRPr="00D573D9">
        <w:rPr>
          <w:lang w:eastAsia="en-AU"/>
        </w:rPr>
        <w:t xml:space="preserve"> Australia is contributing </w:t>
      </w:r>
      <w:r w:rsidR="00E7317A" w:rsidRPr="00D573D9">
        <w:rPr>
          <w:lang w:eastAsia="en-AU"/>
        </w:rPr>
        <w:t>AUD</w:t>
      </w:r>
      <w:r w:rsidR="00184ABE" w:rsidRPr="00D573D9">
        <w:rPr>
          <w:lang w:eastAsia="en-AU"/>
        </w:rPr>
        <w:t>100</w:t>
      </w:r>
      <w:r w:rsidR="0058478A">
        <w:rPr>
          <w:lang w:eastAsia="en-AU"/>
        </w:rPr>
        <w:t> </w:t>
      </w:r>
      <w:r w:rsidR="00184ABE" w:rsidRPr="00D573D9">
        <w:rPr>
          <w:lang w:eastAsia="en-AU"/>
        </w:rPr>
        <w:t xml:space="preserve">million to the Pacific Resilience Facility, a Pacific-led initiative for climate finance and a longstanding regional priority. </w:t>
      </w:r>
      <w:r w:rsidR="007A614A" w:rsidRPr="00D573D9">
        <w:rPr>
          <w:lang w:eastAsia="en-AU"/>
        </w:rPr>
        <w:t xml:space="preserve">Through partners including </w:t>
      </w:r>
      <w:r w:rsidR="7BD79D76" w:rsidRPr="00D573D9">
        <w:rPr>
          <w:lang w:eastAsia="en-AU"/>
        </w:rPr>
        <w:t xml:space="preserve">Australian </w:t>
      </w:r>
      <w:r w:rsidR="00046411">
        <w:rPr>
          <w:lang w:eastAsia="en-AU"/>
        </w:rPr>
        <w:t>u</w:t>
      </w:r>
      <w:r w:rsidR="7BD79D76" w:rsidRPr="00D573D9">
        <w:rPr>
          <w:lang w:eastAsia="en-AU"/>
        </w:rPr>
        <w:t xml:space="preserve">niversities, </w:t>
      </w:r>
      <w:r w:rsidR="007A614A" w:rsidRPr="00D573D9">
        <w:rPr>
          <w:lang w:eastAsia="en-AU"/>
        </w:rPr>
        <w:t>the Australian Centre for International Agricultural Research</w:t>
      </w:r>
      <w:r w:rsidR="22FE43F8" w:rsidRPr="00D573D9">
        <w:rPr>
          <w:lang w:eastAsia="en-AU"/>
        </w:rPr>
        <w:t xml:space="preserve"> and other Australian agricultural research agencies</w:t>
      </w:r>
      <w:r w:rsidR="007A614A" w:rsidRPr="00D573D9">
        <w:rPr>
          <w:lang w:eastAsia="en-AU"/>
        </w:rPr>
        <w:t xml:space="preserve">, we will continue targeted initiatives to </w:t>
      </w:r>
      <w:r w:rsidR="008370A6" w:rsidRPr="00D573D9">
        <w:rPr>
          <w:lang w:eastAsia="en-AU"/>
        </w:rPr>
        <w:t xml:space="preserve">build </w:t>
      </w:r>
      <w:r w:rsidR="007A614A" w:rsidRPr="00D573D9">
        <w:rPr>
          <w:lang w:eastAsia="en-AU"/>
        </w:rPr>
        <w:t xml:space="preserve">climate resilient agriculture and </w:t>
      </w:r>
      <w:r w:rsidR="008370A6" w:rsidRPr="00D573D9">
        <w:rPr>
          <w:lang w:eastAsia="en-AU"/>
        </w:rPr>
        <w:t>food systems</w:t>
      </w:r>
      <w:r w:rsidR="007A614A" w:rsidRPr="00D573D9">
        <w:rPr>
          <w:lang w:eastAsia="en-AU"/>
        </w:rPr>
        <w:t>.</w:t>
      </w:r>
      <w:r w:rsidR="008370A6" w:rsidRPr="00D573D9">
        <w:rPr>
          <w:lang w:eastAsia="en-AU"/>
        </w:rPr>
        <w:t xml:space="preserve"> </w:t>
      </w:r>
      <w:r w:rsidR="000E5ED9" w:rsidRPr="00D573D9">
        <w:rPr>
          <w:lang w:eastAsia="en-AU"/>
        </w:rPr>
        <w:t>We</w:t>
      </w:r>
      <w:r w:rsidR="00BA6A7C" w:rsidRPr="00D573D9">
        <w:rPr>
          <w:lang w:eastAsia="en-AU"/>
        </w:rPr>
        <w:t xml:space="preserve"> will support the Baru Conservation Alliance </w:t>
      </w:r>
      <w:r w:rsidR="00171240" w:rsidRPr="00D573D9">
        <w:rPr>
          <w:lang w:eastAsia="en-AU"/>
        </w:rPr>
        <w:t xml:space="preserve">in East Malaita </w:t>
      </w:r>
      <w:r w:rsidR="00BA6A7C" w:rsidRPr="00D573D9">
        <w:rPr>
          <w:lang w:eastAsia="en-AU"/>
        </w:rPr>
        <w:t>to protect the unique socioecological systems that support traditional communities living on</w:t>
      </w:r>
      <w:r w:rsidR="000E5ED9" w:rsidRPr="00D573D9">
        <w:rPr>
          <w:lang w:eastAsia="en-AU"/>
        </w:rPr>
        <w:t xml:space="preserve"> </w:t>
      </w:r>
      <w:r w:rsidR="00BA6A7C" w:rsidRPr="00D573D9">
        <w:rPr>
          <w:lang w:eastAsia="en-AU"/>
        </w:rPr>
        <w:t xml:space="preserve">customary tribal land, building resilience to climate change and reducing emissions </w:t>
      </w:r>
      <w:r w:rsidR="000E5ED9" w:rsidRPr="00D573D9">
        <w:rPr>
          <w:lang w:eastAsia="en-AU"/>
        </w:rPr>
        <w:t>through avoided</w:t>
      </w:r>
      <w:r w:rsidR="00BA6A7C" w:rsidRPr="00D573D9">
        <w:rPr>
          <w:lang w:eastAsia="en-AU"/>
        </w:rPr>
        <w:t xml:space="preserve"> deforestation.</w:t>
      </w:r>
    </w:p>
    <w:p w14:paraId="64D6F51B" w14:textId="3B838EAD" w:rsidR="00A038B0" w:rsidRPr="00D573D9" w:rsidRDefault="12B6FCC2" w:rsidP="00D573D9">
      <w:pPr>
        <w:rPr>
          <w:lang w:eastAsia="en-AU"/>
        </w:rPr>
      </w:pPr>
      <w:r w:rsidRPr="2A22DF3F">
        <w:rPr>
          <w:lang w:eastAsia="en-AU"/>
        </w:rPr>
        <w:t xml:space="preserve">Australia is Solomon Islands’ enduring law and justice partner. Through </w:t>
      </w:r>
      <w:r w:rsidR="6DD4EC97" w:rsidRPr="2A22DF3F">
        <w:rPr>
          <w:lang w:eastAsia="en-AU"/>
        </w:rPr>
        <w:t>our</w:t>
      </w:r>
      <w:r w:rsidRPr="2A22DF3F">
        <w:rPr>
          <w:lang w:eastAsia="en-AU"/>
        </w:rPr>
        <w:t xml:space="preserve"> law and justice program, we work across law enforcement, justice, national judicial and correctional services to strengthen capacity and improve access to justice for all Solomon Islanders, in all nine provinces. Reflecting the interdependencies between </w:t>
      </w:r>
      <w:r w:rsidR="2395BB86" w:rsidRPr="2A22DF3F">
        <w:rPr>
          <w:lang w:eastAsia="en-AU"/>
        </w:rPr>
        <w:t>the</w:t>
      </w:r>
      <w:r w:rsidRPr="2A22DF3F">
        <w:rPr>
          <w:lang w:eastAsia="en-AU"/>
        </w:rPr>
        <w:t xml:space="preserve"> rule of law, justice services and law enforcement</w:t>
      </w:r>
      <w:r w:rsidR="6140F699" w:rsidRPr="2A22DF3F">
        <w:rPr>
          <w:lang w:eastAsia="en-AU"/>
        </w:rPr>
        <w:t>,</w:t>
      </w:r>
      <w:r w:rsidRPr="2A22DF3F">
        <w:rPr>
          <w:lang w:eastAsia="en-AU"/>
        </w:rPr>
        <w:t xml:space="preserve"> we will seek to further integrate and complement Australian</w:t>
      </w:r>
      <w:r w:rsidR="6140F699" w:rsidRPr="2A22DF3F">
        <w:rPr>
          <w:lang w:eastAsia="en-AU"/>
        </w:rPr>
        <w:t xml:space="preserve"> </w:t>
      </w:r>
      <w:r w:rsidRPr="2A22DF3F">
        <w:rPr>
          <w:lang w:eastAsia="en-AU"/>
        </w:rPr>
        <w:t>Government efforts to improve security and stability in Solomon Islands. This includes working closely with the Australian Federal Police</w:t>
      </w:r>
      <w:r w:rsidR="1F857EBA" w:rsidRPr="2A22DF3F">
        <w:rPr>
          <w:lang w:eastAsia="en-AU"/>
        </w:rPr>
        <w:t xml:space="preserve"> (AFP)</w:t>
      </w:r>
      <w:r w:rsidRPr="2A22DF3F">
        <w:rPr>
          <w:lang w:eastAsia="en-AU"/>
        </w:rPr>
        <w:t xml:space="preserve"> to provide mentoring and technical assistance to the </w:t>
      </w:r>
      <w:r w:rsidR="1F857EBA" w:rsidRPr="2A22DF3F">
        <w:rPr>
          <w:lang w:eastAsia="en-AU"/>
        </w:rPr>
        <w:t>RSIPF</w:t>
      </w:r>
      <w:r w:rsidRPr="2A22DF3F">
        <w:rPr>
          <w:lang w:eastAsia="en-AU"/>
        </w:rPr>
        <w:t xml:space="preserve"> in </w:t>
      </w:r>
      <w:r w:rsidR="6D3E9B93" w:rsidRPr="2A22DF3F">
        <w:rPr>
          <w:lang w:eastAsia="en-AU"/>
        </w:rPr>
        <w:t>drafting proposed amendments to</w:t>
      </w:r>
      <w:r w:rsidRPr="2A22DF3F">
        <w:rPr>
          <w:lang w:eastAsia="en-AU"/>
        </w:rPr>
        <w:t xml:space="preserve"> law enforcement legislation and delivering training in police investigations. The law and justice program is helping to improve access to justice at the </w:t>
      </w:r>
      <w:r w:rsidR="2131C04F" w:rsidRPr="2A22DF3F">
        <w:rPr>
          <w:lang w:eastAsia="en-AU"/>
        </w:rPr>
        <w:t>community</w:t>
      </w:r>
      <w:r w:rsidRPr="2A22DF3F">
        <w:rPr>
          <w:lang w:eastAsia="en-AU"/>
        </w:rPr>
        <w:t xml:space="preserve"> level </w:t>
      </w:r>
      <w:r w:rsidR="4D2B8A18" w:rsidRPr="2A22DF3F">
        <w:rPr>
          <w:lang w:eastAsia="en-AU"/>
        </w:rPr>
        <w:t>through</w:t>
      </w:r>
      <w:r w:rsidRPr="2A22DF3F">
        <w:rPr>
          <w:lang w:eastAsia="en-AU"/>
        </w:rPr>
        <w:t xml:space="preserve"> </w:t>
      </w:r>
      <w:r w:rsidR="50C8621F" w:rsidRPr="2A22DF3F">
        <w:rPr>
          <w:lang w:eastAsia="en-AU"/>
        </w:rPr>
        <w:t xml:space="preserve">support to deliver </w:t>
      </w:r>
      <w:r w:rsidRPr="2A22DF3F">
        <w:rPr>
          <w:lang w:eastAsia="en-AU"/>
        </w:rPr>
        <w:t>court circuits in the provinces, enhance professional development and strategic planning across law and</w:t>
      </w:r>
      <w:r w:rsidR="44034C7C" w:rsidRPr="2A22DF3F">
        <w:rPr>
          <w:lang w:eastAsia="en-AU"/>
        </w:rPr>
        <w:t xml:space="preserve"> justice</w:t>
      </w:r>
      <w:r w:rsidRPr="2A22DF3F">
        <w:rPr>
          <w:lang w:eastAsia="en-AU"/>
        </w:rPr>
        <w:t xml:space="preserve"> agencies, and support the sector’s most pressing small-scale infrastructure priorities such as a new armoury for the </w:t>
      </w:r>
      <w:r w:rsidR="56B3DD87" w:rsidRPr="2A22DF3F">
        <w:rPr>
          <w:lang w:eastAsia="en-AU"/>
        </w:rPr>
        <w:t xml:space="preserve">Correctional Service </w:t>
      </w:r>
      <w:r w:rsidR="6E49C970" w:rsidRPr="2A22DF3F">
        <w:rPr>
          <w:lang w:eastAsia="en-AU"/>
        </w:rPr>
        <w:t xml:space="preserve">of the </w:t>
      </w:r>
      <w:r w:rsidRPr="2A22DF3F">
        <w:rPr>
          <w:lang w:eastAsia="en-AU"/>
        </w:rPr>
        <w:t>Solomon Islands.</w:t>
      </w:r>
    </w:p>
    <w:p w14:paraId="4D959B21" w14:textId="2EFC6FE8" w:rsidR="00222E5E" w:rsidRDefault="1704296F" w:rsidP="00D573D9">
      <w:pPr>
        <w:rPr>
          <w:lang w:eastAsia="en-AU"/>
        </w:rPr>
      </w:pPr>
      <w:r w:rsidRPr="2A22DF3F">
        <w:rPr>
          <w:lang w:eastAsia="en-AU"/>
        </w:rPr>
        <w:t xml:space="preserve">A strong </w:t>
      </w:r>
      <w:r w:rsidR="1F857EBA" w:rsidRPr="2A22DF3F">
        <w:rPr>
          <w:lang w:eastAsia="en-AU"/>
        </w:rPr>
        <w:t>RSIPF</w:t>
      </w:r>
      <w:r w:rsidRPr="2A22DF3F">
        <w:rPr>
          <w:lang w:eastAsia="en-AU"/>
        </w:rPr>
        <w:t xml:space="preserve"> is crucial to </w:t>
      </w:r>
      <w:r w:rsidR="2D6B3EC1" w:rsidRPr="568D2BBB">
        <w:rPr>
          <w:lang w:eastAsia="en-AU"/>
        </w:rPr>
        <w:t xml:space="preserve">Solomon Islands </w:t>
      </w:r>
      <w:r w:rsidRPr="007C77F4">
        <w:rPr>
          <w:lang w:eastAsia="en-AU"/>
        </w:rPr>
        <w:t xml:space="preserve">stability and security. </w:t>
      </w:r>
      <w:r w:rsidR="00577B28" w:rsidRPr="007C77F4">
        <w:rPr>
          <w:lang w:eastAsia="en-AU"/>
        </w:rPr>
        <w:t xml:space="preserve">In </w:t>
      </w:r>
      <w:r w:rsidR="009D46F0" w:rsidRPr="007C77F4">
        <w:rPr>
          <w:lang w:eastAsia="en-AU"/>
        </w:rPr>
        <w:t xml:space="preserve">December </w:t>
      </w:r>
      <w:r w:rsidR="00577B28" w:rsidRPr="007C77F4">
        <w:rPr>
          <w:lang w:eastAsia="en-AU"/>
        </w:rPr>
        <w:t>2024</w:t>
      </w:r>
      <w:r w:rsidR="00E75D1A">
        <w:rPr>
          <w:lang w:eastAsia="en-AU"/>
        </w:rPr>
        <w:t>,</w:t>
      </w:r>
      <w:r w:rsidR="00577B28" w:rsidRPr="007C77F4">
        <w:rPr>
          <w:lang w:eastAsia="en-AU"/>
        </w:rPr>
        <w:t xml:space="preserve"> Australia and Solomon Islands took a new step in our bilateral partnership. Australia will provide a</w:t>
      </w:r>
      <w:r w:rsidR="00577B28" w:rsidRPr="5B258DC8">
        <w:rPr>
          <w:lang w:eastAsia="en-AU"/>
        </w:rPr>
        <w:t xml:space="preserve"> </w:t>
      </w:r>
      <w:r w:rsidR="00577B28" w:rsidRPr="007C77F4">
        <w:rPr>
          <w:lang w:eastAsia="en-AU"/>
        </w:rPr>
        <w:t>package of support to grow the size and capability of the RSIPF</w:t>
      </w:r>
      <w:r w:rsidR="005B1D20">
        <w:rPr>
          <w:lang w:eastAsia="en-AU"/>
        </w:rPr>
        <w:t>,</w:t>
      </w:r>
      <w:r w:rsidR="00577B28" w:rsidRPr="007C77F4">
        <w:rPr>
          <w:lang w:eastAsia="en-AU"/>
        </w:rPr>
        <w:t xml:space="preserve"> including funding, training and infrastructure and support for a new sovereign Police Training Centre in Honiara.</w:t>
      </w:r>
      <w:r w:rsidR="00EB352B" w:rsidRPr="007C77F4">
        <w:rPr>
          <w:lang w:eastAsia="en-AU"/>
        </w:rPr>
        <w:t xml:space="preserve"> This </w:t>
      </w:r>
      <w:r w:rsidR="005B1D20">
        <w:rPr>
          <w:lang w:eastAsia="en-AU"/>
        </w:rPr>
        <w:t xml:space="preserve">initiative </w:t>
      </w:r>
      <w:r w:rsidR="00EB352B" w:rsidRPr="007C77F4">
        <w:rPr>
          <w:lang w:eastAsia="en-AU"/>
        </w:rPr>
        <w:t>is based on Solomon Islands</w:t>
      </w:r>
      <w:r w:rsidR="00346837">
        <w:rPr>
          <w:lang w:eastAsia="en-AU"/>
        </w:rPr>
        <w:t>’</w:t>
      </w:r>
      <w:r w:rsidR="00EB352B" w:rsidRPr="007C77F4">
        <w:rPr>
          <w:lang w:eastAsia="en-AU"/>
        </w:rPr>
        <w:t xml:space="preserve"> three-tier security </w:t>
      </w:r>
      <w:r w:rsidR="00222E5E" w:rsidRPr="007C77F4">
        <w:rPr>
          <w:lang w:eastAsia="en-AU"/>
        </w:rPr>
        <w:t xml:space="preserve">framework </w:t>
      </w:r>
      <w:r w:rsidR="00346837">
        <w:rPr>
          <w:lang w:eastAsia="en-AU"/>
        </w:rPr>
        <w:t xml:space="preserve">– </w:t>
      </w:r>
      <w:r w:rsidR="00222E5E" w:rsidRPr="007C77F4">
        <w:rPr>
          <w:lang w:eastAsia="en-AU"/>
        </w:rPr>
        <w:t xml:space="preserve">a strengthened RSIPF first, support from Melanesian countries second, and </w:t>
      </w:r>
      <w:r w:rsidR="00346837">
        <w:rPr>
          <w:lang w:eastAsia="en-AU"/>
        </w:rPr>
        <w:t xml:space="preserve">support </w:t>
      </w:r>
      <w:r w:rsidR="00222E5E" w:rsidRPr="007C77F4">
        <w:rPr>
          <w:lang w:eastAsia="en-AU"/>
        </w:rPr>
        <w:t>from members of the Pacific Islands Forum third.</w:t>
      </w:r>
      <w:r w:rsidR="00222E5E" w:rsidRPr="00222E5E">
        <w:rPr>
          <w:lang w:eastAsia="en-AU"/>
        </w:rPr>
        <w:t xml:space="preserve"> </w:t>
      </w:r>
    </w:p>
    <w:p w14:paraId="06213581" w14:textId="3AA6D6A5" w:rsidR="000A2BD1" w:rsidRPr="00D573D9" w:rsidRDefault="670CA2DC" w:rsidP="00D573D9">
      <w:pPr>
        <w:rPr>
          <w:rFonts w:cs="Calibri Light"/>
          <w:lang w:eastAsia="en-AU"/>
        </w:rPr>
      </w:pPr>
      <w:r w:rsidRPr="25169B0C">
        <w:rPr>
          <w:lang w:eastAsia="en-AU"/>
        </w:rPr>
        <w:t xml:space="preserve">In addition </w:t>
      </w:r>
      <w:r w:rsidRPr="3DFA3C6D">
        <w:rPr>
          <w:lang w:eastAsia="en-AU"/>
        </w:rPr>
        <w:t xml:space="preserve">to </w:t>
      </w:r>
      <w:r w:rsidRPr="7459785E">
        <w:rPr>
          <w:lang w:eastAsia="en-AU"/>
        </w:rPr>
        <w:t>expanding the RSIPF</w:t>
      </w:r>
      <w:r w:rsidRPr="2523C14F">
        <w:rPr>
          <w:lang w:eastAsia="en-AU"/>
        </w:rPr>
        <w:t xml:space="preserve">, </w:t>
      </w:r>
      <w:r w:rsidRPr="5CF7E84C">
        <w:rPr>
          <w:lang w:eastAsia="en-AU"/>
        </w:rPr>
        <w:t>t</w:t>
      </w:r>
      <w:r w:rsidR="744A1A6B" w:rsidRPr="2523C14F">
        <w:rPr>
          <w:lang w:eastAsia="en-AU"/>
        </w:rPr>
        <w:t>he</w:t>
      </w:r>
      <w:r w:rsidR="744A1A6B" w:rsidRPr="2A22DF3F">
        <w:rPr>
          <w:lang w:eastAsia="en-AU"/>
        </w:rPr>
        <w:t xml:space="preserve"> </w:t>
      </w:r>
      <w:r w:rsidR="1F857EBA" w:rsidRPr="2A22DF3F">
        <w:rPr>
          <w:lang w:eastAsia="en-AU"/>
        </w:rPr>
        <w:t>AFP</w:t>
      </w:r>
      <w:r w:rsidR="008E5DB5">
        <w:rPr>
          <w:lang w:eastAsia="en-AU"/>
        </w:rPr>
        <w:t xml:space="preserve"> (</w:t>
      </w:r>
      <w:r w:rsidR="744A1A6B" w:rsidRPr="2A22DF3F">
        <w:rPr>
          <w:lang w:eastAsia="en-AU"/>
        </w:rPr>
        <w:t>through the bilateral RAPPP</w:t>
      </w:r>
      <w:r w:rsidR="008E5DB5">
        <w:rPr>
          <w:lang w:eastAsia="en-AU"/>
        </w:rPr>
        <w:t>)</w:t>
      </w:r>
      <w:r w:rsidR="744A1A6B" w:rsidRPr="2A22DF3F">
        <w:rPr>
          <w:lang w:eastAsia="en-AU"/>
        </w:rPr>
        <w:t xml:space="preserve"> and </w:t>
      </w:r>
      <w:r w:rsidR="4E96C0FB" w:rsidRPr="2A22DF3F">
        <w:rPr>
          <w:lang w:eastAsia="en-AU"/>
        </w:rPr>
        <w:t xml:space="preserve">the Australian Government Department of </w:t>
      </w:r>
      <w:r w:rsidR="744A1A6B" w:rsidRPr="2A22DF3F">
        <w:rPr>
          <w:lang w:eastAsia="en-AU"/>
        </w:rPr>
        <w:t>Defence</w:t>
      </w:r>
      <w:r w:rsidR="008E5DB5">
        <w:rPr>
          <w:lang w:eastAsia="en-AU"/>
        </w:rPr>
        <w:t xml:space="preserve"> (</w:t>
      </w:r>
      <w:r w:rsidR="744A1A6B" w:rsidRPr="2A22DF3F">
        <w:rPr>
          <w:lang w:eastAsia="en-AU"/>
        </w:rPr>
        <w:t>through its Defence Cooperation Program</w:t>
      </w:r>
      <w:r w:rsidR="008E5DB5">
        <w:rPr>
          <w:lang w:eastAsia="en-AU"/>
        </w:rPr>
        <w:t>)</w:t>
      </w:r>
      <w:r w:rsidR="744A1A6B" w:rsidRPr="2A22DF3F">
        <w:rPr>
          <w:lang w:eastAsia="en-AU"/>
        </w:rPr>
        <w:t xml:space="preserve"> </w:t>
      </w:r>
      <w:r w:rsidR="00222E5E">
        <w:rPr>
          <w:lang w:eastAsia="en-AU"/>
        </w:rPr>
        <w:t xml:space="preserve">will also continue to </w:t>
      </w:r>
      <w:r w:rsidR="744A1A6B" w:rsidRPr="2A22DF3F">
        <w:rPr>
          <w:lang w:eastAsia="en-AU"/>
        </w:rPr>
        <w:t xml:space="preserve">provide technical assistance and enabling assistance to support </w:t>
      </w:r>
      <w:r w:rsidR="00222E5E">
        <w:rPr>
          <w:lang w:eastAsia="en-AU"/>
        </w:rPr>
        <w:t xml:space="preserve">the </w:t>
      </w:r>
      <w:r w:rsidR="744A1A6B" w:rsidRPr="2A22DF3F">
        <w:rPr>
          <w:lang w:eastAsia="en-AU"/>
        </w:rPr>
        <w:t>RSIPF</w:t>
      </w:r>
      <w:r w:rsidR="5D61EC71" w:rsidRPr="2A22DF3F">
        <w:rPr>
          <w:lang w:eastAsia="en-AU"/>
        </w:rPr>
        <w:t xml:space="preserve">. </w:t>
      </w:r>
      <w:r w:rsidR="00A812F2">
        <w:rPr>
          <w:lang w:eastAsia="en-AU"/>
        </w:rPr>
        <w:t xml:space="preserve">This builds </w:t>
      </w:r>
      <w:r w:rsidR="004567FA" w:rsidRPr="001441FB">
        <w:rPr>
          <w:lang w:eastAsia="en-AU"/>
        </w:rPr>
        <w:t xml:space="preserve">on more than four decades of security </w:t>
      </w:r>
      <w:r w:rsidR="004567FA" w:rsidRPr="001441FB">
        <w:rPr>
          <w:lang w:eastAsia="en-AU"/>
        </w:rPr>
        <w:lastRenderedPageBreak/>
        <w:t xml:space="preserve">cooperation, spanning policing, humanitarian assistance and disaster relief, defence, border </w:t>
      </w:r>
      <w:r w:rsidR="00A95B47">
        <w:rPr>
          <w:lang w:eastAsia="en-AU"/>
        </w:rPr>
        <w:t xml:space="preserve">security </w:t>
      </w:r>
      <w:r w:rsidR="004567FA" w:rsidRPr="001441FB">
        <w:rPr>
          <w:lang w:eastAsia="en-AU"/>
        </w:rPr>
        <w:t>and</w:t>
      </w:r>
      <w:r w:rsidR="00A95B47">
        <w:rPr>
          <w:lang w:eastAsia="en-AU"/>
        </w:rPr>
        <w:t> </w:t>
      </w:r>
      <w:r w:rsidR="004567FA" w:rsidRPr="001441FB">
        <w:rPr>
          <w:lang w:eastAsia="en-AU"/>
        </w:rPr>
        <w:t>cybersecurity.</w:t>
      </w:r>
    </w:p>
    <w:p w14:paraId="33C21E01" w14:textId="1307891A" w:rsidR="000A2BD1" w:rsidRPr="00D573D9" w:rsidRDefault="5C11F828" w:rsidP="0BA78C5A">
      <w:pPr>
        <w:rPr>
          <w:highlight w:val="yellow"/>
          <w:lang w:eastAsia="en-AU"/>
        </w:rPr>
      </w:pPr>
      <w:bookmarkStart w:id="0" w:name="_Hlk181085057"/>
      <w:r w:rsidRPr="0BA78C5A">
        <w:rPr>
          <w:lang w:eastAsia="en-AU"/>
        </w:rPr>
        <w:t>The AFP will support Solomon Islands in their engagement with regional security initiatives, including the Pacific Islands Chiefs of Police</w:t>
      </w:r>
      <w:r w:rsidR="00070EC6" w:rsidRPr="0BA78C5A">
        <w:rPr>
          <w:lang w:eastAsia="en-AU"/>
        </w:rPr>
        <w:t>,</w:t>
      </w:r>
      <w:r w:rsidRPr="0BA78C5A">
        <w:rPr>
          <w:lang w:eastAsia="en-AU"/>
        </w:rPr>
        <w:t xml:space="preserve"> the Pacific Community for Law Enforcement Cooperation as the regional coordination mechanism for police capability development</w:t>
      </w:r>
      <w:r w:rsidR="00070EC6" w:rsidRPr="0BA78C5A">
        <w:rPr>
          <w:lang w:eastAsia="en-AU"/>
        </w:rPr>
        <w:t xml:space="preserve">, and the </w:t>
      </w:r>
      <w:r w:rsidRPr="0BA78C5A">
        <w:rPr>
          <w:lang w:eastAsia="en-AU"/>
        </w:rPr>
        <w:t>Pacific Policing Initiative</w:t>
      </w:r>
      <w:r w:rsidR="000D03B1" w:rsidRPr="0BA78C5A">
        <w:rPr>
          <w:lang w:eastAsia="en-AU"/>
        </w:rPr>
        <w:t xml:space="preserve"> following its endorsement by Pacific countries in </w:t>
      </w:r>
      <w:r w:rsidR="00EC22AF" w:rsidRPr="0BA78C5A">
        <w:rPr>
          <w:lang w:eastAsia="en-AU"/>
        </w:rPr>
        <w:t xml:space="preserve">August 2024. </w:t>
      </w:r>
      <w:r w:rsidR="0062131B" w:rsidRPr="0BA78C5A">
        <w:rPr>
          <w:lang w:eastAsia="en-AU"/>
        </w:rPr>
        <w:t>The Pacific Policing Initiative is a major regional initiative to strengthen national policing capabilities and collective peace and security throughout the region. Australia will support police training, combined deployments and capability uplift to ensure the Pacific Policing Initiative delivers on the aspirations of Pacific countries</w:t>
      </w:r>
      <w:r w:rsidR="00CA76DF">
        <w:rPr>
          <w:lang w:eastAsia="en-AU"/>
        </w:rPr>
        <w:t>,</w:t>
      </w:r>
      <w:r w:rsidR="0062131B" w:rsidRPr="0BA78C5A">
        <w:rPr>
          <w:lang w:eastAsia="en-AU"/>
        </w:rPr>
        <w:t xml:space="preserve"> including Solomon Islands.</w:t>
      </w:r>
    </w:p>
    <w:bookmarkEnd w:id="0"/>
    <w:p w14:paraId="10288B68" w14:textId="0EA4057F" w:rsidR="000A2BD1" w:rsidRPr="00D573D9" w:rsidRDefault="5C11F828" w:rsidP="00D573D9">
      <w:pPr>
        <w:rPr>
          <w:lang w:eastAsia="en-AU"/>
        </w:rPr>
      </w:pPr>
      <w:r w:rsidRPr="00D573D9">
        <w:rPr>
          <w:lang w:eastAsia="en-AU"/>
        </w:rPr>
        <w:t>The AFP will continue to coordinate and disseminate transnational criminal intelligence information to detect, investigate and disrupt transnational crime in the region, including drug crime, through the Pacific Transnational Crime Network</w:t>
      </w:r>
      <w:r w:rsidR="0050660F">
        <w:rPr>
          <w:lang w:eastAsia="en-AU"/>
        </w:rPr>
        <w:t>, which</w:t>
      </w:r>
      <w:r w:rsidR="00BD334A">
        <w:rPr>
          <w:lang w:eastAsia="en-AU"/>
        </w:rPr>
        <w:t xml:space="preserve"> includes</w:t>
      </w:r>
      <w:r w:rsidRPr="00D573D9">
        <w:rPr>
          <w:lang w:eastAsia="en-AU"/>
        </w:rPr>
        <w:t xml:space="preserve"> the Transnational Crime Units and the Pacific Transnational Crime Coordination</w:t>
      </w:r>
      <w:r w:rsidR="00E61F68">
        <w:rPr>
          <w:lang w:eastAsia="en-AU"/>
        </w:rPr>
        <w:t> </w:t>
      </w:r>
      <w:r w:rsidRPr="00D573D9">
        <w:rPr>
          <w:lang w:eastAsia="en-AU"/>
        </w:rPr>
        <w:t>Centre.</w:t>
      </w:r>
    </w:p>
    <w:p w14:paraId="172D7BA5" w14:textId="12B1557D" w:rsidR="000A2BD1" w:rsidRPr="00D573D9" w:rsidRDefault="00A038B0" w:rsidP="00D573D9">
      <w:pPr>
        <w:rPr>
          <w:rFonts w:cs="Calibri Light"/>
          <w:lang w:eastAsia="en-AU"/>
        </w:rPr>
      </w:pPr>
      <w:r w:rsidRPr="00D573D9">
        <w:rPr>
          <w:lang w:eastAsia="en-AU"/>
        </w:rPr>
        <w:t xml:space="preserve">Through the Defence Cooperation Program, Australia </w:t>
      </w:r>
      <w:r w:rsidR="00FF4C1B" w:rsidRPr="00D573D9">
        <w:rPr>
          <w:lang w:eastAsia="en-AU"/>
        </w:rPr>
        <w:t>plays a key role</w:t>
      </w:r>
      <w:r w:rsidRPr="00D573D9">
        <w:rPr>
          <w:lang w:eastAsia="en-AU"/>
        </w:rPr>
        <w:t xml:space="preserve"> in strengthening the capacity of </w:t>
      </w:r>
      <w:r w:rsidR="00A87E04">
        <w:rPr>
          <w:lang w:eastAsia="en-AU"/>
        </w:rPr>
        <w:t>the</w:t>
      </w:r>
      <w:r w:rsidRPr="00D573D9">
        <w:rPr>
          <w:lang w:eastAsia="en-AU"/>
        </w:rPr>
        <w:t xml:space="preserve"> growing </w:t>
      </w:r>
      <w:r w:rsidR="00C10AF1">
        <w:rPr>
          <w:lang w:eastAsia="en-AU"/>
        </w:rPr>
        <w:t>RSIPF</w:t>
      </w:r>
      <w:r w:rsidRPr="00D573D9">
        <w:rPr>
          <w:lang w:eastAsia="en-AU"/>
        </w:rPr>
        <w:t xml:space="preserve"> to manage law and order, maritime security, explosive ordnance disposal, border surveillance, and humanitarian assistance and disaster relief.</w:t>
      </w:r>
      <w:r w:rsidR="000A2BD1" w:rsidRPr="00D573D9">
        <w:rPr>
          <w:rFonts w:cs="Calibri Light"/>
          <w:lang w:eastAsia="en-AU"/>
        </w:rPr>
        <w:t xml:space="preserve"> </w:t>
      </w:r>
      <w:r w:rsidRPr="00D573D9">
        <w:rPr>
          <w:lang w:eastAsia="en-AU"/>
        </w:rPr>
        <w:t xml:space="preserve">The </w:t>
      </w:r>
      <w:r w:rsidR="00C10AF1">
        <w:rPr>
          <w:lang w:eastAsia="en-AU"/>
        </w:rPr>
        <w:t>Defence Cooperation Program</w:t>
      </w:r>
      <w:r w:rsidRPr="00D573D9">
        <w:rPr>
          <w:lang w:eastAsia="en-AU"/>
        </w:rPr>
        <w:t xml:space="preserve"> is delivering key security infrastructure, including border outposts in </w:t>
      </w:r>
      <w:r w:rsidR="007A27AC">
        <w:rPr>
          <w:lang w:eastAsia="en-AU"/>
        </w:rPr>
        <w:t xml:space="preserve">the </w:t>
      </w:r>
      <w:r w:rsidRPr="00D573D9">
        <w:rPr>
          <w:lang w:eastAsia="en-AU"/>
        </w:rPr>
        <w:t>Western and Temotu Provinces, wharf upgrades to Aola Wharf, and improved safety and amenities at the RSIPF’s Explosive Ordnance Disposal Facility at Hells Point.</w:t>
      </w:r>
      <w:r w:rsidR="0045230B" w:rsidRPr="00D573D9">
        <w:rPr>
          <w:lang w:eastAsia="en-AU"/>
        </w:rPr>
        <w:t xml:space="preserve"> Embedded advis</w:t>
      </w:r>
      <w:r w:rsidR="00554635">
        <w:rPr>
          <w:lang w:eastAsia="en-AU"/>
        </w:rPr>
        <w:t>e</w:t>
      </w:r>
      <w:r w:rsidR="0045230B" w:rsidRPr="00D573D9">
        <w:rPr>
          <w:lang w:eastAsia="en-AU"/>
        </w:rPr>
        <w:t>rs provide capacity development for</w:t>
      </w:r>
      <w:r w:rsidR="003403CD">
        <w:rPr>
          <w:lang w:eastAsia="en-AU"/>
        </w:rPr>
        <w:t xml:space="preserve"> </w:t>
      </w:r>
      <w:r w:rsidR="003403CD" w:rsidRPr="001B054F">
        <w:rPr>
          <w:lang w:eastAsia="en-AU"/>
        </w:rPr>
        <w:t>police, customs and immigration officials.</w:t>
      </w:r>
      <w:r w:rsidR="003403CD">
        <w:rPr>
          <w:rFonts w:ascii="Open Sans" w:hAnsi="Open Sans" w:cs="Open Sans"/>
          <w:color w:val="1A1A1A"/>
          <w:shd w:val="clear" w:color="auto" w:fill="FFFFFF"/>
        </w:rPr>
        <w:t> </w:t>
      </w:r>
      <w:r w:rsidR="0045230B" w:rsidRPr="00D573D9">
        <w:rPr>
          <w:lang w:eastAsia="en-AU"/>
        </w:rPr>
        <w:t xml:space="preserve"> Regular deployments of Operation Render</w:t>
      </w:r>
      <w:r w:rsidR="006F7DD0">
        <w:rPr>
          <w:lang w:eastAsia="en-AU"/>
        </w:rPr>
        <w:t xml:space="preserve"> S</w:t>
      </w:r>
      <w:r w:rsidR="0045230B" w:rsidRPr="00D573D9">
        <w:rPr>
          <w:lang w:eastAsia="en-AU"/>
        </w:rPr>
        <w:t>afe compl</w:t>
      </w:r>
      <w:r w:rsidR="006F7DD0">
        <w:rPr>
          <w:lang w:eastAsia="en-AU"/>
        </w:rPr>
        <w:t>e</w:t>
      </w:r>
      <w:r w:rsidR="0045230B" w:rsidRPr="00D573D9">
        <w:rPr>
          <w:lang w:eastAsia="en-AU"/>
        </w:rPr>
        <w:t xml:space="preserve">ment ongoing </w:t>
      </w:r>
      <w:r w:rsidR="006F7DD0">
        <w:rPr>
          <w:lang w:eastAsia="en-AU"/>
        </w:rPr>
        <w:t>e</w:t>
      </w:r>
      <w:r w:rsidR="00373C7F" w:rsidRPr="00D573D9">
        <w:rPr>
          <w:lang w:eastAsia="en-AU"/>
        </w:rPr>
        <w:t xml:space="preserve">xplosive </w:t>
      </w:r>
      <w:r w:rsidR="006F7DD0">
        <w:rPr>
          <w:lang w:eastAsia="en-AU"/>
        </w:rPr>
        <w:t>o</w:t>
      </w:r>
      <w:r w:rsidR="00373C7F" w:rsidRPr="00D573D9">
        <w:rPr>
          <w:lang w:eastAsia="en-AU"/>
        </w:rPr>
        <w:t xml:space="preserve">rdnance </w:t>
      </w:r>
      <w:r w:rsidR="006F7DD0">
        <w:rPr>
          <w:lang w:eastAsia="en-AU"/>
        </w:rPr>
        <w:t>d</w:t>
      </w:r>
      <w:r w:rsidR="00373C7F" w:rsidRPr="00D573D9">
        <w:rPr>
          <w:lang w:eastAsia="en-AU"/>
        </w:rPr>
        <w:t>estruction</w:t>
      </w:r>
      <w:r w:rsidR="0045230B" w:rsidRPr="00D573D9">
        <w:rPr>
          <w:lang w:eastAsia="en-AU"/>
        </w:rPr>
        <w:t xml:space="preserve"> support and training.</w:t>
      </w:r>
      <w:r w:rsidR="00BD1916" w:rsidRPr="00D573D9">
        <w:rPr>
          <w:lang w:eastAsia="en-AU"/>
        </w:rPr>
        <w:t xml:space="preserve"> The shape of the </w:t>
      </w:r>
      <w:r w:rsidR="00FF12B9">
        <w:rPr>
          <w:lang w:eastAsia="en-AU"/>
        </w:rPr>
        <w:t>Defence Cooperation Program</w:t>
      </w:r>
      <w:r w:rsidRPr="00D573D9">
        <w:rPr>
          <w:lang w:eastAsia="en-AU"/>
        </w:rPr>
        <w:t xml:space="preserve"> will be driven by Solomon Islands’ priorities</w:t>
      </w:r>
      <w:r w:rsidR="00FF12B9">
        <w:rPr>
          <w:lang w:eastAsia="en-AU"/>
        </w:rPr>
        <w:t>,</w:t>
      </w:r>
      <w:r w:rsidRPr="00D573D9">
        <w:rPr>
          <w:lang w:eastAsia="en-AU"/>
        </w:rPr>
        <w:t xml:space="preserve"> in line with </w:t>
      </w:r>
      <w:r w:rsidRPr="00D573D9">
        <w:rPr>
          <w:rFonts w:cs="Calibri Light"/>
          <w:lang w:eastAsia="en-AU"/>
        </w:rPr>
        <w:t>Australia being Solomon Islands’ security partner of choice.</w:t>
      </w:r>
    </w:p>
    <w:p w14:paraId="43AB66F3" w14:textId="4A18F75D" w:rsidR="00A038B0" w:rsidRPr="00D573D9" w:rsidRDefault="744A1A6B" w:rsidP="00E82723">
      <w:pPr>
        <w:rPr>
          <w:lang w:eastAsia="en-AU"/>
        </w:rPr>
      </w:pPr>
      <w:r w:rsidRPr="2A22DF3F">
        <w:rPr>
          <w:lang w:eastAsia="en-AU"/>
        </w:rPr>
        <w:t>The Australian Border Force is committed to supporting Solomon Islands border and law enforcement agencies to build resilience and capacity to address domestic and regional challenges. This includes working with current and emerging leaders to develop strategic and enduring partnerships</w:t>
      </w:r>
      <w:r w:rsidR="4938E0D4" w:rsidRPr="2A22DF3F">
        <w:rPr>
          <w:lang w:eastAsia="en-AU"/>
        </w:rPr>
        <w:t>,</w:t>
      </w:r>
      <w:r w:rsidRPr="2A22DF3F">
        <w:rPr>
          <w:lang w:eastAsia="en-AU"/>
        </w:rPr>
        <w:t xml:space="preserve"> coordinate operational and capacity</w:t>
      </w:r>
      <w:r w:rsidR="4AB90EE7" w:rsidRPr="2A22DF3F">
        <w:rPr>
          <w:lang w:eastAsia="en-AU"/>
        </w:rPr>
        <w:t xml:space="preserve"> </w:t>
      </w:r>
      <w:r w:rsidRPr="2A22DF3F">
        <w:rPr>
          <w:lang w:eastAsia="en-AU"/>
        </w:rPr>
        <w:t xml:space="preserve">building initiatives, </w:t>
      </w:r>
      <w:r w:rsidR="7FF15207" w:rsidRPr="2A22DF3F">
        <w:rPr>
          <w:lang w:eastAsia="en-AU"/>
        </w:rPr>
        <w:t>and</w:t>
      </w:r>
      <w:r w:rsidRPr="2A22DF3F">
        <w:rPr>
          <w:lang w:eastAsia="en-AU"/>
        </w:rPr>
        <w:t xml:space="preserve"> identify gaps and vulnerabilities.</w:t>
      </w:r>
    </w:p>
    <w:p w14:paraId="78938B47" w14:textId="0E58A161" w:rsidR="00BD1916" w:rsidRPr="00D573D9" w:rsidRDefault="181AA9C4" w:rsidP="00E82723">
      <w:pPr>
        <w:rPr>
          <w:lang w:eastAsia="en-AU"/>
        </w:rPr>
      </w:pPr>
      <w:r w:rsidRPr="00D573D9">
        <w:rPr>
          <w:lang w:eastAsia="en-AU"/>
        </w:rPr>
        <w:t>We have deepened our engagement on cybersecurity, including through deployment of technical advisers to enhance Solomon Islands’ resilience to cyber</w:t>
      </w:r>
      <w:r w:rsidR="327583F3" w:rsidRPr="00D573D9">
        <w:rPr>
          <w:lang w:eastAsia="en-AU"/>
        </w:rPr>
        <w:t>-</w:t>
      </w:r>
      <w:r w:rsidRPr="00D573D9">
        <w:rPr>
          <w:lang w:eastAsia="en-AU"/>
        </w:rPr>
        <w:t xml:space="preserve">attacks through our </w:t>
      </w:r>
      <w:r w:rsidR="1F351718" w:rsidRPr="00D573D9">
        <w:rPr>
          <w:lang w:eastAsia="en-AU"/>
        </w:rPr>
        <w:t>regional cyber support program.</w:t>
      </w:r>
    </w:p>
    <w:p w14:paraId="3EC3A2E4" w14:textId="080212E0" w:rsidR="002F4955" w:rsidRPr="00C10C2C" w:rsidRDefault="002F4955" w:rsidP="00C10C2C">
      <w:pPr>
        <w:pStyle w:val="H2-Heading2"/>
      </w:pPr>
      <w:r w:rsidRPr="00C10C2C">
        <w:lastRenderedPageBreak/>
        <w:t xml:space="preserve">Section 4: Delivering our </w:t>
      </w:r>
      <w:r w:rsidR="007F0D53">
        <w:t>p</w:t>
      </w:r>
      <w:r w:rsidRPr="00C10C2C">
        <w:t>artnership</w:t>
      </w:r>
    </w:p>
    <w:p w14:paraId="08D100F0" w14:textId="77777777" w:rsidR="002F4955" w:rsidRPr="008216F0" w:rsidRDefault="002F4955" w:rsidP="00D755D8">
      <w:pPr>
        <w:pStyle w:val="H3-Heading3"/>
      </w:pPr>
      <w:r w:rsidRPr="008216F0">
        <w:t>Locally led development</w:t>
      </w:r>
    </w:p>
    <w:p w14:paraId="4345F8A7" w14:textId="7C9A3E02" w:rsidR="00CA0BF4" w:rsidRPr="0067782C" w:rsidRDefault="00CA0BF4" w:rsidP="00D573D9">
      <w:pPr>
        <w:rPr>
          <w:lang w:eastAsia="en-AU"/>
        </w:rPr>
      </w:pPr>
      <w:r w:rsidRPr="0067782C">
        <w:rPr>
          <w:lang w:eastAsia="en-AU"/>
        </w:rPr>
        <w:t xml:space="preserve">Locally led development is a key element of our partnership with </w:t>
      </w:r>
      <w:r w:rsidR="004F27CE">
        <w:rPr>
          <w:lang w:eastAsia="en-AU"/>
        </w:rPr>
        <w:t xml:space="preserve">the </w:t>
      </w:r>
      <w:r w:rsidRPr="0067782C">
        <w:rPr>
          <w:lang w:eastAsia="en-AU"/>
        </w:rPr>
        <w:t xml:space="preserve">Solomon Islands Government. </w:t>
      </w:r>
      <w:r w:rsidR="001049A4">
        <w:rPr>
          <w:lang w:eastAsia="en-AU"/>
        </w:rPr>
        <w:t xml:space="preserve">Australia </w:t>
      </w:r>
      <w:r w:rsidRPr="0067782C">
        <w:rPr>
          <w:lang w:eastAsia="en-AU"/>
        </w:rPr>
        <w:t xml:space="preserve">defines </w:t>
      </w:r>
      <w:r w:rsidR="000A2BD1" w:rsidRPr="0067782C">
        <w:rPr>
          <w:lang w:eastAsia="en-AU"/>
        </w:rPr>
        <w:t>locally led development</w:t>
      </w:r>
      <w:r w:rsidRPr="0067782C">
        <w:rPr>
          <w:lang w:eastAsia="en-AU"/>
        </w:rPr>
        <w:t xml:space="preserve"> as cooperation that </w:t>
      </w:r>
      <w:r w:rsidR="00D06F71" w:rsidRPr="0067782C">
        <w:rPr>
          <w:lang w:eastAsia="en-AU"/>
        </w:rPr>
        <w:t xml:space="preserve">respects </w:t>
      </w:r>
      <w:r w:rsidRPr="0067782C">
        <w:rPr>
          <w:lang w:eastAsia="en-AU"/>
        </w:rPr>
        <w:t>and enabl</w:t>
      </w:r>
      <w:r w:rsidR="00D06F71" w:rsidRPr="0067782C">
        <w:rPr>
          <w:lang w:eastAsia="en-AU"/>
        </w:rPr>
        <w:t>es</w:t>
      </w:r>
      <w:r w:rsidRPr="0067782C">
        <w:rPr>
          <w:lang w:eastAsia="en-AU"/>
        </w:rPr>
        <w:t xml:space="preserve"> the agency, leadership and decision</w:t>
      </w:r>
      <w:r w:rsidR="00A0152C">
        <w:rPr>
          <w:lang w:eastAsia="en-AU"/>
        </w:rPr>
        <w:t>-</w:t>
      </w:r>
      <w:r w:rsidRPr="0067782C">
        <w:rPr>
          <w:lang w:eastAsia="en-AU"/>
        </w:rPr>
        <w:t xml:space="preserve">making of diverse local actors in framing, design, delivery, resourcing and accountability, in given local and operating contexts. Embedding locally led development practices throughout our development partnership will be a practical demonstration of our commitment of working in partnership across all parts of Solomon Islands society. </w:t>
      </w:r>
      <w:r w:rsidR="009250D2">
        <w:rPr>
          <w:lang w:eastAsia="en-AU"/>
        </w:rPr>
        <w:t xml:space="preserve">We </w:t>
      </w:r>
      <w:r w:rsidRPr="0067782C">
        <w:rPr>
          <w:lang w:eastAsia="en-AU"/>
        </w:rPr>
        <w:t>will:</w:t>
      </w:r>
    </w:p>
    <w:p w14:paraId="6E60FBF4" w14:textId="38295941" w:rsidR="00CA0BF4" w:rsidRPr="0067782C" w:rsidRDefault="15FE5CE5" w:rsidP="00FC0AE0">
      <w:pPr>
        <w:pStyle w:val="NormalBullets-L1"/>
        <w:spacing w:before="60" w:after="60"/>
      </w:pPr>
      <w:r>
        <w:t>align our bilateral and regional programs with the Solomon Islands National Development Strategy</w:t>
      </w:r>
      <w:r w:rsidR="00B348E5">
        <w:t> </w:t>
      </w:r>
      <w:r>
        <w:t>2016</w:t>
      </w:r>
      <w:r w:rsidR="00B348E5">
        <w:t>‍</w:t>
      </w:r>
      <w:r>
        <w:t>–</w:t>
      </w:r>
      <w:r w:rsidR="00B348E5">
        <w:t>‍</w:t>
      </w:r>
      <w:r>
        <w:t>2035</w:t>
      </w:r>
    </w:p>
    <w:p w14:paraId="19AE9EF4" w14:textId="2551D8F9" w:rsidR="00CA0BF4" w:rsidRPr="0067782C" w:rsidRDefault="625FCEB6" w:rsidP="00FC0AE0">
      <w:pPr>
        <w:pStyle w:val="NormalBullets-L1"/>
        <w:spacing w:before="60" w:after="60"/>
      </w:pPr>
      <w:r>
        <w:t>when</w:t>
      </w:r>
      <w:r w:rsidR="15FE5CE5">
        <w:t xml:space="preserve"> appropriate</w:t>
      </w:r>
      <w:r>
        <w:t>,</w:t>
      </w:r>
      <w:r w:rsidR="15FE5CE5">
        <w:t xml:space="preserve"> use Solomon Islands Government national systems through the provision of budget support aligned with the Joint Policy Reform Group, and </w:t>
      </w:r>
      <w:r w:rsidR="1F342BCB">
        <w:t>us</w:t>
      </w:r>
      <w:r w:rsidR="00612A4E">
        <w:t>e</w:t>
      </w:r>
      <w:r w:rsidR="1F342BCB">
        <w:t xml:space="preserve"> Solomon Islands Government systems to deliver</w:t>
      </w:r>
      <w:r w:rsidR="5554E5DC">
        <w:t xml:space="preserve"> </w:t>
      </w:r>
      <w:r w:rsidR="15FE5CE5">
        <w:t>sectoral programs</w:t>
      </w:r>
    </w:p>
    <w:p w14:paraId="5B14ABEA" w14:textId="681B65C0" w:rsidR="00CA0BF4" w:rsidRPr="0067782C" w:rsidRDefault="00CA0BF4" w:rsidP="00FC0AE0">
      <w:pPr>
        <w:pStyle w:val="NormalBullets-L1"/>
        <w:spacing w:before="60" w:after="60"/>
      </w:pPr>
      <w:r w:rsidRPr="0067782C">
        <w:t>use Solomon Islands</w:t>
      </w:r>
      <w:r w:rsidR="009B3123">
        <w:t>’</w:t>
      </w:r>
      <w:r w:rsidRPr="0067782C">
        <w:t xml:space="preserve"> development partner coordination processes and mechanisms, and advocate for other development partners to improve aid coordination and alignment to </w:t>
      </w:r>
      <w:r w:rsidR="00656404">
        <w:t>Solomon Islands</w:t>
      </w:r>
      <w:r w:rsidRPr="0067782C">
        <w:t xml:space="preserve"> priorities</w:t>
      </w:r>
    </w:p>
    <w:p w14:paraId="43140F77" w14:textId="1D7C344E" w:rsidR="00CA0BF4" w:rsidRPr="0067782C" w:rsidRDefault="00CA0BF4" w:rsidP="00FC0AE0">
      <w:pPr>
        <w:pStyle w:val="NormalBullets-L1"/>
        <w:spacing w:before="60" w:after="60"/>
      </w:pPr>
      <w:r w:rsidRPr="0067782C">
        <w:t>support and strengthen local civil society organisations</w:t>
      </w:r>
      <w:r w:rsidR="002B4255">
        <w:t>,</w:t>
      </w:r>
      <w:r w:rsidRPr="0067782C">
        <w:t xml:space="preserve"> including the media, think tanks and universities</w:t>
      </w:r>
      <w:r w:rsidR="002B4255">
        <w:t>,</w:t>
      </w:r>
      <w:r w:rsidRPr="0067782C">
        <w:t xml:space="preserve"> </w:t>
      </w:r>
      <w:r w:rsidR="0051580C">
        <w:t xml:space="preserve">to </w:t>
      </w:r>
      <w:r w:rsidRPr="0067782C">
        <w:t xml:space="preserve">build organisational capability to implement programs and provide services for the </w:t>
      </w:r>
      <w:r w:rsidR="00656404">
        <w:t xml:space="preserve">Solomon Islands </w:t>
      </w:r>
      <w:r w:rsidRPr="0067782C">
        <w:t>Government that draw on their local leadership, knowledge and networks</w:t>
      </w:r>
    </w:p>
    <w:p w14:paraId="73A231CD" w14:textId="0BF313D4" w:rsidR="00CA0BF4" w:rsidRPr="0067782C" w:rsidRDefault="00CA0BF4" w:rsidP="00FC0AE0">
      <w:pPr>
        <w:pStyle w:val="NormalBullets-L1"/>
        <w:spacing w:before="60" w:after="60"/>
      </w:pPr>
      <w:r w:rsidRPr="0067782C">
        <w:t>support civil society to offer leadership pathways, particularly for women and people with disabilit</w:t>
      </w:r>
      <w:r w:rsidR="00721A08">
        <w:t>y</w:t>
      </w:r>
    </w:p>
    <w:p w14:paraId="305D830E" w14:textId="5B0E2BA9" w:rsidR="00CA0BF4" w:rsidRPr="0067782C" w:rsidRDefault="00CA0BF4" w:rsidP="00FC0AE0">
      <w:pPr>
        <w:pStyle w:val="NormalBullets-L1"/>
        <w:spacing w:before="60" w:after="60"/>
      </w:pPr>
      <w:r w:rsidRPr="0067782C">
        <w:t>consider culturally sensitive approaches that reinforce local governance arrangements, adapt approaches to align with local norms</w:t>
      </w:r>
      <w:r w:rsidR="002B4255">
        <w:t>,</w:t>
      </w:r>
      <w:r w:rsidRPr="0067782C">
        <w:t xml:space="preserve"> and engage and collaborate with communities to achieve outcomes</w:t>
      </w:r>
    </w:p>
    <w:p w14:paraId="0E79740D" w14:textId="77777777" w:rsidR="00CA0BF4" w:rsidRPr="0067782C" w:rsidRDefault="00CA0BF4" w:rsidP="00FC0AE0">
      <w:pPr>
        <w:pStyle w:val="NormalBullets-L1"/>
        <w:spacing w:before="60" w:after="60"/>
      </w:pPr>
      <w:r w:rsidRPr="0067782C">
        <w:t>use local expertise in program consultation and design, operational management, implementation, monitoring and evaluation, technical assistance and advisory services</w:t>
      </w:r>
    </w:p>
    <w:p w14:paraId="6465C088" w14:textId="43C15AD7" w:rsidR="00CA0BF4" w:rsidRDefault="00CA0BF4" w:rsidP="00FC0AE0">
      <w:pPr>
        <w:pStyle w:val="NormalBullets-L1"/>
        <w:spacing w:before="60" w:after="60"/>
      </w:pPr>
      <w:r>
        <w:t>increase use of Solomon Islands contractors in infrastructure projects</w:t>
      </w:r>
      <w:r w:rsidR="009A2728">
        <w:t xml:space="preserve"> and employ local people</w:t>
      </w:r>
    </w:p>
    <w:p w14:paraId="0050C1C5" w14:textId="7DFF295E" w:rsidR="00CC2532" w:rsidRPr="0067782C" w:rsidRDefault="00CC2532" w:rsidP="00FC0AE0">
      <w:pPr>
        <w:pStyle w:val="NormalBullets-L1"/>
        <w:spacing w:before="60" w:after="60"/>
      </w:pPr>
      <w:r w:rsidRPr="005F06CC">
        <w:t xml:space="preserve">engage with and support local supply chains and small and medium enterprises </w:t>
      </w:r>
      <w:r>
        <w:t>through</w:t>
      </w:r>
      <w:r w:rsidRPr="005F06CC">
        <w:t xml:space="preserve"> the Strongim Bisnis program</w:t>
      </w:r>
    </w:p>
    <w:p w14:paraId="2E9808E2" w14:textId="42D6D7CB" w:rsidR="00CA0BF4" w:rsidRPr="0067782C" w:rsidRDefault="00CA0BF4" w:rsidP="00FC0AE0">
      <w:pPr>
        <w:pStyle w:val="NormalBullets-L1"/>
        <w:spacing w:before="60" w:after="60"/>
      </w:pPr>
      <w:r w:rsidRPr="0067782C">
        <w:t>build the leadership skills of current and emerging leaders across Solomon Islands</w:t>
      </w:r>
    </w:p>
    <w:p w14:paraId="168C659B" w14:textId="4FFD9170" w:rsidR="00CA0BF4" w:rsidRPr="0067782C" w:rsidRDefault="00CA0BF4" w:rsidP="00FC0AE0">
      <w:pPr>
        <w:pStyle w:val="NormalBullets-L1"/>
        <w:spacing w:before="60" w:after="60"/>
      </w:pPr>
      <w:r>
        <w:t xml:space="preserve">on a grassroots level, </w:t>
      </w:r>
      <w:r w:rsidR="00AE7811">
        <w:t xml:space="preserve">continue working with local communities on projects that are of priority to them through </w:t>
      </w:r>
      <w:r>
        <w:t>Solomon Islands – Australia Community Partnership</w:t>
      </w:r>
      <w:r w:rsidR="00C12304">
        <w:t>s</w:t>
      </w:r>
      <w:r>
        <w:t xml:space="preserve"> </w:t>
      </w:r>
    </w:p>
    <w:p w14:paraId="34B69C71" w14:textId="16834C94" w:rsidR="00CA0BF4" w:rsidRPr="0067782C" w:rsidRDefault="15FE5CE5" w:rsidP="00FC0AE0">
      <w:pPr>
        <w:pStyle w:val="NormalBullets-L1"/>
        <w:spacing w:before="60" w:after="60"/>
      </w:pPr>
      <w:r>
        <w:t>engage local expertise as much as possible to design, deliver and review development programs including drawing on the invaluable expertise of our locally engaged staff to provide input into strategic discussions and documents and provide advice and guidance on our development programs.</w:t>
      </w:r>
    </w:p>
    <w:p w14:paraId="6EE9A4C3" w14:textId="77777777" w:rsidR="002F4955" w:rsidRPr="008216F0" w:rsidRDefault="002F4955" w:rsidP="00D755D8">
      <w:pPr>
        <w:pStyle w:val="H3-Heading3"/>
      </w:pPr>
      <w:r w:rsidRPr="008216F0">
        <w:t>Consultation</w:t>
      </w:r>
    </w:p>
    <w:p w14:paraId="1381B85B" w14:textId="4DC14C61" w:rsidR="00B364A5" w:rsidRPr="0067782C" w:rsidRDefault="00B364A5" w:rsidP="00D573D9">
      <w:pPr>
        <w:rPr>
          <w:lang w:eastAsia="en-AU"/>
        </w:rPr>
      </w:pPr>
      <w:r w:rsidRPr="0067782C">
        <w:rPr>
          <w:lang w:eastAsia="en-AU"/>
        </w:rPr>
        <w:t xml:space="preserve">The Australian Government is in constant dialogue with the Solomon Islands Government to ensure our development assistance responds to Solomon Islands’ priorities. </w:t>
      </w:r>
      <w:r w:rsidR="00890770">
        <w:rPr>
          <w:lang w:eastAsia="en-AU"/>
        </w:rPr>
        <w:t xml:space="preserve">The </w:t>
      </w:r>
      <w:r w:rsidRPr="0067782C">
        <w:rPr>
          <w:lang w:eastAsia="en-AU"/>
        </w:rPr>
        <w:t xml:space="preserve">Solomon Islands Government will continue to be our primary partner informing our priorities and giving feedback on our development programs. Annual consideration of progress towards achievement of the objectives </w:t>
      </w:r>
      <w:r w:rsidR="00890770">
        <w:rPr>
          <w:lang w:eastAsia="en-AU"/>
        </w:rPr>
        <w:t>of</w:t>
      </w:r>
      <w:r w:rsidRPr="0067782C">
        <w:rPr>
          <w:lang w:eastAsia="en-AU"/>
        </w:rPr>
        <w:t xml:space="preserve"> </w:t>
      </w:r>
      <w:r w:rsidR="00890770">
        <w:rPr>
          <w:lang w:eastAsia="en-AU"/>
        </w:rPr>
        <w:t>this</w:t>
      </w:r>
      <w:r w:rsidRPr="0067782C">
        <w:rPr>
          <w:lang w:eastAsia="en-AU"/>
        </w:rPr>
        <w:t xml:space="preserve"> DPP and consideration of new and emerging priorities will be incorporated into existing development program discussions at Senior Officials Talks.</w:t>
      </w:r>
    </w:p>
    <w:p w14:paraId="728A3859" w14:textId="7D9BE87F" w:rsidR="00B364A5" w:rsidRPr="0067782C" w:rsidRDefault="00B364A5" w:rsidP="00D573D9">
      <w:pPr>
        <w:rPr>
          <w:lang w:eastAsia="en-AU"/>
        </w:rPr>
      </w:pPr>
      <w:r w:rsidRPr="0067782C">
        <w:rPr>
          <w:lang w:eastAsia="en-AU"/>
        </w:rPr>
        <w:t xml:space="preserve">Review and discussion of DPP progress will </w:t>
      </w:r>
      <w:r w:rsidR="007A095F">
        <w:rPr>
          <w:lang w:eastAsia="en-AU"/>
        </w:rPr>
        <w:t xml:space="preserve">also </w:t>
      </w:r>
      <w:r w:rsidRPr="0067782C">
        <w:rPr>
          <w:lang w:eastAsia="en-AU"/>
        </w:rPr>
        <w:t>be incorporated into existing Solomon Islands Government coordination meetings and development stakeholder forums. These include the biannual Development Partners Dialogue and Development Partners Meeting</w:t>
      </w:r>
      <w:r w:rsidR="007C3957">
        <w:rPr>
          <w:lang w:eastAsia="en-AU"/>
        </w:rPr>
        <w:t>s</w:t>
      </w:r>
      <w:r w:rsidRPr="0067782C">
        <w:rPr>
          <w:lang w:eastAsia="en-AU"/>
        </w:rPr>
        <w:t xml:space="preserve"> which are led by Ministry of National Planning and Development Cooperation. We will actively share information on our approaches with other development partners and will </w:t>
      </w:r>
      <w:r w:rsidRPr="0067782C">
        <w:rPr>
          <w:lang w:eastAsia="en-AU"/>
        </w:rPr>
        <w:lastRenderedPageBreak/>
        <w:t xml:space="preserve">harmonise engagement with </w:t>
      </w:r>
      <w:r w:rsidR="00585E6D">
        <w:rPr>
          <w:lang w:eastAsia="en-AU"/>
        </w:rPr>
        <w:t xml:space="preserve">the </w:t>
      </w:r>
      <w:r w:rsidRPr="0067782C">
        <w:rPr>
          <w:lang w:eastAsia="en-AU"/>
        </w:rPr>
        <w:t>Solomon Islands Government, where we can, to avoid duplication and reduce transaction costs for Solomon Islands counterparts.</w:t>
      </w:r>
    </w:p>
    <w:p w14:paraId="3BA09E80" w14:textId="0B9C0526" w:rsidR="00B364A5" w:rsidRPr="00D573D9" w:rsidRDefault="00B364A5" w:rsidP="001F25F4">
      <w:pPr>
        <w:rPr>
          <w:lang w:eastAsia="en-AU"/>
        </w:rPr>
      </w:pPr>
      <w:r w:rsidRPr="4DE8A1FC">
        <w:rPr>
          <w:lang w:eastAsia="en-AU"/>
        </w:rPr>
        <w:t xml:space="preserve">Annual stakeholder forums in Solomon Islands and Australia will provide the opportunity for ongoing dialogue with key organisations </w:t>
      </w:r>
      <w:r w:rsidR="00585E6D">
        <w:rPr>
          <w:lang w:eastAsia="en-AU"/>
        </w:rPr>
        <w:t xml:space="preserve">that </w:t>
      </w:r>
      <w:r w:rsidRPr="4DE8A1FC">
        <w:rPr>
          <w:lang w:eastAsia="en-AU"/>
        </w:rPr>
        <w:t>informed the development of the DPP on the priorities and delivery of Australia’s development assistance efforts in Solomon Islands</w:t>
      </w:r>
      <w:r w:rsidRPr="00D573D9">
        <w:rPr>
          <w:lang w:eastAsia="en-AU"/>
        </w:rPr>
        <w:t>.</w:t>
      </w:r>
    </w:p>
    <w:p w14:paraId="2C2D5E82" w14:textId="77777777" w:rsidR="002F4955" w:rsidRPr="001F25F4" w:rsidRDefault="002F4955" w:rsidP="001F25F4">
      <w:pPr>
        <w:pStyle w:val="H3-Heading3"/>
      </w:pPr>
      <w:r w:rsidRPr="008216F0">
        <w:t>Evaluation and learning</w:t>
      </w:r>
    </w:p>
    <w:p w14:paraId="5F48139F" w14:textId="754970AF" w:rsidR="1535EF68" w:rsidRPr="00D573D9" w:rsidRDefault="1535EF68" w:rsidP="001F25F4">
      <w:pPr>
        <w:rPr>
          <w:lang w:eastAsia="en-AU"/>
        </w:rPr>
      </w:pPr>
      <w:r w:rsidRPr="00D573D9">
        <w:rPr>
          <w:lang w:eastAsia="en-AU"/>
        </w:rPr>
        <w:t xml:space="preserve">We will </w:t>
      </w:r>
      <w:r w:rsidR="00C8745A">
        <w:rPr>
          <w:lang w:eastAsia="en-AU"/>
        </w:rPr>
        <w:t>evaluate</w:t>
      </w:r>
      <w:r w:rsidRPr="00D573D9">
        <w:rPr>
          <w:lang w:eastAsia="en-AU"/>
        </w:rPr>
        <w:t xml:space="preserve"> key investments and priority sectors to promote continuous improvement and ensure our approaches are fit for purpose to achieve effective outcomes.</w:t>
      </w:r>
      <w:r w:rsidR="63DECDB5" w:rsidRPr="00D573D9">
        <w:rPr>
          <w:lang w:eastAsia="en-AU"/>
        </w:rPr>
        <w:t xml:space="preserve"> We will publish a minimum of three evaluations each year over the life of the DPP, as outlined in Table</w:t>
      </w:r>
      <w:r w:rsidR="00901EEE">
        <w:rPr>
          <w:lang w:eastAsia="en-AU"/>
        </w:rPr>
        <w:t> </w:t>
      </w:r>
      <w:r w:rsidR="63DECDB5" w:rsidRPr="00D573D9">
        <w:rPr>
          <w:lang w:eastAsia="en-AU"/>
        </w:rPr>
        <w:t>2, and leverage these findings to influence the management and design of programs, including those beyond our current portfolio of investments (see Annex</w:t>
      </w:r>
      <w:r w:rsidR="00901EEE">
        <w:rPr>
          <w:lang w:eastAsia="en-AU"/>
        </w:rPr>
        <w:t> </w:t>
      </w:r>
      <w:r w:rsidR="63DECDB5" w:rsidRPr="00D573D9">
        <w:rPr>
          <w:lang w:eastAsia="en-AU"/>
        </w:rPr>
        <w:t>1).</w:t>
      </w:r>
    </w:p>
    <w:p w14:paraId="13C16E0D" w14:textId="2BA04BD2" w:rsidR="006651F9" w:rsidRPr="006651F9" w:rsidRDefault="002F4955" w:rsidP="00D573D9">
      <w:pPr>
        <w:pStyle w:val="Tabletitle"/>
      </w:pPr>
      <w:r>
        <w:t xml:space="preserve">Table 2: Consultation, </w:t>
      </w:r>
      <w:r w:rsidR="009E53D7">
        <w:t>evaluation and learning plan</w:t>
      </w:r>
    </w:p>
    <w:tbl>
      <w:tblPr>
        <w:tblStyle w:val="GridTable2-Accent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Consultation, evaluation and learning plan"/>
        <w:tblDescription w:val="The DPP consultation, evaluation and learning plan includes investment-level evaluations, annual stakeholder consultations and a mid-cycle review of the DPP"/>
      </w:tblPr>
      <w:tblGrid>
        <w:gridCol w:w="2263"/>
        <w:gridCol w:w="2604"/>
        <w:gridCol w:w="2604"/>
        <w:gridCol w:w="2606"/>
      </w:tblGrid>
      <w:tr w:rsidR="00690BDF" w:rsidRPr="002C113F" w14:paraId="7A745DDD" w14:textId="77777777" w:rsidTr="2A22DF3F">
        <w:trPr>
          <w:cnfStyle w:val="100000000000" w:firstRow="1" w:lastRow="0" w:firstColumn="0" w:lastColumn="0" w:oddVBand="0" w:evenVBand="0" w:oddHBand="0" w:evenHBand="0" w:firstRowFirstColumn="0" w:firstRowLastColumn="0" w:lastRowFirstColumn="0" w:lastRowLastColumn="0"/>
          <w:trHeight w:val="331"/>
          <w:tblHeader/>
        </w:trPr>
        <w:tc>
          <w:tcPr>
            <w:tcW w:w="1123" w:type="pct"/>
            <w:tcBorders>
              <w:top w:val="single" w:sz="4" w:space="0" w:color="auto"/>
              <w:bottom w:val="single" w:sz="4" w:space="0" w:color="auto"/>
              <w:right w:val="single" w:sz="4" w:space="0" w:color="auto"/>
            </w:tcBorders>
            <w:shd w:val="clear" w:color="auto" w:fill="3A586E" w:themeFill="accent1"/>
            <w:tcMar>
              <w:bottom w:w="113" w:type="dxa"/>
            </w:tcMar>
          </w:tcPr>
          <w:p w14:paraId="6F231D31" w14:textId="77777777" w:rsidR="002F4955" w:rsidRPr="00443058" w:rsidRDefault="00C22E6E" w:rsidP="00CB3CFC">
            <w:pPr>
              <w:pStyle w:val="TableHeading"/>
            </w:pPr>
            <w:r w:rsidRPr="00443058">
              <w:t>Objective</w:t>
            </w:r>
          </w:p>
        </w:tc>
        <w:tc>
          <w:tcPr>
            <w:tcW w:w="1292" w:type="pct"/>
            <w:tcBorders>
              <w:top w:val="single" w:sz="4" w:space="0" w:color="auto"/>
              <w:left w:val="single" w:sz="4" w:space="0" w:color="auto"/>
              <w:bottom w:val="single" w:sz="4" w:space="0" w:color="auto"/>
              <w:right w:val="single" w:sz="4" w:space="0" w:color="auto"/>
            </w:tcBorders>
            <w:shd w:val="clear" w:color="auto" w:fill="3A586E" w:themeFill="accent1"/>
            <w:tcMar>
              <w:bottom w:w="113" w:type="dxa"/>
            </w:tcMar>
          </w:tcPr>
          <w:p w14:paraId="3123E533" w14:textId="135F7E92" w:rsidR="002F4955" w:rsidRPr="00443058" w:rsidRDefault="002F4955" w:rsidP="00CB3CFC">
            <w:pPr>
              <w:pStyle w:val="TableHeading"/>
            </w:pPr>
            <w:r w:rsidRPr="00443058">
              <w:t>202</w:t>
            </w:r>
            <w:r w:rsidR="00B53DCB" w:rsidRPr="00443058">
              <w:t>4</w:t>
            </w:r>
            <w:r w:rsidR="00A57B4B">
              <w:t>–</w:t>
            </w:r>
            <w:r w:rsidR="00B53DCB" w:rsidRPr="00443058">
              <w:t>25</w:t>
            </w:r>
          </w:p>
        </w:tc>
        <w:tc>
          <w:tcPr>
            <w:tcW w:w="1292" w:type="pct"/>
            <w:tcBorders>
              <w:top w:val="single" w:sz="4" w:space="0" w:color="auto"/>
              <w:left w:val="single" w:sz="4" w:space="0" w:color="auto"/>
              <w:bottom w:val="single" w:sz="4" w:space="0" w:color="auto"/>
              <w:right w:val="single" w:sz="4" w:space="0" w:color="auto"/>
            </w:tcBorders>
            <w:shd w:val="clear" w:color="auto" w:fill="3A586E" w:themeFill="accent1"/>
            <w:tcMar>
              <w:bottom w:w="113" w:type="dxa"/>
            </w:tcMar>
          </w:tcPr>
          <w:p w14:paraId="491CADDE" w14:textId="50B3CB1B" w:rsidR="002F4955" w:rsidRPr="00443058" w:rsidRDefault="002F4955" w:rsidP="00CB3CFC">
            <w:pPr>
              <w:pStyle w:val="TableHeading"/>
            </w:pPr>
            <w:r w:rsidRPr="00443058">
              <w:t>202</w:t>
            </w:r>
            <w:r w:rsidR="00927422" w:rsidRPr="00443058">
              <w:t>5</w:t>
            </w:r>
            <w:r w:rsidR="00A57B4B">
              <w:t>–</w:t>
            </w:r>
            <w:r w:rsidR="00927422" w:rsidRPr="00443058">
              <w:t>26</w:t>
            </w:r>
          </w:p>
        </w:tc>
        <w:tc>
          <w:tcPr>
            <w:tcW w:w="1293" w:type="pct"/>
            <w:tcBorders>
              <w:top w:val="single" w:sz="4" w:space="0" w:color="auto"/>
              <w:left w:val="single" w:sz="4" w:space="0" w:color="auto"/>
              <w:bottom w:val="single" w:sz="4" w:space="0" w:color="auto"/>
            </w:tcBorders>
            <w:shd w:val="clear" w:color="auto" w:fill="3A586E" w:themeFill="accent1"/>
            <w:tcMar>
              <w:bottom w:w="113" w:type="dxa"/>
            </w:tcMar>
          </w:tcPr>
          <w:p w14:paraId="6C46FD68" w14:textId="048660FE" w:rsidR="002F4955" w:rsidRPr="00443058" w:rsidRDefault="002F4955" w:rsidP="00CB3CFC">
            <w:pPr>
              <w:pStyle w:val="TableHeading"/>
            </w:pPr>
            <w:r w:rsidRPr="00443058">
              <w:t>202</w:t>
            </w:r>
            <w:r w:rsidR="0034668D" w:rsidRPr="00443058">
              <w:t>6</w:t>
            </w:r>
            <w:r w:rsidR="00A57B4B">
              <w:t>–</w:t>
            </w:r>
            <w:r w:rsidR="0034668D" w:rsidRPr="00443058">
              <w:t>27</w:t>
            </w:r>
          </w:p>
        </w:tc>
      </w:tr>
      <w:tr w:rsidR="002E321E" w:rsidRPr="002C113F" w14:paraId="1D1C374E" w14:textId="77777777" w:rsidTr="2A22DF3F">
        <w:trPr>
          <w:cnfStyle w:val="000000100000" w:firstRow="0" w:lastRow="0" w:firstColumn="0" w:lastColumn="0" w:oddVBand="0" w:evenVBand="0" w:oddHBand="1" w:evenHBand="0" w:firstRowFirstColumn="0" w:firstRowLastColumn="0" w:lastRowFirstColumn="0" w:lastRowLastColumn="0"/>
          <w:trHeight w:val="984"/>
        </w:trPr>
        <w:tc>
          <w:tcPr>
            <w:tcW w:w="1123" w:type="pct"/>
            <w:tcBorders>
              <w:top w:val="single" w:sz="4" w:space="0" w:color="auto"/>
            </w:tcBorders>
            <w:shd w:val="clear" w:color="auto" w:fill="D6E8D2" w:themeFill="accent3" w:themeFillTint="33"/>
            <w:tcMar>
              <w:bottom w:w="113" w:type="dxa"/>
            </w:tcMar>
          </w:tcPr>
          <w:p w14:paraId="1D45799E" w14:textId="77777777" w:rsidR="002F4955" w:rsidRPr="00160A86" w:rsidRDefault="002F4955" w:rsidP="00D573D9">
            <w:pPr>
              <w:pStyle w:val="TableBodyCopybold"/>
            </w:pPr>
            <w:r w:rsidRPr="003F1084">
              <w:t>Objective 1</w:t>
            </w:r>
          </w:p>
          <w:p w14:paraId="5D41D474" w14:textId="6954494F" w:rsidR="009E4D41" w:rsidRPr="003F1084" w:rsidRDefault="009E4D41" w:rsidP="003F1084">
            <w:pPr>
              <w:pStyle w:val="TableBodyCopy"/>
            </w:pPr>
            <w:r w:rsidRPr="003F1084">
              <w:t>Inclusive economic growth, infrastructure and job creation</w:t>
            </w:r>
          </w:p>
        </w:tc>
        <w:tc>
          <w:tcPr>
            <w:tcW w:w="1292" w:type="pct"/>
            <w:tcBorders>
              <w:top w:val="single" w:sz="4" w:space="0" w:color="auto"/>
            </w:tcBorders>
            <w:shd w:val="clear" w:color="auto" w:fill="D6E8D2" w:themeFill="accent3" w:themeFillTint="33"/>
            <w:tcMar>
              <w:bottom w:w="113" w:type="dxa"/>
            </w:tcMar>
          </w:tcPr>
          <w:p w14:paraId="6E99FCA5" w14:textId="54A46B2E" w:rsidR="002F4955" w:rsidRPr="00D573D9" w:rsidRDefault="65D2A2B4" w:rsidP="002943B0">
            <w:pPr>
              <w:pStyle w:val="TableBodyCopy"/>
            </w:pPr>
            <w:r w:rsidRPr="00D573D9">
              <w:t>Mid-</w:t>
            </w:r>
            <w:r w:rsidR="0034273D" w:rsidRPr="00D573D9">
              <w:t xml:space="preserve">term review </w:t>
            </w:r>
            <w:r w:rsidRPr="00D573D9">
              <w:t>of the Solomon Islands Infrastructure Program</w:t>
            </w:r>
          </w:p>
          <w:p w14:paraId="41805902" w14:textId="782B3A63" w:rsidR="00D45447" w:rsidRPr="00D573D9" w:rsidRDefault="4C96ABE2" w:rsidP="002943B0">
            <w:pPr>
              <w:pStyle w:val="TableBodyCopy"/>
            </w:pPr>
            <w:r>
              <w:t xml:space="preserve">Review of </w:t>
            </w:r>
            <w:r w:rsidR="00185DBA">
              <w:t xml:space="preserve">support for </w:t>
            </w:r>
            <w:r w:rsidR="6A561ED7">
              <w:t>p</w:t>
            </w:r>
            <w:r>
              <w:t xml:space="preserve">rivate </w:t>
            </w:r>
            <w:r w:rsidR="6A561ED7">
              <w:t>s</w:t>
            </w:r>
            <w:r>
              <w:t xml:space="preserve">ector </w:t>
            </w:r>
            <w:r w:rsidR="6A561ED7">
              <w:t>d</w:t>
            </w:r>
            <w:r>
              <w:t>evelopment</w:t>
            </w:r>
          </w:p>
        </w:tc>
        <w:tc>
          <w:tcPr>
            <w:tcW w:w="1292" w:type="pct"/>
            <w:tcBorders>
              <w:top w:val="single" w:sz="4" w:space="0" w:color="auto"/>
            </w:tcBorders>
            <w:shd w:val="clear" w:color="auto" w:fill="D6E8D2" w:themeFill="accent3" w:themeFillTint="33"/>
            <w:tcMar>
              <w:bottom w:w="113" w:type="dxa"/>
            </w:tcMar>
          </w:tcPr>
          <w:p w14:paraId="73E366A8" w14:textId="1B758816" w:rsidR="002F4955" w:rsidRPr="00D573D9" w:rsidRDefault="4C96ABE2" w:rsidP="00D573D9">
            <w:pPr>
              <w:pStyle w:val="TableBodyCopy"/>
            </w:pPr>
            <w:r>
              <w:t>Mid-</w:t>
            </w:r>
            <w:r w:rsidR="2BCD14D6">
              <w:t xml:space="preserve">term review </w:t>
            </w:r>
            <w:r>
              <w:t>of the Australia</w:t>
            </w:r>
            <w:r w:rsidR="6108BC3E">
              <w:t xml:space="preserve"> –</w:t>
            </w:r>
            <w:r>
              <w:t xml:space="preserve"> Solomon Islands </w:t>
            </w:r>
            <w:r w:rsidR="63D3BC19">
              <w:t xml:space="preserve">Partnership for </w:t>
            </w:r>
            <w:r>
              <w:t xml:space="preserve">Governance </w:t>
            </w:r>
            <w:r w:rsidR="63D3BC19">
              <w:t>p</w:t>
            </w:r>
            <w:r>
              <w:t>rogram</w:t>
            </w:r>
          </w:p>
        </w:tc>
        <w:tc>
          <w:tcPr>
            <w:tcW w:w="1293" w:type="pct"/>
            <w:tcBorders>
              <w:top w:val="single" w:sz="4" w:space="0" w:color="auto"/>
            </w:tcBorders>
            <w:shd w:val="clear" w:color="auto" w:fill="D6E8D2" w:themeFill="accent3" w:themeFillTint="33"/>
            <w:tcMar>
              <w:bottom w:w="113" w:type="dxa"/>
            </w:tcMar>
          </w:tcPr>
          <w:p w14:paraId="75E63F6D" w14:textId="3AE05592" w:rsidR="002F4955" w:rsidRPr="00D573D9" w:rsidRDefault="00C72F9A" w:rsidP="00D573D9">
            <w:pPr>
              <w:pStyle w:val="TableBodyCopy"/>
            </w:pPr>
            <w:r w:rsidRPr="00D573D9">
              <w:t>Review of Australia Awards</w:t>
            </w:r>
          </w:p>
        </w:tc>
      </w:tr>
      <w:tr w:rsidR="00A37AE5" w:rsidRPr="002C113F" w14:paraId="7B036427" w14:textId="77777777" w:rsidTr="2A22DF3F">
        <w:trPr>
          <w:trHeight w:val="2430"/>
        </w:trPr>
        <w:tc>
          <w:tcPr>
            <w:tcW w:w="1123" w:type="pct"/>
            <w:shd w:val="clear" w:color="auto" w:fill="FBEED2" w:themeFill="accent4" w:themeFillTint="33"/>
            <w:tcMar>
              <w:bottom w:w="113" w:type="dxa"/>
            </w:tcMar>
          </w:tcPr>
          <w:p w14:paraId="5E8264CE" w14:textId="77777777" w:rsidR="002F4955" w:rsidRPr="00160A86" w:rsidRDefault="002F4955" w:rsidP="00D573D9">
            <w:pPr>
              <w:pStyle w:val="TableBodyCopybold"/>
            </w:pPr>
            <w:r w:rsidRPr="003F1084">
              <w:t>Objective 2</w:t>
            </w:r>
          </w:p>
          <w:p w14:paraId="4B6218E3" w14:textId="1CC77A35" w:rsidR="002F4955" w:rsidRPr="00D573D9" w:rsidRDefault="009E4D41" w:rsidP="009E4D41">
            <w:pPr>
              <w:pStyle w:val="TableBodyCopy"/>
            </w:pPr>
            <w:r w:rsidRPr="009E4D41">
              <w:t>Investing in people, communities and links to Australia and the region</w:t>
            </w:r>
          </w:p>
        </w:tc>
        <w:tc>
          <w:tcPr>
            <w:tcW w:w="1292" w:type="pct"/>
            <w:shd w:val="clear" w:color="auto" w:fill="FBEED2" w:themeFill="accent4" w:themeFillTint="33"/>
            <w:tcMar>
              <w:bottom w:w="113" w:type="dxa"/>
            </w:tcMar>
          </w:tcPr>
          <w:p w14:paraId="1F06F510" w14:textId="4D18D641" w:rsidR="522EFBB2" w:rsidRPr="00D573D9" w:rsidRDefault="745B1015" w:rsidP="00D573D9">
            <w:pPr>
              <w:pStyle w:val="TableBodyCopy"/>
            </w:pPr>
            <w:r w:rsidRPr="00D573D9">
              <w:t>End</w:t>
            </w:r>
            <w:r w:rsidR="004311A7" w:rsidRPr="00D573D9">
              <w:t>-</w:t>
            </w:r>
            <w:r w:rsidRPr="00D573D9">
              <w:t>of</w:t>
            </w:r>
            <w:r w:rsidR="004311A7" w:rsidRPr="00D573D9">
              <w:t>-program evaluation of</w:t>
            </w:r>
            <w:r w:rsidR="00164203" w:rsidRPr="00D573D9">
              <w:t xml:space="preserve"> the</w:t>
            </w:r>
            <w:r w:rsidR="004311A7" w:rsidRPr="00D573D9">
              <w:t xml:space="preserve"> </w:t>
            </w:r>
            <w:r w:rsidRPr="00D573D9">
              <w:t xml:space="preserve">Health </w:t>
            </w:r>
            <w:r w:rsidR="005C3A87">
              <w:t>Sector</w:t>
            </w:r>
            <w:r w:rsidRPr="00D573D9">
              <w:t xml:space="preserve"> Support Program</w:t>
            </w:r>
          </w:p>
          <w:p w14:paraId="219ABF6F" w14:textId="377CE3AB" w:rsidR="4CC04589" w:rsidRPr="00D573D9" w:rsidRDefault="1AF3CF85" w:rsidP="00D573D9">
            <w:pPr>
              <w:pStyle w:val="TableBodyCopy"/>
            </w:pPr>
            <w:r w:rsidRPr="00D573D9">
              <w:t>End</w:t>
            </w:r>
            <w:r w:rsidR="004311A7" w:rsidRPr="00D573D9">
              <w:t>-</w:t>
            </w:r>
            <w:r w:rsidRPr="00D573D9">
              <w:t>of</w:t>
            </w:r>
            <w:r w:rsidR="004311A7" w:rsidRPr="00D573D9">
              <w:t xml:space="preserve">-program evaluation </w:t>
            </w:r>
            <w:r w:rsidRPr="00D573D9">
              <w:t xml:space="preserve">of </w:t>
            </w:r>
            <w:r w:rsidR="00164203" w:rsidRPr="00D573D9">
              <w:t xml:space="preserve">the </w:t>
            </w:r>
            <w:r w:rsidRPr="00D573D9">
              <w:t xml:space="preserve">Solomon Islands </w:t>
            </w:r>
            <w:r w:rsidR="335E5B58" w:rsidRPr="00D573D9">
              <w:t>M</w:t>
            </w:r>
            <w:r w:rsidRPr="00D573D9">
              <w:t>edical Partnership for Learn</w:t>
            </w:r>
            <w:r w:rsidR="00231206">
              <w:t>ing,</w:t>
            </w:r>
            <w:r w:rsidRPr="00D573D9">
              <w:t xml:space="preserve"> Education and Research</w:t>
            </w:r>
          </w:p>
          <w:p w14:paraId="19B37AD8" w14:textId="06555D0B" w:rsidR="4CC04589" w:rsidRPr="00D573D9" w:rsidRDefault="00127646" w:rsidP="00D573D9">
            <w:pPr>
              <w:pStyle w:val="TableBodyCopy"/>
            </w:pPr>
            <w:r>
              <w:t>Review</w:t>
            </w:r>
            <w:r w:rsidR="7900C561">
              <w:t xml:space="preserve"> of </w:t>
            </w:r>
            <w:r w:rsidR="0D94C8C5">
              <w:t xml:space="preserve">Addressing Gender </w:t>
            </w:r>
            <w:r w:rsidR="221E7394">
              <w:t>Ine</w:t>
            </w:r>
            <w:r w:rsidR="0D94C8C5">
              <w:t>quality</w:t>
            </w:r>
            <w:r w:rsidR="65E3B4E3">
              <w:t xml:space="preserve"> in Solomon Islands</w:t>
            </w:r>
          </w:p>
        </w:tc>
        <w:tc>
          <w:tcPr>
            <w:tcW w:w="1292" w:type="pct"/>
            <w:shd w:val="clear" w:color="auto" w:fill="FBEED2" w:themeFill="accent4" w:themeFillTint="33"/>
            <w:tcMar>
              <w:bottom w:w="113" w:type="dxa"/>
            </w:tcMar>
          </w:tcPr>
          <w:p w14:paraId="7614A5E2" w14:textId="0DE6BE69" w:rsidR="002F4955" w:rsidRPr="00D573D9" w:rsidRDefault="00E51059" w:rsidP="00D573D9">
            <w:pPr>
              <w:pStyle w:val="TableBodyCopy"/>
            </w:pPr>
            <w:r w:rsidRPr="00D573D9">
              <w:t>Mid-</w:t>
            </w:r>
            <w:r w:rsidR="0034273D" w:rsidRPr="00D573D9">
              <w:t xml:space="preserve">term review </w:t>
            </w:r>
            <w:r w:rsidRPr="00D573D9">
              <w:t>of</w:t>
            </w:r>
            <w:r w:rsidR="00164203" w:rsidRPr="00D573D9">
              <w:t xml:space="preserve"> the</w:t>
            </w:r>
            <w:r w:rsidRPr="00D573D9">
              <w:t xml:space="preserve"> Australia </w:t>
            </w:r>
            <w:r w:rsidR="00E2439C">
              <w:t xml:space="preserve">– </w:t>
            </w:r>
            <w:r w:rsidRPr="00D573D9">
              <w:t xml:space="preserve">Solomon Islands </w:t>
            </w:r>
            <w:r w:rsidR="00A05528">
              <w:t xml:space="preserve">Program </w:t>
            </w:r>
            <w:r w:rsidRPr="00D573D9">
              <w:t>Support Facility</w:t>
            </w:r>
          </w:p>
        </w:tc>
        <w:tc>
          <w:tcPr>
            <w:tcW w:w="1293" w:type="pct"/>
            <w:shd w:val="clear" w:color="auto" w:fill="FBEED2" w:themeFill="accent4" w:themeFillTint="33"/>
            <w:tcMar>
              <w:bottom w:w="113" w:type="dxa"/>
            </w:tcMar>
          </w:tcPr>
          <w:p w14:paraId="138548CB" w14:textId="3B5703DB" w:rsidR="00A73CA3" w:rsidRPr="00D573D9" w:rsidRDefault="2DE004DD" w:rsidP="00D573D9">
            <w:pPr>
              <w:pStyle w:val="TableBodyCopy"/>
            </w:pPr>
            <w:r w:rsidRPr="00D573D9">
              <w:t>Mid</w:t>
            </w:r>
            <w:r w:rsidR="0034273D" w:rsidRPr="00D573D9">
              <w:t>-</w:t>
            </w:r>
            <w:r w:rsidRPr="00D573D9">
              <w:t xml:space="preserve">term review of </w:t>
            </w:r>
            <w:r w:rsidR="00164203" w:rsidRPr="00D573D9">
              <w:t xml:space="preserve">the </w:t>
            </w:r>
            <w:r w:rsidRPr="00D573D9">
              <w:t xml:space="preserve">new </w:t>
            </w:r>
            <w:r w:rsidR="00414D66">
              <w:t>h</w:t>
            </w:r>
            <w:r w:rsidRPr="00D573D9">
              <w:t>ealth program</w:t>
            </w:r>
          </w:p>
          <w:p w14:paraId="112CB408" w14:textId="71986FE7" w:rsidR="002F4955" w:rsidRPr="00D573D9" w:rsidRDefault="49C58E1D" w:rsidP="002943B0">
            <w:pPr>
              <w:pStyle w:val="TableBodyCopy"/>
            </w:pPr>
            <w:r>
              <w:t>Mid</w:t>
            </w:r>
            <w:r w:rsidR="2BCD14D6">
              <w:t>-</w:t>
            </w:r>
            <w:r>
              <w:t>term review of Advancing Gender Equality in Solomon Islands</w:t>
            </w:r>
          </w:p>
        </w:tc>
      </w:tr>
      <w:tr w:rsidR="00A37AE5" w:rsidRPr="002C113F" w14:paraId="662FA377" w14:textId="77777777" w:rsidTr="2A22DF3F">
        <w:trPr>
          <w:cnfStyle w:val="000000100000" w:firstRow="0" w:lastRow="0" w:firstColumn="0" w:lastColumn="0" w:oddVBand="0" w:evenVBand="0" w:oddHBand="1" w:evenHBand="0" w:firstRowFirstColumn="0" w:firstRowLastColumn="0" w:lastRowFirstColumn="0" w:lastRowLastColumn="0"/>
          <w:trHeight w:val="614"/>
        </w:trPr>
        <w:tc>
          <w:tcPr>
            <w:tcW w:w="1123" w:type="pct"/>
            <w:shd w:val="clear" w:color="auto" w:fill="F0DBD4" w:themeFill="accent5" w:themeFillTint="33"/>
            <w:tcMar>
              <w:bottom w:w="113" w:type="dxa"/>
            </w:tcMar>
          </w:tcPr>
          <w:p w14:paraId="4C2636C9" w14:textId="77777777" w:rsidR="002F4955" w:rsidRPr="00160A86" w:rsidRDefault="002F4955" w:rsidP="00D573D9">
            <w:pPr>
              <w:pStyle w:val="TableBodyCopybold"/>
            </w:pPr>
            <w:r w:rsidRPr="003F1084">
              <w:t>Objective 3</w:t>
            </w:r>
          </w:p>
          <w:p w14:paraId="7110985B" w14:textId="6C1491F9" w:rsidR="002F4955" w:rsidRPr="003F1084" w:rsidRDefault="009E4D41" w:rsidP="002943B0">
            <w:pPr>
              <w:pStyle w:val="TableBodyCopy"/>
            </w:pPr>
            <w:r w:rsidRPr="009E4D41">
              <w:t>Improved stability, security and resilience</w:t>
            </w:r>
          </w:p>
        </w:tc>
        <w:tc>
          <w:tcPr>
            <w:tcW w:w="1292" w:type="pct"/>
            <w:shd w:val="clear" w:color="auto" w:fill="F0DBD4" w:themeFill="accent5" w:themeFillTint="33"/>
            <w:tcMar>
              <w:bottom w:w="113" w:type="dxa"/>
            </w:tcMar>
          </w:tcPr>
          <w:p w14:paraId="24B1C502" w14:textId="1A5B6727" w:rsidR="002F4955" w:rsidRPr="00D573D9" w:rsidRDefault="00276996" w:rsidP="00D573D9">
            <w:pPr>
              <w:pStyle w:val="TableBodyCopy"/>
            </w:pPr>
            <w:r w:rsidRPr="00D573D9">
              <w:t>Mid-</w:t>
            </w:r>
            <w:r w:rsidR="004311A7" w:rsidRPr="00D573D9">
              <w:t xml:space="preserve">term review </w:t>
            </w:r>
            <w:r w:rsidRPr="00D573D9">
              <w:t xml:space="preserve">of the Australia Solomon Islands </w:t>
            </w:r>
            <w:r w:rsidR="006F5FA8">
              <w:t xml:space="preserve">Partnership in </w:t>
            </w:r>
            <w:r w:rsidRPr="00D573D9">
              <w:t xml:space="preserve">Justice </w:t>
            </w:r>
            <w:r w:rsidR="006F5FA8">
              <w:t>p</w:t>
            </w:r>
            <w:r w:rsidRPr="00D573D9">
              <w:t>rogram</w:t>
            </w:r>
          </w:p>
        </w:tc>
        <w:tc>
          <w:tcPr>
            <w:tcW w:w="1292" w:type="pct"/>
            <w:shd w:val="clear" w:color="auto" w:fill="F0DBD4" w:themeFill="accent5" w:themeFillTint="33"/>
            <w:tcMar>
              <w:bottom w:w="113" w:type="dxa"/>
            </w:tcMar>
          </w:tcPr>
          <w:p w14:paraId="52DFB192" w14:textId="5CD746FE" w:rsidR="00001987" w:rsidRPr="00D573D9" w:rsidRDefault="536B7267" w:rsidP="00D573D9">
            <w:pPr>
              <w:pStyle w:val="TableBodyCopy"/>
            </w:pPr>
            <w:r>
              <w:t>Review of Civil Society Strengthening Grants</w:t>
            </w:r>
          </w:p>
        </w:tc>
        <w:tc>
          <w:tcPr>
            <w:tcW w:w="1293" w:type="pct"/>
            <w:shd w:val="clear" w:color="auto" w:fill="F0DBD4" w:themeFill="accent5" w:themeFillTint="33"/>
            <w:tcMar>
              <w:bottom w:w="113" w:type="dxa"/>
            </w:tcMar>
          </w:tcPr>
          <w:p w14:paraId="6AAC11B1" w14:textId="36AA8FE7" w:rsidR="00AC5BC8" w:rsidRPr="00D573D9" w:rsidRDefault="00AC5BC8" w:rsidP="002943B0">
            <w:pPr>
              <w:pStyle w:val="TableBodyCopy"/>
            </w:pPr>
            <w:r w:rsidRPr="00D573D9">
              <w:t>End</w:t>
            </w:r>
            <w:r>
              <w:t>-</w:t>
            </w:r>
            <w:r w:rsidRPr="00D573D9">
              <w:t>of</w:t>
            </w:r>
            <w:r>
              <w:t>-p</w:t>
            </w:r>
            <w:r w:rsidRPr="00D573D9">
              <w:t xml:space="preserve">rogram </w:t>
            </w:r>
            <w:r>
              <w:t>e</w:t>
            </w:r>
            <w:r w:rsidRPr="00D573D9">
              <w:t xml:space="preserve">valuation of the Australia Solomon Islands </w:t>
            </w:r>
            <w:r>
              <w:t xml:space="preserve">Partnership in </w:t>
            </w:r>
            <w:r w:rsidRPr="00D573D9">
              <w:t xml:space="preserve">Justice </w:t>
            </w:r>
            <w:r>
              <w:t>p</w:t>
            </w:r>
            <w:r w:rsidRPr="00D573D9">
              <w:t>rogram</w:t>
            </w:r>
          </w:p>
        </w:tc>
      </w:tr>
      <w:tr w:rsidR="001F25F4" w:rsidRPr="002C113F" w14:paraId="3C89F174" w14:textId="77777777" w:rsidTr="2A22DF3F">
        <w:trPr>
          <w:trHeight w:val="20"/>
        </w:trPr>
        <w:tc>
          <w:tcPr>
            <w:tcW w:w="1123" w:type="pct"/>
            <w:shd w:val="clear" w:color="auto" w:fill="D2DEE7" w:themeFill="accent1" w:themeFillTint="33"/>
            <w:tcMar>
              <w:bottom w:w="113" w:type="dxa"/>
            </w:tcMar>
          </w:tcPr>
          <w:p w14:paraId="4C9F0936" w14:textId="0009E8E2" w:rsidR="002F4955" w:rsidRPr="00A83D74" w:rsidRDefault="002F4955" w:rsidP="00D573D9">
            <w:pPr>
              <w:pStyle w:val="TableBodyCopybold"/>
            </w:pPr>
            <w:r w:rsidRPr="003F1084">
              <w:t>Cross-</w:t>
            </w:r>
            <w:r w:rsidR="009E4D41" w:rsidRPr="003F1084">
              <w:t>p</w:t>
            </w:r>
            <w:r w:rsidRPr="003F1084">
              <w:t>rogram</w:t>
            </w:r>
          </w:p>
        </w:tc>
        <w:tc>
          <w:tcPr>
            <w:tcW w:w="1292" w:type="pct"/>
            <w:shd w:val="clear" w:color="auto" w:fill="D2DEE7" w:themeFill="accent1" w:themeFillTint="33"/>
            <w:tcMar>
              <w:bottom w:w="113" w:type="dxa"/>
            </w:tcMar>
          </w:tcPr>
          <w:p w14:paraId="0D9FB93A" w14:textId="7A757854" w:rsidR="00800577" w:rsidRPr="00047CCC" w:rsidRDefault="00800577" w:rsidP="00047CCC">
            <w:pPr>
              <w:pStyle w:val="TableBodyCopy"/>
            </w:pPr>
            <w:r w:rsidRPr="00047CCC">
              <w:t xml:space="preserve">Annual </w:t>
            </w:r>
            <w:r w:rsidR="004311A7" w:rsidRPr="00047CCC">
              <w:t xml:space="preserve">development stakeholder forum </w:t>
            </w:r>
            <w:r w:rsidRPr="00047CCC">
              <w:t>(</w:t>
            </w:r>
            <w:r w:rsidR="002E321E">
              <w:t>Solomon Islands Government</w:t>
            </w:r>
            <w:r w:rsidRPr="00047CCC">
              <w:t xml:space="preserve">, </w:t>
            </w:r>
            <w:r w:rsidR="001C24BF">
              <w:t>civil society organisations,</w:t>
            </w:r>
            <w:r w:rsidRPr="00047CCC">
              <w:t xml:space="preserve"> </w:t>
            </w:r>
            <w:r w:rsidR="00EB1B80">
              <w:t>Solomon Islands Chamber of Commerce and Industry</w:t>
            </w:r>
            <w:r w:rsidRPr="00047CCC">
              <w:t>)</w:t>
            </w:r>
          </w:p>
          <w:p w14:paraId="0C313590" w14:textId="7B7E4975" w:rsidR="002F4955" w:rsidRPr="00047CCC" w:rsidRDefault="00800577" w:rsidP="002943B0">
            <w:pPr>
              <w:pStyle w:val="TableBodyCopy"/>
            </w:pPr>
            <w:r w:rsidRPr="00047CCC">
              <w:t xml:space="preserve">Senior </w:t>
            </w:r>
            <w:r w:rsidR="00442969">
              <w:t>O</w:t>
            </w:r>
            <w:r w:rsidR="004311A7" w:rsidRPr="00047CCC">
              <w:t xml:space="preserve">fficials </w:t>
            </w:r>
            <w:r w:rsidR="00442969">
              <w:t>T</w:t>
            </w:r>
            <w:r w:rsidR="004311A7" w:rsidRPr="00047CCC">
              <w:t>alks</w:t>
            </w:r>
          </w:p>
        </w:tc>
        <w:tc>
          <w:tcPr>
            <w:tcW w:w="1292" w:type="pct"/>
            <w:shd w:val="clear" w:color="auto" w:fill="D2DEE7" w:themeFill="accent1" w:themeFillTint="33"/>
            <w:tcMar>
              <w:bottom w:w="113" w:type="dxa"/>
            </w:tcMar>
          </w:tcPr>
          <w:p w14:paraId="4F383B8D" w14:textId="363F8C2D" w:rsidR="001B6727" w:rsidRPr="000E5ABD" w:rsidRDefault="001B6727" w:rsidP="00047CCC">
            <w:pPr>
              <w:pStyle w:val="TableBodyCopy"/>
            </w:pPr>
            <w:r w:rsidRPr="00047CCC">
              <w:t xml:space="preserve">Annual </w:t>
            </w:r>
            <w:r w:rsidR="004311A7" w:rsidRPr="00047CCC">
              <w:t xml:space="preserve">development stakeholder forum </w:t>
            </w:r>
            <w:r w:rsidRPr="00047CCC">
              <w:t>(</w:t>
            </w:r>
            <w:r w:rsidR="002E321E">
              <w:t>Solomon Islands Government</w:t>
            </w:r>
            <w:r w:rsidRPr="00047CCC">
              <w:t xml:space="preserve">, </w:t>
            </w:r>
            <w:r w:rsidR="001C24BF">
              <w:t>civil society organisations,</w:t>
            </w:r>
            <w:r w:rsidRPr="00047CCC">
              <w:t xml:space="preserve"> </w:t>
            </w:r>
            <w:r w:rsidR="001004AB">
              <w:t>Solomon Islands Chamber of Commerce and Industry</w:t>
            </w:r>
            <w:r w:rsidRPr="00047CCC">
              <w:t>)</w:t>
            </w:r>
          </w:p>
          <w:p w14:paraId="56E079BA" w14:textId="36D518B9" w:rsidR="002F4955" w:rsidRPr="000E5ABD" w:rsidRDefault="001B6727" w:rsidP="002943B0">
            <w:pPr>
              <w:pStyle w:val="TableBodyCopy"/>
            </w:pPr>
            <w:r w:rsidRPr="000E5ABD">
              <w:t xml:space="preserve">Senior </w:t>
            </w:r>
            <w:r w:rsidR="00442969">
              <w:t>O</w:t>
            </w:r>
            <w:r w:rsidR="004311A7" w:rsidRPr="000E5ABD">
              <w:t xml:space="preserve">fficials </w:t>
            </w:r>
            <w:r w:rsidR="00442969">
              <w:t>T</w:t>
            </w:r>
            <w:r w:rsidR="004311A7" w:rsidRPr="000E5ABD">
              <w:t>alks</w:t>
            </w:r>
          </w:p>
        </w:tc>
        <w:tc>
          <w:tcPr>
            <w:tcW w:w="1293" w:type="pct"/>
            <w:shd w:val="clear" w:color="auto" w:fill="D2DEE7" w:themeFill="accent1" w:themeFillTint="33"/>
            <w:tcMar>
              <w:bottom w:w="113" w:type="dxa"/>
            </w:tcMar>
          </w:tcPr>
          <w:p w14:paraId="51381EA4" w14:textId="0F15BBBF" w:rsidR="00D776C2" w:rsidRPr="000E5ABD" w:rsidRDefault="00D776C2" w:rsidP="000E5ABD">
            <w:pPr>
              <w:pStyle w:val="TableBodyCopy"/>
            </w:pPr>
            <w:r w:rsidRPr="000E5ABD">
              <w:t xml:space="preserve">Annual </w:t>
            </w:r>
            <w:r w:rsidR="004311A7" w:rsidRPr="000E5ABD">
              <w:t xml:space="preserve">development stakeholder forum </w:t>
            </w:r>
            <w:r w:rsidRPr="000E5ABD">
              <w:t>(</w:t>
            </w:r>
            <w:r w:rsidR="002E321E">
              <w:t>Solomon Islands Government</w:t>
            </w:r>
            <w:r w:rsidRPr="000E5ABD">
              <w:t xml:space="preserve">, </w:t>
            </w:r>
            <w:r w:rsidR="001C24BF">
              <w:t>civil society organisations,</w:t>
            </w:r>
            <w:r w:rsidRPr="000E5ABD">
              <w:t xml:space="preserve"> </w:t>
            </w:r>
            <w:r w:rsidR="001004AB">
              <w:t>Solomon Islands Chamber of Commerce and Industry</w:t>
            </w:r>
            <w:r w:rsidRPr="000E5ABD">
              <w:t>)</w:t>
            </w:r>
          </w:p>
          <w:p w14:paraId="70FC4C85" w14:textId="75CB1E9E" w:rsidR="00D776C2" w:rsidRPr="000E5ABD" w:rsidRDefault="001004AB" w:rsidP="000E5ABD">
            <w:pPr>
              <w:pStyle w:val="TableBodyCopy"/>
            </w:pPr>
            <w:r>
              <w:t>M</w:t>
            </w:r>
            <w:r w:rsidR="004311A7" w:rsidRPr="000E5ABD">
              <w:t>id</w:t>
            </w:r>
            <w:r w:rsidR="00D776C2" w:rsidRPr="000E5ABD">
              <w:t xml:space="preserve">-cycle </w:t>
            </w:r>
            <w:r w:rsidR="004311A7" w:rsidRPr="000E5ABD">
              <w:t>review</w:t>
            </w:r>
            <w:r>
              <w:t xml:space="preserve"> of development partnership plan</w:t>
            </w:r>
          </w:p>
          <w:p w14:paraId="7CAAB90C" w14:textId="28223791" w:rsidR="002F4955" w:rsidRPr="000E5ABD" w:rsidRDefault="00D776C2" w:rsidP="002943B0">
            <w:pPr>
              <w:pStyle w:val="TableBodyCopy"/>
            </w:pPr>
            <w:r w:rsidRPr="000E5ABD">
              <w:t xml:space="preserve">Senior </w:t>
            </w:r>
            <w:r w:rsidR="00442969">
              <w:t>O</w:t>
            </w:r>
            <w:r w:rsidR="004311A7" w:rsidRPr="000E5ABD">
              <w:t xml:space="preserve">fficials </w:t>
            </w:r>
            <w:r w:rsidR="00442969">
              <w:t>T</w:t>
            </w:r>
            <w:r w:rsidR="004311A7" w:rsidRPr="000E5ABD">
              <w:t>alks</w:t>
            </w:r>
          </w:p>
        </w:tc>
      </w:tr>
    </w:tbl>
    <w:p w14:paraId="7C8BA4EC" w14:textId="5D665D14" w:rsidR="00C65616" w:rsidRPr="00F54F79" w:rsidRDefault="00C65616" w:rsidP="005E588A">
      <w:pPr>
        <w:widowControl w:val="0"/>
        <w:rPr>
          <w:lang w:eastAsia="en-AU"/>
        </w:rPr>
        <w:sectPr w:rsidR="00C65616" w:rsidRPr="00F54F79" w:rsidSect="0061464D">
          <w:headerReference w:type="first" r:id="rId11"/>
          <w:footerReference w:type="first" r:id="rId12"/>
          <w:endnotePr>
            <w:numFmt w:val="decimal"/>
          </w:endnotePr>
          <w:pgSz w:w="11907" w:h="16840" w:code="9"/>
          <w:pgMar w:top="1418" w:right="851" w:bottom="1276" w:left="851" w:header="340" w:footer="533" w:gutter="0"/>
          <w:pgNumType w:start="1"/>
          <w:cols w:space="708"/>
          <w:noEndnote/>
          <w:titlePg/>
          <w:docGrid w:linePitch="360"/>
        </w:sectPr>
      </w:pPr>
    </w:p>
    <w:p w14:paraId="7FE8DDA9" w14:textId="0EE62F46" w:rsidR="00207222" w:rsidRPr="008216F0" w:rsidRDefault="479F7D58" w:rsidP="008216F0">
      <w:pPr>
        <w:pStyle w:val="H3-Heading3"/>
      </w:pPr>
      <w:r w:rsidRPr="008216F0">
        <w:lastRenderedPageBreak/>
        <w:t xml:space="preserve">Performance and </w:t>
      </w:r>
      <w:r w:rsidR="009E53D7" w:rsidRPr="008216F0">
        <w:t>results</w:t>
      </w:r>
    </w:p>
    <w:p w14:paraId="1C99B7B7" w14:textId="0BA04ECE" w:rsidR="00326EAE" w:rsidRPr="00F54F79" w:rsidRDefault="00326EAE" w:rsidP="00B25597">
      <w:pPr>
        <w:rPr>
          <w:lang w:eastAsia="en-AU"/>
        </w:rPr>
      </w:pPr>
      <w:r w:rsidRPr="4314E796">
        <w:rPr>
          <w:lang w:eastAsia="en-AU"/>
        </w:rPr>
        <w:t xml:space="preserve">The Performance Assessment Framework (PAF) </w:t>
      </w:r>
      <w:r>
        <w:rPr>
          <w:lang w:eastAsia="en-AU"/>
        </w:rPr>
        <w:t xml:space="preserve">at </w:t>
      </w:r>
      <w:r w:rsidRPr="4314E796">
        <w:rPr>
          <w:lang w:eastAsia="en-AU"/>
        </w:rPr>
        <w:t>Table</w:t>
      </w:r>
      <w:r w:rsidR="00B865B3">
        <w:rPr>
          <w:lang w:eastAsia="en-AU"/>
        </w:rPr>
        <w:t> </w:t>
      </w:r>
      <w:r w:rsidRPr="4314E796">
        <w:rPr>
          <w:lang w:eastAsia="en-AU"/>
        </w:rPr>
        <w:t xml:space="preserve">3 provides a selection of indicators and expected results for the first </w:t>
      </w:r>
      <w:r>
        <w:rPr>
          <w:lang w:eastAsia="en-AU"/>
        </w:rPr>
        <w:t>three </w:t>
      </w:r>
      <w:r w:rsidRPr="4314E796">
        <w:rPr>
          <w:lang w:eastAsia="en-AU"/>
        </w:rPr>
        <w:t>years of the DPP. The PAF will be updated periodically including at the mid</w:t>
      </w:r>
      <w:r>
        <w:rPr>
          <w:lang w:eastAsia="en-AU"/>
        </w:rPr>
        <w:t>-</w:t>
      </w:r>
      <w:r w:rsidRPr="4314E796">
        <w:rPr>
          <w:lang w:eastAsia="en-AU"/>
        </w:rPr>
        <w:t>cycle review point</w:t>
      </w:r>
      <w:r>
        <w:rPr>
          <w:lang w:eastAsia="en-AU"/>
        </w:rPr>
        <w:t>,</w:t>
      </w:r>
      <w:r w:rsidRPr="4314E796">
        <w:rPr>
          <w:lang w:eastAsia="en-AU"/>
        </w:rPr>
        <w:t xml:space="preserve"> at which time indicators and results for the second half of the DPP will be identified.</w:t>
      </w:r>
    </w:p>
    <w:p w14:paraId="1F80ACCD" w14:textId="0B1AF7A0" w:rsidR="00207222" w:rsidRDefault="001724B1" w:rsidP="0020178D">
      <w:pPr>
        <w:pStyle w:val="Tabletitle"/>
      </w:pPr>
      <w:r w:rsidRPr="522EFBB2">
        <w:t>Table 3: Performance Assessment Framework</w:t>
      </w:r>
    </w:p>
    <w:p w14:paraId="49284E4E" w14:textId="77777777" w:rsidR="00560F84" w:rsidRPr="00575D31" w:rsidRDefault="00560F84" w:rsidP="000E5ABD">
      <w:pPr>
        <w:pStyle w:val="PAFobjectivehead"/>
        <w:rPr>
          <w:rFonts w:ascii="Times New Roman" w:hAnsi="Times New Roman"/>
          <w:color w:val="313E48"/>
          <w:sz w:val="24"/>
          <w:szCs w:val="24"/>
        </w:rPr>
      </w:pPr>
      <w:r w:rsidRPr="7A6E932B">
        <w:rPr>
          <w:color w:val="000000" w:themeColor="text1"/>
        </w:rPr>
        <w:t xml:space="preserve">Objective 1: </w:t>
      </w:r>
      <w:r w:rsidRPr="7A6E932B">
        <w:t>Inclusive economic growth, infrastructure and job creation </w:t>
      </w:r>
    </w:p>
    <w:tbl>
      <w:tblPr>
        <w:tblW w:w="1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Performance Assessment Framework for Objective 1"/>
        <w:tblDescription w:val="Expected results for Objective 1 for the first three years of the DPP and against the Sustainable Development Goals"/>
      </w:tblPr>
      <w:tblGrid>
        <w:gridCol w:w="1704"/>
        <w:gridCol w:w="2549"/>
        <w:gridCol w:w="2549"/>
        <w:gridCol w:w="2550"/>
        <w:gridCol w:w="2549"/>
        <w:gridCol w:w="2550"/>
      </w:tblGrid>
      <w:tr w:rsidR="00734CB0" w:rsidRPr="00560F84" w14:paraId="7E16D9A1" w14:textId="77777777" w:rsidTr="008216F0">
        <w:trPr>
          <w:cantSplit/>
          <w:trHeight w:val="780"/>
          <w:tblHeader/>
        </w:trPr>
        <w:tc>
          <w:tcPr>
            <w:tcW w:w="1704" w:type="dxa"/>
            <w:shd w:val="clear" w:color="auto" w:fill="3A586E" w:themeFill="accent1"/>
            <w:tcMar>
              <w:left w:w="108" w:type="dxa"/>
              <w:bottom w:w="113" w:type="dxa"/>
              <w:right w:w="108" w:type="dxa"/>
            </w:tcMar>
            <w:hideMark/>
          </w:tcPr>
          <w:p w14:paraId="2671F656" w14:textId="09B541CB" w:rsidR="00207222" w:rsidRPr="000E5ABD" w:rsidRDefault="002F1A44" w:rsidP="000E5ABD">
            <w:pPr>
              <w:pStyle w:val="TableHeading"/>
              <w:rPr>
                <w:b w:val="0"/>
                <w:bCs w:val="0"/>
              </w:rPr>
            </w:pPr>
            <w:r>
              <w:t>Outcome</w:t>
            </w:r>
          </w:p>
        </w:tc>
        <w:tc>
          <w:tcPr>
            <w:tcW w:w="2549" w:type="dxa"/>
            <w:shd w:val="clear" w:color="auto" w:fill="3A586E" w:themeFill="accent1"/>
            <w:tcMar>
              <w:left w:w="108" w:type="dxa"/>
              <w:bottom w:w="113" w:type="dxa"/>
              <w:right w:w="108" w:type="dxa"/>
            </w:tcMar>
            <w:hideMark/>
          </w:tcPr>
          <w:p w14:paraId="7D040E1D" w14:textId="6CB0557C" w:rsidR="00207222" w:rsidRPr="000E5ABD" w:rsidRDefault="00207222" w:rsidP="000E5ABD">
            <w:pPr>
              <w:pStyle w:val="TableHeading"/>
              <w:rPr>
                <w:b w:val="0"/>
                <w:bCs w:val="0"/>
              </w:rPr>
            </w:pPr>
            <w:r w:rsidRPr="00560F84">
              <w:t>Indicator</w:t>
            </w:r>
          </w:p>
        </w:tc>
        <w:tc>
          <w:tcPr>
            <w:tcW w:w="2549" w:type="dxa"/>
            <w:shd w:val="clear" w:color="auto" w:fill="3A586E" w:themeFill="accent1"/>
            <w:tcMar>
              <w:left w:w="108" w:type="dxa"/>
              <w:bottom w:w="113" w:type="dxa"/>
              <w:right w:w="108" w:type="dxa"/>
            </w:tcMar>
            <w:hideMark/>
          </w:tcPr>
          <w:p w14:paraId="1E21C25B" w14:textId="58FCD2A1" w:rsidR="00207222" w:rsidRPr="000E5ABD" w:rsidRDefault="00207222" w:rsidP="000E5ABD">
            <w:pPr>
              <w:pStyle w:val="TableHeading"/>
              <w:rPr>
                <w:b w:val="0"/>
                <w:bCs w:val="0"/>
              </w:rPr>
            </w:pPr>
            <w:r w:rsidRPr="00560F84">
              <w:t xml:space="preserve">Expected </w:t>
            </w:r>
            <w:r w:rsidR="00DA0551" w:rsidRPr="00560F84">
              <w:t>results</w:t>
            </w:r>
            <w:r w:rsidR="002E5A51">
              <w:br/>
            </w:r>
            <w:r w:rsidRPr="00560F84">
              <w:t>2024</w:t>
            </w:r>
            <w:r w:rsidR="00DA0551">
              <w:rPr>
                <w:rFonts w:cstheme="majorHAnsi"/>
              </w:rPr>
              <w:t>–</w:t>
            </w:r>
            <w:r w:rsidRPr="00560F84">
              <w:t>25</w:t>
            </w:r>
          </w:p>
        </w:tc>
        <w:tc>
          <w:tcPr>
            <w:tcW w:w="2550" w:type="dxa"/>
            <w:shd w:val="clear" w:color="auto" w:fill="3A586E" w:themeFill="accent1"/>
            <w:tcMar>
              <w:left w:w="108" w:type="dxa"/>
              <w:bottom w:w="113" w:type="dxa"/>
              <w:right w:w="108" w:type="dxa"/>
            </w:tcMar>
            <w:hideMark/>
          </w:tcPr>
          <w:p w14:paraId="3048BCE6" w14:textId="654B63DA" w:rsidR="00207222" w:rsidRPr="000E5ABD" w:rsidRDefault="00207222" w:rsidP="000E5ABD">
            <w:pPr>
              <w:pStyle w:val="TableHeading"/>
              <w:rPr>
                <w:b w:val="0"/>
                <w:bCs w:val="0"/>
              </w:rPr>
            </w:pPr>
            <w:r w:rsidRPr="00560F84">
              <w:t xml:space="preserve">Expected </w:t>
            </w:r>
            <w:r w:rsidR="00DA0551" w:rsidRPr="00560F84">
              <w:t>results</w:t>
            </w:r>
            <w:r w:rsidR="002E5A51">
              <w:br/>
            </w:r>
            <w:r w:rsidRPr="00560F84">
              <w:t>2025</w:t>
            </w:r>
            <w:r w:rsidR="00DA0551">
              <w:rPr>
                <w:rFonts w:cstheme="majorHAnsi"/>
              </w:rPr>
              <w:t>–</w:t>
            </w:r>
            <w:r w:rsidRPr="00560F84">
              <w:t>26</w:t>
            </w:r>
          </w:p>
        </w:tc>
        <w:tc>
          <w:tcPr>
            <w:tcW w:w="2549" w:type="dxa"/>
            <w:shd w:val="clear" w:color="auto" w:fill="3A586E" w:themeFill="accent1"/>
            <w:tcMar>
              <w:left w:w="108" w:type="dxa"/>
              <w:bottom w:w="113" w:type="dxa"/>
              <w:right w:w="108" w:type="dxa"/>
            </w:tcMar>
            <w:hideMark/>
          </w:tcPr>
          <w:p w14:paraId="5EBEB9F1" w14:textId="7078ADB3" w:rsidR="00207222" w:rsidRPr="000E5ABD" w:rsidRDefault="00207222" w:rsidP="000E5ABD">
            <w:pPr>
              <w:pStyle w:val="TableHeading"/>
              <w:rPr>
                <w:b w:val="0"/>
                <w:bCs w:val="0"/>
              </w:rPr>
            </w:pPr>
            <w:r w:rsidRPr="00560F84">
              <w:t xml:space="preserve">Expected </w:t>
            </w:r>
            <w:r w:rsidR="00DA0551" w:rsidRPr="00560F84">
              <w:t>results</w:t>
            </w:r>
            <w:r w:rsidR="002E5A51">
              <w:br/>
            </w:r>
            <w:r w:rsidRPr="00560F84">
              <w:t>2026</w:t>
            </w:r>
            <w:r w:rsidR="00DA0551">
              <w:rPr>
                <w:rFonts w:cstheme="majorHAnsi"/>
              </w:rPr>
              <w:t>–</w:t>
            </w:r>
            <w:r w:rsidRPr="00560F84">
              <w:t>27</w:t>
            </w:r>
          </w:p>
        </w:tc>
        <w:tc>
          <w:tcPr>
            <w:tcW w:w="2550" w:type="dxa"/>
            <w:shd w:val="clear" w:color="auto" w:fill="3A586E" w:themeFill="accent1"/>
            <w:tcMar>
              <w:left w:w="108" w:type="dxa"/>
              <w:bottom w:w="113" w:type="dxa"/>
              <w:right w:w="108" w:type="dxa"/>
            </w:tcMar>
            <w:hideMark/>
          </w:tcPr>
          <w:p w14:paraId="55F04869" w14:textId="71ADC5CB" w:rsidR="00207222" w:rsidRPr="000E5ABD" w:rsidRDefault="00207222" w:rsidP="000E5ABD">
            <w:pPr>
              <w:pStyle w:val="TableHeading"/>
              <w:rPr>
                <w:b w:val="0"/>
                <w:bCs w:val="0"/>
              </w:rPr>
            </w:pPr>
            <w:r w:rsidRPr="00560F84">
              <w:t>S</w:t>
            </w:r>
            <w:r w:rsidR="002E5A51">
              <w:t xml:space="preserve">ustainable </w:t>
            </w:r>
            <w:r w:rsidRPr="00560F84">
              <w:t>D</w:t>
            </w:r>
            <w:r w:rsidR="002E5A51">
              <w:t xml:space="preserve">evelopment </w:t>
            </w:r>
            <w:r w:rsidRPr="00560F84">
              <w:t>Goals</w:t>
            </w:r>
            <w:r w:rsidR="00DA0551">
              <w:t xml:space="preserve"> (SDGs</w:t>
            </w:r>
            <w:r w:rsidRPr="00560F84">
              <w:t>)</w:t>
            </w:r>
          </w:p>
        </w:tc>
      </w:tr>
      <w:tr w:rsidR="00AD1415" w:rsidRPr="00575D31" w14:paraId="5FD4235A" w14:textId="77777777" w:rsidTr="008216F0">
        <w:trPr>
          <w:cantSplit/>
          <w:trHeight w:val="945"/>
        </w:trPr>
        <w:tc>
          <w:tcPr>
            <w:tcW w:w="1704" w:type="dxa"/>
            <w:shd w:val="clear" w:color="auto" w:fill="D6E8D2" w:themeFill="accent3" w:themeFillTint="33"/>
            <w:tcMar>
              <w:left w:w="108" w:type="dxa"/>
              <w:bottom w:w="113" w:type="dxa"/>
              <w:right w:w="108" w:type="dxa"/>
            </w:tcMar>
            <w:hideMark/>
          </w:tcPr>
          <w:p w14:paraId="38C24C37" w14:textId="411EF2B7" w:rsidR="00207222" w:rsidRPr="00C046CC" w:rsidRDefault="00207222" w:rsidP="000E5ABD">
            <w:pPr>
              <w:pStyle w:val="TableBodyCopybold"/>
              <w:rPr>
                <w:lang w:eastAsia="en-AU"/>
              </w:rPr>
            </w:pPr>
            <w:r w:rsidRPr="00C046CC">
              <w:rPr>
                <w:lang w:eastAsia="en-AU"/>
              </w:rPr>
              <w:t>Outcome 1.1</w:t>
            </w:r>
          </w:p>
          <w:p w14:paraId="10F2A67C" w14:textId="4573DB37" w:rsidR="00207222" w:rsidRPr="00C8008A" w:rsidRDefault="00207222" w:rsidP="000E5ABD">
            <w:pPr>
              <w:pStyle w:val="TableBodyCopy"/>
              <w:rPr>
                <w:rFonts w:cs="Calibri"/>
              </w:rPr>
            </w:pPr>
            <w:r w:rsidRPr="006C7398">
              <w:t xml:space="preserve">Infrastructure: </w:t>
            </w:r>
            <w:r w:rsidRPr="3AB9C097">
              <w:rPr>
                <w:rFonts w:eastAsiaTheme="minorEastAsia"/>
              </w:rPr>
              <w:t>Investment in high</w:t>
            </w:r>
            <w:r w:rsidR="00E20988">
              <w:rPr>
                <w:rFonts w:eastAsiaTheme="minorEastAsia"/>
              </w:rPr>
              <w:t>-</w:t>
            </w:r>
            <w:r w:rsidRPr="3AB9C097">
              <w:rPr>
                <w:rFonts w:eastAsiaTheme="minorEastAsia"/>
              </w:rPr>
              <w:t>quality, climate</w:t>
            </w:r>
            <w:r w:rsidR="00EA7DC9">
              <w:rPr>
                <w:rFonts w:eastAsiaTheme="minorEastAsia"/>
              </w:rPr>
              <w:t xml:space="preserve"> </w:t>
            </w:r>
            <w:r w:rsidRPr="3AB9C097">
              <w:rPr>
                <w:rFonts w:eastAsiaTheme="minorEastAsia"/>
              </w:rPr>
              <w:t>resilient infrastructure supports economic growth and improved access to essential services</w:t>
            </w:r>
          </w:p>
        </w:tc>
        <w:tc>
          <w:tcPr>
            <w:tcW w:w="2549" w:type="dxa"/>
            <w:shd w:val="clear" w:color="auto" w:fill="D6E8D2" w:themeFill="accent3" w:themeFillTint="33"/>
            <w:tcMar>
              <w:left w:w="108" w:type="dxa"/>
              <w:bottom w:w="113" w:type="dxa"/>
              <w:right w:w="108" w:type="dxa"/>
            </w:tcMar>
            <w:hideMark/>
          </w:tcPr>
          <w:p w14:paraId="47E9A7FB" w14:textId="1EC958EB" w:rsidR="00207222" w:rsidRPr="000E5ABD" w:rsidRDefault="00207222" w:rsidP="000E5ABD">
            <w:pPr>
              <w:pStyle w:val="TableBodyCopy"/>
            </w:pPr>
            <w:r w:rsidRPr="000E5ABD">
              <w:t xml:space="preserve">1.1.1 Improved </w:t>
            </w:r>
            <w:r w:rsidR="00901215">
              <w:t>i</w:t>
            </w:r>
            <w:r w:rsidRPr="000E5ABD">
              <w:t xml:space="preserve">nfrastructure across </w:t>
            </w:r>
            <w:r w:rsidR="45572474" w:rsidRPr="000E5ABD">
              <w:t>priority</w:t>
            </w:r>
            <w:r w:rsidRPr="000E5ABD">
              <w:t xml:space="preserve"> sectors</w:t>
            </w:r>
          </w:p>
        </w:tc>
        <w:tc>
          <w:tcPr>
            <w:tcW w:w="2549" w:type="dxa"/>
            <w:shd w:val="clear" w:color="auto" w:fill="D6E8D2" w:themeFill="accent3" w:themeFillTint="33"/>
            <w:tcMar>
              <w:left w:w="108" w:type="dxa"/>
              <w:bottom w:w="113" w:type="dxa"/>
              <w:right w:w="108" w:type="dxa"/>
            </w:tcMar>
            <w:hideMark/>
          </w:tcPr>
          <w:p w14:paraId="0A6D0A9D" w14:textId="5F170921" w:rsidR="00207222" w:rsidRPr="000E5ABD" w:rsidRDefault="0073433D" w:rsidP="000E5ABD">
            <w:pPr>
              <w:pStyle w:val="TableBodyCopy"/>
            </w:pPr>
            <w:r w:rsidRPr="000E5ABD">
              <w:t>30</w:t>
            </w:r>
            <w:r w:rsidR="00352002">
              <w:t> </w:t>
            </w:r>
            <w:r w:rsidR="00207222" w:rsidRPr="000E5ABD">
              <w:t>infrastructure projects delivered</w:t>
            </w:r>
          </w:p>
        </w:tc>
        <w:tc>
          <w:tcPr>
            <w:tcW w:w="2550" w:type="dxa"/>
            <w:shd w:val="clear" w:color="auto" w:fill="D6E8D2" w:themeFill="accent3" w:themeFillTint="33"/>
            <w:tcMar>
              <w:left w:w="108" w:type="dxa"/>
              <w:bottom w:w="113" w:type="dxa"/>
              <w:right w:w="108" w:type="dxa"/>
            </w:tcMar>
            <w:hideMark/>
          </w:tcPr>
          <w:p w14:paraId="7DBC2112" w14:textId="140E5967" w:rsidR="00207222" w:rsidRPr="000E5ABD" w:rsidRDefault="0073433D" w:rsidP="000E5ABD">
            <w:pPr>
              <w:pStyle w:val="TableBodyCopy"/>
            </w:pPr>
            <w:r w:rsidRPr="000E5ABD">
              <w:t>6</w:t>
            </w:r>
            <w:r w:rsidR="00352002">
              <w:t> </w:t>
            </w:r>
            <w:r w:rsidR="00207222" w:rsidRPr="000E5ABD">
              <w:t>infrastructure projects delivered</w:t>
            </w:r>
          </w:p>
        </w:tc>
        <w:tc>
          <w:tcPr>
            <w:tcW w:w="2549" w:type="dxa"/>
            <w:shd w:val="clear" w:color="auto" w:fill="D6E8D2" w:themeFill="accent3" w:themeFillTint="33"/>
            <w:tcMar>
              <w:left w:w="108" w:type="dxa"/>
              <w:bottom w:w="113" w:type="dxa"/>
              <w:right w:w="108" w:type="dxa"/>
            </w:tcMar>
            <w:hideMark/>
          </w:tcPr>
          <w:p w14:paraId="354D9C43" w14:textId="4B61BCF4" w:rsidR="00207222" w:rsidRPr="000E5ABD" w:rsidRDefault="71676BE5" w:rsidP="000E5ABD">
            <w:pPr>
              <w:pStyle w:val="TableBodyCopy"/>
            </w:pPr>
            <w:r w:rsidRPr="000E5ABD">
              <w:t>5</w:t>
            </w:r>
            <w:r w:rsidR="00352002">
              <w:t> </w:t>
            </w:r>
            <w:r w:rsidR="00207222" w:rsidRPr="000E5ABD">
              <w:t>infrastructure projects delivered</w:t>
            </w:r>
          </w:p>
        </w:tc>
        <w:tc>
          <w:tcPr>
            <w:tcW w:w="2550" w:type="dxa"/>
            <w:shd w:val="clear" w:color="auto" w:fill="D6E8D2" w:themeFill="accent3" w:themeFillTint="33"/>
            <w:tcMar>
              <w:left w:w="108" w:type="dxa"/>
              <w:bottom w:w="113" w:type="dxa"/>
              <w:right w:w="108" w:type="dxa"/>
            </w:tcMar>
            <w:hideMark/>
          </w:tcPr>
          <w:p w14:paraId="7D707F64" w14:textId="73FBE4F1" w:rsidR="00207222" w:rsidRPr="000E5ABD" w:rsidRDefault="00207222" w:rsidP="000E5ABD">
            <w:pPr>
              <w:pStyle w:val="TableBodyCopy"/>
            </w:pPr>
            <w:r w:rsidRPr="000E5ABD">
              <w:t xml:space="preserve">SDG9: </w:t>
            </w:r>
            <w:r w:rsidR="003B7A2C">
              <w:t>I</w:t>
            </w:r>
            <w:r w:rsidRPr="000E5ABD">
              <w:t>ndustry, innovation and infrastructure</w:t>
            </w:r>
          </w:p>
        </w:tc>
      </w:tr>
      <w:tr w:rsidR="00207222" w:rsidRPr="00575D31" w14:paraId="225AC5F4"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685D0FA1" w14:textId="19F4CD01" w:rsidR="00207222" w:rsidRPr="00575D31" w:rsidRDefault="00EC2ED9" w:rsidP="008216F0">
            <w:pPr>
              <w:pStyle w:val="TableBodyCopybold"/>
              <w:rPr>
                <w:lang w:eastAsia="en-AU"/>
              </w:rPr>
            </w:pPr>
            <w:r w:rsidRPr="00C046CC">
              <w:rPr>
                <w:lang w:eastAsia="en-AU"/>
              </w:rPr>
              <w:lastRenderedPageBreak/>
              <w:t>Outcome 1.1</w:t>
            </w:r>
          </w:p>
        </w:tc>
        <w:tc>
          <w:tcPr>
            <w:tcW w:w="2549" w:type="dxa"/>
            <w:shd w:val="clear" w:color="auto" w:fill="D6E8D2" w:themeFill="accent3" w:themeFillTint="33"/>
            <w:tcMar>
              <w:left w:w="108" w:type="dxa"/>
              <w:bottom w:w="113" w:type="dxa"/>
              <w:right w:w="108" w:type="dxa"/>
            </w:tcMar>
            <w:hideMark/>
          </w:tcPr>
          <w:p w14:paraId="552D8ED2" w14:textId="504F045B" w:rsidR="00207222" w:rsidRPr="007F3363" w:rsidRDefault="269AAB21" w:rsidP="007F3363">
            <w:pPr>
              <w:pStyle w:val="TableBodyCopy"/>
            </w:pPr>
            <w:r w:rsidRPr="007F3363">
              <w:t>1.1.2</w:t>
            </w:r>
            <w:r w:rsidR="000338BB">
              <w:t xml:space="preserve"> </w:t>
            </w:r>
            <w:r w:rsidR="24378F94" w:rsidRPr="007F3363">
              <w:t>I</w:t>
            </w:r>
            <w:r w:rsidRPr="007F3363">
              <w:t>mproved policies and regulations in the infrastructure sector</w:t>
            </w:r>
            <w:r w:rsidR="004876A2">
              <w:t xml:space="preserve"> (Tier</w:t>
            </w:r>
            <w:r w:rsidR="000338BB">
              <w:t> </w:t>
            </w:r>
            <w:r w:rsidR="004876A2">
              <w:t>2)</w:t>
            </w:r>
          </w:p>
        </w:tc>
        <w:tc>
          <w:tcPr>
            <w:tcW w:w="2549" w:type="dxa"/>
            <w:shd w:val="clear" w:color="auto" w:fill="D6E8D2" w:themeFill="accent3" w:themeFillTint="33"/>
            <w:tcMar>
              <w:left w:w="108" w:type="dxa"/>
              <w:bottom w:w="113" w:type="dxa"/>
              <w:right w:w="108" w:type="dxa"/>
            </w:tcMar>
            <w:hideMark/>
          </w:tcPr>
          <w:p w14:paraId="3394F28B" w14:textId="12ADAA0F" w:rsidR="00207222" w:rsidRPr="007F3363" w:rsidRDefault="31060DFC" w:rsidP="007F3363">
            <w:pPr>
              <w:pStyle w:val="TableBodyCopy"/>
            </w:pPr>
            <w:r w:rsidRPr="007F3363">
              <w:t>Supporting implementation of the Solomon Islands National Infrastructure Priority Pipeline</w:t>
            </w:r>
          </w:p>
          <w:p w14:paraId="1290724E" w14:textId="0B44F1FC" w:rsidR="00207222" w:rsidRPr="007F3363" w:rsidRDefault="31060DFC" w:rsidP="007F3363">
            <w:pPr>
              <w:pStyle w:val="TableBodyCopy"/>
            </w:pPr>
            <w:r w:rsidRPr="007F3363">
              <w:t>Supporting development of the Solomon Islands Government Asset Management Plan</w:t>
            </w:r>
          </w:p>
          <w:p w14:paraId="33754D4C" w14:textId="38676868" w:rsidR="00207222" w:rsidRPr="007F3363" w:rsidRDefault="31060DFC" w:rsidP="007F3363">
            <w:pPr>
              <w:pStyle w:val="TableBodyCopy"/>
            </w:pPr>
            <w:r w:rsidRPr="007F3363">
              <w:t xml:space="preserve">Supporting development of the Solomon Islands Government Monitoring and Evaluation Policy </w:t>
            </w:r>
          </w:p>
          <w:p w14:paraId="4FCCE761" w14:textId="66EFB03A" w:rsidR="00207222" w:rsidRPr="007F3363" w:rsidRDefault="31060DFC" w:rsidP="007F3363">
            <w:pPr>
              <w:pStyle w:val="TableBodyCopy"/>
            </w:pPr>
            <w:r w:rsidRPr="007F3363">
              <w:t>Supporting implementation of the National Building Code</w:t>
            </w:r>
          </w:p>
        </w:tc>
        <w:tc>
          <w:tcPr>
            <w:tcW w:w="2550" w:type="dxa"/>
            <w:shd w:val="clear" w:color="auto" w:fill="D6E8D2" w:themeFill="accent3" w:themeFillTint="33"/>
            <w:tcMar>
              <w:left w:w="108" w:type="dxa"/>
              <w:bottom w:w="113" w:type="dxa"/>
              <w:right w:w="108" w:type="dxa"/>
            </w:tcMar>
            <w:hideMark/>
          </w:tcPr>
          <w:p w14:paraId="156368A4" w14:textId="23B1FEC3" w:rsidR="7BFCFE06" w:rsidRPr="007F3363" w:rsidRDefault="7BFCFE06" w:rsidP="007F3363">
            <w:pPr>
              <w:pStyle w:val="TableBodyCopy"/>
            </w:pPr>
            <w:r w:rsidRPr="007F3363">
              <w:t>Supporting implementation of the Solomon Islands National Infrastructure Priority Pipeline</w:t>
            </w:r>
          </w:p>
          <w:p w14:paraId="1EC13C44" w14:textId="1AB6D8CB" w:rsidR="7BFCFE06" w:rsidRPr="007F3363" w:rsidRDefault="7BFCFE06" w:rsidP="007F3363">
            <w:pPr>
              <w:pStyle w:val="TableBodyCopy"/>
            </w:pPr>
            <w:r w:rsidRPr="007F3363">
              <w:t>Supporting implementation of the Solomon Islands Government Asset Management Plan</w:t>
            </w:r>
          </w:p>
          <w:p w14:paraId="76212486" w14:textId="79F0DD10" w:rsidR="7BFCFE06" w:rsidRPr="007F3363" w:rsidRDefault="7BFCFE06" w:rsidP="007F3363">
            <w:pPr>
              <w:pStyle w:val="TableBodyCopy"/>
            </w:pPr>
            <w:r w:rsidRPr="007F3363">
              <w:t xml:space="preserve">Supporting implementation of the Solomon Islands Government </w:t>
            </w:r>
            <w:r w:rsidR="00862703">
              <w:t>M</w:t>
            </w:r>
            <w:r w:rsidRPr="007F3363">
              <w:t xml:space="preserve">onitoring and Evaluation Policy </w:t>
            </w:r>
          </w:p>
          <w:p w14:paraId="63765C05" w14:textId="50E16BFC" w:rsidR="7BFCFE06" w:rsidRPr="007F3363" w:rsidRDefault="7BFCFE06" w:rsidP="007F3363">
            <w:pPr>
              <w:pStyle w:val="TableBodyCopy"/>
            </w:pPr>
            <w:r w:rsidRPr="007F3363">
              <w:t>Supporting implementation of the National Building Code</w:t>
            </w:r>
          </w:p>
        </w:tc>
        <w:tc>
          <w:tcPr>
            <w:tcW w:w="2549" w:type="dxa"/>
            <w:shd w:val="clear" w:color="auto" w:fill="D6E8D2" w:themeFill="accent3" w:themeFillTint="33"/>
            <w:tcMar>
              <w:left w:w="108" w:type="dxa"/>
              <w:bottom w:w="113" w:type="dxa"/>
              <w:right w:w="108" w:type="dxa"/>
            </w:tcMar>
            <w:hideMark/>
          </w:tcPr>
          <w:p w14:paraId="63F914B8" w14:textId="6DF90F28" w:rsidR="00207222" w:rsidRPr="007F3363" w:rsidRDefault="77373F4A" w:rsidP="007F3363">
            <w:pPr>
              <w:pStyle w:val="TableBodyCopy"/>
            </w:pPr>
            <w:r w:rsidRPr="007F3363">
              <w:t>Supporting implementation of the Solomon Islands National Infrastructure Priority Pipeline</w:t>
            </w:r>
          </w:p>
          <w:p w14:paraId="5AE4BC18" w14:textId="09A26551" w:rsidR="00207222" w:rsidRPr="000E5ABD" w:rsidRDefault="77373F4A" w:rsidP="007F3363">
            <w:pPr>
              <w:pStyle w:val="TableBodyCopy"/>
            </w:pPr>
            <w:r w:rsidRPr="000E5ABD">
              <w:t>Supporting implementation of the Solomon Islands Government Asset Management Plan</w:t>
            </w:r>
          </w:p>
          <w:p w14:paraId="20A085DD" w14:textId="69B28B95" w:rsidR="00207222" w:rsidRPr="007F3363" w:rsidRDefault="77373F4A" w:rsidP="007F3363">
            <w:pPr>
              <w:pStyle w:val="TableBodyCopy"/>
            </w:pPr>
            <w:r w:rsidRPr="000E5ABD">
              <w:t>Supporting implementation of the Solomon Islands Government Monitoring and Evaluation Policy</w:t>
            </w:r>
          </w:p>
          <w:p w14:paraId="4BF608E0" w14:textId="4EBFE87E" w:rsidR="00207222" w:rsidRPr="007F3363" w:rsidRDefault="77373F4A" w:rsidP="007F3363">
            <w:pPr>
              <w:pStyle w:val="TableBodyCopy"/>
            </w:pPr>
            <w:r w:rsidRPr="007F3363">
              <w:t>Supporting implementation of the National Building Code</w:t>
            </w:r>
          </w:p>
        </w:tc>
        <w:tc>
          <w:tcPr>
            <w:tcW w:w="2550" w:type="dxa"/>
            <w:shd w:val="clear" w:color="auto" w:fill="D6E8D2" w:themeFill="accent3" w:themeFillTint="33"/>
            <w:tcMar>
              <w:left w:w="108" w:type="dxa"/>
              <w:bottom w:w="113" w:type="dxa"/>
              <w:right w:w="108" w:type="dxa"/>
            </w:tcMar>
            <w:hideMark/>
          </w:tcPr>
          <w:p w14:paraId="38BF6A38" w14:textId="698075FD" w:rsidR="00207222" w:rsidRPr="007F3363" w:rsidRDefault="00207222" w:rsidP="007F3363">
            <w:pPr>
              <w:pStyle w:val="TableBodyCopy"/>
            </w:pPr>
            <w:r w:rsidRPr="007F3363">
              <w:t>SDG9</w:t>
            </w:r>
          </w:p>
        </w:tc>
      </w:tr>
      <w:tr w:rsidR="00AD1415" w:rsidRPr="00575D31" w14:paraId="62E3C316" w14:textId="77777777" w:rsidTr="008216F0">
        <w:trPr>
          <w:cantSplit/>
          <w:trHeight w:val="450"/>
        </w:trPr>
        <w:tc>
          <w:tcPr>
            <w:tcW w:w="1704" w:type="dxa"/>
            <w:shd w:val="clear" w:color="auto" w:fill="D6E8D2" w:themeFill="accent3" w:themeFillTint="33"/>
            <w:tcMar>
              <w:left w:w="108" w:type="dxa"/>
              <w:bottom w:w="113" w:type="dxa"/>
              <w:right w:w="108" w:type="dxa"/>
            </w:tcMar>
            <w:hideMark/>
          </w:tcPr>
          <w:p w14:paraId="0F68F2CB" w14:textId="77777777" w:rsidR="00207222" w:rsidRPr="00575D31" w:rsidRDefault="00207222" w:rsidP="007F3363">
            <w:pPr>
              <w:pStyle w:val="TableBodyCopybold"/>
              <w:rPr>
                <w:rFonts w:ascii="Times New Roman" w:hAnsi="Times New Roman"/>
                <w:sz w:val="24"/>
                <w:szCs w:val="24"/>
                <w:lang w:eastAsia="en-AU"/>
              </w:rPr>
            </w:pPr>
            <w:r w:rsidRPr="00575D31">
              <w:rPr>
                <w:lang w:eastAsia="en-AU"/>
              </w:rPr>
              <w:t>Outcome 1.2</w:t>
            </w:r>
          </w:p>
          <w:p w14:paraId="00C8D423" w14:textId="2FFFEA37" w:rsidR="00207222" w:rsidRPr="00575D31" w:rsidRDefault="00207222" w:rsidP="007F3363">
            <w:pPr>
              <w:pStyle w:val="TableBodyCopy"/>
            </w:pPr>
            <w:r w:rsidRPr="007F3363">
              <w:rPr>
                <w:bCs/>
                <w:lang w:eastAsia="en-AU"/>
              </w:rPr>
              <w:t xml:space="preserve">Private </w:t>
            </w:r>
            <w:r w:rsidR="003C6792">
              <w:rPr>
                <w:bCs/>
                <w:lang w:eastAsia="en-AU"/>
              </w:rPr>
              <w:t>s</w:t>
            </w:r>
            <w:r w:rsidRPr="007F3363">
              <w:rPr>
                <w:bCs/>
                <w:lang w:eastAsia="en-AU"/>
              </w:rPr>
              <w:t>ector</w:t>
            </w:r>
            <w:r w:rsidRPr="007F3363">
              <w:rPr>
                <w:rFonts w:ascii="Calibri" w:hAnsi="Calibri" w:cs="Arial"/>
                <w:bCs/>
              </w:rPr>
              <w:t>:</w:t>
            </w:r>
            <w:r w:rsidRPr="003C6792">
              <w:rPr>
                <w:rFonts w:ascii="Calibri" w:hAnsi="Calibri" w:cs="Arial"/>
              </w:rPr>
              <w:t xml:space="preserve"> </w:t>
            </w:r>
            <w:r w:rsidRPr="00141B2E">
              <w:t xml:space="preserve">Increase in </w:t>
            </w:r>
            <w:r w:rsidRPr="004700F3">
              <w:t>business activity, trade, agricultural production and connection to supply chains for more diverse livelihoods</w:t>
            </w:r>
          </w:p>
        </w:tc>
        <w:tc>
          <w:tcPr>
            <w:tcW w:w="2549" w:type="dxa"/>
            <w:shd w:val="clear" w:color="auto" w:fill="D6E8D2" w:themeFill="accent3" w:themeFillTint="33"/>
            <w:tcMar>
              <w:left w:w="108" w:type="dxa"/>
              <w:bottom w:w="113" w:type="dxa"/>
              <w:right w:w="108" w:type="dxa"/>
            </w:tcMar>
            <w:hideMark/>
          </w:tcPr>
          <w:p w14:paraId="337EE57C" w14:textId="11E7CE6F" w:rsidR="00207222" w:rsidRPr="007F3363" w:rsidRDefault="00207222" w:rsidP="007F3363">
            <w:pPr>
              <w:pStyle w:val="TableBodyCopy"/>
            </w:pPr>
            <w:r w:rsidRPr="007F3363">
              <w:t>1.2.1 Number of market actors in key economic sectors supported to expand market access and/or improve supply chain resilience</w:t>
            </w:r>
            <w:r w:rsidR="004876A2">
              <w:t xml:space="preserve"> (Tier</w:t>
            </w:r>
            <w:r w:rsidR="000338BB">
              <w:t> </w:t>
            </w:r>
            <w:r w:rsidR="004876A2">
              <w:t>2)</w:t>
            </w:r>
          </w:p>
        </w:tc>
        <w:tc>
          <w:tcPr>
            <w:tcW w:w="2549" w:type="dxa"/>
            <w:shd w:val="clear" w:color="auto" w:fill="D6E8D2" w:themeFill="accent3" w:themeFillTint="33"/>
            <w:tcMar>
              <w:left w:w="108" w:type="dxa"/>
              <w:bottom w:w="113" w:type="dxa"/>
              <w:right w:w="108" w:type="dxa"/>
            </w:tcMar>
            <w:hideMark/>
          </w:tcPr>
          <w:p w14:paraId="26368451" w14:textId="77777777" w:rsidR="00207222" w:rsidRPr="004876A2" w:rsidRDefault="00207222" w:rsidP="007F3363">
            <w:pPr>
              <w:pStyle w:val="TableBodyCopy"/>
            </w:pPr>
            <w:r w:rsidRPr="007F3363">
              <w:t>30</w:t>
            </w:r>
          </w:p>
        </w:tc>
        <w:tc>
          <w:tcPr>
            <w:tcW w:w="2550" w:type="dxa"/>
            <w:shd w:val="clear" w:color="auto" w:fill="D6E8D2" w:themeFill="accent3" w:themeFillTint="33"/>
            <w:tcMar>
              <w:left w:w="108" w:type="dxa"/>
              <w:bottom w:w="113" w:type="dxa"/>
              <w:right w:w="108" w:type="dxa"/>
            </w:tcMar>
            <w:hideMark/>
          </w:tcPr>
          <w:p w14:paraId="147ED43C" w14:textId="77777777" w:rsidR="00207222" w:rsidRPr="004876A2" w:rsidRDefault="00207222" w:rsidP="007F3363">
            <w:pPr>
              <w:pStyle w:val="TableBodyCopy"/>
            </w:pPr>
            <w:r w:rsidRPr="007F3363">
              <w:t>30</w:t>
            </w:r>
          </w:p>
        </w:tc>
        <w:tc>
          <w:tcPr>
            <w:tcW w:w="2549" w:type="dxa"/>
            <w:shd w:val="clear" w:color="auto" w:fill="D6E8D2" w:themeFill="accent3" w:themeFillTint="33"/>
            <w:tcMar>
              <w:left w:w="108" w:type="dxa"/>
              <w:bottom w:w="113" w:type="dxa"/>
              <w:right w:w="108" w:type="dxa"/>
            </w:tcMar>
          </w:tcPr>
          <w:p w14:paraId="60A0B17D" w14:textId="77777777" w:rsidR="00207222" w:rsidRPr="004876A2" w:rsidRDefault="00207222" w:rsidP="007F3363">
            <w:pPr>
              <w:pStyle w:val="TableBodyCopy"/>
            </w:pPr>
            <w:r w:rsidRPr="007F3363">
              <w:t>30</w:t>
            </w:r>
          </w:p>
        </w:tc>
        <w:tc>
          <w:tcPr>
            <w:tcW w:w="2550" w:type="dxa"/>
            <w:shd w:val="clear" w:color="auto" w:fill="D6E8D2" w:themeFill="accent3" w:themeFillTint="33"/>
            <w:tcMar>
              <w:left w:w="108" w:type="dxa"/>
              <w:bottom w:w="113" w:type="dxa"/>
              <w:right w:w="108" w:type="dxa"/>
            </w:tcMar>
            <w:hideMark/>
          </w:tcPr>
          <w:p w14:paraId="67C908AE" w14:textId="77777777" w:rsidR="00550E89" w:rsidRDefault="00531001" w:rsidP="00531001">
            <w:pPr>
              <w:pStyle w:val="TableBodyCopy"/>
            </w:pPr>
            <w:r w:rsidRPr="007F3363">
              <w:t xml:space="preserve">SDG2: </w:t>
            </w:r>
            <w:r>
              <w:t>Zero hunger</w:t>
            </w:r>
          </w:p>
          <w:p w14:paraId="6D4F6950" w14:textId="6499C9B9" w:rsidR="00550E89" w:rsidRDefault="00531001" w:rsidP="00531001">
            <w:pPr>
              <w:pStyle w:val="TableBodyCopy"/>
            </w:pPr>
            <w:r w:rsidRPr="007F3363">
              <w:t xml:space="preserve">SDG8: Decent </w:t>
            </w:r>
            <w:r>
              <w:t>w</w:t>
            </w:r>
            <w:r w:rsidRPr="007F3363">
              <w:t xml:space="preserve">ork and </w:t>
            </w:r>
            <w:r>
              <w:t>e</w:t>
            </w:r>
            <w:r w:rsidRPr="007F3363">
              <w:t xml:space="preserve">conomic </w:t>
            </w:r>
            <w:r>
              <w:t>g</w:t>
            </w:r>
            <w:r w:rsidRPr="007F3363">
              <w:t>rowth</w:t>
            </w:r>
          </w:p>
          <w:p w14:paraId="30859E74" w14:textId="7ADC9E1D" w:rsidR="00550E89" w:rsidRDefault="00207222" w:rsidP="00531001">
            <w:pPr>
              <w:pStyle w:val="TableBodyCopy"/>
            </w:pPr>
            <w:r w:rsidRPr="007F3363">
              <w:t>SDG9</w:t>
            </w:r>
          </w:p>
          <w:p w14:paraId="00857A61" w14:textId="7CAAAB8D" w:rsidR="00550E89" w:rsidRDefault="00207222" w:rsidP="00531001">
            <w:pPr>
              <w:pStyle w:val="TableBodyCopy"/>
            </w:pPr>
            <w:r w:rsidRPr="007F3363">
              <w:t xml:space="preserve">SDG12: </w:t>
            </w:r>
            <w:r w:rsidR="004A1E51">
              <w:t>Responsible</w:t>
            </w:r>
            <w:r w:rsidRPr="007F3363">
              <w:t xml:space="preserve"> consumption and production</w:t>
            </w:r>
          </w:p>
          <w:p w14:paraId="22C7B7D2" w14:textId="2D1B046C" w:rsidR="00207222" w:rsidRPr="007F3363" w:rsidRDefault="00207222" w:rsidP="00531001">
            <w:pPr>
              <w:pStyle w:val="TableBodyCopy"/>
            </w:pPr>
            <w:r w:rsidRPr="007F3363">
              <w:t xml:space="preserve">SDG15: </w:t>
            </w:r>
            <w:r w:rsidR="004A1E51">
              <w:t>Life on land</w:t>
            </w:r>
          </w:p>
        </w:tc>
      </w:tr>
      <w:tr w:rsidR="00207222" w:rsidRPr="00575D31" w14:paraId="20C6CBAF"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56C00DFD" w14:textId="5545EDE8" w:rsidR="00207222" w:rsidRPr="00575D31" w:rsidRDefault="008A4D3D" w:rsidP="008216F0">
            <w:pPr>
              <w:pStyle w:val="TableBodyCopybold"/>
              <w:rPr>
                <w:lang w:eastAsia="en-AU"/>
              </w:rPr>
            </w:pPr>
            <w:r w:rsidRPr="00575D31">
              <w:rPr>
                <w:lang w:eastAsia="en-AU"/>
              </w:rPr>
              <w:lastRenderedPageBreak/>
              <w:t>Outcome 1.2</w:t>
            </w:r>
          </w:p>
        </w:tc>
        <w:tc>
          <w:tcPr>
            <w:tcW w:w="2549" w:type="dxa"/>
            <w:shd w:val="clear" w:color="auto" w:fill="D6E8D2" w:themeFill="accent3" w:themeFillTint="33"/>
            <w:tcMar>
              <w:left w:w="108" w:type="dxa"/>
              <w:bottom w:w="113" w:type="dxa"/>
              <w:right w:w="108" w:type="dxa"/>
            </w:tcMar>
            <w:hideMark/>
          </w:tcPr>
          <w:p w14:paraId="20E58B70" w14:textId="51A05FD6" w:rsidR="00207222" w:rsidRPr="007F3363" w:rsidRDefault="00207222" w:rsidP="007F3363">
            <w:pPr>
              <w:pStyle w:val="TableBodyCopy"/>
              <w:rPr>
                <w:b/>
                <w:lang w:eastAsia="en-AU"/>
              </w:rPr>
            </w:pPr>
            <w:r w:rsidRPr="007F3363">
              <w:t>1.2.2 Number of women entrepreneurs provided with financial and/or business development services</w:t>
            </w:r>
            <w:r w:rsidR="00B023E5">
              <w:t xml:space="preserve"> (Tier 2)</w:t>
            </w:r>
          </w:p>
        </w:tc>
        <w:tc>
          <w:tcPr>
            <w:tcW w:w="2549" w:type="dxa"/>
            <w:shd w:val="clear" w:color="auto" w:fill="D6E8D2" w:themeFill="accent3" w:themeFillTint="33"/>
            <w:tcMar>
              <w:left w:w="108" w:type="dxa"/>
              <w:bottom w:w="113" w:type="dxa"/>
              <w:right w:w="108" w:type="dxa"/>
            </w:tcMar>
            <w:hideMark/>
          </w:tcPr>
          <w:p w14:paraId="21230A14" w14:textId="77777777" w:rsidR="00207222" w:rsidRPr="008A4D3D" w:rsidRDefault="00207222" w:rsidP="007F3363">
            <w:pPr>
              <w:pStyle w:val="TableBodyCopy"/>
            </w:pPr>
            <w:r w:rsidRPr="007F3363">
              <w:t>500</w:t>
            </w:r>
          </w:p>
        </w:tc>
        <w:tc>
          <w:tcPr>
            <w:tcW w:w="2550" w:type="dxa"/>
            <w:shd w:val="clear" w:color="auto" w:fill="D6E8D2" w:themeFill="accent3" w:themeFillTint="33"/>
            <w:tcMar>
              <w:left w:w="108" w:type="dxa"/>
              <w:bottom w:w="113" w:type="dxa"/>
              <w:right w:w="108" w:type="dxa"/>
            </w:tcMar>
            <w:hideMark/>
          </w:tcPr>
          <w:p w14:paraId="58465231" w14:textId="77777777" w:rsidR="00207222" w:rsidRPr="007F3363" w:rsidRDefault="00207222" w:rsidP="007F3363">
            <w:pPr>
              <w:pStyle w:val="TableBodyCopy"/>
            </w:pPr>
            <w:r w:rsidRPr="007F3363">
              <w:t>500</w:t>
            </w:r>
          </w:p>
        </w:tc>
        <w:tc>
          <w:tcPr>
            <w:tcW w:w="2549" w:type="dxa"/>
            <w:shd w:val="clear" w:color="auto" w:fill="D6E8D2" w:themeFill="accent3" w:themeFillTint="33"/>
            <w:tcMar>
              <w:left w:w="108" w:type="dxa"/>
              <w:bottom w:w="113" w:type="dxa"/>
              <w:right w:w="108" w:type="dxa"/>
            </w:tcMar>
            <w:hideMark/>
          </w:tcPr>
          <w:p w14:paraId="1CCC1318" w14:textId="77777777" w:rsidR="00207222" w:rsidRPr="007F3363" w:rsidRDefault="00207222" w:rsidP="007F3363">
            <w:pPr>
              <w:pStyle w:val="TableBodyCopy"/>
            </w:pPr>
            <w:r w:rsidRPr="007F3363">
              <w:t>500</w:t>
            </w:r>
          </w:p>
        </w:tc>
        <w:tc>
          <w:tcPr>
            <w:tcW w:w="2550" w:type="dxa"/>
            <w:shd w:val="clear" w:color="auto" w:fill="D6E8D2" w:themeFill="accent3" w:themeFillTint="33"/>
            <w:tcMar>
              <w:left w:w="108" w:type="dxa"/>
              <w:bottom w:w="113" w:type="dxa"/>
              <w:right w:w="108" w:type="dxa"/>
            </w:tcMar>
            <w:hideMark/>
          </w:tcPr>
          <w:p w14:paraId="65238F05" w14:textId="77777777" w:rsidR="00550E89" w:rsidRDefault="00531001" w:rsidP="00531001">
            <w:pPr>
              <w:pStyle w:val="TableBodyCopy"/>
            </w:pPr>
            <w:r w:rsidRPr="007F3363">
              <w:t xml:space="preserve">SDG5: Gender </w:t>
            </w:r>
            <w:r>
              <w:t>e</w:t>
            </w:r>
            <w:r w:rsidRPr="007F3363">
              <w:t>quality</w:t>
            </w:r>
          </w:p>
          <w:p w14:paraId="0580298D" w14:textId="3A844B84" w:rsidR="00207222" w:rsidRPr="007F3363" w:rsidRDefault="00207222" w:rsidP="00531001">
            <w:pPr>
              <w:pStyle w:val="TableBodyCopy"/>
            </w:pPr>
            <w:r w:rsidRPr="007F3363">
              <w:t>SDG8</w:t>
            </w:r>
            <w:r w:rsidR="00531001">
              <w:t xml:space="preserve">, </w:t>
            </w:r>
            <w:r w:rsidR="00531001" w:rsidRPr="007F3363">
              <w:t>SDG9</w:t>
            </w:r>
          </w:p>
        </w:tc>
      </w:tr>
      <w:tr w:rsidR="00207222" w:rsidRPr="00575D31" w14:paraId="40BDC3A2"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0580BAAA" w14:textId="4A6D157C" w:rsidR="00207222" w:rsidRPr="00575D31" w:rsidRDefault="008A4D3D" w:rsidP="008216F0">
            <w:pPr>
              <w:pStyle w:val="TableBodyCopybold"/>
              <w:rPr>
                <w:lang w:eastAsia="en-AU"/>
              </w:rPr>
            </w:pPr>
            <w:r w:rsidRPr="00575D31">
              <w:rPr>
                <w:lang w:eastAsia="en-AU"/>
              </w:rPr>
              <w:t>Outcome 1.2</w:t>
            </w:r>
          </w:p>
        </w:tc>
        <w:tc>
          <w:tcPr>
            <w:tcW w:w="2549" w:type="dxa"/>
            <w:shd w:val="clear" w:color="auto" w:fill="D6E8D2" w:themeFill="accent3" w:themeFillTint="33"/>
            <w:tcMar>
              <w:left w:w="108" w:type="dxa"/>
              <w:bottom w:w="113" w:type="dxa"/>
              <w:right w:w="108" w:type="dxa"/>
            </w:tcMar>
            <w:hideMark/>
          </w:tcPr>
          <w:p w14:paraId="3685C72D" w14:textId="3AC730A3" w:rsidR="00207222" w:rsidRPr="007F3363" w:rsidRDefault="00207222" w:rsidP="007F3363">
            <w:pPr>
              <w:pStyle w:val="TableBodyCopy"/>
            </w:pPr>
            <w:r w:rsidRPr="007F3363">
              <w:t>1.2.3 Number of households and small enterprises benefiting from additional income increase</w:t>
            </w:r>
          </w:p>
        </w:tc>
        <w:tc>
          <w:tcPr>
            <w:tcW w:w="2549" w:type="dxa"/>
            <w:shd w:val="clear" w:color="auto" w:fill="D6E8D2" w:themeFill="accent3" w:themeFillTint="33"/>
            <w:tcMar>
              <w:left w:w="108" w:type="dxa"/>
              <w:bottom w:w="113" w:type="dxa"/>
              <w:right w:w="108" w:type="dxa"/>
            </w:tcMar>
          </w:tcPr>
          <w:p w14:paraId="4536E4C3" w14:textId="77777777" w:rsidR="00207222" w:rsidRPr="007F3363" w:rsidRDefault="00207222" w:rsidP="007F3363">
            <w:pPr>
              <w:pStyle w:val="TableBodyCopy"/>
            </w:pPr>
            <w:r w:rsidRPr="007F3363">
              <w:t>500</w:t>
            </w:r>
          </w:p>
        </w:tc>
        <w:tc>
          <w:tcPr>
            <w:tcW w:w="2550" w:type="dxa"/>
            <w:shd w:val="clear" w:color="auto" w:fill="D6E8D2" w:themeFill="accent3" w:themeFillTint="33"/>
            <w:tcMar>
              <w:left w:w="108" w:type="dxa"/>
              <w:bottom w:w="113" w:type="dxa"/>
              <w:right w:w="108" w:type="dxa"/>
            </w:tcMar>
          </w:tcPr>
          <w:p w14:paraId="65F2D764" w14:textId="77777777" w:rsidR="00207222" w:rsidRPr="008A4D3D" w:rsidRDefault="00207222" w:rsidP="007F3363">
            <w:pPr>
              <w:pStyle w:val="TableBodyCopy"/>
            </w:pPr>
            <w:r w:rsidRPr="007F3363">
              <w:t>500</w:t>
            </w:r>
          </w:p>
        </w:tc>
        <w:tc>
          <w:tcPr>
            <w:tcW w:w="2549" w:type="dxa"/>
            <w:shd w:val="clear" w:color="auto" w:fill="D6E8D2" w:themeFill="accent3" w:themeFillTint="33"/>
            <w:tcMar>
              <w:left w:w="108" w:type="dxa"/>
              <w:bottom w:w="113" w:type="dxa"/>
              <w:right w:w="108" w:type="dxa"/>
            </w:tcMar>
          </w:tcPr>
          <w:p w14:paraId="303E0D44" w14:textId="77777777" w:rsidR="00207222" w:rsidRPr="008A4D3D" w:rsidRDefault="00207222" w:rsidP="007F3363">
            <w:pPr>
              <w:pStyle w:val="TableBodyCopy"/>
            </w:pPr>
            <w:r w:rsidRPr="007F3363">
              <w:t>500</w:t>
            </w:r>
          </w:p>
        </w:tc>
        <w:tc>
          <w:tcPr>
            <w:tcW w:w="2550" w:type="dxa"/>
            <w:shd w:val="clear" w:color="auto" w:fill="D6E8D2" w:themeFill="accent3" w:themeFillTint="33"/>
            <w:tcMar>
              <w:left w:w="108" w:type="dxa"/>
              <w:bottom w:w="113" w:type="dxa"/>
              <w:right w:w="108" w:type="dxa"/>
            </w:tcMar>
          </w:tcPr>
          <w:p w14:paraId="578FBFCB" w14:textId="01949EF9" w:rsidR="00207222" w:rsidRPr="007F3363" w:rsidRDefault="00207222" w:rsidP="007F3363">
            <w:pPr>
              <w:pStyle w:val="TableBodyCopy"/>
            </w:pPr>
            <w:r w:rsidRPr="007F3363">
              <w:t>SDG8</w:t>
            </w:r>
          </w:p>
        </w:tc>
      </w:tr>
      <w:tr w:rsidR="00207222" w:rsidRPr="00575D31" w14:paraId="5AA024F3"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4B07057A" w14:textId="6D50BB4E" w:rsidR="00207222" w:rsidRPr="00575D31" w:rsidRDefault="008A4D3D" w:rsidP="008216F0">
            <w:pPr>
              <w:pStyle w:val="TableBodyCopybold"/>
              <w:rPr>
                <w:lang w:eastAsia="en-AU"/>
              </w:rPr>
            </w:pPr>
            <w:r w:rsidRPr="00575D31">
              <w:rPr>
                <w:lang w:eastAsia="en-AU"/>
              </w:rPr>
              <w:t>Outcome 1.2</w:t>
            </w:r>
          </w:p>
        </w:tc>
        <w:tc>
          <w:tcPr>
            <w:tcW w:w="2549" w:type="dxa"/>
            <w:shd w:val="clear" w:color="auto" w:fill="D6E8D2" w:themeFill="accent3" w:themeFillTint="33"/>
            <w:tcMar>
              <w:left w:w="108" w:type="dxa"/>
              <w:bottom w:w="113" w:type="dxa"/>
              <w:right w:w="108" w:type="dxa"/>
            </w:tcMar>
            <w:hideMark/>
          </w:tcPr>
          <w:p w14:paraId="6769FB2D" w14:textId="0051D435" w:rsidR="00207222" w:rsidRPr="0040257C" w:rsidRDefault="269AAB21" w:rsidP="007F3363">
            <w:pPr>
              <w:pStyle w:val="TableBodyCopy"/>
              <w:rPr>
                <w:rFonts w:ascii="Calibri" w:hAnsi="Calibri" w:cs="Arial"/>
                <w:szCs w:val="20"/>
              </w:rPr>
            </w:pPr>
            <w:r w:rsidRPr="0040257C">
              <w:rPr>
                <w:rFonts w:cs="Arial"/>
                <w:szCs w:val="20"/>
              </w:rPr>
              <w:t xml:space="preserve">1.2.4 </w:t>
            </w:r>
            <w:r w:rsidR="00F70D2B">
              <w:rPr>
                <w:rFonts w:cs="Arial"/>
                <w:szCs w:val="20"/>
              </w:rPr>
              <w:t>R</w:t>
            </w:r>
            <w:r w:rsidRPr="0040257C">
              <w:rPr>
                <w:rFonts w:cs="Arial"/>
                <w:szCs w:val="20"/>
              </w:rPr>
              <w:t>emittance flows per</w:t>
            </w:r>
            <w:r w:rsidR="00392DD6">
              <w:rPr>
                <w:rFonts w:cs="Arial"/>
                <w:szCs w:val="20"/>
              </w:rPr>
              <w:t> </w:t>
            </w:r>
            <w:r w:rsidRPr="0040257C">
              <w:rPr>
                <w:rFonts w:cs="Arial"/>
                <w:szCs w:val="20"/>
              </w:rPr>
              <w:t>year</w:t>
            </w:r>
          </w:p>
        </w:tc>
        <w:tc>
          <w:tcPr>
            <w:tcW w:w="2549" w:type="dxa"/>
            <w:shd w:val="clear" w:color="auto" w:fill="D6E8D2" w:themeFill="accent3" w:themeFillTint="33"/>
            <w:tcMar>
              <w:left w:w="108" w:type="dxa"/>
              <w:bottom w:w="113" w:type="dxa"/>
              <w:right w:w="108" w:type="dxa"/>
            </w:tcMar>
          </w:tcPr>
          <w:p w14:paraId="67D5CFBA" w14:textId="77777777" w:rsidR="00207222" w:rsidRPr="007F3363" w:rsidRDefault="00207222" w:rsidP="007F3363">
            <w:pPr>
              <w:pStyle w:val="TableBodyCopy"/>
            </w:pPr>
            <w:r w:rsidRPr="007F3363">
              <w:t>Solomon Islands receives remittances from Australia</w:t>
            </w:r>
          </w:p>
        </w:tc>
        <w:tc>
          <w:tcPr>
            <w:tcW w:w="2550" w:type="dxa"/>
            <w:shd w:val="clear" w:color="auto" w:fill="D6E8D2" w:themeFill="accent3" w:themeFillTint="33"/>
            <w:tcMar>
              <w:left w:w="108" w:type="dxa"/>
              <w:bottom w:w="113" w:type="dxa"/>
              <w:right w:w="108" w:type="dxa"/>
            </w:tcMar>
          </w:tcPr>
          <w:p w14:paraId="108EFF5F" w14:textId="49759B81" w:rsidR="00207222" w:rsidRPr="007F3363" w:rsidRDefault="00207222" w:rsidP="007F3363">
            <w:pPr>
              <w:pStyle w:val="TableBodyCopy"/>
            </w:pPr>
            <w:r w:rsidRPr="007F3363">
              <w:t>Solomon Islands receives remittances from Australia</w:t>
            </w:r>
          </w:p>
        </w:tc>
        <w:tc>
          <w:tcPr>
            <w:tcW w:w="2549" w:type="dxa"/>
            <w:shd w:val="clear" w:color="auto" w:fill="D6E8D2" w:themeFill="accent3" w:themeFillTint="33"/>
            <w:tcMar>
              <w:left w:w="108" w:type="dxa"/>
              <w:bottom w:w="113" w:type="dxa"/>
              <w:right w:w="108" w:type="dxa"/>
            </w:tcMar>
          </w:tcPr>
          <w:p w14:paraId="58E78919" w14:textId="77777777" w:rsidR="00207222" w:rsidRPr="007F3363" w:rsidRDefault="00207222" w:rsidP="007F3363">
            <w:pPr>
              <w:pStyle w:val="TableBodyCopy"/>
            </w:pPr>
            <w:r w:rsidRPr="007F3363">
              <w:t>Solomon Islands receives remittances from Australia</w:t>
            </w:r>
          </w:p>
        </w:tc>
        <w:tc>
          <w:tcPr>
            <w:tcW w:w="2550" w:type="dxa"/>
            <w:shd w:val="clear" w:color="auto" w:fill="D6E8D2" w:themeFill="accent3" w:themeFillTint="33"/>
            <w:tcMar>
              <w:left w:w="108" w:type="dxa"/>
              <w:bottom w:w="113" w:type="dxa"/>
              <w:right w:w="108" w:type="dxa"/>
            </w:tcMar>
          </w:tcPr>
          <w:p w14:paraId="458356A7" w14:textId="78A9FDE2" w:rsidR="00207222" w:rsidRPr="007F3363" w:rsidRDefault="00207222" w:rsidP="007F3363">
            <w:pPr>
              <w:pStyle w:val="TableBodyCopy"/>
            </w:pPr>
            <w:r w:rsidRPr="007F3363">
              <w:t>SDG8</w:t>
            </w:r>
          </w:p>
        </w:tc>
      </w:tr>
      <w:tr w:rsidR="00AD1415" w:rsidRPr="00575D31" w14:paraId="1C13FD51"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4CB667C7" w14:textId="77777777" w:rsidR="00207222" w:rsidRPr="00575D31" w:rsidRDefault="00207222" w:rsidP="007F3363">
            <w:pPr>
              <w:pStyle w:val="TableBodyCopybold"/>
              <w:rPr>
                <w:lang w:eastAsia="en-AU"/>
              </w:rPr>
            </w:pPr>
            <w:r w:rsidRPr="00575D31">
              <w:rPr>
                <w:lang w:eastAsia="en-AU"/>
              </w:rPr>
              <w:t>Outcome 1.3</w:t>
            </w:r>
          </w:p>
          <w:p w14:paraId="0BEC5595" w14:textId="7C3C534B" w:rsidR="00207222" w:rsidRPr="00575D31" w:rsidRDefault="2AF7BF28" w:rsidP="007F3363">
            <w:pPr>
              <w:pStyle w:val="TableBodyCopy"/>
              <w:rPr>
                <w:rFonts w:ascii="Times New Roman" w:hAnsi="Times New Roman"/>
                <w:bCs/>
                <w:sz w:val="24"/>
                <w:szCs w:val="24"/>
                <w:lang w:eastAsia="en-AU"/>
              </w:rPr>
            </w:pPr>
            <w:r w:rsidRPr="007F3363">
              <w:t>Skills</w:t>
            </w:r>
            <w:r w:rsidR="07AB1C2D" w:rsidRPr="007F3363">
              <w:t xml:space="preserve"> and jobs</w:t>
            </w:r>
            <w:r w:rsidRPr="007F3363">
              <w:t>:</w:t>
            </w:r>
            <w:r w:rsidR="003C6792" w:rsidRPr="007F3363">
              <w:t xml:space="preserve"> </w:t>
            </w:r>
            <w:r w:rsidR="00207222" w:rsidRPr="007F3363">
              <w:t>Enhanced tertiary and vocational opportunities allow Solomon Islanders, especially youth and women, to access more economic opportunities including labour mobility</w:t>
            </w:r>
          </w:p>
        </w:tc>
        <w:tc>
          <w:tcPr>
            <w:tcW w:w="2549" w:type="dxa"/>
            <w:shd w:val="clear" w:color="auto" w:fill="D6E8D2" w:themeFill="accent3" w:themeFillTint="33"/>
            <w:tcMar>
              <w:left w:w="108" w:type="dxa"/>
              <w:bottom w:w="113" w:type="dxa"/>
              <w:right w:w="108" w:type="dxa"/>
            </w:tcMar>
            <w:hideMark/>
          </w:tcPr>
          <w:p w14:paraId="049BDE91" w14:textId="18611266" w:rsidR="00207222" w:rsidRPr="007F3363" w:rsidRDefault="00207222" w:rsidP="007F3363">
            <w:pPr>
              <w:pStyle w:val="TableBodyCopy"/>
              <w:rPr>
                <w:rFonts w:ascii="Calibri" w:eastAsia="Yu Mincho" w:hAnsi="Calibri" w:cs="Arial"/>
                <w:b/>
                <w:szCs w:val="20"/>
              </w:rPr>
            </w:pPr>
            <w:r w:rsidRPr="007F3363">
              <w:t>1.3.1 Number of Solomon Islanders, who successfully complete a tertiary or technical/vocational course or work-related training</w:t>
            </w:r>
            <w:r w:rsidR="00F80017">
              <w:rPr>
                <w:rStyle w:val="tablehyperlink"/>
              </w:rPr>
              <w:t xml:space="preserve"> </w:t>
            </w:r>
            <w:r w:rsidR="00F80017" w:rsidRPr="007F3363">
              <w:t>(Tier</w:t>
            </w:r>
            <w:r w:rsidR="00F80017">
              <w:t> </w:t>
            </w:r>
            <w:r w:rsidR="00F80017" w:rsidRPr="007F3363">
              <w:t>2)</w:t>
            </w:r>
          </w:p>
        </w:tc>
        <w:tc>
          <w:tcPr>
            <w:tcW w:w="2549" w:type="dxa"/>
            <w:shd w:val="clear" w:color="auto" w:fill="D6E8D2" w:themeFill="accent3" w:themeFillTint="33"/>
            <w:tcMar>
              <w:left w:w="108" w:type="dxa"/>
              <w:bottom w:w="113" w:type="dxa"/>
              <w:right w:w="108" w:type="dxa"/>
            </w:tcMar>
          </w:tcPr>
          <w:p w14:paraId="6AB6254F" w14:textId="77777777" w:rsidR="00207222" w:rsidRPr="007F3363" w:rsidRDefault="00207222" w:rsidP="007F3363">
            <w:pPr>
              <w:pStyle w:val="TableBodyCopy"/>
              <w:rPr>
                <w:highlight w:val="yellow"/>
              </w:rPr>
            </w:pPr>
            <w:r w:rsidRPr="007F3363">
              <w:t>2,955</w:t>
            </w:r>
          </w:p>
        </w:tc>
        <w:tc>
          <w:tcPr>
            <w:tcW w:w="2550" w:type="dxa"/>
            <w:shd w:val="clear" w:color="auto" w:fill="D6E8D2" w:themeFill="accent3" w:themeFillTint="33"/>
            <w:tcMar>
              <w:left w:w="108" w:type="dxa"/>
              <w:bottom w:w="113" w:type="dxa"/>
              <w:right w:w="108" w:type="dxa"/>
            </w:tcMar>
          </w:tcPr>
          <w:p w14:paraId="68C23039" w14:textId="77777777" w:rsidR="00207222" w:rsidRPr="007F3363" w:rsidRDefault="00207222" w:rsidP="007F3363">
            <w:pPr>
              <w:pStyle w:val="TableBodyCopy"/>
            </w:pPr>
            <w:r w:rsidRPr="007F3363">
              <w:t>3,155</w:t>
            </w:r>
          </w:p>
        </w:tc>
        <w:tc>
          <w:tcPr>
            <w:tcW w:w="2549" w:type="dxa"/>
            <w:shd w:val="clear" w:color="auto" w:fill="D6E8D2" w:themeFill="accent3" w:themeFillTint="33"/>
            <w:tcMar>
              <w:left w:w="108" w:type="dxa"/>
              <w:bottom w:w="113" w:type="dxa"/>
              <w:right w:w="108" w:type="dxa"/>
            </w:tcMar>
          </w:tcPr>
          <w:p w14:paraId="7CC0E374" w14:textId="77777777" w:rsidR="00207222" w:rsidRPr="007F3363" w:rsidRDefault="00207222" w:rsidP="007F3363">
            <w:pPr>
              <w:pStyle w:val="TableBodyCopy"/>
            </w:pPr>
            <w:r w:rsidRPr="007F3363">
              <w:t>3,355</w:t>
            </w:r>
          </w:p>
        </w:tc>
        <w:tc>
          <w:tcPr>
            <w:tcW w:w="2550" w:type="dxa"/>
            <w:shd w:val="clear" w:color="auto" w:fill="D6E8D2" w:themeFill="accent3" w:themeFillTint="33"/>
            <w:tcMar>
              <w:left w:w="108" w:type="dxa"/>
              <w:bottom w:w="113" w:type="dxa"/>
              <w:right w:w="108" w:type="dxa"/>
            </w:tcMar>
          </w:tcPr>
          <w:p w14:paraId="2023EF1E" w14:textId="77777777" w:rsidR="00550E89" w:rsidRDefault="00207222" w:rsidP="00531001">
            <w:pPr>
              <w:pStyle w:val="TableBodyCopy"/>
            </w:pPr>
            <w:r w:rsidRPr="007F3363">
              <w:t xml:space="preserve">SDG4: Quality </w:t>
            </w:r>
            <w:r w:rsidR="004A1E51">
              <w:t>e</w:t>
            </w:r>
            <w:r w:rsidRPr="007F3363">
              <w:t>ducation</w:t>
            </w:r>
          </w:p>
          <w:p w14:paraId="3BB7FA8E" w14:textId="5E46B325" w:rsidR="00207222" w:rsidRPr="007F3363" w:rsidRDefault="00207222" w:rsidP="00531001">
            <w:pPr>
              <w:pStyle w:val="TableBodyCopy"/>
            </w:pPr>
            <w:r w:rsidRPr="007F3363">
              <w:t>SDG8</w:t>
            </w:r>
          </w:p>
        </w:tc>
      </w:tr>
      <w:tr w:rsidR="00207222" w14:paraId="1D8D5C3D"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45E9DD33" w14:textId="1C31902D" w:rsidR="00207222" w:rsidRPr="009C11DA" w:rsidRDefault="008945C8" w:rsidP="00275453">
            <w:pPr>
              <w:pStyle w:val="TableBodyCopybold"/>
              <w:keepNext/>
              <w:rPr>
                <w:lang w:eastAsia="en-AU"/>
              </w:rPr>
            </w:pPr>
            <w:r w:rsidRPr="00575D31">
              <w:rPr>
                <w:lang w:eastAsia="en-AU"/>
              </w:rPr>
              <w:lastRenderedPageBreak/>
              <w:t>Outcome 1.3</w:t>
            </w:r>
          </w:p>
        </w:tc>
        <w:tc>
          <w:tcPr>
            <w:tcW w:w="2549" w:type="dxa"/>
            <w:shd w:val="clear" w:color="auto" w:fill="D6E8D2" w:themeFill="accent3" w:themeFillTint="33"/>
            <w:tcMar>
              <w:left w:w="108" w:type="dxa"/>
              <w:bottom w:w="113" w:type="dxa"/>
              <w:right w:w="108" w:type="dxa"/>
            </w:tcMar>
            <w:hideMark/>
          </w:tcPr>
          <w:p w14:paraId="37D7C006" w14:textId="77777777" w:rsidR="00207222" w:rsidRPr="007F3363" w:rsidRDefault="00207222" w:rsidP="007F3363">
            <w:pPr>
              <w:pStyle w:val="TableBodyCopy"/>
            </w:pPr>
            <w:r w:rsidRPr="007F3363">
              <w:t>1.3.2 New jobs created</w:t>
            </w:r>
          </w:p>
        </w:tc>
        <w:tc>
          <w:tcPr>
            <w:tcW w:w="2549" w:type="dxa"/>
            <w:shd w:val="clear" w:color="auto" w:fill="D6E8D2" w:themeFill="accent3" w:themeFillTint="33"/>
            <w:tcMar>
              <w:left w:w="108" w:type="dxa"/>
              <w:bottom w:w="113" w:type="dxa"/>
              <w:right w:w="108" w:type="dxa"/>
            </w:tcMar>
          </w:tcPr>
          <w:p w14:paraId="6AEE7F7E" w14:textId="77777777" w:rsidR="00207222" w:rsidRPr="007F3363" w:rsidRDefault="00207222" w:rsidP="007F3363">
            <w:pPr>
              <w:pStyle w:val="TableBodyCopy"/>
            </w:pPr>
            <w:r w:rsidRPr="007F3363">
              <w:t>2,576</w:t>
            </w:r>
          </w:p>
        </w:tc>
        <w:tc>
          <w:tcPr>
            <w:tcW w:w="2550" w:type="dxa"/>
            <w:shd w:val="clear" w:color="auto" w:fill="D6E8D2" w:themeFill="accent3" w:themeFillTint="33"/>
            <w:tcMar>
              <w:left w:w="108" w:type="dxa"/>
              <w:bottom w:w="113" w:type="dxa"/>
              <w:right w:w="108" w:type="dxa"/>
            </w:tcMar>
          </w:tcPr>
          <w:p w14:paraId="5A9DF264" w14:textId="77777777" w:rsidR="00207222" w:rsidRPr="007F3363" w:rsidRDefault="00207222" w:rsidP="007F3363">
            <w:pPr>
              <w:pStyle w:val="TableBodyCopy"/>
            </w:pPr>
            <w:r w:rsidRPr="007F3363">
              <w:t>2,566</w:t>
            </w:r>
          </w:p>
        </w:tc>
        <w:tc>
          <w:tcPr>
            <w:tcW w:w="2549" w:type="dxa"/>
            <w:shd w:val="clear" w:color="auto" w:fill="D6E8D2" w:themeFill="accent3" w:themeFillTint="33"/>
            <w:tcMar>
              <w:left w:w="108" w:type="dxa"/>
              <w:bottom w:w="113" w:type="dxa"/>
              <w:right w:w="108" w:type="dxa"/>
            </w:tcMar>
          </w:tcPr>
          <w:p w14:paraId="7868DCA3" w14:textId="77777777" w:rsidR="00207222" w:rsidRPr="007F3363" w:rsidRDefault="00207222" w:rsidP="007F3363">
            <w:pPr>
              <w:pStyle w:val="TableBodyCopy"/>
            </w:pPr>
            <w:r w:rsidRPr="007F3363">
              <w:t>2,486</w:t>
            </w:r>
          </w:p>
        </w:tc>
        <w:tc>
          <w:tcPr>
            <w:tcW w:w="2550" w:type="dxa"/>
            <w:shd w:val="clear" w:color="auto" w:fill="D6E8D2" w:themeFill="accent3" w:themeFillTint="33"/>
            <w:tcMar>
              <w:left w:w="108" w:type="dxa"/>
              <w:bottom w:w="113" w:type="dxa"/>
              <w:right w:w="108" w:type="dxa"/>
            </w:tcMar>
          </w:tcPr>
          <w:p w14:paraId="69E55226" w14:textId="4F72FCB7" w:rsidR="00207222" w:rsidRPr="007F3363" w:rsidRDefault="00207222" w:rsidP="007F3363">
            <w:pPr>
              <w:pStyle w:val="TableBodyCopy"/>
            </w:pPr>
            <w:r w:rsidRPr="007F3363">
              <w:t>SDG9</w:t>
            </w:r>
          </w:p>
        </w:tc>
      </w:tr>
      <w:tr w:rsidR="00207222" w14:paraId="657CEE67" w14:textId="77777777" w:rsidTr="008216F0">
        <w:trPr>
          <w:cantSplit/>
          <w:trHeight w:val="465"/>
        </w:trPr>
        <w:tc>
          <w:tcPr>
            <w:tcW w:w="1704" w:type="dxa"/>
            <w:shd w:val="clear" w:color="auto" w:fill="D6E8D2" w:themeFill="accent3" w:themeFillTint="33"/>
            <w:tcMar>
              <w:left w:w="108" w:type="dxa"/>
              <w:bottom w:w="113" w:type="dxa"/>
              <w:right w:w="108" w:type="dxa"/>
            </w:tcMar>
            <w:hideMark/>
          </w:tcPr>
          <w:p w14:paraId="5318613B" w14:textId="6E4FA4A0" w:rsidR="00207222" w:rsidRDefault="008945C8" w:rsidP="007F3363">
            <w:pPr>
              <w:pStyle w:val="TableBodyCopybold"/>
              <w:rPr>
                <w:lang w:eastAsia="en-AU"/>
              </w:rPr>
            </w:pPr>
            <w:r w:rsidRPr="00575D31">
              <w:rPr>
                <w:lang w:eastAsia="en-AU"/>
              </w:rPr>
              <w:t>Outcome 1.3</w:t>
            </w:r>
          </w:p>
        </w:tc>
        <w:tc>
          <w:tcPr>
            <w:tcW w:w="2549" w:type="dxa"/>
            <w:shd w:val="clear" w:color="auto" w:fill="D6E8D2" w:themeFill="accent3" w:themeFillTint="33"/>
            <w:tcMar>
              <w:left w:w="108" w:type="dxa"/>
              <w:bottom w:w="113" w:type="dxa"/>
              <w:right w:w="108" w:type="dxa"/>
            </w:tcMar>
            <w:hideMark/>
          </w:tcPr>
          <w:p w14:paraId="695702CD" w14:textId="77777777" w:rsidR="00207222" w:rsidRPr="0098576F" w:rsidRDefault="00207222" w:rsidP="007F3363">
            <w:pPr>
              <w:pStyle w:val="TableBodyCopy"/>
              <w:rPr>
                <w:rFonts w:eastAsia="Yu Mincho"/>
                <w:bCs/>
              </w:rPr>
            </w:pPr>
            <w:r w:rsidRPr="2535A54D">
              <w:t>1.3.</w:t>
            </w:r>
            <w:r>
              <w:t>3</w:t>
            </w:r>
            <w:r w:rsidRPr="2535A54D">
              <w:t xml:space="preserve"> Number of organisations that have had </w:t>
            </w:r>
            <w:r w:rsidRPr="007F3363">
              <w:t>participants</w:t>
            </w:r>
            <w:r w:rsidRPr="2535A54D">
              <w:t xml:space="preserve"> undertake professional development opportunities</w:t>
            </w:r>
          </w:p>
        </w:tc>
        <w:tc>
          <w:tcPr>
            <w:tcW w:w="2549" w:type="dxa"/>
            <w:shd w:val="clear" w:color="auto" w:fill="D6E8D2" w:themeFill="accent3" w:themeFillTint="33"/>
            <w:tcMar>
              <w:left w:w="108" w:type="dxa"/>
              <w:bottom w:w="113" w:type="dxa"/>
              <w:right w:w="108" w:type="dxa"/>
            </w:tcMar>
          </w:tcPr>
          <w:p w14:paraId="4A1361AA" w14:textId="77777777" w:rsidR="00207222" w:rsidRPr="007F3363" w:rsidRDefault="00207222" w:rsidP="007F3363">
            <w:pPr>
              <w:pStyle w:val="TableBodyCopy"/>
            </w:pPr>
            <w:r w:rsidRPr="007F3363">
              <w:t>30</w:t>
            </w:r>
          </w:p>
        </w:tc>
        <w:tc>
          <w:tcPr>
            <w:tcW w:w="2550" w:type="dxa"/>
            <w:shd w:val="clear" w:color="auto" w:fill="D6E8D2" w:themeFill="accent3" w:themeFillTint="33"/>
            <w:tcMar>
              <w:left w:w="108" w:type="dxa"/>
              <w:bottom w:w="113" w:type="dxa"/>
              <w:right w:w="108" w:type="dxa"/>
            </w:tcMar>
          </w:tcPr>
          <w:p w14:paraId="6496A5E0" w14:textId="77777777" w:rsidR="00207222" w:rsidRPr="007F3363" w:rsidRDefault="00207222" w:rsidP="007F3363">
            <w:pPr>
              <w:pStyle w:val="TableBodyCopy"/>
            </w:pPr>
            <w:r w:rsidRPr="007F3363">
              <w:t>30</w:t>
            </w:r>
          </w:p>
        </w:tc>
        <w:tc>
          <w:tcPr>
            <w:tcW w:w="2549" w:type="dxa"/>
            <w:shd w:val="clear" w:color="auto" w:fill="D6E8D2" w:themeFill="accent3" w:themeFillTint="33"/>
            <w:tcMar>
              <w:left w:w="108" w:type="dxa"/>
              <w:bottom w:w="113" w:type="dxa"/>
              <w:right w:w="108" w:type="dxa"/>
            </w:tcMar>
          </w:tcPr>
          <w:p w14:paraId="02666A88" w14:textId="77777777" w:rsidR="00207222" w:rsidRPr="007F3363" w:rsidRDefault="00207222" w:rsidP="007F3363">
            <w:pPr>
              <w:pStyle w:val="TableBodyCopy"/>
            </w:pPr>
            <w:r w:rsidRPr="007F3363">
              <w:t>30</w:t>
            </w:r>
          </w:p>
        </w:tc>
        <w:tc>
          <w:tcPr>
            <w:tcW w:w="2550" w:type="dxa"/>
            <w:shd w:val="clear" w:color="auto" w:fill="D6E8D2" w:themeFill="accent3" w:themeFillTint="33"/>
            <w:tcMar>
              <w:left w:w="108" w:type="dxa"/>
              <w:bottom w:w="113" w:type="dxa"/>
              <w:right w:w="108" w:type="dxa"/>
            </w:tcMar>
          </w:tcPr>
          <w:p w14:paraId="70D9902C" w14:textId="721EEAC7" w:rsidR="00207222" w:rsidRPr="007F3363" w:rsidRDefault="00207222" w:rsidP="007F3363">
            <w:pPr>
              <w:pStyle w:val="TableBodyCopy"/>
            </w:pPr>
            <w:r w:rsidRPr="007F3363">
              <w:t xml:space="preserve">SDG16: Peace, </w:t>
            </w:r>
            <w:r w:rsidR="004A1E51">
              <w:t>j</w:t>
            </w:r>
            <w:r w:rsidRPr="007F3363">
              <w:t xml:space="preserve">ustice and </w:t>
            </w:r>
            <w:r w:rsidR="004A1E51">
              <w:t>s</w:t>
            </w:r>
            <w:r w:rsidRPr="007F3363">
              <w:t xml:space="preserve">trong </w:t>
            </w:r>
            <w:r w:rsidR="004A1E51">
              <w:t>i</w:t>
            </w:r>
            <w:r w:rsidRPr="007F3363">
              <w:t>nstitutions</w:t>
            </w:r>
          </w:p>
        </w:tc>
      </w:tr>
    </w:tbl>
    <w:p w14:paraId="01AB11E0" w14:textId="77777777" w:rsidR="00090474" w:rsidRDefault="00090474">
      <w:pPr>
        <w:spacing w:before="0" w:after="0" w:line="240" w:lineRule="auto"/>
        <w:rPr>
          <w:rStyle w:val="normaltextrun"/>
          <w:b/>
          <w:bCs/>
          <w:lang w:eastAsia="en-AU"/>
        </w:rPr>
      </w:pPr>
      <w:r>
        <w:rPr>
          <w:rStyle w:val="normaltextrun"/>
        </w:rPr>
        <w:br w:type="page"/>
      </w:r>
    </w:p>
    <w:p w14:paraId="671D3FF7" w14:textId="67B40EDD" w:rsidR="002F1A44" w:rsidRPr="007F3363" w:rsidRDefault="002F1A44" w:rsidP="007F3363">
      <w:pPr>
        <w:pStyle w:val="PAFobjectivehead"/>
        <w:rPr>
          <w:rStyle w:val="normaltextrun"/>
        </w:rPr>
      </w:pPr>
      <w:r w:rsidRPr="00327064">
        <w:rPr>
          <w:rStyle w:val="normaltextrun"/>
        </w:rPr>
        <w:lastRenderedPageBreak/>
        <w:t>Objective 2: Investing in people, communities and links to Australia and the region </w:t>
      </w:r>
    </w:p>
    <w:tbl>
      <w:tblPr>
        <w:tblW w:w="1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erformance Assessment Framework for Objective 2"/>
        <w:tblDescription w:val="Expected results for Objective 2 for the first three years of the DPP and against the Sustainable Development Goals&#10;"/>
      </w:tblPr>
      <w:tblGrid>
        <w:gridCol w:w="1706"/>
        <w:gridCol w:w="2551"/>
        <w:gridCol w:w="2551"/>
        <w:gridCol w:w="2551"/>
        <w:gridCol w:w="2551"/>
        <w:gridCol w:w="2551"/>
      </w:tblGrid>
      <w:tr w:rsidR="008945C8" w:rsidRPr="00D21CD2" w14:paraId="20889926" w14:textId="77777777" w:rsidTr="00275453">
        <w:trPr>
          <w:trHeight w:val="780"/>
          <w:tblHeader/>
        </w:trPr>
        <w:tc>
          <w:tcPr>
            <w:tcW w:w="1706" w:type="dxa"/>
            <w:shd w:val="clear" w:color="auto" w:fill="3A586E" w:themeFill="accent1"/>
            <w:tcMar>
              <w:left w:w="108" w:type="dxa"/>
              <w:bottom w:w="113" w:type="dxa"/>
              <w:right w:w="108" w:type="dxa"/>
            </w:tcMar>
            <w:hideMark/>
          </w:tcPr>
          <w:p w14:paraId="7202E3F1" w14:textId="3DB01655" w:rsidR="00697717" w:rsidRPr="00D21CD2" w:rsidRDefault="00697717" w:rsidP="00007DA4">
            <w:pPr>
              <w:pStyle w:val="TableHeading"/>
            </w:pPr>
            <w:r>
              <w:t>Outcome</w:t>
            </w:r>
          </w:p>
        </w:tc>
        <w:tc>
          <w:tcPr>
            <w:tcW w:w="2551" w:type="dxa"/>
            <w:shd w:val="clear" w:color="auto" w:fill="3A586E" w:themeFill="accent1"/>
            <w:tcMar>
              <w:left w:w="108" w:type="dxa"/>
              <w:bottom w:w="113" w:type="dxa"/>
              <w:right w:w="108" w:type="dxa"/>
            </w:tcMar>
            <w:hideMark/>
          </w:tcPr>
          <w:p w14:paraId="73EF8970" w14:textId="4C6F8B7F" w:rsidR="00697717" w:rsidRPr="00D21CD2" w:rsidRDefault="00697717" w:rsidP="00007DA4">
            <w:pPr>
              <w:pStyle w:val="TableHeading"/>
            </w:pPr>
            <w:r w:rsidRPr="00560F84">
              <w:t>Indicator</w:t>
            </w:r>
          </w:p>
        </w:tc>
        <w:tc>
          <w:tcPr>
            <w:tcW w:w="2551" w:type="dxa"/>
            <w:shd w:val="clear" w:color="auto" w:fill="3A586E" w:themeFill="accent1"/>
            <w:tcMar>
              <w:left w:w="108" w:type="dxa"/>
              <w:bottom w:w="113" w:type="dxa"/>
              <w:right w:w="108" w:type="dxa"/>
            </w:tcMar>
            <w:hideMark/>
          </w:tcPr>
          <w:p w14:paraId="47787550" w14:textId="1E835CE5" w:rsidR="00697717" w:rsidRPr="00D21CD2" w:rsidRDefault="00697717" w:rsidP="00007DA4">
            <w:pPr>
              <w:pStyle w:val="TableHeading"/>
            </w:pPr>
            <w:r w:rsidRPr="00560F84">
              <w:t>Expected results</w:t>
            </w:r>
            <w:r>
              <w:br/>
            </w:r>
            <w:r w:rsidRPr="00560F84">
              <w:t>2024</w:t>
            </w:r>
            <w:r>
              <w:rPr>
                <w:rFonts w:cstheme="majorHAnsi"/>
              </w:rPr>
              <w:t>–</w:t>
            </w:r>
            <w:r w:rsidRPr="00560F84">
              <w:t>25</w:t>
            </w:r>
          </w:p>
        </w:tc>
        <w:tc>
          <w:tcPr>
            <w:tcW w:w="2551" w:type="dxa"/>
            <w:shd w:val="clear" w:color="auto" w:fill="3A586E" w:themeFill="accent1"/>
            <w:tcMar>
              <w:left w:w="108" w:type="dxa"/>
              <w:bottom w:w="113" w:type="dxa"/>
              <w:right w:w="108" w:type="dxa"/>
            </w:tcMar>
            <w:hideMark/>
          </w:tcPr>
          <w:p w14:paraId="73395FFE" w14:textId="1677AC91" w:rsidR="00697717" w:rsidRPr="00D21CD2" w:rsidRDefault="00697717" w:rsidP="00007DA4">
            <w:pPr>
              <w:pStyle w:val="TableHeading"/>
            </w:pPr>
            <w:r w:rsidRPr="00560F84">
              <w:t>Expected results</w:t>
            </w:r>
            <w:r>
              <w:br/>
            </w:r>
            <w:r w:rsidRPr="00560F84">
              <w:t>2025</w:t>
            </w:r>
            <w:r>
              <w:rPr>
                <w:rFonts w:cstheme="majorHAnsi"/>
              </w:rPr>
              <w:t>–</w:t>
            </w:r>
            <w:r w:rsidRPr="00560F84">
              <w:t>26</w:t>
            </w:r>
          </w:p>
        </w:tc>
        <w:tc>
          <w:tcPr>
            <w:tcW w:w="2551" w:type="dxa"/>
            <w:shd w:val="clear" w:color="auto" w:fill="3A586E" w:themeFill="accent1"/>
            <w:tcMar>
              <w:left w:w="108" w:type="dxa"/>
              <w:bottom w:w="113" w:type="dxa"/>
              <w:right w:w="108" w:type="dxa"/>
            </w:tcMar>
            <w:hideMark/>
          </w:tcPr>
          <w:p w14:paraId="7B247C9F" w14:textId="6A7226D2" w:rsidR="00697717" w:rsidRPr="00D21CD2" w:rsidRDefault="00697717" w:rsidP="00007DA4">
            <w:pPr>
              <w:pStyle w:val="TableHeading"/>
            </w:pPr>
            <w:r w:rsidRPr="00560F84">
              <w:t>Expected results</w:t>
            </w:r>
            <w:r>
              <w:br/>
            </w:r>
            <w:r w:rsidRPr="00560F84">
              <w:t>2026</w:t>
            </w:r>
            <w:r>
              <w:rPr>
                <w:rFonts w:cstheme="majorHAnsi"/>
              </w:rPr>
              <w:t>–</w:t>
            </w:r>
            <w:r w:rsidRPr="00560F84">
              <w:t>27</w:t>
            </w:r>
          </w:p>
        </w:tc>
        <w:tc>
          <w:tcPr>
            <w:tcW w:w="2551" w:type="dxa"/>
            <w:shd w:val="clear" w:color="auto" w:fill="3A586E" w:themeFill="accent1"/>
            <w:tcMar>
              <w:left w:w="108" w:type="dxa"/>
              <w:bottom w:w="113" w:type="dxa"/>
              <w:right w:w="108" w:type="dxa"/>
            </w:tcMar>
            <w:hideMark/>
          </w:tcPr>
          <w:p w14:paraId="41CDC896" w14:textId="77777777" w:rsidR="00697717" w:rsidRPr="00D21CD2" w:rsidRDefault="00697717" w:rsidP="00007DA4">
            <w:pPr>
              <w:pStyle w:val="TableHeading"/>
            </w:pPr>
            <w:r w:rsidRPr="00560F84">
              <w:t>S</w:t>
            </w:r>
            <w:r>
              <w:t xml:space="preserve">ustainable </w:t>
            </w:r>
            <w:r w:rsidRPr="00560F84">
              <w:t>D</w:t>
            </w:r>
            <w:r>
              <w:t xml:space="preserve">evelopment </w:t>
            </w:r>
            <w:r w:rsidRPr="00560F84">
              <w:t>Goals</w:t>
            </w:r>
            <w:r>
              <w:t xml:space="preserve"> (SDGs</w:t>
            </w:r>
            <w:r w:rsidRPr="00560F84">
              <w:t>)</w:t>
            </w:r>
          </w:p>
        </w:tc>
      </w:tr>
      <w:tr w:rsidR="00AD1415" w:rsidRPr="00697717" w14:paraId="3585CA55" w14:textId="77777777" w:rsidTr="00275453">
        <w:trPr>
          <w:trHeight w:val="945"/>
        </w:trPr>
        <w:tc>
          <w:tcPr>
            <w:tcW w:w="1706" w:type="dxa"/>
            <w:shd w:val="clear" w:color="auto" w:fill="FBEED2" w:themeFill="accent4" w:themeFillTint="33"/>
            <w:tcMar>
              <w:left w:w="108" w:type="dxa"/>
              <w:bottom w:w="113" w:type="dxa"/>
              <w:right w:w="108" w:type="dxa"/>
            </w:tcMar>
            <w:hideMark/>
          </w:tcPr>
          <w:p w14:paraId="64A676C5" w14:textId="0BFB137B" w:rsidR="00207222" w:rsidRPr="007F3363" w:rsidRDefault="00207222" w:rsidP="007F3363">
            <w:pPr>
              <w:pStyle w:val="TableBodyCopybold"/>
            </w:pPr>
            <w:r w:rsidRPr="007F3363">
              <w:t>Outcome 2.1</w:t>
            </w:r>
          </w:p>
          <w:p w14:paraId="61274D83" w14:textId="44D6ECFC" w:rsidR="00207222" w:rsidRPr="007F3363" w:rsidRDefault="0066464F" w:rsidP="007F3363">
            <w:pPr>
              <w:pStyle w:val="TableBodyCopy"/>
            </w:pPr>
            <w:r w:rsidRPr="00D573D9">
              <w:t>Health, education and community resilience</w:t>
            </w:r>
            <w:r>
              <w:t xml:space="preserve">: </w:t>
            </w:r>
            <w:r w:rsidR="001D334F" w:rsidRPr="003531EA">
              <w:rPr>
                <w:rStyle w:val="normaltextrun"/>
              </w:rPr>
              <w:t>Essential health and education services are improved for all Solomon Islanders, and communities are more resilient</w:t>
            </w:r>
          </w:p>
        </w:tc>
        <w:tc>
          <w:tcPr>
            <w:tcW w:w="2551" w:type="dxa"/>
            <w:shd w:val="clear" w:color="auto" w:fill="FBEED2" w:themeFill="accent4" w:themeFillTint="33"/>
            <w:tcMar>
              <w:left w:w="108" w:type="dxa"/>
              <w:bottom w:w="113" w:type="dxa"/>
              <w:right w:w="108" w:type="dxa"/>
            </w:tcMar>
            <w:hideMark/>
          </w:tcPr>
          <w:p w14:paraId="3BD594A6" w14:textId="4CE5B164" w:rsidR="00207222" w:rsidRPr="007F3363" w:rsidRDefault="00207222" w:rsidP="007F3363">
            <w:pPr>
              <w:pStyle w:val="TableBodyCopy"/>
            </w:pPr>
            <w:r w:rsidRPr="007F3363">
              <w:t>2.1.1 Improved health system capacity to provide quality, accessible, affordable health services</w:t>
            </w:r>
            <w:r w:rsidR="009615DD">
              <w:t xml:space="preserve"> (</w:t>
            </w:r>
            <w:r w:rsidR="00F455DF">
              <w:t>Tier 2</w:t>
            </w:r>
            <w:r w:rsidR="009615DD">
              <w:t>)</w:t>
            </w:r>
            <w:hyperlink w:anchor="T3na" w:history="1">
              <w:r w:rsidR="00F455DF" w:rsidRPr="00A526CB">
                <w:rPr>
                  <w:rStyle w:val="tablehyperlink"/>
                </w:rPr>
                <w:t>a</w:t>
              </w:r>
            </w:hyperlink>
          </w:p>
        </w:tc>
        <w:tc>
          <w:tcPr>
            <w:tcW w:w="2551" w:type="dxa"/>
            <w:shd w:val="clear" w:color="auto" w:fill="FBEED2" w:themeFill="accent4" w:themeFillTint="33"/>
            <w:tcMar>
              <w:left w:w="108" w:type="dxa"/>
              <w:bottom w:w="113" w:type="dxa"/>
              <w:right w:w="108" w:type="dxa"/>
            </w:tcMar>
            <w:hideMark/>
          </w:tcPr>
          <w:p w14:paraId="0BB47A07" w14:textId="331FCE25" w:rsidR="00207222" w:rsidRPr="007F3363" w:rsidRDefault="00B727AF" w:rsidP="007F3363">
            <w:pPr>
              <w:pStyle w:val="TableBodyCopy"/>
            </w:pPr>
            <w:r w:rsidRPr="00822278">
              <w:t>3 examples of improved health system capacity to provide quality, accessible or affordable health services</w:t>
            </w:r>
          </w:p>
        </w:tc>
        <w:tc>
          <w:tcPr>
            <w:tcW w:w="2551" w:type="dxa"/>
            <w:shd w:val="clear" w:color="auto" w:fill="FBEED2" w:themeFill="accent4" w:themeFillTint="33"/>
            <w:tcMar>
              <w:left w:w="108" w:type="dxa"/>
              <w:bottom w:w="113" w:type="dxa"/>
              <w:right w:w="108" w:type="dxa"/>
            </w:tcMar>
            <w:hideMark/>
          </w:tcPr>
          <w:p w14:paraId="3EE084B9" w14:textId="044E465C" w:rsidR="000348BB" w:rsidRDefault="00133293" w:rsidP="00D44059">
            <w:pPr>
              <w:pStyle w:val="TableBodyCopy"/>
            </w:pPr>
            <w:r w:rsidRPr="003531EA">
              <w:t xml:space="preserve">Evidence of increased, higher quality or more equitable/inclusive provincial health service delivery </w:t>
            </w:r>
          </w:p>
          <w:p w14:paraId="18377B51" w14:textId="2C6BBF08" w:rsidR="000348BB" w:rsidRDefault="00133293" w:rsidP="00D44059">
            <w:pPr>
              <w:pStyle w:val="TableBodyCopy"/>
            </w:pPr>
            <w:r w:rsidRPr="003531EA">
              <w:t xml:space="preserve">Instances of improved PHD systems (e.g. for planning, budgeting, financial management, </w:t>
            </w:r>
            <w:r w:rsidR="00AC5198">
              <w:t>monitoring and evaluation</w:t>
            </w:r>
            <w:r w:rsidRPr="003531EA">
              <w:t xml:space="preserve">) </w:t>
            </w:r>
            <w:proofErr w:type="gramStart"/>
            <w:r w:rsidRPr="003531EA">
              <w:t>as a result of</w:t>
            </w:r>
            <w:proofErr w:type="gramEnd"/>
            <w:r w:rsidRPr="003531EA">
              <w:t xml:space="preserve"> </w:t>
            </w:r>
            <w:r w:rsidR="002B2A1F">
              <w:t>h</w:t>
            </w:r>
            <w:r w:rsidRPr="003531EA">
              <w:t xml:space="preserve">ealth </w:t>
            </w:r>
            <w:r w:rsidR="002B2A1F">
              <w:t>p</w:t>
            </w:r>
            <w:r w:rsidRPr="003531EA">
              <w:t>artnership support </w:t>
            </w:r>
          </w:p>
          <w:p w14:paraId="0B148596" w14:textId="725D076B" w:rsidR="00133293" w:rsidRPr="003531EA" w:rsidRDefault="00133293" w:rsidP="00D44059">
            <w:pPr>
              <w:pStyle w:val="TableBodyCopy"/>
            </w:pPr>
            <w:r w:rsidRPr="003531EA">
              <w:t>Instances of infrastructure/</w:t>
            </w:r>
            <w:r w:rsidR="00EC106C">
              <w:t>‌</w:t>
            </w:r>
            <w:r w:rsidRPr="003531EA">
              <w:t>equipment/supplies contributing to improved service delivery</w:t>
            </w:r>
          </w:p>
          <w:p w14:paraId="25BA0A3A" w14:textId="1D58CA7B" w:rsidR="00207222" w:rsidRPr="006E7275" w:rsidRDefault="00133293" w:rsidP="00D44059">
            <w:pPr>
              <w:pStyle w:val="TableBodyCopy"/>
            </w:pPr>
            <w:r w:rsidRPr="003531EA">
              <w:t>Number of women and young professionals</w:t>
            </w:r>
            <w:r w:rsidRPr="006E7275">
              <w:t xml:space="preserve"> </w:t>
            </w:r>
            <w:r w:rsidRPr="003531EA">
              <w:t>participating in leadership programs</w:t>
            </w:r>
            <w:r w:rsidRPr="006E7275">
              <w:t> </w:t>
            </w:r>
          </w:p>
        </w:tc>
        <w:tc>
          <w:tcPr>
            <w:tcW w:w="2551" w:type="dxa"/>
            <w:shd w:val="clear" w:color="auto" w:fill="FBEED2" w:themeFill="accent4" w:themeFillTint="33"/>
            <w:tcMar>
              <w:left w:w="108" w:type="dxa"/>
              <w:bottom w:w="113" w:type="dxa"/>
              <w:right w:w="108" w:type="dxa"/>
            </w:tcMar>
            <w:hideMark/>
          </w:tcPr>
          <w:p w14:paraId="4910C26B" w14:textId="1B706A3D" w:rsidR="004A59C5" w:rsidRPr="009E292B" w:rsidRDefault="004A59C5" w:rsidP="00D44059">
            <w:pPr>
              <w:pStyle w:val="TableBodyCopy"/>
            </w:pPr>
            <w:r w:rsidRPr="009E292B">
              <w:t xml:space="preserve">Evidence of increased, higher quality or more equitable/inclusive provincial health service delivery </w:t>
            </w:r>
          </w:p>
          <w:p w14:paraId="64C14B81" w14:textId="14282B1A" w:rsidR="004A59C5" w:rsidRPr="009E292B" w:rsidRDefault="004A59C5" w:rsidP="00D44059">
            <w:pPr>
              <w:pStyle w:val="TableBodyCopy"/>
            </w:pPr>
            <w:r w:rsidRPr="009E292B">
              <w:t xml:space="preserve">Instances of improved PHD systems (e.g. for planning, budgeting, financial management, </w:t>
            </w:r>
            <w:r w:rsidR="002B2A1F">
              <w:t>monitoring and evaluation</w:t>
            </w:r>
            <w:r w:rsidRPr="009E292B">
              <w:t xml:space="preserve">) </w:t>
            </w:r>
            <w:proofErr w:type="gramStart"/>
            <w:r w:rsidRPr="009E292B">
              <w:t>as a result of</w:t>
            </w:r>
            <w:proofErr w:type="gramEnd"/>
            <w:r w:rsidRPr="009E292B">
              <w:t xml:space="preserve"> </w:t>
            </w:r>
            <w:r w:rsidR="002B2A1F">
              <w:t>h</w:t>
            </w:r>
            <w:r w:rsidRPr="009E292B">
              <w:t xml:space="preserve">ealth </w:t>
            </w:r>
            <w:r w:rsidR="002B2A1F">
              <w:t>p</w:t>
            </w:r>
            <w:r w:rsidRPr="009E292B">
              <w:t>artnership support </w:t>
            </w:r>
          </w:p>
          <w:p w14:paraId="667A7006" w14:textId="770D4A88" w:rsidR="004A59C5" w:rsidRPr="009E292B" w:rsidRDefault="004A59C5" w:rsidP="00D44059">
            <w:pPr>
              <w:pStyle w:val="TableBodyCopy"/>
            </w:pPr>
            <w:r w:rsidRPr="009E292B">
              <w:t>Instances of infrastructure/</w:t>
            </w:r>
            <w:r w:rsidR="00EC106C">
              <w:t>‌</w:t>
            </w:r>
            <w:r w:rsidRPr="009E292B">
              <w:t>equipment/supplies contributing to improved service delivery </w:t>
            </w:r>
          </w:p>
          <w:p w14:paraId="6D2728F0" w14:textId="6976B07B" w:rsidR="00207222" w:rsidRPr="006E7275" w:rsidRDefault="004A59C5" w:rsidP="00D44059">
            <w:pPr>
              <w:pStyle w:val="TableBodyCopy"/>
            </w:pPr>
            <w:r w:rsidRPr="009E292B">
              <w:t>Number of women and young professionals</w:t>
            </w:r>
            <w:r w:rsidRPr="006E7275">
              <w:t xml:space="preserve"> participating in leadership programs</w:t>
            </w:r>
          </w:p>
        </w:tc>
        <w:tc>
          <w:tcPr>
            <w:tcW w:w="2551" w:type="dxa"/>
            <w:shd w:val="clear" w:color="auto" w:fill="FBEED2" w:themeFill="accent4" w:themeFillTint="33"/>
            <w:tcMar>
              <w:left w:w="108" w:type="dxa"/>
              <w:bottom w:w="113" w:type="dxa"/>
              <w:right w:w="108" w:type="dxa"/>
            </w:tcMar>
            <w:hideMark/>
          </w:tcPr>
          <w:p w14:paraId="125A5F2C" w14:textId="29984C55" w:rsidR="00207222" w:rsidRPr="007F3363" w:rsidRDefault="00207222" w:rsidP="007F3363">
            <w:pPr>
              <w:pStyle w:val="TableBodyCopy"/>
            </w:pPr>
            <w:r w:rsidRPr="007F3363">
              <w:t xml:space="preserve">SDG3: Good </w:t>
            </w:r>
            <w:r w:rsidR="004A1E51">
              <w:t>h</w:t>
            </w:r>
            <w:r w:rsidRPr="007F3363">
              <w:t xml:space="preserve">ealth and </w:t>
            </w:r>
            <w:r w:rsidR="004A1E51">
              <w:t>w</w:t>
            </w:r>
            <w:r w:rsidRPr="007F3363">
              <w:t>ellbeing</w:t>
            </w:r>
          </w:p>
          <w:p w14:paraId="11F8AE36" w14:textId="00648692" w:rsidR="00207222" w:rsidRDefault="00207222" w:rsidP="007F3363">
            <w:pPr>
              <w:pStyle w:val="TableBodyCopy"/>
            </w:pPr>
            <w:r w:rsidRPr="007F3363">
              <w:t xml:space="preserve">SDG9: Industry, </w:t>
            </w:r>
            <w:r w:rsidR="004A1E51">
              <w:t>i</w:t>
            </w:r>
            <w:r w:rsidRPr="007F3363">
              <w:t xml:space="preserve">nnovation and </w:t>
            </w:r>
            <w:r w:rsidR="004A1E51">
              <w:t>i</w:t>
            </w:r>
            <w:r w:rsidRPr="007F3363">
              <w:t>nfrastructure</w:t>
            </w:r>
          </w:p>
          <w:p w14:paraId="651A1ADF" w14:textId="231A8CF6" w:rsidR="00C167B7" w:rsidRPr="007F3363" w:rsidRDefault="00C167B7" w:rsidP="007F3363">
            <w:pPr>
              <w:pStyle w:val="TableBodyCopy"/>
            </w:pPr>
            <w:r w:rsidRPr="007F3363">
              <w:t xml:space="preserve">SDG10: Reduced </w:t>
            </w:r>
            <w:r>
              <w:t>i</w:t>
            </w:r>
            <w:r w:rsidRPr="007F3363">
              <w:t>nequalities</w:t>
            </w:r>
          </w:p>
        </w:tc>
      </w:tr>
      <w:tr w:rsidR="008945C8" w:rsidRPr="00697717" w14:paraId="1441134C" w14:textId="77777777" w:rsidTr="00275453">
        <w:trPr>
          <w:cantSplit/>
          <w:trHeight w:val="945"/>
        </w:trPr>
        <w:tc>
          <w:tcPr>
            <w:tcW w:w="1706" w:type="dxa"/>
            <w:shd w:val="clear" w:color="auto" w:fill="FBEED2" w:themeFill="accent4" w:themeFillTint="33"/>
            <w:tcMar>
              <w:left w:w="108" w:type="dxa"/>
              <w:bottom w:w="113" w:type="dxa"/>
              <w:right w:w="108" w:type="dxa"/>
            </w:tcMar>
            <w:hideMark/>
          </w:tcPr>
          <w:p w14:paraId="68AFF93E" w14:textId="09686E2B" w:rsidR="008945C8" w:rsidRPr="007F3363" w:rsidRDefault="008945C8" w:rsidP="007F3363">
            <w:pPr>
              <w:pStyle w:val="TableBodyCopybold"/>
            </w:pPr>
            <w:r w:rsidRPr="00706CA6">
              <w:lastRenderedPageBreak/>
              <w:t>Outcome 2.1</w:t>
            </w:r>
          </w:p>
        </w:tc>
        <w:tc>
          <w:tcPr>
            <w:tcW w:w="2551" w:type="dxa"/>
            <w:shd w:val="clear" w:color="auto" w:fill="FBEED2" w:themeFill="accent4" w:themeFillTint="33"/>
            <w:tcMar>
              <w:left w:w="108" w:type="dxa"/>
              <w:bottom w:w="113" w:type="dxa"/>
              <w:right w:w="108" w:type="dxa"/>
            </w:tcMar>
            <w:hideMark/>
          </w:tcPr>
          <w:p w14:paraId="41F99B9C" w14:textId="1AB9BF9D" w:rsidR="008945C8" w:rsidRPr="007F3363" w:rsidRDefault="620CC6FF" w:rsidP="007F3363">
            <w:pPr>
              <w:pStyle w:val="TableBodyCopy"/>
            </w:pPr>
            <w:r>
              <w:t>2.1.2 Improved ability to anticipate, prevent, detect and control communicable disease threats</w:t>
            </w:r>
            <w:r w:rsidR="651AEB18">
              <w:t xml:space="preserve"> (Tier 2)</w:t>
            </w:r>
            <w:hyperlink w:anchor="T3na">
              <w:r w:rsidR="651AEB18" w:rsidRPr="2A22DF3F">
                <w:rPr>
                  <w:rStyle w:val="tablehyperlink"/>
                </w:rPr>
                <w:t>a</w:t>
              </w:r>
            </w:hyperlink>
          </w:p>
        </w:tc>
        <w:tc>
          <w:tcPr>
            <w:tcW w:w="2551" w:type="dxa"/>
            <w:shd w:val="clear" w:color="auto" w:fill="FBEED2" w:themeFill="accent4" w:themeFillTint="33"/>
            <w:tcMar>
              <w:left w:w="108" w:type="dxa"/>
              <w:bottom w:w="113" w:type="dxa"/>
              <w:right w:w="108" w:type="dxa"/>
            </w:tcMar>
          </w:tcPr>
          <w:p w14:paraId="1FD39294" w14:textId="086A7B92" w:rsidR="008945C8" w:rsidRPr="007F3363" w:rsidRDefault="008B603C" w:rsidP="007F3363">
            <w:pPr>
              <w:pStyle w:val="TableBodyCopy"/>
            </w:pPr>
            <w:r w:rsidRPr="00342368">
              <w:t>3 examples of improved ability to anticipate, prevent, detect and control communicable disease threats, including for diverse communities </w:t>
            </w:r>
          </w:p>
        </w:tc>
        <w:tc>
          <w:tcPr>
            <w:tcW w:w="2551" w:type="dxa"/>
            <w:shd w:val="clear" w:color="auto" w:fill="FBEED2" w:themeFill="accent4" w:themeFillTint="33"/>
            <w:tcMar>
              <w:left w:w="108" w:type="dxa"/>
              <w:bottom w:w="113" w:type="dxa"/>
              <w:right w:w="108" w:type="dxa"/>
            </w:tcMar>
          </w:tcPr>
          <w:p w14:paraId="6FA589C9" w14:textId="2F8A4D1E" w:rsidR="00B4710E" w:rsidRPr="00342368" w:rsidRDefault="00B4710E" w:rsidP="00A22BE6">
            <w:pPr>
              <w:pStyle w:val="TableBodyCopy"/>
            </w:pPr>
            <w:r w:rsidRPr="00342368">
              <w:t>Evidence of improved treatment and case management of communicable diseases that considers equity and inclusion</w:t>
            </w:r>
          </w:p>
          <w:p w14:paraId="3CA3E712" w14:textId="44ACF0E9" w:rsidR="00B4710E" w:rsidRPr="00342368" w:rsidRDefault="00B4710E" w:rsidP="00A22BE6">
            <w:pPr>
              <w:pStyle w:val="TableBodyCopy"/>
            </w:pPr>
            <w:r w:rsidRPr="00342368">
              <w:t>Evidence of strengthened laboratory systems</w:t>
            </w:r>
          </w:p>
          <w:p w14:paraId="12AB089E" w14:textId="6463BC33" w:rsidR="008945C8" w:rsidRPr="007F3363" w:rsidRDefault="00B4710E" w:rsidP="00A22BE6">
            <w:pPr>
              <w:pStyle w:val="TableBodyCopy"/>
            </w:pPr>
            <w:r w:rsidRPr="00342368">
              <w:t>Evidence of improved use of early warning and public health surveillance systems, including those that use a One Health approach and/or are at community level</w:t>
            </w:r>
          </w:p>
        </w:tc>
        <w:tc>
          <w:tcPr>
            <w:tcW w:w="2551" w:type="dxa"/>
            <w:shd w:val="clear" w:color="auto" w:fill="FBEED2" w:themeFill="accent4" w:themeFillTint="33"/>
            <w:tcMar>
              <w:left w:w="108" w:type="dxa"/>
              <w:bottom w:w="113" w:type="dxa"/>
              <w:right w:w="108" w:type="dxa"/>
            </w:tcMar>
          </w:tcPr>
          <w:p w14:paraId="00EDCCED" w14:textId="68139343" w:rsidR="00D31F81" w:rsidRPr="00342368" w:rsidRDefault="00D31F81" w:rsidP="00A22BE6">
            <w:pPr>
              <w:pStyle w:val="TableBodyCopy"/>
            </w:pPr>
            <w:r w:rsidRPr="00342368">
              <w:t>Evidence of improved treatment and case management of communicable diseases that considers equity and inclusion </w:t>
            </w:r>
          </w:p>
          <w:p w14:paraId="3DDB573F" w14:textId="61A18AC2" w:rsidR="00D31F81" w:rsidRPr="00342368" w:rsidRDefault="00D31F81" w:rsidP="00A22BE6">
            <w:pPr>
              <w:pStyle w:val="TableBodyCopy"/>
            </w:pPr>
            <w:r w:rsidRPr="00342368">
              <w:t>Evidence of strengthened laboratory systems</w:t>
            </w:r>
          </w:p>
          <w:p w14:paraId="46764880" w14:textId="139D68AE" w:rsidR="008945C8" w:rsidRPr="007F3363" w:rsidRDefault="00D31F81" w:rsidP="00A22BE6">
            <w:pPr>
              <w:pStyle w:val="TableBodyCopy"/>
            </w:pPr>
            <w:r w:rsidRPr="00342368">
              <w:t>Evidence of improved use of early warning and public health surveillance systems, including those that use a One Health approach and/or are at community level </w:t>
            </w:r>
          </w:p>
        </w:tc>
        <w:tc>
          <w:tcPr>
            <w:tcW w:w="2551" w:type="dxa"/>
            <w:shd w:val="clear" w:color="auto" w:fill="FBEED2" w:themeFill="accent4" w:themeFillTint="33"/>
            <w:tcMar>
              <w:left w:w="108" w:type="dxa"/>
              <w:bottom w:w="113" w:type="dxa"/>
              <w:right w:w="108" w:type="dxa"/>
            </w:tcMar>
          </w:tcPr>
          <w:p w14:paraId="42C82BB2" w14:textId="09BF7B9A" w:rsidR="008945C8" w:rsidRPr="007F3363" w:rsidRDefault="008945C8" w:rsidP="007F3363">
            <w:pPr>
              <w:pStyle w:val="TableBodyCopy"/>
            </w:pPr>
            <w:r w:rsidRPr="007F3363">
              <w:t>SDG3</w:t>
            </w:r>
          </w:p>
        </w:tc>
      </w:tr>
      <w:tr w:rsidR="008945C8" w:rsidRPr="00697717" w14:paraId="17EBCA1B" w14:textId="77777777" w:rsidTr="00275453">
        <w:trPr>
          <w:trHeight w:val="639"/>
        </w:trPr>
        <w:tc>
          <w:tcPr>
            <w:tcW w:w="1706" w:type="dxa"/>
            <w:shd w:val="clear" w:color="auto" w:fill="FBEED2" w:themeFill="accent4" w:themeFillTint="33"/>
            <w:tcMar>
              <w:left w:w="108" w:type="dxa"/>
              <w:bottom w:w="113" w:type="dxa"/>
              <w:right w:w="108" w:type="dxa"/>
            </w:tcMar>
            <w:hideMark/>
          </w:tcPr>
          <w:p w14:paraId="1F8E16F7" w14:textId="2586B9E3" w:rsidR="008945C8" w:rsidRPr="007F3363" w:rsidRDefault="008945C8" w:rsidP="007F3363">
            <w:pPr>
              <w:pStyle w:val="TableBodyCopybold"/>
            </w:pPr>
            <w:r w:rsidRPr="00706CA6">
              <w:t>Outcome 2.1</w:t>
            </w:r>
          </w:p>
        </w:tc>
        <w:tc>
          <w:tcPr>
            <w:tcW w:w="2551" w:type="dxa"/>
            <w:shd w:val="clear" w:color="auto" w:fill="FBEED2" w:themeFill="accent4" w:themeFillTint="33"/>
            <w:tcMar>
              <w:left w:w="108" w:type="dxa"/>
              <w:bottom w:w="113" w:type="dxa"/>
              <w:right w:w="108" w:type="dxa"/>
            </w:tcMar>
            <w:hideMark/>
          </w:tcPr>
          <w:p w14:paraId="2913B8BB" w14:textId="30B6D1FE" w:rsidR="008945C8" w:rsidRPr="00850AA0" w:rsidRDefault="008945C8" w:rsidP="007F3363">
            <w:pPr>
              <w:pStyle w:val="TableBodyCopy"/>
            </w:pPr>
            <w:r w:rsidRPr="007F3363">
              <w:t>2.1.3 Number of animal and plant health diseases detected and eradicated</w:t>
            </w:r>
            <w:r w:rsidR="00B13ACE">
              <w:t xml:space="preserve"> or</w:t>
            </w:r>
            <w:r w:rsidRPr="007F3363">
              <w:t xml:space="preserve"> managed</w:t>
            </w:r>
          </w:p>
        </w:tc>
        <w:tc>
          <w:tcPr>
            <w:tcW w:w="2551" w:type="dxa"/>
            <w:shd w:val="clear" w:color="auto" w:fill="FBEED2" w:themeFill="accent4" w:themeFillTint="33"/>
            <w:tcMar>
              <w:left w:w="108" w:type="dxa"/>
              <w:bottom w:w="113" w:type="dxa"/>
              <w:right w:w="108" w:type="dxa"/>
            </w:tcMar>
          </w:tcPr>
          <w:p w14:paraId="74A29DD8" w14:textId="2E3FED99" w:rsidR="008945C8" w:rsidRPr="00850AA0" w:rsidRDefault="008945C8" w:rsidP="007F3363">
            <w:pPr>
              <w:pStyle w:val="TableBodyCopy"/>
            </w:pPr>
            <w:r w:rsidRPr="00850AA0">
              <w:t>Example of ability to identify animal and plant health risks in a timely manner</w:t>
            </w:r>
          </w:p>
          <w:p w14:paraId="7AD2E729" w14:textId="650F4F74" w:rsidR="008945C8" w:rsidRPr="00850AA0" w:rsidRDefault="008945C8" w:rsidP="007F3363">
            <w:pPr>
              <w:pStyle w:val="TableBodyCopy"/>
            </w:pPr>
            <w:r w:rsidRPr="00850AA0">
              <w:t xml:space="preserve">Number of exotic pests and disease incursions detected and eradicated </w:t>
            </w:r>
            <w:r w:rsidR="00A8448E">
              <w:t>or</w:t>
            </w:r>
            <w:r w:rsidRPr="00850AA0">
              <w:t xml:space="preserve"> spread controlled</w:t>
            </w:r>
          </w:p>
        </w:tc>
        <w:tc>
          <w:tcPr>
            <w:tcW w:w="2551" w:type="dxa"/>
            <w:shd w:val="clear" w:color="auto" w:fill="FBEED2" w:themeFill="accent4" w:themeFillTint="33"/>
            <w:tcMar>
              <w:left w:w="108" w:type="dxa"/>
              <w:bottom w:w="113" w:type="dxa"/>
              <w:right w:w="108" w:type="dxa"/>
            </w:tcMar>
          </w:tcPr>
          <w:p w14:paraId="07FB1C50" w14:textId="77194498" w:rsidR="008945C8" w:rsidRPr="00850AA0" w:rsidRDefault="008945C8" w:rsidP="007F3363">
            <w:pPr>
              <w:pStyle w:val="TableBodyCopy"/>
            </w:pPr>
            <w:r w:rsidRPr="00850AA0">
              <w:t>Example of ability to identify animal and plant health risks in a timely manner</w:t>
            </w:r>
          </w:p>
          <w:p w14:paraId="2B58D16C" w14:textId="4FC03B0E" w:rsidR="008945C8" w:rsidRPr="00850AA0" w:rsidRDefault="008945C8" w:rsidP="007F3363">
            <w:pPr>
              <w:pStyle w:val="TableBodyCopy"/>
            </w:pPr>
            <w:r w:rsidRPr="00850AA0">
              <w:t xml:space="preserve">Number of exotic pests and disease incursions detected and </w:t>
            </w:r>
            <w:r w:rsidR="00A8448E">
              <w:t xml:space="preserve">eradicated or </w:t>
            </w:r>
            <w:r w:rsidRPr="00850AA0">
              <w:t>spread controlled</w:t>
            </w:r>
          </w:p>
        </w:tc>
        <w:tc>
          <w:tcPr>
            <w:tcW w:w="2551" w:type="dxa"/>
            <w:shd w:val="clear" w:color="auto" w:fill="FBEED2" w:themeFill="accent4" w:themeFillTint="33"/>
            <w:tcMar>
              <w:left w:w="108" w:type="dxa"/>
              <w:bottom w:w="113" w:type="dxa"/>
              <w:right w:w="108" w:type="dxa"/>
            </w:tcMar>
          </w:tcPr>
          <w:p w14:paraId="0966F8ED" w14:textId="1A06E159" w:rsidR="008945C8" w:rsidRPr="00850AA0" w:rsidRDefault="00812893" w:rsidP="007F3363">
            <w:pPr>
              <w:pStyle w:val="TableBodyCopy"/>
            </w:pPr>
            <w:r>
              <w:t>Example of a</w:t>
            </w:r>
            <w:r w:rsidR="008945C8" w:rsidRPr="00850AA0">
              <w:t>bility to identify animal and plant health risks in a timely manner</w:t>
            </w:r>
          </w:p>
          <w:p w14:paraId="10F880A4" w14:textId="04BC97C1" w:rsidR="008945C8" w:rsidRPr="00850AA0" w:rsidRDefault="008945C8" w:rsidP="007F3363">
            <w:pPr>
              <w:pStyle w:val="TableBodyCopy"/>
            </w:pPr>
            <w:r w:rsidRPr="00850AA0">
              <w:t xml:space="preserve">Number of exotic pests and disease incursions </w:t>
            </w:r>
            <w:r w:rsidR="00000E54">
              <w:t xml:space="preserve">detected </w:t>
            </w:r>
            <w:r w:rsidRPr="00850AA0">
              <w:t xml:space="preserve">and </w:t>
            </w:r>
            <w:r w:rsidR="00A8448E">
              <w:t xml:space="preserve">eradicated or </w:t>
            </w:r>
            <w:r w:rsidRPr="00850AA0">
              <w:t>spread controlled</w:t>
            </w:r>
          </w:p>
        </w:tc>
        <w:tc>
          <w:tcPr>
            <w:tcW w:w="2551" w:type="dxa"/>
            <w:shd w:val="clear" w:color="auto" w:fill="FBEED2" w:themeFill="accent4" w:themeFillTint="33"/>
            <w:tcMar>
              <w:left w:w="108" w:type="dxa"/>
              <w:bottom w:w="113" w:type="dxa"/>
              <w:right w:w="108" w:type="dxa"/>
            </w:tcMar>
          </w:tcPr>
          <w:p w14:paraId="286BC9AE" w14:textId="7D38517A" w:rsidR="008945C8" w:rsidRPr="00850AA0" w:rsidRDefault="008945C8" w:rsidP="007F3363">
            <w:pPr>
              <w:pStyle w:val="TableBodyCopy"/>
            </w:pPr>
            <w:r w:rsidRPr="00850AA0">
              <w:t xml:space="preserve">SDG2: </w:t>
            </w:r>
            <w:r w:rsidR="00044E0A">
              <w:t>Zero hunger</w:t>
            </w:r>
          </w:p>
          <w:p w14:paraId="017BA70B" w14:textId="5E2AD4A7" w:rsidR="008945C8" w:rsidRPr="00850AA0" w:rsidRDefault="008945C8" w:rsidP="007F3363">
            <w:pPr>
              <w:pStyle w:val="TableBodyCopy"/>
            </w:pPr>
            <w:r w:rsidRPr="00850AA0">
              <w:t>SDG12: Responsible consumption and production</w:t>
            </w:r>
          </w:p>
          <w:p w14:paraId="2ED0B63B" w14:textId="5ABCDBF6" w:rsidR="008945C8" w:rsidRPr="00850AA0" w:rsidRDefault="008945C8" w:rsidP="007F3363">
            <w:pPr>
              <w:pStyle w:val="TableBodyCopy"/>
            </w:pPr>
            <w:r w:rsidRPr="00850AA0">
              <w:t xml:space="preserve">SDG15: Life on </w:t>
            </w:r>
            <w:r w:rsidR="00044E0A">
              <w:t>l</w:t>
            </w:r>
            <w:r w:rsidRPr="00850AA0">
              <w:t>and</w:t>
            </w:r>
          </w:p>
        </w:tc>
      </w:tr>
      <w:tr w:rsidR="008945C8" w:rsidRPr="00697717" w14:paraId="67D49776" w14:textId="77777777" w:rsidTr="00275453">
        <w:trPr>
          <w:trHeight w:val="639"/>
        </w:trPr>
        <w:tc>
          <w:tcPr>
            <w:tcW w:w="1706" w:type="dxa"/>
            <w:shd w:val="clear" w:color="auto" w:fill="FBEED2" w:themeFill="accent4" w:themeFillTint="33"/>
            <w:tcMar>
              <w:left w:w="108" w:type="dxa"/>
              <w:bottom w:w="113" w:type="dxa"/>
              <w:right w:w="108" w:type="dxa"/>
            </w:tcMar>
            <w:hideMark/>
          </w:tcPr>
          <w:p w14:paraId="4BB52B06" w14:textId="76B43FA9" w:rsidR="008945C8" w:rsidRPr="00850AA0" w:rsidRDefault="008945C8" w:rsidP="00850AA0">
            <w:pPr>
              <w:pStyle w:val="TableBodyCopybold"/>
            </w:pPr>
            <w:r w:rsidRPr="00706CA6">
              <w:t>Outcome 2.1</w:t>
            </w:r>
          </w:p>
        </w:tc>
        <w:tc>
          <w:tcPr>
            <w:tcW w:w="2551" w:type="dxa"/>
            <w:shd w:val="clear" w:color="auto" w:fill="FBEED2" w:themeFill="accent4" w:themeFillTint="33"/>
            <w:tcMar>
              <w:left w:w="108" w:type="dxa"/>
              <w:bottom w:w="113" w:type="dxa"/>
              <w:right w:w="108" w:type="dxa"/>
            </w:tcMar>
            <w:hideMark/>
          </w:tcPr>
          <w:p w14:paraId="00406E62" w14:textId="091D80A9" w:rsidR="008945C8" w:rsidRPr="00850AA0" w:rsidRDefault="008945C8" w:rsidP="00850AA0">
            <w:pPr>
              <w:pStyle w:val="TableBodyCopy"/>
            </w:pPr>
            <w:r w:rsidRPr="00850AA0">
              <w:t xml:space="preserve">2.1.4 Number of </w:t>
            </w:r>
            <w:r w:rsidR="00812893">
              <w:t>s</w:t>
            </w:r>
            <w:r w:rsidRPr="00850AA0">
              <w:t xml:space="preserve">chools benefiting from Australian support, including improved </w:t>
            </w:r>
            <w:r w:rsidR="009E55B5">
              <w:t>water, sanitation and hygiene</w:t>
            </w:r>
            <w:r w:rsidRPr="00850AA0">
              <w:t xml:space="preserve"> and other infrastructure</w:t>
            </w:r>
          </w:p>
        </w:tc>
        <w:tc>
          <w:tcPr>
            <w:tcW w:w="2551" w:type="dxa"/>
            <w:shd w:val="clear" w:color="auto" w:fill="FBEED2" w:themeFill="accent4" w:themeFillTint="33"/>
            <w:tcMar>
              <w:left w:w="108" w:type="dxa"/>
              <w:bottom w:w="113" w:type="dxa"/>
              <w:right w:w="108" w:type="dxa"/>
            </w:tcMar>
          </w:tcPr>
          <w:p w14:paraId="42D759FA" w14:textId="77777777" w:rsidR="008945C8" w:rsidRPr="00850AA0" w:rsidRDefault="008945C8" w:rsidP="00850AA0">
            <w:pPr>
              <w:pStyle w:val="TableBodyCopy"/>
            </w:pPr>
            <w:r w:rsidRPr="00850AA0">
              <w:t>10</w:t>
            </w:r>
          </w:p>
        </w:tc>
        <w:tc>
          <w:tcPr>
            <w:tcW w:w="2551" w:type="dxa"/>
            <w:shd w:val="clear" w:color="auto" w:fill="FBEED2" w:themeFill="accent4" w:themeFillTint="33"/>
            <w:tcMar>
              <w:left w:w="108" w:type="dxa"/>
              <w:bottom w:w="113" w:type="dxa"/>
              <w:right w:w="108" w:type="dxa"/>
            </w:tcMar>
          </w:tcPr>
          <w:p w14:paraId="5AA3A463" w14:textId="3417AF95" w:rsidR="008945C8" w:rsidRPr="00850AA0" w:rsidRDefault="00D362BF" w:rsidP="00850AA0">
            <w:pPr>
              <w:pStyle w:val="TableBodyCopy"/>
            </w:pPr>
            <w:r>
              <w:t>15</w:t>
            </w:r>
          </w:p>
        </w:tc>
        <w:tc>
          <w:tcPr>
            <w:tcW w:w="2551" w:type="dxa"/>
            <w:shd w:val="clear" w:color="auto" w:fill="FBEED2" w:themeFill="accent4" w:themeFillTint="33"/>
            <w:tcMar>
              <w:left w:w="108" w:type="dxa"/>
              <w:bottom w:w="113" w:type="dxa"/>
              <w:right w:w="108" w:type="dxa"/>
            </w:tcMar>
          </w:tcPr>
          <w:p w14:paraId="52E646A6" w14:textId="7830CF35" w:rsidR="008945C8" w:rsidRPr="00850AA0" w:rsidRDefault="00D362BF" w:rsidP="00850AA0">
            <w:pPr>
              <w:pStyle w:val="TableBodyCopy"/>
            </w:pPr>
            <w:r>
              <w:t>10</w:t>
            </w:r>
          </w:p>
        </w:tc>
        <w:tc>
          <w:tcPr>
            <w:tcW w:w="2551" w:type="dxa"/>
            <w:shd w:val="clear" w:color="auto" w:fill="FBEED2" w:themeFill="accent4" w:themeFillTint="33"/>
            <w:tcMar>
              <w:left w:w="108" w:type="dxa"/>
              <w:bottom w:w="113" w:type="dxa"/>
              <w:right w:w="108" w:type="dxa"/>
            </w:tcMar>
          </w:tcPr>
          <w:p w14:paraId="67314297" w14:textId="5158953A" w:rsidR="008945C8" w:rsidRPr="00850AA0" w:rsidRDefault="008945C8" w:rsidP="00850AA0">
            <w:pPr>
              <w:pStyle w:val="TableBodyCopy"/>
            </w:pPr>
            <w:r w:rsidRPr="00850AA0">
              <w:t xml:space="preserve">SDG6: Clean </w:t>
            </w:r>
            <w:r w:rsidR="00044E0A">
              <w:t>w</w:t>
            </w:r>
            <w:r w:rsidRPr="00850AA0">
              <w:t xml:space="preserve">ater and </w:t>
            </w:r>
            <w:r w:rsidR="00044E0A">
              <w:t>s</w:t>
            </w:r>
            <w:r w:rsidRPr="00850AA0">
              <w:t>anitation</w:t>
            </w:r>
          </w:p>
        </w:tc>
      </w:tr>
      <w:tr w:rsidR="008945C8" w:rsidRPr="00697717" w14:paraId="059D03E6" w14:textId="77777777" w:rsidTr="00275453">
        <w:trPr>
          <w:trHeight w:val="639"/>
        </w:trPr>
        <w:tc>
          <w:tcPr>
            <w:tcW w:w="1706" w:type="dxa"/>
            <w:shd w:val="clear" w:color="auto" w:fill="FBEED2" w:themeFill="accent4" w:themeFillTint="33"/>
            <w:tcMar>
              <w:left w:w="108" w:type="dxa"/>
              <w:bottom w:w="113" w:type="dxa"/>
              <w:right w:w="108" w:type="dxa"/>
            </w:tcMar>
          </w:tcPr>
          <w:p w14:paraId="4C6AFEC8" w14:textId="7BFEF375" w:rsidR="008945C8" w:rsidRPr="00850AA0" w:rsidRDefault="008945C8" w:rsidP="00850AA0">
            <w:pPr>
              <w:pStyle w:val="TableBodyCopybold"/>
            </w:pPr>
            <w:r w:rsidRPr="00706CA6">
              <w:lastRenderedPageBreak/>
              <w:t>Outcome 2.1</w:t>
            </w:r>
          </w:p>
        </w:tc>
        <w:tc>
          <w:tcPr>
            <w:tcW w:w="2551" w:type="dxa"/>
            <w:shd w:val="clear" w:color="auto" w:fill="FBEED2" w:themeFill="accent4" w:themeFillTint="33"/>
            <w:tcMar>
              <w:left w:w="108" w:type="dxa"/>
              <w:bottom w:w="113" w:type="dxa"/>
              <w:right w:w="108" w:type="dxa"/>
            </w:tcMar>
          </w:tcPr>
          <w:p w14:paraId="3FBD0E88" w14:textId="1DF2FE3B" w:rsidR="008945C8" w:rsidRPr="00850AA0" w:rsidRDefault="008945C8" w:rsidP="00850AA0">
            <w:pPr>
              <w:pStyle w:val="TableBodyCopy"/>
            </w:pPr>
            <w:r w:rsidRPr="00850AA0">
              <w:t>2.1.5 Strengthened quality of locally</w:t>
            </w:r>
            <w:r>
              <w:t xml:space="preserve"> </w:t>
            </w:r>
            <w:r w:rsidRPr="00850AA0">
              <w:t>led pre-service teacher training, including curriculum, practicum and lecturer skill improvements</w:t>
            </w:r>
          </w:p>
        </w:tc>
        <w:tc>
          <w:tcPr>
            <w:tcW w:w="2551" w:type="dxa"/>
            <w:shd w:val="clear" w:color="auto" w:fill="FBEED2" w:themeFill="accent4" w:themeFillTint="33"/>
            <w:tcMar>
              <w:left w:w="108" w:type="dxa"/>
              <w:bottom w:w="113" w:type="dxa"/>
              <w:right w:w="108" w:type="dxa"/>
            </w:tcMar>
          </w:tcPr>
          <w:p w14:paraId="52E34302" w14:textId="09F35933" w:rsidR="008945C8" w:rsidRPr="00B71B08" w:rsidRDefault="006F13A8" w:rsidP="00850AA0">
            <w:pPr>
              <w:pStyle w:val="TableBodyCopy"/>
            </w:pPr>
            <w:r w:rsidRPr="00275453">
              <w:t>Nil (investment commences in April 2025)</w:t>
            </w:r>
          </w:p>
        </w:tc>
        <w:tc>
          <w:tcPr>
            <w:tcW w:w="2551" w:type="dxa"/>
            <w:shd w:val="clear" w:color="auto" w:fill="FBEED2" w:themeFill="accent4" w:themeFillTint="33"/>
            <w:tcMar>
              <w:left w:w="108" w:type="dxa"/>
              <w:bottom w:w="113" w:type="dxa"/>
              <w:right w:w="108" w:type="dxa"/>
            </w:tcMar>
          </w:tcPr>
          <w:p w14:paraId="608B4EF7" w14:textId="6ED77BA3" w:rsidR="00C14E14" w:rsidRPr="00E20BDD" w:rsidRDefault="00C14E14" w:rsidP="00275453">
            <w:pPr>
              <w:pStyle w:val="TableBodyCopy"/>
            </w:pPr>
            <w:r w:rsidRPr="00E20BDD">
              <w:t xml:space="preserve">4 local </w:t>
            </w:r>
            <w:r w:rsidR="00416251">
              <w:t xml:space="preserve">Solomon Islands National University </w:t>
            </w:r>
            <w:r w:rsidRPr="00E20BDD">
              <w:t>(SINU) teaching lecturers have tertiary teaching qualifications </w:t>
            </w:r>
          </w:p>
          <w:p w14:paraId="738E8821" w14:textId="5CC59ADE" w:rsidR="008945C8" w:rsidRPr="00850AA0" w:rsidRDefault="00D362BF" w:rsidP="00275453">
            <w:pPr>
              <w:pStyle w:val="TableBodyCopy"/>
            </w:pPr>
            <w:r>
              <w:t xml:space="preserve">Partnership for </w:t>
            </w:r>
            <w:r w:rsidR="00DA0BFF">
              <w:t>i</w:t>
            </w:r>
            <w:r w:rsidR="00C14E14" w:rsidRPr="00E20BDD">
              <w:t xml:space="preserve">mproved teaching curriculum and practicum (at SINU) is </w:t>
            </w:r>
            <w:r w:rsidR="002F4DD9">
              <w:t>established</w:t>
            </w:r>
          </w:p>
        </w:tc>
        <w:tc>
          <w:tcPr>
            <w:tcW w:w="2551" w:type="dxa"/>
            <w:shd w:val="clear" w:color="auto" w:fill="FBEED2" w:themeFill="accent4" w:themeFillTint="33"/>
            <w:tcMar>
              <w:left w:w="108" w:type="dxa"/>
              <w:bottom w:w="113" w:type="dxa"/>
              <w:right w:w="108" w:type="dxa"/>
            </w:tcMar>
          </w:tcPr>
          <w:p w14:paraId="6166C55F" w14:textId="79E5C991" w:rsidR="006931F1" w:rsidRDefault="00E20BDD" w:rsidP="00275453">
            <w:pPr>
              <w:pStyle w:val="TableBodyCopy"/>
            </w:pPr>
            <w:r w:rsidRPr="00E20BDD">
              <w:t>15 local (SINU) teaching lecturers have tertiary teaching qualifications </w:t>
            </w:r>
          </w:p>
          <w:p w14:paraId="05849796" w14:textId="2904E0CE" w:rsidR="00E20BDD" w:rsidRDefault="002F4DD9" w:rsidP="00275453">
            <w:pPr>
              <w:pStyle w:val="TableBodyCopy"/>
            </w:pPr>
            <w:r>
              <w:t>Construction started at SINU t</w:t>
            </w:r>
            <w:r w:rsidR="00E20BDD" w:rsidRPr="00B01ED5">
              <w:t>eachers</w:t>
            </w:r>
            <w:r w:rsidR="005F3216">
              <w:t>’</w:t>
            </w:r>
            <w:r w:rsidR="00E20BDD" w:rsidRPr="00B01ED5">
              <w:t xml:space="preserve"> lab</w:t>
            </w:r>
          </w:p>
          <w:p w14:paraId="3E09431D" w14:textId="1D6D635F" w:rsidR="008945C8" w:rsidRPr="00850AA0" w:rsidRDefault="00E20BDD" w:rsidP="00275453">
            <w:pPr>
              <w:pStyle w:val="TableBodyCopy"/>
            </w:pPr>
            <w:r w:rsidRPr="00B01ED5">
              <w:t xml:space="preserve">New teaching students at local institutions (SINU) </w:t>
            </w:r>
            <w:r w:rsidR="00DA4BAE">
              <w:t xml:space="preserve">have begun </w:t>
            </w:r>
            <w:r w:rsidRPr="00B01ED5">
              <w:t>using</w:t>
            </w:r>
            <w:r w:rsidRPr="00E20BDD">
              <w:t xml:space="preserve"> improved teaching curriculum and practicu</w:t>
            </w:r>
            <w:r>
              <w:t>m</w:t>
            </w:r>
          </w:p>
        </w:tc>
        <w:tc>
          <w:tcPr>
            <w:tcW w:w="2551" w:type="dxa"/>
            <w:shd w:val="clear" w:color="auto" w:fill="FBEED2" w:themeFill="accent4" w:themeFillTint="33"/>
            <w:tcMar>
              <w:left w:w="108" w:type="dxa"/>
              <w:bottom w:w="113" w:type="dxa"/>
              <w:right w:w="108" w:type="dxa"/>
            </w:tcMar>
          </w:tcPr>
          <w:p w14:paraId="04608362" w14:textId="51543200" w:rsidR="008945C8" w:rsidRPr="00850AA0" w:rsidRDefault="008945C8" w:rsidP="00850AA0">
            <w:pPr>
              <w:pStyle w:val="TableBodyCopy"/>
            </w:pPr>
            <w:r w:rsidRPr="00850AA0">
              <w:t xml:space="preserve">SDG4: Quality </w:t>
            </w:r>
            <w:r w:rsidR="00044E0A">
              <w:t>e</w:t>
            </w:r>
            <w:r w:rsidRPr="00850AA0">
              <w:t>ducation</w:t>
            </w:r>
          </w:p>
        </w:tc>
      </w:tr>
      <w:tr w:rsidR="008945C8" w:rsidRPr="00697717" w14:paraId="297753A8" w14:textId="77777777" w:rsidTr="00275453">
        <w:trPr>
          <w:trHeight w:val="639"/>
        </w:trPr>
        <w:tc>
          <w:tcPr>
            <w:tcW w:w="1706" w:type="dxa"/>
            <w:shd w:val="clear" w:color="auto" w:fill="FBEED2" w:themeFill="accent4" w:themeFillTint="33"/>
            <w:tcMar>
              <w:left w:w="108" w:type="dxa"/>
              <w:bottom w:w="113" w:type="dxa"/>
              <w:right w:w="108" w:type="dxa"/>
            </w:tcMar>
          </w:tcPr>
          <w:p w14:paraId="0F19D9AE" w14:textId="21305B3E" w:rsidR="008945C8" w:rsidRPr="00850AA0" w:rsidRDefault="008945C8" w:rsidP="00850AA0">
            <w:pPr>
              <w:pStyle w:val="TableBodyCopybold"/>
            </w:pPr>
            <w:r w:rsidRPr="00706CA6">
              <w:t>Outcome 2.1</w:t>
            </w:r>
          </w:p>
        </w:tc>
        <w:tc>
          <w:tcPr>
            <w:tcW w:w="2551" w:type="dxa"/>
            <w:shd w:val="clear" w:color="auto" w:fill="FBEED2" w:themeFill="accent4" w:themeFillTint="33"/>
            <w:tcMar>
              <w:left w:w="108" w:type="dxa"/>
              <w:bottom w:w="113" w:type="dxa"/>
              <w:right w:w="108" w:type="dxa"/>
            </w:tcMar>
          </w:tcPr>
          <w:p w14:paraId="6DC0B1DD" w14:textId="3661C087" w:rsidR="008945C8" w:rsidRPr="00850AA0" w:rsidRDefault="008945C8" w:rsidP="00850AA0">
            <w:pPr>
              <w:pStyle w:val="TableBodyCopy"/>
            </w:pPr>
            <w:r w:rsidRPr="00850AA0">
              <w:t>2.1.6 Number of community partnership grants</w:t>
            </w:r>
          </w:p>
        </w:tc>
        <w:tc>
          <w:tcPr>
            <w:tcW w:w="2551" w:type="dxa"/>
            <w:shd w:val="clear" w:color="auto" w:fill="FBEED2" w:themeFill="accent4" w:themeFillTint="33"/>
            <w:tcMar>
              <w:left w:w="108" w:type="dxa"/>
              <w:bottom w:w="113" w:type="dxa"/>
              <w:right w:w="108" w:type="dxa"/>
            </w:tcMar>
          </w:tcPr>
          <w:p w14:paraId="14745A55" w14:textId="02A4E821" w:rsidR="008945C8" w:rsidRPr="00850AA0" w:rsidRDefault="620CC6FF" w:rsidP="00850AA0">
            <w:pPr>
              <w:pStyle w:val="TableBodyCopy"/>
            </w:pPr>
            <w:r>
              <w:t>100</w:t>
            </w:r>
            <w:r w:rsidR="48134504">
              <w:t> </w:t>
            </w:r>
            <w:r>
              <w:t xml:space="preserve">grants funded (at least 50 in </w:t>
            </w:r>
            <w:r w:rsidR="399083D7">
              <w:t>each</w:t>
            </w:r>
            <w:r>
              <w:t xml:space="preserve"> round)</w:t>
            </w:r>
          </w:p>
        </w:tc>
        <w:tc>
          <w:tcPr>
            <w:tcW w:w="2551" w:type="dxa"/>
            <w:shd w:val="clear" w:color="auto" w:fill="FBEED2" w:themeFill="accent4" w:themeFillTint="33"/>
            <w:tcMar>
              <w:left w:w="108" w:type="dxa"/>
              <w:bottom w:w="113" w:type="dxa"/>
              <w:right w:w="108" w:type="dxa"/>
            </w:tcMar>
          </w:tcPr>
          <w:p w14:paraId="4EBA29D9" w14:textId="135A024A" w:rsidR="008945C8" w:rsidRPr="00850AA0" w:rsidRDefault="008945C8" w:rsidP="00850AA0">
            <w:pPr>
              <w:pStyle w:val="TableBodyCopy"/>
            </w:pPr>
            <w:r w:rsidRPr="00850AA0">
              <w:t>100</w:t>
            </w:r>
            <w:r w:rsidR="00352002">
              <w:t> </w:t>
            </w:r>
            <w:r w:rsidRPr="00850AA0">
              <w:t xml:space="preserve">grants funded (at least 50 in </w:t>
            </w:r>
            <w:r w:rsidR="00787D25">
              <w:t>each</w:t>
            </w:r>
            <w:r w:rsidRPr="00850AA0">
              <w:t xml:space="preserve"> round)</w:t>
            </w:r>
          </w:p>
        </w:tc>
        <w:tc>
          <w:tcPr>
            <w:tcW w:w="2551" w:type="dxa"/>
            <w:shd w:val="clear" w:color="auto" w:fill="FBEED2" w:themeFill="accent4" w:themeFillTint="33"/>
            <w:tcMar>
              <w:left w:w="108" w:type="dxa"/>
              <w:bottom w:w="113" w:type="dxa"/>
              <w:right w:w="108" w:type="dxa"/>
            </w:tcMar>
          </w:tcPr>
          <w:p w14:paraId="56E441CC" w14:textId="3F12A0F6" w:rsidR="008945C8" w:rsidRPr="00850AA0" w:rsidRDefault="008945C8" w:rsidP="00850AA0">
            <w:pPr>
              <w:pStyle w:val="TableBodyCopy"/>
            </w:pPr>
            <w:r w:rsidRPr="00850AA0">
              <w:t>100</w:t>
            </w:r>
            <w:r w:rsidR="00352002">
              <w:t> </w:t>
            </w:r>
            <w:r w:rsidRPr="00850AA0">
              <w:t xml:space="preserve">grants funded (at least 50 in </w:t>
            </w:r>
            <w:r w:rsidR="00787D25">
              <w:t>each</w:t>
            </w:r>
            <w:r w:rsidRPr="00850AA0">
              <w:t xml:space="preserve"> round)</w:t>
            </w:r>
          </w:p>
        </w:tc>
        <w:tc>
          <w:tcPr>
            <w:tcW w:w="2551" w:type="dxa"/>
            <w:shd w:val="clear" w:color="auto" w:fill="FBEED2" w:themeFill="accent4" w:themeFillTint="33"/>
            <w:tcMar>
              <w:left w:w="108" w:type="dxa"/>
              <w:bottom w:w="113" w:type="dxa"/>
              <w:right w:w="108" w:type="dxa"/>
            </w:tcMar>
          </w:tcPr>
          <w:p w14:paraId="0DBD1265" w14:textId="5542F5B1" w:rsidR="008945C8" w:rsidRPr="00850AA0" w:rsidRDefault="008945C8" w:rsidP="00850AA0">
            <w:pPr>
              <w:pStyle w:val="TableBodyCopy"/>
            </w:pPr>
            <w:r w:rsidRPr="00850AA0">
              <w:t xml:space="preserve">SDG11: Sustainable </w:t>
            </w:r>
            <w:r w:rsidR="00001B91">
              <w:t>c</w:t>
            </w:r>
            <w:r w:rsidRPr="00850AA0">
              <w:t xml:space="preserve">ities and </w:t>
            </w:r>
            <w:r w:rsidR="00001B91">
              <w:t>c</w:t>
            </w:r>
            <w:r w:rsidRPr="00850AA0">
              <w:t>ommunities</w:t>
            </w:r>
          </w:p>
        </w:tc>
      </w:tr>
      <w:tr w:rsidR="00AD1415" w:rsidRPr="00697717" w14:paraId="7D6E29A1" w14:textId="77777777" w:rsidTr="00275453">
        <w:trPr>
          <w:cantSplit/>
          <w:trHeight w:val="690"/>
        </w:trPr>
        <w:tc>
          <w:tcPr>
            <w:tcW w:w="1706" w:type="dxa"/>
            <w:shd w:val="clear" w:color="auto" w:fill="FBEED2" w:themeFill="accent4" w:themeFillTint="33"/>
            <w:tcMar>
              <w:left w:w="108" w:type="dxa"/>
              <w:bottom w:w="113" w:type="dxa"/>
              <w:right w:w="108" w:type="dxa"/>
            </w:tcMar>
          </w:tcPr>
          <w:p w14:paraId="3B9C18A8" w14:textId="77777777" w:rsidR="002865F2" w:rsidRPr="00850AA0" w:rsidRDefault="002865F2" w:rsidP="00850AA0">
            <w:pPr>
              <w:pStyle w:val="TableBodyCopybold"/>
            </w:pPr>
            <w:r w:rsidRPr="00850AA0">
              <w:t>Outcome 2.2</w:t>
            </w:r>
          </w:p>
          <w:p w14:paraId="01C51065" w14:textId="485BBAAD" w:rsidR="00174C9F" w:rsidRPr="00850AA0" w:rsidRDefault="002865F2" w:rsidP="00850AA0">
            <w:pPr>
              <w:pStyle w:val="TableBodyCopy"/>
            </w:pPr>
            <w:r w:rsidRPr="00850AA0">
              <w:rPr>
                <w:rStyle w:val="normaltextrun"/>
              </w:rPr>
              <w:t xml:space="preserve">Gender equality and </w:t>
            </w:r>
            <w:r w:rsidR="00C742D6" w:rsidRPr="00850AA0">
              <w:rPr>
                <w:rStyle w:val="normaltextrun"/>
              </w:rPr>
              <w:t>d</w:t>
            </w:r>
            <w:r w:rsidRPr="00850AA0">
              <w:rPr>
                <w:rStyle w:val="normaltextrun"/>
              </w:rPr>
              <w:t>isability equity:</w:t>
            </w:r>
            <w:r w:rsidR="00697717" w:rsidRPr="00850AA0">
              <w:rPr>
                <w:rStyle w:val="normaltextrun"/>
              </w:rPr>
              <w:t xml:space="preserve"> </w:t>
            </w:r>
            <w:r w:rsidRPr="00850AA0">
              <w:rPr>
                <w:rStyle w:val="normaltextrun"/>
              </w:rPr>
              <w:t xml:space="preserve">More women, girls and </w:t>
            </w:r>
            <w:r w:rsidR="0038332C">
              <w:rPr>
                <w:rStyle w:val="normaltextrun"/>
              </w:rPr>
              <w:t xml:space="preserve">people </w:t>
            </w:r>
            <w:r w:rsidRPr="00850AA0">
              <w:rPr>
                <w:rStyle w:val="normaltextrun"/>
              </w:rPr>
              <w:t>with disabilit</w:t>
            </w:r>
            <w:r w:rsidR="0038332C">
              <w:rPr>
                <w:rStyle w:val="normaltextrun"/>
              </w:rPr>
              <w:t>y</w:t>
            </w:r>
            <w:r w:rsidRPr="00850AA0">
              <w:rPr>
                <w:rStyle w:val="normaltextrun"/>
              </w:rPr>
              <w:t xml:space="preserve"> are safer, participate economically and are involved in decision-making</w:t>
            </w:r>
          </w:p>
        </w:tc>
        <w:tc>
          <w:tcPr>
            <w:tcW w:w="2551" w:type="dxa"/>
            <w:shd w:val="clear" w:color="auto" w:fill="FBEED2" w:themeFill="accent4" w:themeFillTint="33"/>
            <w:tcMar>
              <w:left w:w="108" w:type="dxa"/>
              <w:bottom w:w="113" w:type="dxa"/>
              <w:right w:w="108" w:type="dxa"/>
            </w:tcMar>
          </w:tcPr>
          <w:p w14:paraId="00129D7B" w14:textId="03B8BF5D" w:rsidR="00174C9F" w:rsidRPr="00850AA0" w:rsidRDefault="52AD935B" w:rsidP="00850AA0">
            <w:pPr>
              <w:pStyle w:val="TableBodyCopy"/>
            </w:pPr>
            <w:r w:rsidRPr="00850AA0">
              <w:t xml:space="preserve">2.2.1 </w:t>
            </w:r>
            <w:r w:rsidR="774A4578" w:rsidRPr="00850AA0">
              <w:t xml:space="preserve">Bilateral </w:t>
            </w:r>
            <w:r w:rsidR="007F6CCE">
              <w:t>Official Development Assistance</w:t>
            </w:r>
            <w:r w:rsidRPr="00850AA0">
              <w:t xml:space="preserve"> funding channelled to Women’s Equality </w:t>
            </w:r>
            <w:r w:rsidR="00A31EE3">
              <w:t>O</w:t>
            </w:r>
            <w:r w:rsidRPr="00850AA0">
              <w:t>rganisations and Institutions</w:t>
            </w:r>
            <w:r w:rsidR="00A31EE3">
              <w:t xml:space="preserve"> (Tier 2)</w:t>
            </w:r>
          </w:p>
        </w:tc>
        <w:tc>
          <w:tcPr>
            <w:tcW w:w="2551" w:type="dxa"/>
            <w:shd w:val="clear" w:color="auto" w:fill="FBEED2" w:themeFill="accent4" w:themeFillTint="33"/>
            <w:tcMar>
              <w:left w:w="108" w:type="dxa"/>
              <w:bottom w:w="113" w:type="dxa"/>
              <w:right w:w="108" w:type="dxa"/>
            </w:tcMar>
          </w:tcPr>
          <w:p w14:paraId="6530204C" w14:textId="7226EC96" w:rsidR="00174C9F" w:rsidRPr="00850AA0" w:rsidRDefault="326B6347" w:rsidP="00850AA0">
            <w:pPr>
              <w:pStyle w:val="TableBodyCopy"/>
            </w:pPr>
            <w:r w:rsidRPr="00850AA0">
              <w:t>AUD3.8</w:t>
            </w:r>
            <w:r w:rsidR="00352002">
              <w:t> </w:t>
            </w:r>
            <w:r w:rsidRPr="00850AA0">
              <w:t>million</w:t>
            </w:r>
          </w:p>
        </w:tc>
        <w:tc>
          <w:tcPr>
            <w:tcW w:w="2551" w:type="dxa"/>
            <w:shd w:val="clear" w:color="auto" w:fill="FBEED2" w:themeFill="accent4" w:themeFillTint="33"/>
            <w:tcMar>
              <w:left w:w="108" w:type="dxa"/>
              <w:bottom w:w="113" w:type="dxa"/>
              <w:right w:w="108" w:type="dxa"/>
            </w:tcMar>
          </w:tcPr>
          <w:p w14:paraId="0253DF52" w14:textId="467D440A" w:rsidR="00174C9F" w:rsidRPr="00850AA0" w:rsidRDefault="3863F913" w:rsidP="00850AA0">
            <w:pPr>
              <w:pStyle w:val="TableBodyCopy"/>
            </w:pPr>
            <w:r w:rsidRPr="00850AA0">
              <w:t>AUD3.8</w:t>
            </w:r>
            <w:r w:rsidR="00352002">
              <w:t> </w:t>
            </w:r>
            <w:r w:rsidRPr="00850AA0">
              <w:t>million</w:t>
            </w:r>
          </w:p>
        </w:tc>
        <w:tc>
          <w:tcPr>
            <w:tcW w:w="2551" w:type="dxa"/>
            <w:shd w:val="clear" w:color="auto" w:fill="FBEED2" w:themeFill="accent4" w:themeFillTint="33"/>
            <w:tcMar>
              <w:left w:w="108" w:type="dxa"/>
              <w:bottom w:w="113" w:type="dxa"/>
              <w:right w:w="108" w:type="dxa"/>
            </w:tcMar>
          </w:tcPr>
          <w:p w14:paraId="66AAFBEB" w14:textId="01C4EC69" w:rsidR="00174C9F" w:rsidRPr="00850AA0" w:rsidRDefault="073C7FBC" w:rsidP="00850AA0">
            <w:pPr>
              <w:pStyle w:val="TableBodyCopy"/>
            </w:pPr>
            <w:r w:rsidRPr="00850AA0">
              <w:t>AUD3.8</w:t>
            </w:r>
            <w:r w:rsidR="00352002">
              <w:t> </w:t>
            </w:r>
            <w:r w:rsidRPr="00850AA0">
              <w:t>million</w:t>
            </w:r>
          </w:p>
        </w:tc>
        <w:tc>
          <w:tcPr>
            <w:tcW w:w="2551" w:type="dxa"/>
            <w:shd w:val="clear" w:color="auto" w:fill="FBEED2" w:themeFill="accent4" w:themeFillTint="33"/>
            <w:tcMar>
              <w:left w:w="108" w:type="dxa"/>
              <w:bottom w:w="113" w:type="dxa"/>
              <w:right w:w="108" w:type="dxa"/>
            </w:tcMar>
          </w:tcPr>
          <w:p w14:paraId="4EFA9A1D" w14:textId="77777777" w:rsidR="007F231A" w:rsidRDefault="00174C9F" w:rsidP="003B5664">
            <w:pPr>
              <w:pStyle w:val="TableBodyCopy"/>
            </w:pPr>
            <w:r w:rsidRPr="00850AA0">
              <w:t xml:space="preserve">SDG5: Gender </w:t>
            </w:r>
            <w:r w:rsidR="00001B91">
              <w:t>e</w:t>
            </w:r>
            <w:r w:rsidRPr="00850AA0">
              <w:t>quality</w:t>
            </w:r>
          </w:p>
          <w:p w14:paraId="5DAE654E" w14:textId="004AC1D8" w:rsidR="007F231A" w:rsidRDefault="00174C9F" w:rsidP="003B5664">
            <w:pPr>
              <w:pStyle w:val="TableBodyCopy"/>
            </w:pPr>
            <w:r w:rsidRPr="00850AA0">
              <w:t>SDG10</w:t>
            </w:r>
            <w:r w:rsidR="003B5664">
              <w:t xml:space="preserve">, </w:t>
            </w:r>
            <w:r w:rsidRPr="00850AA0">
              <w:t>SDG11</w:t>
            </w:r>
          </w:p>
          <w:p w14:paraId="078B1340" w14:textId="14C0918A" w:rsidR="00174C9F" w:rsidRPr="00850AA0" w:rsidRDefault="00174C9F" w:rsidP="003B5664">
            <w:pPr>
              <w:pStyle w:val="TableBodyCopy"/>
            </w:pPr>
            <w:r w:rsidRPr="00850AA0">
              <w:t xml:space="preserve">SDG16: Peace, justice and </w:t>
            </w:r>
            <w:r w:rsidR="00001B91">
              <w:t>s</w:t>
            </w:r>
            <w:r w:rsidRPr="00850AA0">
              <w:t xml:space="preserve">trong </w:t>
            </w:r>
            <w:r w:rsidR="008D5839">
              <w:t>i</w:t>
            </w:r>
            <w:r w:rsidRPr="00850AA0">
              <w:t>nstitutions</w:t>
            </w:r>
          </w:p>
        </w:tc>
      </w:tr>
      <w:tr w:rsidR="0054560F" w:rsidRPr="00697717" w14:paraId="0ED5CD44" w14:textId="77777777" w:rsidTr="00275453">
        <w:trPr>
          <w:trHeight w:val="690"/>
        </w:trPr>
        <w:tc>
          <w:tcPr>
            <w:tcW w:w="1706" w:type="dxa"/>
            <w:shd w:val="clear" w:color="auto" w:fill="FBEED2" w:themeFill="accent4" w:themeFillTint="33"/>
            <w:tcMar>
              <w:left w:w="108" w:type="dxa"/>
              <w:bottom w:w="113" w:type="dxa"/>
              <w:right w:w="108" w:type="dxa"/>
            </w:tcMar>
          </w:tcPr>
          <w:p w14:paraId="06400C37" w14:textId="217E7515" w:rsidR="0054560F" w:rsidRPr="00850AA0" w:rsidRDefault="0054560F" w:rsidP="00850AA0">
            <w:pPr>
              <w:pStyle w:val="TableBodyCopy"/>
            </w:pPr>
            <w:r w:rsidRPr="00216F23">
              <w:rPr>
                <w:b/>
                <w:bCs/>
              </w:rPr>
              <w:t>Outcome 2.2</w:t>
            </w:r>
          </w:p>
        </w:tc>
        <w:tc>
          <w:tcPr>
            <w:tcW w:w="2551" w:type="dxa"/>
            <w:shd w:val="clear" w:color="auto" w:fill="FBEED2" w:themeFill="accent4" w:themeFillTint="33"/>
            <w:tcMar>
              <w:left w:w="108" w:type="dxa"/>
              <w:bottom w:w="113" w:type="dxa"/>
              <w:right w:w="108" w:type="dxa"/>
            </w:tcMar>
          </w:tcPr>
          <w:p w14:paraId="62213DDF" w14:textId="56E829B1" w:rsidR="0054560F" w:rsidRPr="00850AA0" w:rsidRDefault="0054560F" w:rsidP="00EF4CA3">
            <w:pPr>
              <w:pStyle w:val="TableBodyCopy"/>
            </w:pPr>
            <w:r w:rsidRPr="00850AA0">
              <w:t xml:space="preserve">2.2.2 Number of women and girls who are respected, listened to and influencing decision-making at all levels </w:t>
            </w:r>
          </w:p>
        </w:tc>
        <w:tc>
          <w:tcPr>
            <w:tcW w:w="2551" w:type="dxa"/>
            <w:shd w:val="clear" w:color="auto" w:fill="FBEED2" w:themeFill="accent4" w:themeFillTint="33"/>
            <w:tcMar>
              <w:left w:w="108" w:type="dxa"/>
              <w:bottom w:w="113" w:type="dxa"/>
              <w:right w:w="108" w:type="dxa"/>
            </w:tcMar>
          </w:tcPr>
          <w:p w14:paraId="304F6E14" w14:textId="7AEB066A" w:rsidR="0054560F" w:rsidRPr="00EF4CA3" w:rsidRDefault="0054560F" w:rsidP="00EF4CA3">
            <w:pPr>
              <w:pStyle w:val="TableBodyCopy"/>
            </w:pPr>
            <w:r w:rsidRPr="00EF4CA3">
              <w:t>2</w:t>
            </w:r>
            <w:r w:rsidR="00352002">
              <w:t>,</w:t>
            </w:r>
            <w:r w:rsidRPr="00EF4CA3">
              <w:t>200</w:t>
            </w:r>
          </w:p>
        </w:tc>
        <w:tc>
          <w:tcPr>
            <w:tcW w:w="2551" w:type="dxa"/>
            <w:shd w:val="clear" w:color="auto" w:fill="FBEED2" w:themeFill="accent4" w:themeFillTint="33"/>
            <w:tcMar>
              <w:left w:w="108" w:type="dxa"/>
              <w:bottom w:w="113" w:type="dxa"/>
              <w:right w:w="108" w:type="dxa"/>
            </w:tcMar>
          </w:tcPr>
          <w:p w14:paraId="723EB57A" w14:textId="6C405900" w:rsidR="0054560F" w:rsidRPr="00EF4CA3" w:rsidRDefault="0054560F" w:rsidP="00EF4CA3">
            <w:pPr>
              <w:pStyle w:val="TableBodyCopy"/>
            </w:pPr>
            <w:r w:rsidRPr="00EF4CA3">
              <w:t>2</w:t>
            </w:r>
            <w:r w:rsidR="00352002">
              <w:t>,</w:t>
            </w:r>
            <w:r w:rsidRPr="00EF4CA3">
              <w:t>300</w:t>
            </w:r>
          </w:p>
        </w:tc>
        <w:tc>
          <w:tcPr>
            <w:tcW w:w="2551" w:type="dxa"/>
            <w:shd w:val="clear" w:color="auto" w:fill="FBEED2" w:themeFill="accent4" w:themeFillTint="33"/>
            <w:tcMar>
              <w:left w:w="108" w:type="dxa"/>
              <w:bottom w:w="113" w:type="dxa"/>
              <w:right w:w="108" w:type="dxa"/>
            </w:tcMar>
          </w:tcPr>
          <w:p w14:paraId="6AC4FCB5" w14:textId="59A1CCFA" w:rsidR="0054560F" w:rsidRPr="00EF4CA3" w:rsidRDefault="0054560F" w:rsidP="00EF4CA3">
            <w:pPr>
              <w:pStyle w:val="TableBodyCopy"/>
            </w:pPr>
            <w:r w:rsidRPr="00EF4CA3">
              <w:t>2</w:t>
            </w:r>
            <w:r w:rsidR="00352002">
              <w:t>,</w:t>
            </w:r>
            <w:r w:rsidRPr="00EF4CA3">
              <w:t>400</w:t>
            </w:r>
          </w:p>
        </w:tc>
        <w:tc>
          <w:tcPr>
            <w:tcW w:w="2551" w:type="dxa"/>
            <w:shd w:val="clear" w:color="auto" w:fill="FBEED2" w:themeFill="accent4" w:themeFillTint="33"/>
            <w:tcMar>
              <w:left w:w="108" w:type="dxa"/>
              <w:bottom w:w="113" w:type="dxa"/>
              <w:right w:w="108" w:type="dxa"/>
            </w:tcMar>
          </w:tcPr>
          <w:p w14:paraId="169C8CE4" w14:textId="04A1F5B2" w:rsidR="0054560F" w:rsidRPr="00EF4CA3" w:rsidRDefault="0054560F" w:rsidP="00EF4CA3">
            <w:pPr>
              <w:pStyle w:val="TableBodyCopy"/>
            </w:pPr>
            <w:r w:rsidRPr="00EF4CA3">
              <w:t>SDG5</w:t>
            </w:r>
            <w:r w:rsidR="00001B91">
              <w:t xml:space="preserve">, </w:t>
            </w:r>
            <w:r w:rsidRPr="00EF4CA3">
              <w:t>SDG10</w:t>
            </w:r>
            <w:r w:rsidR="00001B91">
              <w:t xml:space="preserve">, </w:t>
            </w:r>
            <w:r w:rsidRPr="00EF4CA3">
              <w:t>SDG11</w:t>
            </w:r>
            <w:r w:rsidR="00001B91">
              <w:t xml:space="preserve">, </w:t>
            </w:r>
            <w:r w:rsidRPr="00EF4CA3">
              <w:t>SDG16</w:t>
            </w:r>
          </w:p>
        </w:tc>
      </w:tr>
      <w:tr w:rsidR="0054560F" w:rsidRPr="00697717" w14:paraId="6293DA54" w14:textId="77777777" w:rsidTr="00275453">
        <w:trPr>
          <w:trHeight w:val="690"/>
        </w:trPr>
        <w:tc>
          <w:tcPr>
            <w:tcW w:w="1706" w:type="dxa"/>
            <w:shd w:val="clear" w:color="auto" w:fill="FBEED2" w:themeFill="accent4" w:themeFillTint="33"/>
            <w:tcMar>
              <w:left w:w="108" w:type="dxa"/>
              <w:bottom w:w="113" w:type="dxa"/>
              <w:right w:w="108" w:type="dxa"/>
            </w:tcMar>
          </w:tcPr>
          <w:p w14:paraId="3B30534A" w14:textId="0B5E5B75" w:rsidR="0054560F" w:rsidRPr="00EF4CA3" w:rsidRDefault="0054560F" w:rsidP="00EF4CA3">
            <w:pPr>
              <w:pStyle w:val="TableBodyCopy"/>
            </w:pPr>
            <w:r w:rsidRPr="00216F23">
              <w:rPr>
                <w:b/>
                <w:bCs/>
              </w:rPr>
              <w:lastRenderedPageBreak/>
              <w:t>Outcome 2.2</w:t>
            </w:r>
          </w:p>
        </w:tc>
        <w:tc>
          <w:tcPr>
            <w:tcW w:w="2551" w:type="dxa"/>
            <w:shd w:val="clear" w:color="auto" w:fill="FBEED2" w:themeFill="accent4" w:themeFillTint="33"/>
            <w:tcMar>
              <w:left w:w="108" w:type="dxa"/>
              <w:bottom w:w="113" w:type="dxa"/>
              <w:right w:w="108" w:type="dxa"/>
            </w:tcMar>
          </w:tcPr>
          <w:p w14:paraId="47F81074" w14:textId="6953E1D9" w:rsidR="0054560F" w:rsidRPr="00EF4CA3" w:rsidRDefault="209E08C2" w:rsidP="00EF4CA3">
            <w:pPr>
              <w:pStyle w:val="TableBodyCopy"/>
            </w:pPr>
            <w:r>
              <w:t xml:space="preserve">2.2.3 Number of services provided to victim/survivors of </w:t>
            </w:r>
            <w:r w:rsidR="55F0C90F">
              <w:t xml:space="preserve">sexual and </w:t>
            </w:r>
            <w:r>
              <w:t>gender-based violence</w:t>
            </w:r>
            <w:r w:rsidR="55F0C90F">
              <w:t xml:space="preserve"> (Tier 2)</w:t>
            </w:r>
          </w:p>
        </w:tc>
        <w:tc>
          <w:tcPr>
            <w:tcW w:w="2551" w:type="dxa"/>
            <w:shd w:val="clear" w:color="auto" w:fill="FBEED2" w:themeFill="accent4" w:themeFillTint="33"/>
            <w:tcMar>
              <w:left w:w="108" w:type="dxa"/>
              <w:bottom w:w="113" w:type="dxa"/>
              <w:right w:w="108" w:type="dxa"/>
            </w:tcMar>
          </w:tcPr>
          <w:p w14:paraId="129C126D" w14:textId="186D012D" w:rsidR="0054560F" w:rsidRPr="00EF4CA3" w:rsidRDefault="0054560F" w:rsidP="00EF4CA3">
            <w:pPr>
              <w:pStyle w:val="TableBodyCopy"/>
            </w:pPr>
            <w:r w:rsidRPr="00EF4CA3">
              <w:t>800</w:t>
            </w:r>
            <w:r w:rsidR="00352002">
              <w:t> w</w:t>
            </w:r>
            <w:r w:rsidRPr="00EF4CA3">
              <w:t>omen and children</w:t>
            </w:r>
          </w:p>
        </w:tc>
        <w:tc>
          <w:tcPr>
            <w:tcW w:w="2551" w:type="dxa"/>
            <w:shd w:val="clear" w:color="auto" w:fill="FBEED2" w:themeFill="accent4" w:themeFillTint="33"/>
            <w:tcMar>
              <w:left w:w="108" w:type="dxa"/>
              <w:bottom w:w="113" w:type="dxa"/>
              <w:right w:w="108" w:type="dxa"/>
            </w:tcMar>
          </w:tcPr>
          <w:p w14:paraId="087BA2BD" w14:textId="439FCAA2" w:rsidR="0054560F" w:rsidRPr="00EF4CA3" w:rsidRDefault="0054560F" w:rsidP="00EF4CA3">
            <w:pPr>
              <w:pStyle w:val="TableBodyCopy"/>
            </w:pPr>
            <w:r w:rsidRPr="00EF4CA3">
              <w:t>900</w:t>
            </w:r>
            <w:r w:rsidR="00352002">
              <w:t> </w:t>
            </w:r>
            <w:r w:rsidRPr="00EF4CA3">
              <w:t>women and children</w:t>
            </w:r>
          </w:p>
        </w:tc>
        <w:tc>
          <w:tcPr>
            <w:tcW w:w="2551" w:type="dxa"/>
            <w:shd w:val="clear" w:color="auto" w:fill="FBEED2" w:themeFill="accent4" w:themeFillTint="33"/>
            <w:tcMar>
              <w:left w:w="108" w:type="dxa"/>
              <w:bottom w:w="113" w:type="dxa"/>
              <w:right w:w="108" w:type="dxa"/>
            </w:tcMar>
          </w:tcPr>
          <w:p w14:paraId="0A1ED68C" w14:textId="4E7576F1" w:rsidR="0054560F" w:rsidRPr="00EF4CA3" w:rsidRDefault="0054560F" w:rsidP="00EF4CA3">
            <w:pPr>
              <w:pStyle w:val="TableBodyCopy"/>
            </w:pPr>
            <w:r w:rsidRPr="00EF4CA3">
              <w:t>1</w:t>
            </w:r>
            <w:r w:rsidR="00352002">
              <w:t>,</w:t>
            </w:r>
            <w:r w:rsidRPr="00EF4CA3">
              <w:t>000</w:t>
            </w:r>
            <w:r w:rsidR="00352002">
              <w:t> </w:t>
            </w:r>
            <w:r w:rsidRPr="00EF4CA3">
              <w:t>women and children</w:t>
            </w:r>
          </w:p>
        </w:tc>
        <w:tc>
          <w:tcPr>
            <w:tcW w:w="2551" w:type="dxa"/>
            <w:shd w:val="clear" w:color="auto" w:fill="FBEED2" w:themeFill="accent4" w:themeFillTint="33"/>
            <w:tcMar>
              <w:left w:w="108" w:type="dxa"/>
              <w:bottom w:w="113" w:type="dxa"/>
              <w:right w:w="108" w:type="dxa"/>
            </w:tcMar>
          </w:tcPr>
          <w:p w14:paraId="59746D59" w14:textId="1B630FC3" w:rsidR="0054560F" w:rsidRPr="00EF4CA3" w:rsidRDefault="0054560F" w:rsidP="00EF4CA3">
            <w:pPr>
              <w:pStyle w:val="TableBodyCopy"/>
            </w:pPr>
            <w:r w:rsidRPr="00EF4CA3">
              <w:t>SDG5</w:t>
            </w:r>
            <w:r w:rsidR="00001B91">
              <w:t xml:space="preserve">, </w:t>
            </w:r>
            <w:r w:rsidRPr="00EF4CA3">
              <w:t>SDG16</w:t>
            </w:r>
          </w:p>
        </w:tc>
      </w:tr>
      <w:tr w:rsidR="0054560F" w:rsidRPr="00697717" w14:paraId="61E5C439" w14:textId="77777777" w:rsidTr="00275453">
        <w:trPr>
          <w:cantSplit/>
          <w:trHeight w:val="690"/>
        </w:trPr>
        <w:tc>
          <w:tcPr>
            <w:tcW w:w="1706" w:type="dxa"/>
            <w:shd w:val="clear" w:color="auto" w:fill="FBEED2" w:themeFill="accent4" w:themeFillTint="33"/>
            <w:tcMar>
              <w:left w:w="108" w:type="dxa"/>
              <w:bottom w:w="113" w:type="dxa"/>
              <w:right w:w="108" w:type="dxa"/>
            </w:tcMar>
          </w:tcPr>
          <w:p w14:paraId="5D2BB10A" w14:textId="3DE74D27" w:rsidR="0054560F" w:rsidRPr="00EF4CA3" w:rsidRDefault="0054560F" w:rsidP="00EF4CA3">
            <w:pPr>
              <w:pStyle w:val="TableBodyCopy"/>
            </w:pPr>
            <w:r w:rsidRPr="00216F23">
              <w:rPr>
                <w:b/>
                <w:bCs/>
              </w:rPr>
              <w:t>Outcome 2.2</w:t>
            </w:r>
          </w:p>
        </w:tc>
        <w:tc>
          <w:tcPr>
            <w:tcW w:w="2551" w:type="dxa"/>
            <w:shd w:val="clear" w:color="auto" w:fill="FBEED2" w:themeFill="accent4" w:themeFillTint="33"/>
            <w:tcMar>
              <w:left w:w="108" w:type="dxa"/>
              <w:bottom w:w="113" w:type="dxa"/>
              <w:right w:w="108" w:type="dxa"/>
            </w:tcMar>
          </w:tcPr>
          <w:p w14:paraId="7033B561" w14:textId="58A3B318" w:rsidR="0054560F" w:rsidRPr="00EF4CA3" w:rsidRDefault="0054560F" w:rsidP="00EF4CA3">
            <w:pPr>
              <w:pStyle w:val="TableBodyCopy"/>
            </w:pPr>
            <w:r w:rsidRPr="00EF4CA3">
              <w:t>2.2.4 Number of organisations of persons with disabilities (regional/national/state/</w:t>
            </w:r>
            <w:r w:rsidR="001A0CB3">
              <w:t>‌</w:t>
            </w:r>
            <w:r w:rsidRPr="00EF4CA3">
              <w:t>local) receiving capacity building support</w:t>
            </w:r>
            <w:r w:rsidR="00417F3E">
              <w:t xml:space="preserve"> (Tier 2)</w:t>
            </w:r>
          </w:p>
        </w:tc>
        <w:tc>
          <w:tcPr>
            <w:tcW w:w="2551" w:type="dxa"/>
            <w:shd w:val="clear" w:color="auto" w:fill="FBEED2" w:themeFill="accent4" w:themeFillTint="33"/>
            <w:tcMar>
              <w:left w:w="108" w:type="dxa"/>
              <w:bottom w:w="113" w:type="dxa"/>
              <w:right w:w="108" w:type="dxa"/>
            </w:tcMar>
          </w:tcPr>
          <w:p w14:paraId="0AC247E6" w14:textId="01310393" w:rsidR="0054560F" w:rsidRPr="00EF4CA3" w:rsidRDefault="0054560F" w:rsidP="00EF4CA3">
            <w:pPr>
              <w:pStyle w:val="TableBodyCopy"/>
            </w:pPr>
            <w:r w:rsidRPr="00EF4CA3">
              <w:t>1</w:t>
            </w:r>
            <w:r w:rsidR="00522F38">
              <w:t> </w:t>
            </w:r>
            <w:r w:rsidRPr="00EF4CA3">
              <w:t>organisation</w:t>
            </w:r>
          </w:p>
        </w:tc>
        <w:tc>
          <w:tcPr>
            <w:tcW w:w="2551" w:type="dxa"/>
            <w:shd w:val="clear" w:color="auto" w:fill="FBEED2" w:themeFill="accent4" w:themeFillTint="33"/>
            <w:tcMar>
              <w:left w:w="108" w:type="dxa"/>
              <w:bottom w:w="113" w:type="dxa"/>
              <w:right w:w="108" w:type="dxa"/>
            </w:tcMar>
          </w:tcPr>
          <w:p w14:paraId="5A4CE731" w14:textId="179936B0" w:rsidR="0054560F" w:rsidRPr="00EF4CA3" w:rsidRDefault="0054560F" w:rsidP="00EF4CA3">
            <w:pPr>
              <w:pStyle w:val="TableBodyCopy"/>
            </w:pPr>
            <w:r w:rsidRPr="00EF4CA3">
              <w:t>2</w:t>
            </w:r>
            <w:r w:rsidR="00352002">
              <w:t> </w:t>
            </w:r>
            <w:r w:rsidRPr="00EF4CA3">
              <w:t>organisations</w:t>
            </w:r>
          </w:p>
        </w:tc>
        <w:tc>
          <w:tcPr>
            <w:tcW w:w="2551" w:type="dxa"/>
            <w:shd w:val="clear" w:color="auto" w:fill="FBEED2" w:themeFill="accent4" w:themeFillTint="33"/>
            <w:tcMar>
              <w:left w:w="108" w:type="dxa"/>
              <w:bottom w:w="113" w:type="dxa"/>
              <w:right w:w="108" w:type="dxa"/>
            </w:tcMar>
          </w:tcPr>
          <w:p w14:paraId="534E3C2F" w14:textId="6E5348B6" w:rsidR="0054560F" w:rsidRPr="00EF4CA3" w:rsidRDefault="0054560F" w:rsidP="00EF4CA3">
            <w:pPr>
              <w:pStyle w:val="TableBodyCopy"/>
            </w:pPr>
            <w:r w:rsidRPr="00EF4CA3">
              <w:t>3</w:t>
            </w:r>
            <w:r w:rsidR="00352002">
              <w:t> </w:t>
            </w:r>
            <w:r w:rsidRPr="00EF4CA3">
              <w:t>organisations</w:t>
            </w:r>
          </w:p>
        </w:tc>
        <w:tc>
          <w:tcPr>
            <w:tcW w:w="2551" w:type="dxa"/>
            <w:shd w:val="clear" w:color="auto" w:fill="FBEED2" w:themeFill="accent4" w:themeFillTint="33"/>
            <w:tcMar>
              <w:left w:w="108" w:type="dxa"/>
              <w:bottom w:w="113" w:type="dxa"/>
              <w:right w:w="108" w:type="dxa"/>
            </w:tcMar>
          </w:tcPr>
          <w:p w14:paraId="69E62A58" w14:textId="77777777" w:rsidR="001A0CB3" w:rsidRDefault="0054560F" w:rsidP="003B5664">
            <w:pPr>
              <w:pStyle w:val="TableBodyCopy"/>
            </w:pPr>
            <w:r w:rsidRPr="00EF4CA3">
              <w:t>SDG4</w:t>
            </w:r>
          </w:p>
          <w:p w14:paraId="410079AF" w14:textId="2AD1EBB7" w:rsidR="001A0CB3" w:rsidRDefault="0054560F" w:rsidP="003B5664">
            <w:pPr>
              <w:pStyle w:val="TableBodyCopy"/>
            </w:pPr>
            <w:r w:rsidRPr="00EF4CA3">
              <w:t xml:space="preserve">SDG8: Decent </w:t>
            </w:r>
            <w:r w:rsidR="00001B91">
              <w:t>w</w:t>
            </w:r>
            <w:r w:rsidRPr="00EF4CA3">
              <w:t xml:space="preserve">ork and </w:t>
            </w:r>
            <w:r w:rsidR="00001B91">
              <w:t>e</w:t>
            </w:r>
            <w:r w:rsidRPr="00EF4CA3">
              <w:t xml:space="preserve">conomic </w:t>
            </w:r>
            <w:r w:rsidR="00001B91">
              <w:t>g</w:t>
            </w:r>
            <w:r w:rsidRPr="00EF4CA3">
              <w:t>rowth</w:t>
            </w:r>
          </w:p>
          <w:p w14:paraId="3DA79AAD" w14:textId="3A1133E4" w:rsidR="0054560F" w:rsidRPr="00EF4CA3" w:rsidRDefault="0054560F" w:rsidP="003B5664">
            <w:pPr>
              <w:pStyle w:val="TableBodyCopy"/>
            </w:pPr>
            <w:r w:rsidRPr="00EF4CA3">
              <w:t>SDG10</w:t>
            </w:r>
            <w:r w:rsidR="003B5664">
              <w:t xml:space="preserve">, </w:t>
            </w:r>
            <w:r w:rsidRPr="00EF4CA3">
              <w:t>SDG16</w:t>
            </w:r>
          </w:p>
        </w:tc>
      </w:tr>
      <w:tr w:rsidR="00AD1415" w:rsidRPr="00697717" w14:paraId="1729C264" w14:textId="77777777" w:rsidTr="00275453">
        <w:trPr>
          <w:trHeight w:val="690"/>
        </w:trPr>
        <w:tc>
          <w:tcPr>
            <w:tcW w:w="1706" w:type="dxa"/>
            <w:shd w:val="clear" w:color="auto" w:fill="FBEED2" w:themeFill="accent4" w:themeFillTint="33"/>
            <w:tcMar>
              <w:left w:w="108" w:type="dxa"/>
              <w:bottom w:w="113" w:type="dxa"/>
              <w:right w:w="108" w:type="dxa"/>
            </w:tcMar>
          </w:tcPr>
          <w:p w14:paraId="1E52A0DA" w14:textId="7DCD7600" w:rsidR="00697717" w:rsidRPr="00EF4CA3" w:rsidRDefault="00446415" w:rsidP="00EF4CA3">
            <w:pPr>
              <w:pStyle w:val="TableBodyCopybold"/>
            </w:pPr>
            <w:r w:rsidRPr="00EF4CA3">
              <w:t>Outcome 2.3</w:t>
            </w:r>
          </w:p>
          <w:p w14:paraId="08A9531B" w14:textId="2D171234" w:rsidR="00446415" w:rsidRPr="00EF4CA3" w:rsidRDefault="00446415" w:rsidP="00EF4CA3">
            <w:pPr>
              <w:pStyle w:val="TableBodyCopy"/>
            </w:pPr>
            <w:r w:rsidRPr="00EF4CA3">
              <w:rPr>
                <w:rStyle w:val="normaltextrun"/>
              </w:rPr>
              <w:t>Linkages</w:t>
            </w:r>
            <w:r w:rsidR="00697717" w:rsidRPr="00EF4CA3">
              <w:rPr>
                <w:rStyle w:val="normaltextrun"/>
              </w:rPr>
              <w:t>:</w:t>
            </w:r>
            <w:r w:rsidR="00697717" w:rsidRPr="00EF4CA3">
              <w:t xml:space="preserve"> </w:t>
            </w:r>
            <w:r w:rsidRPr="00EF4CA3">
              <w:t>E</w:t>
            </w:r>
            <w:r w:rsidRPr="00EF4CA3">
              <w:rPr>
                <w:rStyle w:val="normaltextrun"/>
              </w:rPr>
              <w:t>nduring relationships between individuals, leaders and institutions strengthen the relationship between Australia and Solomon Islands</w:t>
            </w:r>
          </w:p>
        </w:tc>
        <w:tc>
          <w:tcPr>
            <w:tcW w:w="2551" w:type="dxa"/>
            <w:shd w:val="clear" w:color="auto" w:fill="FBEED2" w:themeFill="accent4" w:themeFillTint="33"/>
            <w:tcMar>
              <w:left w:w="108" w:type="dxa"/>
              <w:bottom w:w="113" w:type="dxa"/>
              <w:right w:w="108" w:type="dxa"/>
            </w:tcMar>
          </w:tcPr>
          <w:p w14:paraId="62E5E4A2" w14:textId="6A284860" w:rsidR="00446415" w:rsidRPr="00EF4CA3" w:rsidRDefault="00446415" w:rsidP="00EF4CA3">
            <w:pPr>
              <w:pStyle w:val="TableBodyCopy"/>
            </w:pPr>
            <w:r w:rsidRPr="00EF4CA3">
              <w:t xml:space="preserve">2.3.1 Number of Australia Awards </w:t>
            </w:r>
            <w:r w:rsidR="00625DE2">
              <w:t>s</w:t>
            </w:r>
            <w:r w:rsidRPr="00EF4CA3">
              <w:t>cholars</w:t>
            </w:r>
          </w:p>
        </w:tc>
        <w:tc>
          <w:tcPr>
            <w:tcW w:w="2551" w:type="dxa"/>
            <w:shd w:val="clear" w:color="auto" w:fill="FBEED2" w:themeFill="accent4" w:themeFillTint="33"/>
            <w:tcMar>
              <w:left w:w="108" w:type="dxa"/>
              <w:bottom w:w="113" w:type="dxa"/>
              <w:right w:w="108" w:type="dxa"/>
            </w:tcMar>
          </w:tcPr>
          <w:p w14:paraId="4C449382" w14:textId="15CE9573" w:rsidR="00446415" w:rsidRPr="00EF4CA3" w:rsidRDefault="00446415" w:rsidP="00EF4CA3">
            <w:pPr>
              <w:pStyle w:val="TableBodyCopy"/>
            </w:pPr>
            <w:r w:rsidRPr="00EF4CA3">
              <w:t>Scholarships</w:t>
            </w:r>
            <w:r w:rsidR="00352002">
              <w:t>:</w:t>
            </w:r>
            <w:r w:rsidRPr="00EF4CA3">
              <w:t xml:space="preserve"> 25</w:t>
            </w:r>
          </w:p>
          <w:p w14:paraId="7DDBC8CD" w14:textId="48A8092E" w:rsidR="00446415" w:rsidRPr="00EF4CA3" w:rsidRDefault="00446415" w:rsidP="00EF4CA3">
            <w:pPr>
              <w:pStyle w:val="TableBodyCopy"/>
            </w:pPr>
            <w:r w:rsidRPr="00EF4CA3">
              <w:t>Fellowships</w:t>
            </w:r>
            <w:r w:rsidR="00352002">
              <w:t>:</w:t>
            </w:r>
            <w:r w:rsidRPr="00EF4CA3">
              <w:t xml:space="preserve"> 5</w:t>
            </w:r>
          </w:p>
          <w:p w14:paraId="2881130A" w14:textId="6A44AE3A" w:rsidR="00446415" w:rsidRPr="00EF4CA3" w:rsidRDefault="00446415" w:rsidP="00EF4CA3">
            <w:pPr>
              <w:pStyle w:val="TableBodyCopy"/>
            </w:pPr>
            <w:r w:rsidRPr="00EF4CA3">
              <w:t>Short courses</w:t>
            </w:r>
            <w:r w:rsidR="00352002">
              <w:t>:</w:t>
            </w:r>
            <w:r w:rsidRPr="00EF4CA3">
              <w:t xml:space="preserve"> 25</w:t>
            </w:r>
          </w:p>
        </w:tc>
        <w:tc>
          <w:tcPr>
            <w:tcW w:w="2551" w:type="dxa"/>
            <w:shd w:val="clear" w:color="auto" w:fill="FBEED2" w:themeFill="accent4" w:themeFillTint="33"/>
            <w:tcMar>
              <w:left w:w="108" w:type="dxa"/>
              <w:bottom w:w="113" w:type="dxa"/>
              <w:right w:w="108" w:type="dxa"/>
            </w:tcMar>
          </w:tcPr>
          <w:p w14:paraId="41A514A2" w14:textId="7F0D9E7F" w:rsidR="00446415" w:rsidRPr="00EF4CA3" w:rsidRDefault="00446415" w:rsidP="00EF4CA3">
            <w:pPr>
              <w:pStyle w:val="TableBodyCopy"/>
            </w:pPr>
            <w:r w:rsidRPr="00EF4CA3">
              <w:t>Scholarships</w:t>
            </w:r>
            <w:r w:rsidR="00352002">
              <w:t>:</w:t>
            </w:r>
            <w:r w:rsidRPr="00EF4CA3">
              <w:t xml:space="preserve"> 25</w:t>
            </w:r>
          </w:p>
          <w:p w14:paraId="75157279" w14:textId="0F18DC9E" w:rsidR="00446415" w:rsidRPr="00EF4CA3" w:rsidRDefault="00446415" w:rsidP="00EF4CA3">
            <w:pPr>
              <w:pStyle w:val="TableBodyCopy"/>
            </w:pPr>
            <w:r w:rsidRPr="00EF4CA3">
              <w:t>Fellowships</w:t>
            </w:r>
            <w:r w:rsidR="00352002">
              <w:t>:</w:t>
            </w:r>
            <w:r w:rsidRPr="00EF4CA3">
              <w:t xml:space="preserve"> 5</w:t>
            </w:r>
          </w:p>
          <w:p w14:paraId="7AC42798" w14:textId="6D9EF00C" w:rsidR="00446415" w:rsidRPr="00EF4CA3" w:rsidRDefault="00446415" w:rsidP="00EF4CA3">
            <w:pPr>
              <w:pStyle w:val="TableBodyCopy"/>
            </w:pPr>
            <w:r w:rsidRPr="00EF4CA3">
              <w:t>Short courses</w:t>
            </w:r>
            <w:r w:rsidR="00352002">
              <w:t>:</w:t>
            </w:r>
            <w:r w:rsidRPr="00EF4CA3">
              <w:t xml:space="preserve"> 25</w:t>
            </w:r>
          </w:p>
        </w:tc>
        <w:tc>
          <w:tcPr>
            <w:tcW w:w="2551" w:type="dxa"/>
            <w:shd w:val="clear" w:color="auto" w:fill="FBEED2" w:themeFill="accent4" w:themeFillTint="33"/>
            <w:tcMar>
              <w:left w:w="108" w:type="dxa"/>
              <w:bottom w:w="113" w:type="dxa"/>
              <w:right w:w="108" w:type="dxa"/>
            </w:tcMar>
          </w:tcPr>
          <w:p w14:paraId="66A264E0" w14:textId="10FCCF44" w:rsidR="00446415" w:rsidRPr="00EF4CA3" w:rsidRDefault="00446415" w:rsidP="00EF4CA3">
            <w:pPr>
              <w:pStyle w:val="TableBodyCopy"/>
            </w:pPr>
            <w:r w:rsidRPr="00EF4CA3">
              <w:t>Scholarships</w:t>
            </w:r>
            <w:r w:rsidR="00352002">
              <w:t>:</w:t>
            </w:r>
            <w:r w:rsidRPr="00EF4CA3">
              <w:t xml:space="preserve"> 25</w:t>
            </w:r>
          </w:p>
          <w:p w14:paraId="7F04E01B" w14:textId="41AF4C52" w:rsidR="00446415" w:rsidRPr="00EF4CA3" w:rsidRDefault="00446415" w:rsidP="00EF4CA3">
            <w:pPr>
              <w:pStyle w:val="TableBodyCopy"/>
            </w:pPr>
            <w:r w:rsidRPr="00EF4CA3">
              <w:t>Fellowships</w:t>
            </w:r>
            <w:r w:rsidR="00352002">
              <w:t>:</w:t>
            </w:r>
            <w:r w:rsidRPr="00EF4CA3">
              <w:t xml:space="preserve"> 5</w:t>
            </w:r>
          </w:p>
          <w:p w14:paraId="522FDE90" w14:textId="39282997" w:rsidR="00446415" w:rsidRPr="00EF4CA3" w:rsidRDefault="00446415" w:rsidP="00EF4CA3">
            <w:pPr>
              <w:pStyle w:val="TableBodyCopy"/>
            </w:pPr>
            <w:r w:rsidRPr="00EF4CA3">
              <w:t>Short courses</w:t>
            </w:r>
            <w:r w:rsidR="00352002">
              <w:t>:</w:t>
            </w:r>
            <w:r w:rsidRPr="00EF4CA3">
              <w:t xml:space="preserve"> 25</w:t>
            </w:r>
          </w:p>
        </w:tc>
        <w:tc>
          <w:tcPr>
            <w:tcW w:w="2551" w:type="dxa"/>
            <w:shd w:val="clear" w:color="auto" w:fill="FBEED2" w:themeFill="accent4" w:themeFillTint="33"/>
            <w:tcMar>
              <w:left w:w="108" w:type="dxa"/>
              <w:bottom w:w="113" w:type="dxa"/>
              <w:right w:w="108" w:type="dxa"/>
            </w:tcMar>
          </w:tcPr>
          <w:p w14:paraId="62EE8B0F" w14:textId="77777777" w:rsidR="001A0CB3" w:rsidRDefault="00446415" w:rsidP="003B5664">
            <w:pPr>
              <w:pStyle w:val="TableBodyCopy"/>
            </w:pPr>
            <w:r w:rsidRPr="00EF4CA3">
              <w:t>SDG4</w:t>
            </w:r>
            <w:r w:rsidR="003B5664">
              <w:t xml:space="preserve">, </w:t>
            </w:r>
            <w:r w:rsidRPr="00EF4CA3">
              <w:t>SDG8</w:t>
            </w:r>
          </w:p>
          <w:p w14:paraId="117A2D55" w14:textId="2C180ECA" w:rsidR="00446415" w:rsidRPr="00EF4CA3" w:rsidRDefault="00446415" w:rsidP="003B5664">
            <w:pPr>
              <w:pStyle w:val="TableBodyCopy"/>
            </w:pPr>
            <w:r w:rsidRPr="00EF4CA3">
              <w:t>SDG17: Partnerships</w:t>
            </w:r>
            <w:r w:rsidR="00001B91">
              <w:t xml:space="preserve"> for the goals</w:t>
            </w:r>
          </w:p>
        </w:tc>
      </w:tr>
      <w:tr w:rsidR="00AD1415" w:rsidRPr="00697717" w14:paraId="149ACC59" w14:textId="77777777" w:rsidTr="00275453">
        <w:trPr>
          <w:trHeight w:val="690"/>
        </w:trPr>
        <w:tc>
          <w:tcPr>
            <w:tcW w:w="1706" w:type="dxa"/>
            <w:shd w:val="clear" w:color="auto" w:fill="FBEED2" w:themeFill="accent4" w:themeFillTint="33"/>
            <w:tcMar>
              <w:left w:w="108" w:type="dxa"/>
              <w:bottom w:w="113" w:type="dxa"/>
              <w:right w:w="108" w:type="dxa"/>
            </w:tcMar>
          </w:tcPr>
          <w:p w14:paraId="2939A384" w14:textId="73D32130" w:rsidR="00446415" w:rsidRPr="00697717" w:rsidRDefault="0054560F" w:rsidP="008216F0">
            <w:pPr>
              <w:pStyle w:val="TableBodyCopybold"/>
            </w:pPr>
            <w:r w:rsidRPr="00377E38">
              <w:t>Outcome 2.3</w:t>
            </w:r>
          </w:p>
        </w:tc>
        <w:tc>
          <w:tcPr>
            <w:tcW w:w="2551" w:type="dxa"/>
            <w:shd w:val="clear" w:color="auto" w:fill="FBEED2" w:themeFill="accent4" w:themeFillTint="33"/>
            <w:tcMar>
              <w:left w:w="108" w:type="dxa"/>
              <w:bottom w:w="113" w:type="dxa"/>
              <w:right w:w="108" w:type="dxa"/>
            </w:tcMar>
          </w:tcPr>
          <w:p w14:paraId="2342C071" w14:textId="389A65C3" w:rsidR="00446415" w:rsidRPr="00EF4CA3" w:rsidRDefault="00446415" w:rsidP="00EF4CA3">
            <w:pPr>
              <w:pStyle w:val="TableBodyCopy"/>
            </w:pPr>
            <w:r w:rsidRPr="00EF4CA3">
              <w:t>2.3.2 Percentage of alumni reporting relevant and useful relationships with Australia</w:t>
            </w:r>
          </w:p>
        </w:tc>
        <w:tc>
          <w:tcPr>
            <w:tcW w:w="2551" w:type="dxa"/>
            <w:shd w:val="clear" w:color="auto" w:fill="FBEED2" w:themeFill="accent4" w:themeFillTint="33"/>
            <w:tcMar>
              <w:left w:w="108" w:type="dxa"/>
              <w:bottom w:w="113" w:type="dxa"/>
              <w:right w:w="108" w:type="dxa"/>
            </w:tcMar>
          </w:tcPr>
          <w:p w14:paraId="52DD7F73" w14:textId="6F370714" w:rsidR="00446415" w:rsidRPr="00EF4CA3" w:rsidRDefault="00446415" w:rsidP="00EF4CA3">
            <w:pPr>
              <w:pStyle w:val="TableBodyCopy"/>
            </w:pPr>
            <w:r w:rsidRPr="00EF4CA3">
              <w:t>35</w:t>
            </w:r>
            <w:r w:rsidR="005F028A">
              <w:t>%</w:t>
            </w:r>
            <w:r w:rsidRPr="00EF4CA3">
              <w:t xml:space="preserve"> of </w:t>
            </w:r>
            <w:r w:rsidR="00674629">
              <w:t>a</w:t>
            </w:r>
            <w:r w:rsidRPr="00EF4CA3">
              <w:t>lumni report having relevant and useful relationships with Australia</w:t>
            </w:r>
          </w:p>
        </w:tc>
        <w:tc>
          <w:tcPr>
            <w:tcW w:w="2551" w:type="dxa"/>
            <w:shd w:val="clear" w:color="auto" w:fill="FBEED2" w:themeFill="accent4" w:themeFillTint="33"/>
            <w:tcMar>
              <w:left w:w="108" w:type="dxa"/>
              <w:bottom w:w="113" w:type="dxa"/>
              <w:right w:w="108" w:type="dxa"/>
            </w:tcMar>
          </w:tcPr>
          <w:p w14:paraId="166F34CC" w14:textId="1F89A09E" w:rsidR="00446415" w:rsidRPr="00EF4CA3" w:rsidRDefault="00446415" w:rsidP="00EF4CA3">
            <w:pPr>
              <w:pStyle w:val="TableBodyCopy"/>
            </w:pPr>
            <w:r w:rsidRPr="00EF4CA3">
              <w:t>40</w:t>
            </w:r>
            <w:r w:rsidR="005F028A">
              <w:t>%</w:t>
            </w:r>
            <w:r w:rsidRPr="00EF4CA3">
              <w:t xml:space="preserve"> of </w:t>
            </w:r>
            <w:r w:rsidR="00674629">
              <w:t>a</w:t>
            </w:r>
            <w:r w:rsidRPr="00EF4CA3">
              <w:t>lumni report having relevant and useful relationships with Australia</w:t>
            </w:r>
          </w:p>
        </w:tc>
        <w:tc>
          <w:tcPr>
            <w:tcW w:w="2551" w:type="dxa"/>
            <w:shd w:val="clear" w:color="auto" w:fill="FBEED2" w:themeFill="accent4" w:themeFillTint="33"/>
            <w:tcMar>
              <w:left w:w="108" w:type="dxa"/>
              <w:bottom w:w="113" w:type="dxa"/>
              <w:right w:w="108" w:type="dxa"/>
            </w:tcMar>
          </w:tcPr>
          <w:p w14:paraId="43493DAB" w14:textId="3150FFDB" w:rsidR="00446415" w:rsidRPr="00EF4CA3" w:rsidRDefault="00446415" w:rsidP="00EF4CA3">
            <w:pPr>
              <w:pStyle w:val="TableBodyCopy"/>
            </w:pPr>
            <w:r w:rsidRPr="00EF4CA3">
              <w:t>50</w:t>
            </w:r>
            <w:r w:rsidR="005F028A">
              <w:t>%</w:t>
            </w:r>
            <w:r w:rsidRPr="00EF4CA3">
              <w:t xml:space="preserve"> of </w:t>
            </w:r>
            <w:r w:rsidR="00674629">
              <w:t>a</w:t>
            </w:r>
            <w:r w:rsidRPr="00EF4CA3">
              <w:t>lumni report having relevant and useful relationships with Australia</w:t>
            </w:r>
          </w:p>
        </w:tc>
        <w:tc>
          <w:tcPr>
            <w:tcW w:w="2551" w:type="dxa"/>
            <w:shd w:val="clear" w:color="auto" w:fill="FBEED2" w:themeFill="accent4" w:themeFillTint="33"/>
            <w:tcMar>
              <w:left w:w="108" w:type="dxa"/>
              <w:bottom w:w="113" w:type="dxa"/>
              <w:right w:w="108" w:type="dxa"/>
            </w:tcMar>
          </w:tcPr>
          <w:p w14:paraId="6BCF8E81" w14:textId="1980A959" w:rsidR="00446415" w:rsidRPr="002D70E7" w:rsidRDefault="00446415" w:rsidP="002D70E7">
            <w:pPr>
              <w:pStyle w:val="TableBodyCopy"/>
            </w:pPr>
            <w:r w:rsidRPr="002D70E7">
              <w:t>SDG4</w:t>
            </w:r>
            <w:r w:rsidR="00001B91">
              <w:t xml:space="preserve">, </w:t>
            </w:r>
            <w:r w:rsidRPr="002D70E7">
              <w:t>SDG17</w:t>
            </w:r>
          </w:p>
        </w:tc>
      </w:tr>
      <w:tr w:rsidR="00AD1415" w:rsidRPr="00697717" w14:paraId="156A1504" w14:textId="77777777" w:rsidTr="00275453">
        <w:trPr>
          <w:cantSplit/>
          <w:trHeight w:val="690"/>
        </w:trPr>
        <w:tc>
          <w:tcPr>
            <w:tcW w:w="1706" w:type="dxa"/>
            <w:shd w:val="clear" w:color="auto" w:fill="FBEED2" w:themeFill="accent4" w:themeFillTint="33"/>
            <w:tcMar>
              <w:left w:w="108" w:type="dxa"/>
              <w:bottom w:w="113" w:type="dxa"/>
              <w:right w:w="108" w:type="dxa"/>
            </w:tcMar>
          </w:tcPr>
          <w:p w14:paraId="3140EA55" w14:textId="5212AE19" w:rsidR="00446415" w:rsidRPr="00697717" w:rsidRDefault="0054560F" w:rsidP="008216F0">
            <w:pPr>
              <w:pStyle w:val="TableBodyCopybold"/>
            </w:pPr>
            <w:r w:rsidRPr="00377E38">
              <w:lastRenderedPageBreak/>
              <w:t>Outcome 2.3</w:t>
            </w:r>
          </w:p>
        </w:tc>
        <w:tc>
          <w:tcPr>
            <w:tcW w:w="2551" w:type="dxa"/>
            <w:shd w:val="clear" w:color="auto" w:fill="FBEED2" w:themeFill="accent4" w:themeFillTint="33"/>
            <w:tcMar>
              <w:left w:w="108" w:type="dxa"/>
              <w:bottom w:w="113" w:type="dxa"/>
              <w:right w:w="108" w:type="dxa"/>
            </w:tcMar>
          </w:tcPr>
          <w:p w14:paraId="226A84DD" w14:textId="4787BDBE" w:rsidR="00446415" w:rsidRPr="002D70E7" w:rsidRDefault="63D001CD" w:rsidP="002D70E7">
            <w:pPr>
              <w:pStyle w:val="TableBodyCopy"/>
            </w:pPr>
            <w:r>
              <w:t xml:space="preserve">2.3.3 Number of Solomon Islands </w:t>
            </w:r>
            <w:r w:rsidR="3A1BD53F">
              <w:t>Pacific Australia Labour Mobility (</w:t>
            </w:r>
            <w:r>
              <w:t>PALM</w:t>
            </w:r>
            <w:r w:rsidR="3A1BD53F">
              <w:t>)</w:t>
            </w:r>
            <w:r>
              <w:t xml:space="preserve"> workers in Australia</w:t>
            </w:r>
            <w:r w:rsidR="64060561">
              <w:t xml:space="preserve"> (Tier 2)</w:t>
            </w:r>
          </w:p>
        </w:tc>
        <w:tc>
          <w:tcPr>
            <w:tcW w:w="2551" w:type="dxa"/>
            <w:shd w:val="clear" w:color="auto" w:fill="FBEED2" w:themeFill="accent4" w:themeFillTint="33"/>
            <w:tcMar>
              <w:left w:w="108" w:type="dxa"/>
              <w:bottom w:w="113" w:type="dxa"/>
              <w:right w:w="108" w:type="dxa"/>
            </w:tcMar>
          </w:tcPr>
          <w:p w14:paraId="6B77DEC9" w14:textId="7EA889BB" w:rsidR="00446415" w:rsidRPr="002D70E7" w:rsidRDefault="00446415" w:rsidP="002D70E7">
            <w:pPr>
              <w:pStyle w:val="TableBodyCopy"/>
            </w:pPr>
            <w:r w:rsidRPr="002D70E7">
              <w:t>Number of PALM workers from Solomon Islands in Australia (subject to demand and policy settings)</w:t>
            </w:r>
          </w:p>
        </w:tc>
        <w:tc>
          <w:tcPr>
            <w:tcW w:w="2551" w:type="dxa"/>
            <w:shd w:val="clear" w:color="auto" w:fill="FBEED2" w:themeFill="accent4" w:themeFillTint="33"/>
            <w:tcMar>
              <w:left w:w="108" w:type="dxa"/>
              <w:bottom w:w="113" w:type="dxa"/>
              <w:right w:w="108" w:type="dxa"/>
            </w:tcMar>
          </w:tcPr>
          <w:p w14:paraId="70AAB050" w14:textId="3DDC0597" w:rsidR="00446415" w:rsidRPr="002D70E7" w:rsidRDefault="00446415" w:rsidP="002D70E7">
            <w:pPr>
              <w:pStyle w:val="TableBodyCopy"/>
            </w:pPr>
            <w:r w:rsidRPr="002D70E7">
              <w:t>Number of PALM workers from Solomon Islands in Australia (subject to demand and policy settings)</w:t>
            </w:r>
          </w:p>
        </w:tc>
        <w:tc>
          <w:tcPr>
            <w:tcW w:w="2551" w:type="dxa"/>
            <w:shd w:val="clear" w:color="auto" w:fill="FBEED2" w:themeFill="accent4" w:themeFillTint="33"/>
            <w:tcMar>
              <w:left w:w="108" w:type="dxa"/>
              <w:bottom w:w="113" w:type="dxa"/>
              <w:right w:w="108" w:type="dxa"/>
            </w:tcMar>
          </w:tcPr>
          <w:p w14:paraId="5F3AF176" w14:textId="6033B4C8" w:rsidR="00446415" w:rsidRPr="00F41535" w:rsidRDefault="00446415" w:rsidP="002D70E7">
            <w:pPr>
              <w:pStyle w:val="TableBodyCopy"/>
            </w:pPr>
            <w:r w:rsidRPr="00F41535">
              <w:t>Number of PALM workers from Solomon Islands in Australia (subject to demand and policy settings)</w:t>
            </w:r>
          </w:p>
        </w:tc>
        <w:tc>
          <w:tcPr>
            <w:tcW w:w="2551" w:type="dxa"/>
            <w:shd w:val="clear" w:color="auto" w:fill="FBEED2" w:themeFill="accent4" w:themeFillTint="33"/>
            <w:tcMar>
              <w:left w:w="108" w:type="dxa"/>
              <w:bottom w:w="113" w:type="dxa"/>
              <w:right w:w="108" w:type="dxa"/>
            </w:tcMar>
          </w:tcPr>
          <w:p w14:paraId="734E1434" w14:textId="75F4E3AC" w:rsidR="00446415" w:rsidRPr="00F41535" w:rsidRDefault="00446415" w:rsidP="00F41535">
            <w:pPr>
              <w:pStyle w:val="TableBodyCopy"/>
            </w:pPr>
            <w:r w:rsidRPr="00F41535">
              <w:t>SDG8</w:t>
            </w:r>
            <w:r w:rsidR="00001B91">
              <w:t xml:space="preserve">, </w:t>
            </w:r>
            <w:r w:rsidRPr="00F41535">
              <w:t>SDG10</w:t>
            </w:r>
            <w:r w:rsidR="00001B91">
              <w:t xml:space="preserve">, </w:t>
            </w:r>
            <w:r w:rsidRPr="00F41535">
              <w:t>SDG17</w:t>
            </w:r>
          </w:p>
        </w:tc>
      </w:tr>
      <w:tr w:rsidR="00AD1415" w:rsidRPr="00697717" w14:paraId="3DAE956F" w14:textId="77777777" w:rsidTr="00275453">
        <w:trPr>
          <w:trHeight w:val="690"/>
        </w:trPr>
        <w:tc>
          <w:tcPr>
            <w:tcW w:w="1706" w:type="dxa"/>
            <w:shd w:val="clear" w:color="auto" w:fill="FBEED2" w:themeFill="accent4" w:themeFillTint="33"/>
            <w:tcMar>
              <w:left w:w="108" w:type="dxa"/>
              <w:bottom w:w="113" w:type="dxa"/>
              <w:right w:w="108" w:type="dxa"/>
            </w:tcMar>
          </w:tcPr>
          <w:p w14:paraId="429D5994" w14:textId="7A514475" w:rsidR="00446415" w:rsidRPr="00697717" w:rsidRDefault="0054560F" w:rsidP="008216F0">
            <w:pPr>
              <w:pStyle w:val="TableBodyCopybold"/>
            </w:pPr>
            <w:r w:rsidRPr="00377E38">
              <w:t>Outcome 2.3</w:t>
            </w:r>
          </w:p>
        </w:tc>
        <w:tc>
          <w:tcPr>
            <w:tcW w:w="2551" w:type="dxa"/>
            <w:shd w:val="clear" w:color="auto" w:fill="FBEED2" w:themeFill="accent4" w:themeFillTint="33"/>
            <w:tcMar>
              <w:left w:w="108" w:type="dxa"/>
              <w:bottom w:w="113" w:type="dxa"/>
              <w:right w:w="108" w:type="dxa"/>
            </w:tcMar>
          </w:tcPr>
          <w:p w14:paraId="29826D8A" w14:textId="79727403" w:rsidR="00446415" w:rsidRPr="00F41535" w:rsidRDefault="00446415" w:rsidP="00F41535">
            <w:pPr>
              <w:pStyle w:val="TableBodyCopy"/>
            </w:pPr>
            <w:r w:rsidRPr="00F41535">
              <w:t>2.3.4 Number of Solomon Islanders in Australia on Pacific Engagement Visa (PEV)</w:t>
            </w:r>
          </w:p>
        </w:tc>
        <w:tc>
          <w:tcPr>
            <w:tcW w:w="2551" w:type="dxa"/>
            <w:shd w:val="clear" w:color="auto" w:fill="FBEED2" w:themeFill="accent4" w:themeFillTint="33"/>
            <w:tcMar>
              <w:left w:w="108" w:type="dxa"/>
              <w:bottom w:w="113" w:type="dxa"/>
              <w:right w:w="108" w:type="dxa"/>
            </w:tcMar>
          </w:tcPr>
          <w:p w14:paraId="0BB11AC2" w14:textId="1C832EB0" w:rsidR="00446415" w:rsidRPr="00F41535" w:rsidRDefault="63D001CD" w:rsidP="00F41535">
            <w:pPr>
              <w:pStyle w:val="TableBodyCopy"/>
            </w:pPr>
            <w:r>
              <w:t xml:space="preserve">Number of PEV </w:t>
            </w:r>
            <w:r w:rsidR="4D9F8363">
              <w:t>holders</w:t>
            </w:r>
            <w:r>
              <w:t xml:space="preserve"> from Solomon Islands in Australia (subject to demand and policy settings)</w:t>
            </w:r>
          </w:p>
        </w:tc>
        <w:tc>
          <w:tcPr>
            <w:tcW w:w="2551" w:type="dxa"/>
            <w:shd w:val="clear" w:color="auto" w:fill="FBEED2" w:themeFill="accent4" w:themeFillTint="33"/>
            <w:tcMar>
              <w:left w:w="108" w:type="dxa"/>
              <w:bottom w:w="113" w:type="dxa"/>
              <w:right w:w="108" w:type="dxa"/>
            </w:tcMar>
          </w:tcPr>
          <w:p w14:paraId="245C2CDD" w14:textId="56C07700" w:rsidR="00446415" w:rsidRPr="00F41535" w:rsidRDefault="00446415" w:rsidP="00F41535">
            <w:pPr>
              <w:pStyle w:val="TableBodyCopy"/>
            </w:pPr>
            <w:r w:rsidRPr="00F41535">
              <w:t xml:space="preserve">Number of PEV </w:t>
            </w:r>
            <w:r w:rsidR="003146FC">
              <w:t>holders</w:t>
            </w:r>
            <w:r w:rsidRPr="00F41535">
              <w:t xml:space="preserve"> from Solomon Islands in Australia (subject to demand and policy settings)</w:t>
            </w:r>
          </w:p>
        </w:tc>
        <w:tc>
          <w:tcPr>
            <w:tcW w:w="2551" w:type="dxa"/>
            <w:shd w:val="clear" w:color="auto" w:fill="FBEED2" w:themeFill="accent4" w:themeFillTint="33"/>
            <w:tcMar>
              <w:left w:w="108" w:type="dxa"/>
              <w:bottom w:w="113" w:type="dxa"/>
              <w:right w:w="108" w:type="dxa"/>
            </w:tcMar>
          </w:tcPr>
          <w:p w14:paraId="7F31F073" w14:textId="5E9C4EB7" w:rsidR="00446415" w:rsidRPr="00F41535" w:rsidRDefault="00446415" w:rsidP="00F41535">
            <w:pPr>
              <w:pStyle w:val="TableBodyCopy"/>
            </w:pPr>
            <w:r w:rsidRPr="00F41535">
              <w:t xml:space="preserve">Number of PEV </w:t>
            </w:r>
            <w:r w:rsidR="003146FC">
              <w:t>holders</w:t>
            </w:r>
            <w:r w:rsidRPr="00F41535">
              <w:t xml:space="preserve"> from Solomon Islands in Australia (subject to demand and policy settings)</w:t>
            </w:r>
          </w:p>
        </w:tc>
        <w:tc>
          <w:tcPr>
            <w:tcW w:w="2551" w:type="dxa"/>
            <w:shd w:val="clear" w:color="auto" w:fill="FBEED2" w:themeFill="accent4" w:themeFillTint="33"/>
            <w:tcMar>
              <w:left w:w="108" w:type="dxa"/>
              <w:bottom w:w="113" w:type="dxa"/>
              <w:right w:w="108" w:type="dxa"/>
            </w:tcMar>
          </w:tcPr>
          <w:p w14:paraId="39E267A2" w14:textId="1176C794" w:rsidR="00446415" w:rsidRPr="00F41535" w:rsidRDefault="00446415" w:rsidP="00F41535">
            <w:pPr>
              <w:pStyle w:val="TableBodyCopy"/>
            </w:pPr>
            <w:r w:rsidRPr="00F41535">
              <w:t>SDG8</w:t>
            </w:r>
            <w:r w:rsidR="00001B91">
              <w:t xml:space="preserve">, </w:t>
            </w:r>
            <w:r w:rsidRPr="00F41535">
              <w:t>SDG10</w:t>
            </w:r>
            <w:r w:rsidR="00001B91">
              <w:t xml:space="preserve">, </w:t>
            </w:r>
            <w:r w:rsidRPr="00F41535">
              <w:t>SDG17</w:t>
            </w:r>
          </w:p>
        </w:tc>
      </w:tr>
    </w:tbl>
    <w:p w14:paraId="1B8ED15D" w14:textId="223F750D" w:rsidR="00CB6BEE" w:rsidRDefault="00073216" w:rsidP="00CB6BEE">
      <w:pPr>
        <w:pStyle w:val="Tablenote"/>
        <w:rPr>
          <w:lang w:eastAsia="en-AU"/>
        </w:rPr>
      </w:pPr>
      <w:bookmarkStart w:id="1" w:name="T3na"/>
      <w:bookmarkStart w:id="2" w:name="HealthDesign"/>
      <w:r>
        <w:rPr>
          <w:lang w:eastAsia="en-AU"/>
        </w:rPr>
        <w:t>a</w:t>
      </w:r>
      <w:bookmarkEnd w:id="1"/>
      <w:r w:rsidR="00271FB8">
        <w:rPr>
          <w:lang w:eastAsia="en-AU"/>
        </w:rPr>
        <w:tab/>
      </w:r>
      <w:r w:rsidR="00606760" w:rsidRPr="3EF78C9D">
        <w:rPr>
          <w:lang w:eastAsia="en-AU"/>
        </w:rPr>
        <w:t xml:space="preserve">Health </w:t>
      </w:r>
      <w:r w:rsidR="0010417A">
        <w:rPr>
          <w:lang w:eastAsia="en-AU"/>
        </w:rPr>
        <w:t xml:space="preserve">program </w:t>
      </w:r>
      <w:r w:rsidR="00606760" w:rsidRPr="3EF78C9D">
        <w:rPr>
          <w:lang w:eastAsia="en-AU"/>
        </w:rPr>
        <w:t xml:space="preserve">design is pending </w:t>
      </w:r>
      <w:r w:rsidR="00606760">
        <w:rPr>
          <w:rFonts w:cstheme="majorHAnsi"/>
          <w:lang w:eastAsia="en-AU"/>
        </w:rPr>
        <w:t>–</w:t>
      </w:r>
      <w:r w:rsidR="00606760" w:rsidRPr="3EF78C9D">
        <w:rPr>
          <w:lang w:eastAsia="en-AU"/>
        </w:rPr>
        <w:t xml:space="preserve"> indicators and results will be refined.</w:t>
      </w:r>
      <w:r w:rsidR="00CB6BEE">
        <w:rPr>
          <w:lang w:eastAsia="en-AU"/>
        </w:rPr>
        <w:br w:type="page"/>
      </w:r>
    </w:p>
    <w:bookmarkEnd w:id="2"/>
    <w:p w14:paraId="01776E34" w14:textId="6A8D21FB" w:rsidR="0058639A" w:rsidRPr="00575D31" w:rsidRDefault="0058639A" w:rsidP="00700477">
      <w:pPr>
        <w:pStyle w:val="PAFobjectivehead"/>
        <w:rPr>
          <w:rFonts w:ascii="Times New Roman" w:hAnsi="Times New Roman"/>
          <w:sz w:val="24"/>
          <w:szCs w:val="24"/>
        </w:rPr>
      </w:pPr>
      <w:r w:rsidRPr="00575D31">
        <w:lastRenderedPageBreak/>
        <w:t xml:space="preserve">Objective 3: Improved </w:t>
      </w:r>
      <w:r>
        <w:t>stability, security and resilience</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erformance Assessment Framework for Objective 3"/>
        <w:tblDescription w:val="Expected results for Objective 3 for the first three years of the DPP and against the Sustainable Development Goals&#10;"/>
      </w:tblPr>
      <w:tblGrid>
        <w:gridCol w:w="1705"/>
        <w:gridCol w:w="2551"/>
        <w:gridCol w:w="2551"/>
        <w:gridCol w:w="2551"/>
        <w:gridCol w:w="2551"/>
        <w:gridCol w:w="2551"/>
      </w:tblGrid>
      <w:tr w:rsidR="0080460F" w:rsidRPr="00D21CD2" w14:paraId="2D6045D1" w14:textId="77777777" w:rsidTr="0080460F">
        <w:trPr>
          <w:trHeight w:val="57"/>
          <w:tblHeader/>
        </w:trPr>
        <w:tc>
          <w:tcPr>
            <w:tcW w:w="1705" w:type="dxa"/>
            <w:shd w:val="clear" w:color="auto" w:fill="3A586E" w:themeFill="accent1"/>
            <w:tcMar>
              <w:left w:w="108" w:type="dxa"/>
              <w:bottom w:w="113" w:type="dxa"/>
              <w:right w:w="108" w:type="dxa"/>
            </w:tcMar>
            <w:hideMark/>
          </w:tcPr>
          <w:p w14:paraId="604FF2EC" w14:textId="4D6B8A2A" w:rsidR="00697717" w:rsidRPr="00D21CD2" w:rsidRDefault="00697717" w:rsidP="0080460F">
            <w:pPr>
              <w:pStyle w:val="TableHeading"/>
            </w:pPr>
            <w:r>
              <w:t>Outcome</w:t>
            </w:r>
          </w:p>
        </w:tc>
        <w:tc>
          <w:tcPr>
            <w:tcW w:w="2551" w:type="dxa"/>
            <w:shd w:val="clear" w:color="auto" w:fill="3A586E" w:themeFill="accent1"/>
            <w:tcMar>
              <w:left w:w="108" w:type="dxa"/>
              <w:bottom w:w="113" w:type="dxa"/>
              <w:right w:w="108" w:type="dxa"/>
            </w:tcMar>
            <w:hideMark/>
          </w:tcPr>
          <w:p w14:paraId="76272445" w14:textId="7C2C191B" w:rsidR="00697717" w:rsidRPr="00D21CD2" w:rsidRDefault="00697717" w:rsidP="0080460F">
            <w:pPr>
              <w:pStyle w:val="TableHeading"/>
            </w:pPr>
            <w:r w:rsidRPr="00560F84">
              <w:t>Indicator</w:t>
            </w:r>
          </w:p>
        </w:tc>
        <w:tc>
          <w:tcPr>
            <w:tcW w:w="2551" w:type="dxa"/>
            <w:shd w:val="clear" w:color="auto" w:fill="3A586E" w:themeFill="accent1"/>
            <w:tcMar>
              <w:left w:w="108" w:type="dxa"/>
              <w:bottom w:w="113" w:type="dxa"/>
              <w:right w:w="108" w:type="dxa"/>
            </w:tcMar>
            <w:hideMark/>
          </w:tcPr>
          <w:p w14:paraId="56A7516B" w14:textId="4756A232" w:rsidR="00697717" w:rsidRPr="00D21CD2" w:rsidRDefault="00697717" w:rsidP="0080460F">
            <w:pPr>
              <w:pStyle w:val="TableHeading"/>
            </w:pPr>
            <w:r w:rsidRPr="00560F84">
              <w:t>Expected results</w:t>
            </w:r>
            <w:r>
              <w:br/>
            </w:r>
            <w:r w:rsidRPr="00560F84">
              <w:t>2024</w:t>
            </w:r>
            <w:r>
              <w:rPr>
                <w:rFonts w:cstheme="majorHAnsi"/>
              </w:rPr>
              <w:t>–</w:t>
            </w:r>
            <w:r w:rsidRPr="00560F84">
              <w:t>25</w:t>
            </w:r>
          </w:p>
        </w:tc>
        <w:tc>
          <w:tcPr>
            <w:tcW w:w="2551" w:type="dxa"/>
            <w:shd w:val="clear" w:color="auto" w:fill="3A586E" w:themeFill="accent1"/>
            <w:tcMar>
              <w:left w:w="108" w:type="dxa"/>
              <w:bottom w:w="113" w:type="dxa"/>
              <w:right w:w="108" w:type="dxa"/>
            </w:tcMar>
            <w:hideMark/>
          </w:tcPr>
          <w:p w14:paraId="6BEB5481" w14:textId="50363403" w:rsidR="00697717" w:rsidRPr="00D21CD2" w:rsidRDefault="00697717" w:rsidP="0080460F">
            <w:pPr>
              <w:pStyle w:val="TableHeading"/>
            </w:pPr>
            <w:r w:rsidRPr="00560F84">
              <w:t>Expected results</w:t>
            </w:r>
            <w:r>
              <w:br/>
            </w:r>
            <w:r w:rsidRPr="00560F84">
              <w:t>2025</w:t>
            </w:r>
            <w:r>
              <w:rPr>
                <w:rFonts w:cstheme="majorHAnsi"/>
              </w:rPr>
              <w:t>–</w:t>
            </w:r>
            <w:r w:rsidRPr="00560F84">
              <w:t>26</w:t>
            </w:r>
          </w:p>
        </w:tc>
        <w:tc>
          <w:tcPr>
            <w:tcW w:w="2551" w:type="dxa"/>
            <w:shd w:val="clear" w:color="auto" w:fill="3A586E" w:themeFill="accent1"/>
            <w:tcMar>
              <w:left w:w="108" w:type="dxa"/>
              <w:bottom w:w="113" w:type="dxa"/>
              <w:right w:w="108" w:type="dxa"/>
            </w:tcMar>
            <w:hideMark/>
          </w:tcPr>
          <w:p w14:paraId="3E15C283" w14:textId="1075F615" w:rsidR="00697717" w:rsidRPr="00D21CD2" w:rsidRDefault="00697717" w:rsidP="0080460F">
            <w:pPr>
              <w:pStyle w:val="TableHeading"/>
            </w:pPr>
            <w:r w:rsidRPr="00560F84">
              <w:t>Expected results</w:t>
            </w:r>
            <w:r>
              <w:br/>
            </w:r>
            <w:r w:rsidRPr="00560F84">
              <w:t>2026</w:t>
            </w:r>
            <w:r>
              <w:rPr>
                <w:rFonts w:cstheme="majorHAnsi"/>
              </w:rPr>
              <w:t>–</w:t>
            </w:r>
            <w:r w:rsidRPr="00560F84">
              <w:t>27</w:t>
            </w:r>
          </w:p>
        </w:tc>
        <w:tc>
          <w:tcPr>
            <w:tcW w:w="2551" w:type="dxa"/>
            <w:shd w:val="clear" w:color="auto" w:fill="3A586E" w:themeFill="accent1"/>
            <w:tcMar>
              <w:left w:w="108" w:type="dxa"/>
              <w:bottom w:w="113" w:type="dxa"/>
              <w:right w:w="108" w:type="dxa"/>
            </w:tcMar>
            <w:hideMark/>
          </w:tcPr>
          <w:p w14:paraId="63D3F9EC" w14:textId="77777777" w:rsidR="00697717" w:rsidRPr="00D21CD2" w:rsidRDefault="00697717" w:rsidP="0080460F">
            <w:pPr>
              <w:pStyle w:val="TableHeading"/>
            </w:pPr>
            <w:r w:rsidRPr="00560F84">
              <w:t>S</w:t>
            </w:r>
            <w:r>
              <w:t xml:space="preserve">ustainable </w:t>
            </w:r>
            <w:r w:rsidRPr="00560F84">
              <w:t>D</w:t>
            </w:r>
            <w:r>
              <w:t xml:space="preserve">evelopment </w:t>
            </w:r>
            <w:r w:rsidRPr="00560F84">
              <w:t>Goals</w:t>
            </w:r>
            <w:r>
              <w:t xml:space="preserve"> (SDGs</w:t>
            </w:r>
            <w:r w:rsidRPr="00560F84">
              <w:t>)</w:t>
            </w:r>
          </w:p>
        </w:tc>
      </w:tr>
      <w:tr w:rsidR="00697717" w:rsidRPr="00575D31" w14:paraId="6A985C9D" w14:textId="77777777" w:rsidTr="00275453">
        <w:trPr>
          <w:trHeight w:val="465"/>
        </w:trPr>
        <w:tc>
          <w:tcPr>
            <w:tcW w:w="1705" w:type="dxa"/>
            <w:tcBorders>
              <w:bottom w:val="single" w:sz="4" w:space="0" w:color="auto"/>
            </w:tcBorders>
            <w:shd w:val="clear" w:color="auto" w:fill="F0DBD4" w:themeFill="accent5" w:themeFillTint="33"/>
            <w:tcMar>
              <w:left w:w="108" w:type="dxa"/>
              <w:bottom w:w="113" w:type="dxa"/>
              <w:right w:w="108" w:type="dxa"/>
            </w:tcMar>
            <w:hideMark/>
          </w:tcPr>
          <w:p w14:paraId="42921C9E" w14:textId="5FA9B954" w:rsidR="009C132B" w:rsidRPr="00575D31" w:rsidRDefault="009C132B" w:rsidP="00275453">
            <w:pPr>
              <w:pStyle w:val="TableBodyCopybold"/>
              <w:spacing w:after="0"/>
              <w:rPr>
                <w:lang w:eastAsia="en-AU"/>
              </w:rPr>
            </w:pPr>
            <w:r w:rsidRPr="00575D31">
              <w:rPr>
                <w:lang w:eastAsia="en-AU"/>
              </w:rPr>
              <w:t>Outcome 3.1</w:t>
            </w:r>
          </w:p>
          <w:p w14:paraId="69F16687" w14:textId="4DD74B12" w:rsidR="009C132B" w:rsidRPr="0074346B" w:rsidRDefault="009C132B" w:rsidP="00275453">
            <w:pPr>
              <w:pStyle w:val="TableBodyCopy"/>
              <w:spacing w:after="0"/>
            </w:pPr>
            <w:r w:rsidRPr="008216F0">
              <w:t>Governance:</w:t>
            </w:r>
            <w:r w:rsidR="00697717" w:rsidRPr="008216F0">
              <w:t xml:space="preserve"> </w:t>
            </w:r>
            <w:r w:rsidRPr="0074346B">
              <w:t xml:space="preserve">Strengthened policies and systems </w:t>
            </w:r>
            <w:r w:rsidR="008A2B85">
              <w:t>are</w:t>
            </w:r>
            <w:r w:rsidR="008A2B85" w:rsidRPr="0074346B">
              <w:t xml:space="preserve"> </w:t>
            </w:r>
            <w:r w:rsidRPr="0074346B">
              <w:t xml:space="preserve">enabling Solomon Islands </w:t>
            </w:r>
            <w:r w:rsidR="00C60C8A">
              <w:t>G</w:t>
            </w:r>
            <w:r w:rsidRPr="0074346B">
              <w:t>overnment institutions to be more inclusive and accountable to citizens</w:t>
            </w:r>
          </w:p>
        </w:tc>
        <w:tc>
          <w:tcPr>
            <w:tcW w:w="2551" w:type="dxa"/>
            <w:tcBorders>
              <w:bottom w:val="single" w:sz="4" w:space="0" w:color="auto"/>
            </w:tcBorders>
            <w:shd w:val="clear" w:color="auto" w:fill="F0DBD4" w:themeFill="accent5" w:themeFillTint="33"/>
            <w:tcMar>
              <w:left w:w="108" w:type="dxa"/>
              <w:bottom w:w="113" w:type="dxa"/>
              <w:right w:w="108" w:type="dxa"/>
            </w:tcMar>
            <w:hideMark/>
          </w:tcPr>
          <w:p w14:paraId="6CF74B0B" w14:textId="36A9CE43" w:rsidR="009C132B" w:rsidRPr="009258AE" w:rsidRDefault="009C132B" w:rsidP="00275453">
            <w:pPr>
              <w:pStyle w:val="TableBodyCopy"/>
              <w:spacing w:after="0"/>
            </w:pPr>
            <w:r w:rsidRPr="00A4614C">
              <w:t>3.1.1 Policy and technical advice on economic reform and management (including examples and results achieved)</w:t>
            </w:r>
            <w:r w:rsidR="006B3BBE" w:rsidRPr="009258AE">
              <w:t xml:space="preserve"> (Tier</w:t>
            </w:r>
            <w:r w:rsidR="006B3BBE" w:rsidRPr="006B3BBE">
              <w:t> 2)</w:t>
            </w:r>
          </w:p>
        </w:tc>
        <w:tc>
          <w:tcPr>
            <w:tcW w:w="2551" w:type="dxa"/>
            <w:tcBorders>
              <w:bottom w:val="single" w:sz="4" w:space="0" w:color="auto"/>
            </w:tcBorders>
            <w:shd w:val="clear" w:color="auto" w:fill="F0DBD4" w:themeFill="accent5" w:themeFillTint="33"/>
            <w:tcMar>
              <w:left w:w="108" w:type="dxa"/>
              <w:bottom w:w="113" w:type="dxa"/>
              <w:right w:w="108" w:type="dxa"/>
            </w:tcMar>
            <w:hideMark/>
          </w:tcPr>
          <w:p w14:paraId="6606C474" w14:textId="7AFD030D" w:rsidR="009C132B" w:rsidRPr="009C132B" w:rsidRDefault="00064C31" w:rsidP="00275453">
            <w:pPr>
              <w:pStyle w:val="TableBodyCopy"/>
              <w:spacing w:after="0"/>
              <w:rPr>
                <w:szCs w:val="20"/>
                <w:lang w:eastAsia="en-AU"/>
              </w:rPr>
            </w:pPr>
            <w:r>
              <w:rPr>
                <w:szCs w:val="20"/>
                <w:lang w:eastAsia="en-AU"/>
              </w:rPr>
              <w:t>2</w:t>
            </w:r>
            <w:r w:rsidR="004D3A4C">
              <w:rPr>
                <w:szCs w:val="20"/>
                <w:lang w:eastAsia="en-AU"/>
              </w:rPr>
              <w:t> </w:t>
            </w:r>
            <w:r w:rsidR="009C132B" w:rsidRPr="009C132B">
              <w:rPr>
                <w:szCs w:val="20"/>
                <w:lang w:eastAsia="en-AU"/>
              </w:rPr>
              <w:t>examples of policy or technical advice provided which has supported economic reforms or improved management in areas such as domestic resource mobilisation, strengthening public financial management and promoting sound fiscal policy, promoting good governance, and promoting economic growth</w:t>
            </w:r>
          </w:p>
        </w:tc>
        <w:tc>
          <w:tcPr>
            <w:tcW w:w="2551" w:type="dxa"/>
            <w:tcBorders>
              <w:bottom w:val="single" w:sz="4" w:space="0" w:color="auto"/>
            </w:tcBorders>
            <w:shd w:val="clear" w:color="auto" w:fill="F0DBD4" w:themeFill="accent5" w:themeFillTint="33"/>
            <w:tcMar>
              <w:left w:w="108" w:type="dxa"/>
              <w:bottom w:w="113" w:type="dxa"/>
              <w:right w:w="108" w:type="dxa"/>
            </w:tcMar>
            <w:hideMark/>
          </w:tcPr>
          <w:p w14:paraId="2CAB7FDE" w14:textId="6CF8016B" w:rsidR="009C132B" w:rsidRPr="009C132B" w:rsidRDefault="009C132B" w:rsidP="00275453">
            <w:pPr>
              <w:pStyle w:val="TableBodyCopy"/>
              <w:spacing w:after="0"/>
              <w:rPr>
                <w:szCs w:val="20"/>
                <w:lang w:eastAsia="en-AU"/>
              </w:rPr>
            </w:pPr>
            <w:r w:rsidRPr="009C132B">
              <w:rPr>
                <w:szCs w:val="20"/>
                <w:lang w:eastAsia="en-AU"/>
              </w:rPr>
              <w:t>2</w:t>
            </w:r>
            <w:r w:rsidR="004D3A4C">
              <w:rPr>
                <w:szCs w:val="20"/>
                <w:lang w:eastAsia="en-AU"/>
              </w:rPr>
              <w:t> </w:t>
            </w:r>
            <w:r w:rsidRPr="009C132B">
              <w:rPr>
                <w:szCs w:val="20"/>
                <w:lang w:eastAsia="en-AU"/>
              </w:rPr>
              <w:t>examples of policy or technical advice provided which has supported economic reforms or improved management in areas such as domestic resource mobilisation, strengthening public financial management and promoting sound fiscal policy, promoting good governance, and promoting economic growth</w:t>
            </w:r>
          </w:p>
        </w:tc>
        <w:tc>
          <w:tcPr>
            <w:tcW w:w="2551" w:type="dxa"/>
            <w:tcBorders>
              <w:bottom w:val="single" w:sz="4" w:space="0" w:color="auto"/>
            </w:tcBorders>
            <w:shd w:val="clear" w:color="auto" w:fill="F0DBD4" w:themeFill="accent5" w:themeFillTint="33"/>
            <w:tcMar>
              <w:left w:w="108" w:type="dxa"/>
              <w:bottom w:w="113" w:type="dxa"/>
              <w:right w:w="108" w:type="dxa"/>
            </w:tcMar>
            <w:hideMark/>
          </w:tcPr>
          <w:p w14:paraId="4A552670" w14:textId="798A03AF" w:rsidR="009C132B" w:rsidRPr="009C132B" w:rsidRDefault="00064C31" w:rsidP="00275453">
            <w:pPr>
              <w:pStyle w:val="TableBodyCopy"/>
              <w:spacing w:after="0"/>
              <w:rPr>
                <w:szCs w:val="20"/>
                <w:lang w:eastAsia="en-AU"/>
              </w:rPr>
            </w:pPr>
            <w:r>
              <w:rPr>
                <w:szCs w:val="20"/>
                <w:lang w:eastAsia="en-AU"/>
              </w:rPr>
              <w:t>2</w:t>
            </w:r>
            <w:r w:rsidR="004D3A4C">
              <w:rPr>
                <w:szCs w:val="20"/>
                <w:lang w:eastAsia="en-AU"/>
              </w:rPr>
              <w:t> </w:t>
            </w:r>
            <w:r w:rsidR="009C132B" w:rsidRPr="009C132B">
              <w:rPr>
                <w:szCs w:val="20"/>
                <w:lang w:eastAsia="en-AU"/>
              </w:rPr>
              <w:t>examples of policy or technical advice provided which has supported economic reforms or improved management in areas such as domestic resource mobilisation, strengthening public financial management and promoting sound fiscal policy, promoting good governance, and promoting economic growth</w:t>
            </w:r>
          </w:p>
        </w:tc>
        <w:tc>
          <w:tcPr>
            <w:tcW w:w="2551" w:type="dxa"/>
            <w:tcBorders>
              <w:bottom w:val="single" w:sz="4" w:space="0" w:color="auto"/>
            </w:tcBorders>
            <w:shd w:val="clear" w:color="auto" w:fill="F0DBD4" w:themeFill="accent5" w:themeFillTint="33"/>
            <w:tcMar>
              <w:left w:w="108" w:type="dxa"/>
              <w:bottom w:w="113" w:type="dxa"/>
              <w:right w:w="108" w:type="dxa"/>
            </w:tcMar>
            <w:hideMark/>
          </w:tcPr>
          <w:p w14:paraId="7015EE7D" w14:textId="04CCF996" w:rsidR="009C132B" w:rsidRPr="00E47CB3" w:rsidRDefault="009C132B" w:rsidP="00275453">
            <w:pPr>
              <w:pStyle w:val="TableBodyCopy"/>
              <w:spacing w:after="0"/>
            </w:pPr>
            <w:r w:rsidRPr="00E47CB3">
              <w:t xml:space="preserve">SDG8: Decent </w:t>
            </w:r>
            <w:r w:rsidR="00001B91">
              <w:t>w</w:t>
            </w:r>
            <w:r w:rsidRPr="00E47CB3">
              <w:t xml:space="preserve">ork and </w:t>
            </w:r>
            <w:r w:rsidR="00001B91">
              <w:t>e</w:t>
            </w:r>
            <w:r w:rsidRPr="00E47CB3">
              <w:t xml:space="preserve">conomic </w:t>
            </w:r>
            <w:r w:rsidR="00001B91">
              <w:t>g</w:t>
            </w:r>
            <w:r w:rsidRPr="00E47CB3">
              <w:t>rowth</w:t>
            </w:r>
          </w:p>
          <w:p w14:paraId="146B11D9" w14:textId="40E8FC18" w:rsidR="009C132B" w:rsidRPr="00E47CB3" w:rsidRDefault="009C132B" w:rsidP="00275453">
            <w:pPr>
              <w:pStyle w:val="TableBodyCopy"/>
              <w:spacing w:after="0"/>
            </w:pPr>
            <w:r w:rsidRPr="00E47CB3">
              <w:t xml:space="preserve">SDG16: Peace, </w:t>
            </w:r>
            <w:r w:rsidR="00001B91">
              <w:t>j</w:t>
            </w:r>
            <w:r w:rsidRPr="00E47CB3">
              <w:t xml:space="preserve">ustice and </w:t>
            </w:r>
            <w:r w:rsidR="00001B91">
              <w:t>s</w:t>
            </w:r>
            <w:r w:rsidRPr="00E47CB3">
              <w:t xml:space="preserve">trong </w:t>
            </w:r>
            <w:r w:rsidR="00001B91">
              <w:t>i</w:t>
            </w:r>
            <w:r w:rsidRPr="00E47CB3">
              <w:t>nstitutions</w:t>
            </w:r>
          </w:p>
        </w:tc>
      </w:tr>
      <w:tr w:rsidR="00697717" w14:paraId="139EB692" w14:textId="77777777" w:rsidTr="00275453">
        <w:trPr>
          <w:trHeight w:val="465"/>
        </w:trPr>
        <w:tc>
          <w:tcPr>
            <w:tcW w:w="1705"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7225E85F" w14:textId="6FA0FD43" w:rsidR="009C132B" w:rsidRDefault="006B3BBE" w:rsidP="00275453">
            <w:pPr>
              <w:pStyle w:val="TableBodyCopybold"/>
              <w:spacing w:after="0"/>
              <w:rPr>
                <w:lang w:eastAsia="en-AU"/>
              </w:rPr>
            </w:pPr>
            <w:r w:rsidRPr="00575D31">
              <w:rPr>
                <w:lang w:eastAsia="en-AU"/>
              </w:rPr>
              <w:t>Outcome 3.1</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2FD596B3" w14:textId="0AD5C432" w:rsidR="009C132B" w:rsidRPr="00E47CB3" w:rsidRDefault="009C132B" w:rsidP="00275453">
            <w:pPr>
              <w:pStyle w:val="TableBodyCopy"/>
              <w:spacing w:after="0"/>
            </w:pPr>
            <w:r w:rsidRPr="00E47CB3">
              <w:t>3.1.2 Number of media outlets supported to strengthen their capacity and integrity of reporting</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3AF55B3F" w14:textId="2397F57C" w:rsidR="009C132B" w:rsidRPr="00E47CB3" w:rsidRDefault="001B4B62" w:rsidP="00275453">
            <w:pPr>
              <w:pStyle w:val="TableBodyCopy"/>
              <w:spacing w:after="0"/>
            </w:pPr>
            <w:r>
              <w:t>10 </w:t>
            </w:r>
            <w:r w:rsidR="009C132B" w:rsidRPr="00E47CB3">
              <w:t>media outlets supported across all mediums (online</w:t>
            </w:r>
            <w:r w:rsidR="00FC3E46">
              <w:t xml:space="preserve">, </w:t>
            </w:r>
            <w:r w:rsidR="009C132B" w:rsidRPr="00E47CB3">
              <w:t>print</w:t>
            </w:r>
            <w:r w:rsidR="00FC3E46">
              <w:t xml:space="preserve"> and </w:t>
            </w:r>
            <w:r w:rsidR="009C132B" w:rsidRPr="00E47CB3">
              <w:t>broadcast)</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6087998B" w14:textId="43ECC697" w:rsidR="009C132B" w:rsidRPr="00700477" w:rsidRDefault="001B4B62" w:rsidP="00275453">
            <w:pPr>
              <w:pStyle w:val="TableBodyCopy"/>
              <w:spacing w:after="0"/>
            </w:pPr>
            <w:r>
              <w:t>10 </w:t>
            </w:r>
            <w:r w:rsidR="009C132B" w:rsidRPr="00700477">
              <w:t>media outlets supported across all mediums (online</w:t>
            </w:r>
            <w:r w:rsidR="006459B6">
              <w:t xml:space="preserve">, </w:t>
            </w:r>
            <w:r w:rsidR="009C132B" w:rsidRPr="00700477">
              <w:t>print</w:t>
            </w:r>
            <w:r w:rsidR="006459B6">
              <w:t xml:space="preserve"> and</w:t>
            </w:r>
            <w:r w:rsidR="00BB22F9" w:rsidRPr="00700477">
              <w:t xml:space="preserve"> </w:t>
            </w:r>
            <w:r w:rsidR="009C132B" w:rsidRPr="00700477">
              <w:t>broadcast)</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6304374C" w14:textId="6D346FDB" w:rsidR="009C132B" w:rsidRPr="00700477" w:rsidRDefault="001B4B62" w:rsidP="00275453">
            <w:pPr>
              <w:pStyle w:val="TableBodyCopy"/>
              <w:spacing w:after="0"/>
            </w:pPr>
            <w:r>
              <w:t>10 </w:t>
            </w:r>
            <w:r w:rsidR="009C132B" w:rsidRPr="00700477">
              <w:t>media outlets supported across all mediums (online</w:t>
            </w:r>
            <w:r w:rsidR="006459B6">
              <w:t xml:space="preserve">, </w:t>
            </w:r>
            <w:r w:rsidR="009C132B" w:rsidRPr="00700477">
              <w:t>print</w:t>
            </w:r>
            <w:r w:rsidR="006459B6">
              <w:t xml:space="preserve"> and</w:t>
            </w:r>
            <w:r w:rsidR="00BB22F9" w:rsidRPr="00700477">
              <w:t xml:space="preserve"> </w:t>
            </w:r>
            <w:r w:rsidR="009C132B" w:rsidRPr="00700477">
              <w:t>broadcast)</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4C67FFCE" w14:textId="77777777" w:rsidR="00A915D0" w:rsidRDefault="009C132B" w:rsidP="00275453">
            <w:pPr>
              <w:pStyle w:val="TableBodyCopy"/>
              <w:spacing w:after="0"/>
            </w:pPr>
            <w:r w:rsidRPr="00700477">
              <w:t xml:space="preserve">SDG4: Quality </w:t>
            </w:r>
            <w:r w:rsidR="00001B91">
              <w:t>e</w:t>
            </w:r>
            <w:r w:rsidRPr="00700477">
              <w:t>ducation</w:t>
            </w:r>
          </w:p>
          <w:p w14:paraId="1D9C636B" w14:textId="3F446A1B" w:rsidR="009C132B" w:rsidRPr="00700477" w:rsidRDefault="009C132B" w:rsidP="00275453">
            <w:pPr>
              <w:pStyle w:val="TableBodyCopy"/>
              <w:spacing w:after="0"/>
            </w:pPr>
            <w:r w:rsidRPr="00700477">
              <w:t>SDG16</w:t>
            </w:r>
          </w:p>
        </w:tc>
      </w:tr>
      <w:tr w:rsidR="00697717" w:rsidRPr="00575D31" w14:paraId="3987E8B5" w14:textId="77777777" w:rsidTr="00275453">
        <w:tblPrEx>
          <w:tblBorders>
            <w:top w:val="outset" w:sz="6" w:space="0" w:color="auto"/>
            <w:left w:val="outset" w:sz="6" w:space="0" w:color="auto"/>
            <w:bottom w:val="outset" w:sz="6" w:space="0" w:color="auto"/>
            <w:right w:val="outset" w:sz="6" w:space="0" w:color="auto"/>
          </w:tblBorders>
        </w:tblPrEx>
        <w:trPr>
          <w:trHeight w:val="465"/>
        </w:trPr>
        <w:tc>
          <w:tcPr>
            <w:tcW w:w="1705"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4ACEC971" w14:textId="01BEDD31" w:rsidR="009C132B" w:rsidRPr="00575D31" w:rsidRDefault="006B3BBE" w:rsidP="00275453">
            <w:pPr>
              <w:pStyle w:val="TableBodyCopybold"/>
              <w:spacing w:after="0"/>
              <w:rPr>
                <w:rFonts w:ascii="Times New Roman" w:hAnsi="Times New Roman"/>
                <w:sz w:val="24"/>
                <w:szCs w:val="24"/>
                <w:lang w:eastAsia="en-AU"/>
              </w:rPr>
            </w:pPr>
            <w:r w:rsidRPr="00575D31">
              <w:rPr>
                <w:lang w:eastAsia="en-AU"/>
              </w:rPr>
              <w:t>Outcome 3.1</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hideMark/>
          </w:tcPr>
          <w:p w14:paraId="7A12DC0C" w14:textId="7E0469B6" w:rsidR="009C132B" w:rsidRPr="00700477" w:rsidRDefault="009C132B" w:rsidP="00275453">
            <w:pPr>
              <w:pStyle w:val="TableBodyCopy"/>
              <w:spacing w:after="0"/>
            </w:pPr>
            <w:r w:rsidRPr="00700477">
              <w:t xml:space="preserve">3.1.3 Number of </w:t>
            </w:r>
            <w:r w:rsidR="00BB22F9" w:rsidRPr="00700477">
              <w:t xml:space="preserve">government </w:t>
            </w:r>
            <w:r w:rsidRPr="00700477">
              <w:t>institutions, organisations or systems (by type and level) Australia has supported in the reporting period to strengthen accountability and/or inclusion, including examples of assistance provided and significant policy change achieved</w:t>
            </w:r>
            <w:r w:rsidR="006B3BBE" w:rsidRPr="00700477">
              <w:t xml:space="preserve"> (Tier 2)</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tcPr>
          <w:p w14:paraId="0BB1B64E" w14:textId="7C4CC81B" w:rsidR="009C132B" w:rsidRPr="00700477" w:rsidRDefault="009C132B" w:rsidP="00275453">
            <w:pPr>
              <w:pStyle w:val="TableBodyCopy"/>
              <w:spacing w:after="0"/>
            </w:pPr>
            <w:r w:rsidRPr="00700477">
              <w:t>4</w:t>
            </w:r>
            <w:r w:rsidR="00654B20">
              <w:t> g</w:t>
            </w:r>
            <w:r w:rsidRPr="00700477">
              <w:t>overnment institutions supported</w:t>
            </w:r>
            <w:r w:rsidR="00654B20">
              <w:t>:</w:t>
            </w:r>
            <w:r w:rsidRPr="00700477">
              <w:t xml:space="preserve"> Solomon Islands Electoral Commission; Ministry of Finance and Treasury; Office of the Auditor General; Office of the Prime Minister and Cabinet</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tcPr>
          <w:p w14:paraId="3C0A8C78" w14:textId="73B67726" w:rsidR="009C132B" w:rsidRPr="00700477" w:rsidRDefault="009C132B" w:rsidP="00275453">
            <w:pPr>
              <w:pStyle w:val="TableBodyCopy"/>
              <w:spacing w:after="0"/>
            </w:pPr>
            <w:r w:rsidRPr="00700477">
              <w:t>4</w:t>
            </w:r>
            <w:r w:rsidR="00654B20">
              <w:t> g</w:t>
            </w:r>
            <w:r w:rsidRPr="00700477">
              <w:t>overnment institutions supported</w:t>
            </w:r>
            <w:r w:rsidR="00654B20">
              <w:t>:</w:t>
            </w:r>
            <w:r w:rsidRPr="00700477">
              <w:t xml:space="preserve"> Solomon Islands Electoral Commission; Ministry of Finance and Treasury; Office of the Auditor General; Office of the Prime Minister and Cabinet</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tcPr>
          <w:p w14:paraId="6B591812" w14:textId="5B166DF8" w:rsidR="009C132B" w:rsidRPr="00700477" w:rsidRDefault="009C132B" w:rsidP="00275453">
            <w:pPr>
              <w:pStyle w:val="TableBodyCopy"/>
              <w:spacing w:after="0"/>
            </w:pPr>
            <w:r w:rsidRPr="00700477">
              <w:t>4</w:t>
            </w:r>
            <w:r w:rsidR="00654B20">
              <w:t> g</w:t>
            </w:r>
            <w:r w:rsidRPr="00700477">
              <w:t>overnment institutions supported</w:t>
            </w:r>
            <w:r w:rsidR="00654B20">
              <w:t>:</w:t>
            </w:r>
            <w:r w:rsidRPr="00700477">
              <w:t xml:space="preserve"> Solomon Islands Electoral Commission; Ministry of Finance and Treasury; Office of the Auditor General; Office of the Prime Minister and Cabinet</w:t>
            </w:r>
          </w:p>
        </w:tc>
        <w:tc>
          <w:tcPr>
            <w:tcW w:w="2551" w:type="dxa"/>
            <w:tcBorders>
              <w:top w:val="single" w:sz="4" w:space="0" w:color="auto"/>
              <w:left w:val="single" w:sz="4" w:space="0" w:color="auto"/>
              <w:bottom w:val="single" w:sz="4" w:space="0" w:color="auto"/>
              <w:right w:val="single" w:sz="4" w:space="0" w:color="auto"/>
            </w:tcBorders>
            <w:shd w:val="clear" w:color="auto" w:fill="F0DBD4" w:themeFill="accent5" w:themeFillTint="33"/>
            <w:tcMar>
              <w:left w:w="108" w:type="dxa"/>
              <w:bottom w:w="113" w:type="dxa"/>
              <w:right w:w="108" w:type="dxa"/>
            </w:tcMar>
          </w:tcPr>
          <w:p w14:paraId="53FD5A8E" w14:textId="44BC0E86" w:rsidR="009C132B" w:rsidRPr="00700477" w:rsidRDefault="009C132B" w:rsidP="00275453">
            <w:pPr>
              <w:pStyle w:val="TableBodyCopy"/>
              <w:spacing w:after="0"/>
            </w:pPr>
            <w:r w:rsidRPr="00700477">
              <w:t>SDG16</w:t>
            </w:r>
          </w:p>
        </w:tc>
      </w:tr>
      <w:tr w:rsidR="00697717" w:rsidRPr="00575D31" w14:paraId="6D3CBE3F" w14:textId="77777777" w:rsidTr="00275453">
        <w:trPr>
          <w:trHeight w:val="465"/>
        </w:trPr>
        <w:tc>
          <w:tcPr>
            <w:tcW w:w="1705" w:type="dxa"/>
            <w:tcBorders>
              <w:top w:val="single" w:sz="4" w:space="0" w:color="auto"/>
            </w:tcBorders>
            <w:shd w:val="clear" w:color="auto" w:fill="F0DBD4" w:themeFill="accent5" w:themeFillTint="33"/>
            <w:tcMar>
              <w:left w:w="108" w:type="dxa"/>
              <w:bottom w:w="113" w:type="dxa"/>
              <w:right w:w="108" w:type="dxa"/>
            </w:tcMar>
            <w:hideMark/>
          </w:tcPr>
          <w:p w14:paraId="2DF7298B" w14:textId="6AC8C4CC" w:rsidR="00A408BC" w:rsidRPr="00575D31" w:rsidRDefault="006B3BBE" w:rsidP="00275453">
            <w:pPr>
              <w:pStyle w:val="TableBodyCopybold"/>
              <w:rPr>
                <w:rFonts w:ascii="Times New Roman" w:hAnsi="Times New Roman"/>
                <w:sz w:val="24"/>
                <w:szCs w:val="24"/>
                <w:lang w:eastAsia="en-AU"/>
              </w:rPr>
            </w:pPr>
            <w:r w:rsidRPr="00575D31">
              <w:rPr>
                <w:lang w:eastAsia="en-AU"/>
              </w:rPr>
              <w:lastRenderedPageBreak/>
              <w:t>Outcome 3.1</w:t>
            </w:r>
          </w:p>
        </w:tc>
        <w:tc>
          <w:tcPr>
            <w:tcW w:w="2551" w:type="dxa"/>
            <w:tcBorders>
              <w:top w:val="single" w:sz="4" w:space="0" w:color="auto"/>
            </w:tcBorders>
            <w:shd w:val="clear" w:color="auto" w:fill="F0DBD4" w:themeFill="accent5" w:themeFillTint="33"/>
            <w:tcMar>
              <w:left w:w="108" w:type="dxa"/>
              <w:bottom w:w="113" w:type="dxa"/>
              <w:right w:w="108" w:type="dxa"/>
            </w:tcMar>
            <w:hideMark/>
          </w:tcPr>
          <w:p w14:paraId="7E017F67" w14:textId="76FB4940" w:rsidR="00A408BC" w:rsidRPr="00700477" w:rsidRDefault="00A408BC" w:rsidP="00700477">
            <w:pPr>
              <w:pStyle w:val="TableBodyCopy"/>
              <w:rPr>
                <w:color w:val="000000" w:themeColor="text1"/>
              </w:rPr>
            </w:pPr>
            <w:r w:rsidRPr="00700477">
              <w:t>3.1.4 Number of civil society organisations or systems (by type and level) Australia has supported in the reporting period to strengthen accountability and/or inclusion, including examples of assistance provided and significant policy change achieved</w:t>
            </w:r>
            <w:r w:rsidR="006B3BBE" w:rsidRPr="00700477">
              <w:t xml:space="preserve"> (Tier</w:t>
            </w:r>
            <w:r w:rsidR="006B3BBE">
              <w:t> </w:t>
            </w:r>
            <w:r w:rsidR="006B3BBE" w:rsidRPr="00700477">
              <w:t>2)</w:t>
            </w:r>
          </w:p>
        </w:tc>
        <w:tc>
          <w:tcPr>
            <w:tcW w:w="2551" w:type="dxa"/>
            <w:tcBorders>
              <w:top w:val="single" w:sz="4" w:space="0" w:color="auto"/>
            </w:tcBorders>
            <w:shd w:val="clear" w:color="auto" w:fill="F0DBD4" w:themeFill="accent5" w:themeFillTint="33"/>
            <w:tcMar>
              <w:left w:w="108" w:type="dxa"/>
              <w:bottom w:w="113" w:type="dxa"/>
              <w:right w:w="108" w:type="dxa"/>
            </w:tcMar>
          </w:tcPr>
          <w:p w14:paraId="1A817E51" w14:textId="507C6D98" w:rsidR="00A408BC" w:rsidRPr="00700477" w:rsidRDefault="00A408BC" w:rsidP="00700477">
            <w:pPr>
              <w:pStyle w:val="TableBodyCopy"/>
            </w:pPr>
            <w:r w:rsidRPr="00700477">
              <w:t>28</w:t>
            </w:r>
            <w:r w:rsidR="00522F38">
              <w:t> </w:t>
            </w:r>
            <w:r w:rsidRPr="00700477">
              <w:t>organisations</w:t>
            </w:r>
          </w:p>
        </w:tc>
        <w:tc>
          <w:tcPr>
            <w:tcW w:w="2551" w:type="dxa"/>
            <w:tcBorders>
              <w:top w:val="single" w:sz="4" w:space="0" w:color="auto"/>
            </w:tcBorders>
            <w:shd w:val="clear" w:color="auto" w:fill="F0DBD4" w:themeFill="accent5" w:themeFillTint="33"/>
            <w:tcMar>
              <w:left w:w="108" w:type="dxa"/>
              <w:bottom w:w="113" w:type="dxa"/>
              <w:right w:w="108" w:type="dxa"/>
            </w:tcMar>
          </w:tcPr>
          <w:p w14:paraId="74D7B27A" w14:textId="018BD4EE" w:rsidR="00A408BC" w:rsidRPr="00327064" w:rsidRDefault="00A408BC" w:rsidP="00700477">
            <w:pPr>
              <w:pStyle w:val="TableBodyCopy"/>
            </w:pPr>
            <w:r w:rsidRPr="00327064">
              <w:t>30</w:t>
            </w:r>
            <w:r w:rsidR="00522F38">
              <w:t> </w:t>
            </w:r>
            <w:r w:rsidRPr="00327064">
              <w:t>organisations</w:t>
            </w:r>
          </w:p>
        </w:tc>
        <w:tc>
          <w:tcPr>
            <w:tcW w:w="2551" w:type="dxa"/>
            <w:tcBorders>
              <w:top w:val="single" w:sz="4" w:space="0" w:color="auto"/>
            </w:tcBorders>
            <w:shd w:val="clear" w:color="auto" w:fill="F0DBD4" w:themeFill="accent5" w:themeFillTint="33"/>
            <w:tcMar>
              <w:left w:w="108" w:type="dxa"/>
              <w:bottom w:w="113" w:type="dxa"/>
              <w:right w:w="108" w:type="dxa"/>
            </w:tcMar>
          </w:tcPr>
          <w:p w14:paraId="11E6F659" w14:textId="0DD32C7D" w:rsidR="00A408BC" w:rsidRPr="00327064" w:rsidRDefault="00A408BC" w:rsidP="00700477">
            <w:pPr>
              <w:pStyle w:val="TableBodyCopy"/>
            </w:pPr>
            <w:r w:rsidRPr="00327064">
              <w:t>35</w:t>
            </w:r>
            <w:r w:rsidR="00522F38">
              <w:t> </w:t>
            </w:r>
            <w:r w:rsidRPr="00327064">
              <w:t>organisations</w:t>
            </w:r>
          </w:p>
        </w:tc>
        <w:tc>
          <w:tcPr>
            <w:tcW w:w="2551" w:type="dxa"/>
            <w:tcBorders>
              <w:top w:val="single" w:sz="4" w:space="0" w:color="auto"/>
            </w:tcBorders>
            <w:shd w:val="clear" w:color="auto" w:fill="F0DBD4" w:themeFill="accent5" w:themeFillTint="33"/>
            <w:tcMar>
              <w:left w:w="108" w:type="dxa"/>
              <w:bottom w:w="113" w:type="dxa"/>
              <w:right w:w="108" w:type="dxa"/>
            </w:tcMar>
          </w:tcPr>
          <w:p w14:paraId="1584F6C3" w14:textId="16CDF5B3" w:rsidR="00F26692" w:rsidRDefault="00A408BC" w:rsidP="003B5664">
            <w:pPr>
              <w:pStyle w:val="TableBodyCopy"/>
            </w:pPr>
            <w:r w:rsidRPr="00327064">
              <w:t>SDG4</w:t>
            </w:r>
          </w:p>
          <w:p w14:paraId="03ABEFEA" w14:textId="7657A360" w:rsidR="00F26692" w:rsidRDefault="00A408BC" w:rsidP="003B5664">
            <w:pPr>
              <w:pStyle w:val="TableBodyCopy"/>
            </w:pPr>
            <w:r w:rsidRPr="00327064">
              <w:t xml:space="preserve">SDG5: Gender </w:t>
            </w:r>
            <w:r w:rsidR="00001B91">
              <w:t>e</w:t>
            </w:r>
            <w:r w:rsidRPr="00327064">
              <w:t>quality</w:t>
            </w:r>
          </w:p>
          <w:p w14:paraId="6642D26D" w14:textId="1B23816E" w:rsidR="00F26692" w:rsidRDefault="00A408BC" w:rsidP="003B5664">
            <w:pPr>
              <w:pStyle w:val="TableBodyCopy"/>
            </w:pPr>
            <w:r w:rsidRPr="00327064">
              <w:t xml:space="preserve">SDG10: Reduced </w:t>
            </w:r>
            <w:r w:rsidR="00001B91">
              <w:t>i</w:t>
            </w:r>
            <w:r w:rsidRPr="00327064">
              <w:t>nequalities</w:t>
            </w:r>
          </w:p>
          <w:p w14:paraId="30D47680" w14:textId="0DFCF44B" w:rsidR="00F26692" w:rsidRDefault="00A408BC" w:rsidP="003B5664">
            <w:pPr>
              <w:pStyle w:val="TableBodyCopy"/>
            </w:pPr>
            <w:r w:rsidRPr="00327064">
              <w:t xml:space="preserve">SDG11: Sustainable </w:t>
            </w:r>
            <w:r w:rsidR="00001B91">
              <w:t>c</w:t>
            </w:r>
            <w:r w:rsidRPr="00327064">
              <w:t xml:space="preserve">ities and </w:t>
            </w:r>
            <w:r w:rsidR="00001B91">
              <w:t>c</w:t>
            </w:r>
            <w:r w:rsidRPr="00327064">
              <w:t>ommunities</w:t>
            </w:r>
          </w:p>
          <w:p w14:paraId="648569E7" w14:textId="435F0F22" w:rsidR="00A408BC" w:rsidRPr="00327064" w:rsidRDefault="00A408BC" w:rsidP="003B5664">
            <w:pPr>
              <w:pStyle w:val="TableBodyCopy"/>
            </w:pPr>
            <w:r w:rsidRPr="00327064">
              <w:t>SDG16</w:t>
            </w:r>
          </w:p>
        </w:tc>
      </w:tr>
      <w:tr w:rsidR="00697717" w:rsidRPr="00575D31" w14:paraId="48A9B8D3" w14:textId="77777777" w:rsidTr="00275453">
        <w:trPr>
          <w:trHeight w:val="465"/>
        </w:trPr>
        <w:tc>
          <w:tcPr>
            <w:tcW w:w="1705" w:type="dxa"/>
            <w:shd w:val="clear" w:color="auto" w:fill="F0DBD4" w:themeFill="accent5" w:themeFillTint="33"/>
            <w:tcMar>
              <w:left w:w="108" w:type="dxa"/>
              <w:bottom w:w="113" w:type="dxa"/>
              <w:right w:w="108" w:type="dxa"/>
            </w:tcMar>
          </w:tcPr>
          <w:p w14:paraId="0322658E" w14:textId="77777777" w:rsidR="00F410BF" w:rsidRPr="00700477" w:rsidRDefault="00F410BF" w:rsidP="00700477">
            <w:pPr>
              <w:pStyle w:val="TableBodyCopybold"/>
            </w:pPr>
            <w:r w:rsidRPr="00700477">
              <w:t>Outcome 3.2</w:t>
            </w:r>
          </w:p>
          <w:p w14:paraId="48D2A5CE" w14:textId="500E4F2B" w:rsidR="00F410BF" w:rsidRPr="00575D31" w:rsidRDefault="00F410BF" w:rsidP="00700477">
            <w:pPr>
              <w:pStyle w:val="TableBodyCopy"/>
              <w:rPr>
                <w:lang w:eastAsia="en-AU"/>
              </w:rPr>
            </w:pPr>
            <w:r w:rsidRPr="00700477">
              <w:t>Climate change and disaster resilience:</w:t>
            </w:r>
            <w:r w:rsidR="00697717" w:rsidRPr="00700477">
              <w:t xml:space="preserve"> </w:t>
            </w:r>
            <w:r w:rsidRPr="00B02BAE">
              <w:t>Support to</w:t>
            </w:r>
            <w:r w:rsidR="00B2559C" w:rsidRPr="00B02BAE">
              <w:t xml:space="preserve"> government,</w:t>
            </w:r>
            <w:r w:rsidRPr="00B02BAE">
              <w:t xml:space="preserve"> civil society and communities equips them to adapt to climate change and prepare for and respond to disasters</w:t>
            </w:r>
          </w:p>
        </w:tc>
        <w:tc>
          <w:tcPr>
            <w:tcW w:w="2551" w:type="dxa"/>
            <w:shd w:val="clear" w:color="auto" w:fill="F0DBD4" w:themeFill="accent5" w:themeFillTint="33"/>
            <w:tcMar>
              <w:left w:w="108" w:type="dxa"/>
              <w:bottom w:w="113" w:type="dxa"/>
              <w:right w:w="108" w:type="dxa"/>
            </w:tcMar>
          </w:tcPr>
          <w:p w14:paraId="542FAD0C" w14:textId="05AA6902" w:rsidR="00F410BF" w:rsidRPr="00700477" w:rsidRDefault="00F410BF" w:rsidP="00700477">
            <w:pPr>
              <w:pStyle w:val="TableBodyCopy"/>
            </w:pPr>
            <w:r w:rsidRPr="00700477">
              <w:t>3.2.1 Number of people for whom Australia’s investments</w:t>
            </w:r>
            <w:r w:rsidR="00EC23DD">
              <w:t xml:space="preserve"> </w:t>
            </w:r>
            <w:r w:rsidRPr="00700477">
              <w:t>have improved adaptation to climate change and resilience to disasters</w:t>
            </w:r>
            <w:r w:rsidR="006B3BBE" w:rsidRPr="00377E38">
              <w:t xml:space="preserve"> (Tier</w:t>
            </w:r>
            <w:r w:rsidR="006B3BBE">
              <w:t> </w:t>
            </w:r>
            <w:r w:rsidR="006B3BBE" w:rsidRPr="00377E38">
              <w:t>2)</w:t>
            </w:r>
          </w:p>
        </w:tc>
        <w:tc>
          <w:tcPr>
            <w:tcW w:w="2551" w:type="dxa"/>
            <w:shd w:val="clear" w:color="auto" w:fill="F0DBD4" w:themeFill="accent5" w:themeFillTint="33"/>
            <w:tcMar>
              <w:left w:w="108" w:type="dxa"/>
              <w:bottom w:w="113" w:type="dxa"/>
              <w:right w:w="108" w:type="dxa"/>
            </w:tcMar>
          </w:tcPr>
          <w:p w14:paraId="440E7DB3" w14:textId="64E27566" w:rsidR="00F410BF" w:rsidRPr="00700477" w:rsidRDefault="00F410BF" w:rsidP="00700477">
            <w:pPr>
              <w:pStyle w:val="TableBodyCopy"/>
            </w:pPr>
            <w:r w:rsidRPr="00700477">
              <w:t>13,600</w:t>
            </w:r>
            <w:r w:rsidR="00522F38">
              <w:t> </w:t>
            </w:r>
            <w:r w:rsidRPr="00700477">
              <w:t>people</w:t>
            </w:r>
          </w:p>
        </w:tc>
        <w:tc>
          <w:tcPr>
            <w:tcW w:w="2551" w:type="dxa"/>
            <w:shd w:val="clear" w:color="auto" w:fill="F0DBD4" w:themeFill="accent5" w:themeFillTint="33"/>
            <w:tcMar>
              <w:left w:w="108" w:type="dxa"/>
              <w:bottom w:w="113" w:type="dxa"/>
              <w:right w:w="108" w:type="dxa"/>
            </w:tcMar>
          </w:tcPr>
          <w:p w14:paraId="7AF91BC8" w14:textId="7153673E" w:rsidR="00F410BF" w:rsidRPr="00700477" w:rsidRDefault="00F410BF" w:rsidP="00700477">
            <w:pPr>
              <w:pStyle w:val="TableBodyCopy"/>
            </w:pPr>
            <w:r w:rsidRPr="00700477">
              <w:t>14,400</w:t>
            </w:r>
            <w:r w:rsidR="00522F38">
              <w:t> </w:t>
            </w:r>
            <w:r w:rsidRPr="00700477">
              <w:t>people</w:t>
            </w:r>
          </w:p>
        </w:tc>
        <w:tc>
          <w:tcPr>
            <w:tcW w:w="2551" w:type="dxa"/>
            <w:shd w:val="clear" w:color="auto" w:fill="F0DBD4" w:themeFill="accent5" w:themeFillTint="33"/>
            <w:tcMar>
              <w:left w:w="108" w:type="dxa"/>
              <w:bottom w:w="113" w:type="dxa"/>
              <w:right w:w="108" w:type="dxa"/>
            </w:tcMar>
          </w:tcPr>
          <w:p w14:paraId="41ABCD1B" w14:textId="4BF1507A" w:rsidR="00F410BF" w:rsidRPr="00700477" w:rsidRDefault="00F410BF" w:rsidP="00700477">
            <w:pPr>
              <w:pStyle w:val="TableBodyCopy"/>
            </w:pPr>
            <w:r w:rsidRPr="00700477">
              <w:t>15,300</w:t>
            </w:r>
            <w:r w:rsidR="00522F38">
              <w:t> </w:t>
            </w:r>
            <w:r w:rsidRPr="00700477">
              <w:t>people</w:t>
            </w:r>
          </w:p>
        </w:tc>
        <w:tc>
          <w:tcPr>
            <w:tcW w:w="2551" w:type="dxa"/>
            <w:shd w:val="clear" w:color="auto" w:fill="F0DBD4" w:themeFill="accent5" w:themeFillTint="33"/>
            <w:tcMar>
              <w:left w:w="108" w:type="dxa"/>
              <w:bottom w:w="113" w:type="dxa"/>
              <w:right w:w="108" w:type="dxa"/>
            </w:tcMar>
          </w:tcPr>
          <w:p w14:paraId="53D672F2" w14:textId="359178A2" w:rsidR="000D2091" w:rsidRDefault="00F410BF" w:rsidP="003B5664">
            <w:pPr>
              <w:pStyle w:val="TableBodyCopy"/>
            </w:pPr>
            <w:r w:rsidRPr="00700477">
              <w:t>SDG11</w:t>
            </w:r>
          </w:p>
          <w:p w14:paraId="76E84B9D" w14:textId="06A3C558" w:rsidR="00F410BF" w:rsidRPr="00700477" w:rsidRDefault="00F410BF" w:rsidP="003B5664">
            <w:pPr>
              <w:pStyle w:val="TableBodyCopy"/>
            </w:pPr>
            <w:r w:rsidRPr="00700477">
              <w:t xml:space="preserve">SDG13: Climate </w:t>
            </w:r>
            <w:r w:rsidR="00001B91">
              <w:t>a</w:t>
            </w:r>
            <w:r w:rsidRPr="00700477">
              <w:t>ction</w:t>
            </w:r>
          </w:p>
        </w:tc>
      </w:tr>
      <w:tr w:rsidR="00697717" w:rsidRPr="00575D31" w14:paraId="48C0CF6D" w14:textId="77777777" w:rsidTr="00275453">
        <w:trPr>
          <w:cantSplit/>
          <w:trHeight w:val="465"/>
        </w:trPr>
        <w:tc>
          <w:tcPr>
            <w:tcW w:w="1705" w:type="dxa"/>
            <w:shd w:val="clear" w:color="auto" w:fill="F0DBD4" w:themeFill="accent5" w:themeFillTint="33"/>
            <w:tcMar>
              <w:left w:w="108" w:type="dxa"/>
              <w:bottom w:w="113" w:type="dxa"/>
              <w:right w:w="108" w:type="dxa"/>
            </w:tcMar>
          </w:tcPr>
          <w:p w14:paraId="25317B77" w14:textId="4359E3D7" w:rsidR="00F410BF" w:rsidRPr="00700477" w:rsidRDefault="005C6E03" w:rsidP="00700477">
            <w:pPr>
              <w:pStyle w:val="TableBodyCopybold"/>
              <w:rPr>
                <w:lang w:eastAsia="en-AU"/>
              </w:rPr>
            </w:pPr>
            <w:r w:rsidRPr="00575D31">
              <w:rPr>
                <w:lang w:eastAsia="en-AU"/>
              </w:rPr>
              <w:lastRenderedPageBreak/>
              <w:t xml:space="preserve">Outcome </w:t>
            </w:r>
            <w:r>
              <w:rPr>
                <w:lang w:eastAsia="en-AU"/>
              </w:rPr>
              <w:t>3.2</w:t>
            </w:r>
          </w:p>
        </w:tc>
        <w:tc>
          <w:tcPr>
            <w:tcW w:w="2551" w:type="dxa"/>
            <w:shd w:val="clear" w:color="auto" w:fill="F0DBD4" w:themeFill="accent5" w:themeFillTint="33"/>
            <w:tcMar>
              <w:left w:w="108" w:type="dxa"/>
              <w:bottom w:w="113" w:type="dxa"/>
              <w:right w:w="108" w:type="dxa"/>
            </w:tcMar>
          </w:tcPr>
          <w:p w14:paraId="765A5440" w14:textId="33AEC860" w:rsidR="00F410BF" w:rsidRPr="005C6E03" w:rsidRDefault="00F410BF" w:rsidP="00700477">
            <w:pPr>
              <w:pStyle w:val="TableBodyCopy"/>
            </w:pPr>
            <w:r w:rsidRPr="00700477">
              <w:t>3.2.2 Number and value of investments that are contributing to low-emissions development pathways or are supporting mitigation activities and improving climate change adaptation and disaster resilience</w:t>
            </w:r>
            <w:r w:rsidR="005C6E03" w:rsidRPr="00377E38">
              <w:t xml:space="preserve"> (Tier</w:t>
            </w:r>
            <w:r w:rsidR="005C6E03">
              <w:t> </w:t>
            </w:r>
            <w:r w:rsidR="005C6E03" w:rsidRPr="00377E38">
              <w:t>2)</w:t>
            </w:r>
          </w:p>
        </w:tc>
        <w:tc>
          <w:tcPr>
            <w:tcW w:w="2551" w:type="dxa"/>
            <w:shd w:val="clear" w:color="auto" w:fill="F0DBD4" w:themeFill="accent5" w:themeFillTint="33"/>
            <w:tcMar>
              <w:left w:w="108" w:type="dxa"/>
              <w:bottom w:w="113" w:type="dxa"/>
              <w:right w:w="108" w:type="dxa"/>
            </w:tcMar>
          </w:tcPr>
          <w:p w14:paraId="2C71FD5B" w14:textId="3EBAA247" w:rsidR="00F410BF" w:rsidRPr="00700477" w:rsidRDefault="00F410BF" w:rsidP="00700477">
            <w:pPr>
              <w:pStyle w:val="TableBodyCopy"/>
            </w:pPr>
            <w:r w:rsidRPr="00700477">
              <w:t>15</w:t>
            </w:r>
            <w:r w:rsidR="00522F38">
              <w:t> </w:t>
            </w:r>
            <w:r w:rsidRPr="00700477">
              <w:t>investments</w:t>
            </w:r>
          </w:p>
          <w:p w14:paraId="025F1B28" w14:textId="43BCF152" w:rsidR="00F410BF" w:rsidRPr="00700477" w:rsidRDefault="00F410BF" w:rsidP="005B49FC">
            <w:pPr>
              <w:pStyle w:val="TableBodyCopy"/>
            </w:pPr>
            <w:r w:rsidRPr="00700477">
              <w:t>AUD6.2</w:t>
            </w:r>
            <w:r w:rsidR="009016F2">
              <w:t> </w:t>
            </w:r>
            <w:r w:rsidRPr="00700477">
              <w:t>million</w:t>
            </w:r>
          </w:p>
        </w:tc>
        <w:tc>
          <w:tcPr>
            <w:tcW w:w="2551" w:type="dxa"/>
            <w:shd w:val="clear" w:color="auto" w:fill="F0DBD4" w:themeFill="accent5" w:themeFillTint="33"/>
            <w:tcMar>
              <w:left w:w="108" w:type="dxa"/>
              <w:bottom w:w="113" w:type="dxa"/>
              <w:right w:w="108" w:type="dxa"/>
            </w:tcMar>
          </w:tcPr>
          <w:p w14:paraId="4EB5B4F3" w14:textId="25839B73" w:rsidR="00F410BF" w:rsidRPr="005B49FC" w:rsidRDefault="00F410BF" w:rsidP="005B49FC">
            <w:pPr>
              <w:pStyle w:val="TableBodyCopy"/>
            </w:pPr>
            <w:r w:rsidRPr="005B49FC">
              <w:t>14</w:t>
            </w:r>
            <w:r w:rsidR="00522F38">
              <w:t> </w:t>
            </w:r>
            <w:r w:rsidRPr="005B49FC">
              <w:t>investments</w:t>
            </w:r>
          </w:p>
          <w:p w14:paraId="15A18368" w14:textId="58864215" w:rsidR="00F410BF" w:rsidRPr="005B49FC" w:rsidRDefault="00F410BF" w:rsidP="005B49FC">
            <w:pPr>
              <w:pStyle w:val="TableBodyCopy"/>
            </w:pPr>
            <w:r w:rsidRPr="005B49FC">
              <w:t>AUD5.5</w:t>
            </w:r>
            <w:r w:rsidR="009016F2">
              <w:t> </w:t>
            </w:r>
            <w:r w:rsidRPr="005B49FC">
              <w:t>million</w:t>
            </w:r>
          </w:p>
        </w:tc>
        <w:tc>
          <w:tcPr>
            <w:tcW w:w="2551" w:type="dxa"/>
            <w:shd w:val="clear" w:color="auto" w:fill="F0DBD4" w:themeFill="accent5" w:themeFillTint="33"/>
            <w:tcMar>
              <w:left w:w="108" w:type="dxa"/>
              <w:bottom w:w="113" w:type="dxa"/>
              <w:right w:w="108" w:type="dxa"/>
            </w:tcMar>
          </w:tcPr>
          <w:p w14:paraId="3F25A7E4" w14:textId="2709DA92" w:rsidR="00F410BF" w:rsidRPr="005B49FC" w:rsidRDefault="00F410BF" w:rsidP="005B49FC">
            <w:pPr>
              <w:pStyle w:val="TableBodyCopy"/>
            </w:pPr>
            <w:r w:rsidRPr="005B49FC">
              <w:t>14</w:t>
            </w:r>
            <w:r w:rsidR="00522F38">
              <w:t> </w:t>
            </w:r>
            <w:r w:rsidRPr="005B49FC">
              <w:t>investments</w:t>
            </w:r>
          </w:p>
          <w:p w14:paraId="703AF742" w14:textId="5B9E72C9" w:rsidR="00F410BF" w:rsidRPr="005B49FC" w:rsidRDefault="00F410BF" w:rsidP="005B49FC">
            <w:pPr>
              <w:pStyle w:val="TableBodyCopy"/>
            </w:pPr>
            <w:r w:rsidRPr="005B49FC">
              <w:t>AUD5.5</w:t>
            </w:r>
            <w:r w:rsidR="009016F2">
              <w:t> </w:t>
            </w:r>
            <w:r w:rsidRPr="005B49FC">
              <w:t>million</w:t>
            </w:r>
          </w:p>
        </w:tc>
        <w:tc>
          <w:tcPr>
            <w:tcW w:w="2551" w:type="dxa"/>
            <w:shd w:val="clear" w:color="auto" w:fill="F0DBD4" w:themeFill="accent5" w:themeFillTint="33"/>
            <w:tcMar>
              <w:left w:w="108" w:type="dxa"/>
              <w:bottom w:w="113" w:type="dxa"/>
              <w:right w:w="108" w:type="dxa"/>
            </w:tcMar>
          </w:tcPr>
          <w:p w14:paraId="57764FA2" w14:textId="1F15B5B4" w:rsidR="00855C15" w:rsidRDefault="00F410BF" w:rsidP="003B5664">
            <w:pPr>
              <w:pStyle w:val="TableBodyCopy"/>
            </w:pPr>
            <w:r w:rsidRPr="005B49FC">
              <w:t>SDG11</w:t>
            </w:r>
          </w:p>
          <w:p w14:paraId="5490AD85" w14:textId="1EE8724A" w:rsidR="00855C15" w:rsidRDefault="00F410BF" w:rsidP="003B5664">
            <w:pPr>
              <w:pStyle w:val="TableBodyCopy"/>
            </w:pPr>
            <w:r w:rsidRPr="005B49FC">
              <w:t xml:space="preserve">SDG12: Responsible </w:t>
            </w:r>
            <w:r w:rsidR="00001B91">
              <w:t>c</w:t>
            </w:r>
            <w:r w:rsidRPr="005B49FC">
              <w:t xml:space="preserve">onsumption and </w:t>
            </w:r>
            <w:r w:rsidR="00001B91">
              <w:t>p</w:t>
            </w:r>
            <w:r w:rsidRPr="005B49FC">
              <w:t>roduction</w:t>
            </w:r>
          </w:p>
          <w:p w14:paraId="212CA4F3" w14:textId="5851C8C9" w:rsidR="00F410BF" w:rsidRPr="005B49FC" w:rsidRDefault="00F410BF" w:rsidP="003B5664">
            <w:pPr>
              <w:pStyle w:val="TableBodyCopy"/>
            </w:pPr>
            <w:r w:rsidRPr="005B49FC">
              <w:t>SDG13</w:t>
            </w:r>
          </w:p>
        </w:tc>
      </w:tr>
      <w:tr w:rsidR="00697717" w:rsidRPr="00575D31" w14:paraId="2A96613E" w14:textId="77777777" w:rsidTr="00275453">
        <w:trPr>
          <w:trHeight w:val="465"/>
        </w:trPr>
        <w:tc>
          <w:tcPr>
            <w:tcW w:w="1705" w:type="dxa"/>
            <w:shd w:val="clear" w:color="auto" w:fill="F0DBD4" w:themeFill="accent5" w:themeFillTint="33"/>
            <w:tcMar>
              <w:left w:w="108" w:type="dxa"/>
              <w:bottom w:w="113" w:type="dxa"/>
              <w:right w:w="108" w:type="dxa"/>
            </w:tcMar>
          </w:tcPr>
          <w:p w14:paraId="36EE071B" w14:textId="77777777" w:rsidR="00F410BF" w:rsidRPr="005B49FC" w:rsidRDefault="00F410BF" w:rsidP="005B49FC">
            <w:pPr>
              <w:pStyle w:val="TableBodyCopybold"/>
            </w:pPr>
            <w:r w:rsidRPr="005B49FC">
              <w:t>Outcome 3.3</w:t>
            </w:r>
          </w:p>
          <w:p w14:paraId="1A216088" w14:textId="2671DE72" w:rsidR="00F410BF" w:rsidRPr="007A6EC6" w:rsidRDefault="00A53334" w:rsidP="005B49FC">
            <w:pPr>
              <w:pStyle w:val="TableBodyCopy"/>
            </w:pPr>
            <w:r>
              <w:t>Security and s</w:t>
            </w:r>
            <w:r w:rsidR="00F410BF" w:rsidRPr="005B49FC">
              <w:t>tability</w:t>
            </w:r>
            <w:r w:rsidR="00697717" w:rsidRPr="005B49FC">
              <w:t xml:space="preserve">: </w:t>
            </w:r>
            <w:r w:rsidR="00F410BF" w:rsidRPr="00B02BAE">
              <w:t xml:space="preserve">Enhanced capacity in </w:t>
            </w:r>
            <w:r w:rsidR="0016767D">
              <w:t xml:space="preserve">policing, </w:t>
            </w:r>
            <w:r w:rsidR="00F410BF" w:rsidRPr="00B02BAE">
              <w:t>maritime security, rule of law</w:t>
            </w:r>
            <w:r w:rsidR="0016767D">
              <w:t>,</w:t>
            </w:r>
            <w:r w:rsidR="00F410BF" w:rsidRPr="00B02BAE">
              <w:t xml:space="preserve"> border security</w:t>
            </w:r>
            <w:r w:rsidR="0016767D">
              <w:t>,</w:t>
            </w:r>
            <w:r w:rsidR="00F410BF" w:rsidRPr="00B02BAE">
              <w:t xml:space="preserve"> cybersecurity and </w:t>
            </w:r>
            <w:r w:rsidR="0016767D">
              <w:t>the justice sector</w:t>
            </w:r>
          </w:p>
        </w:tc>
        <w:tc>
          <w:tcPr>
            <w:tcW w:w="2551" w:type="dxa"/>
            <w:shd w:val="clear" w:color="auto" w:fill="F0DBD4" w:themeFill="accent5" w:themeFillTint="33"/>
            <w:tcMar>
              <w:left w:w="108" w:type="dxa"/>
              <w:bottom w:w="113" w:type="dxa"/>
              <w:right w:w="108" w:type="dxa"/>
            </w:tcMar>
          </w:tcPr>
          <w:p w14:paraId="0D8110E9" w14:textId="5DEC9DCE" w:rsidR="00F410BF" w:rsidRPr="00B02BAE" w:rsidRDefault="00F410BF" w:rsidP="005B49FC">
            <w:pPr>
              <w:pStyle w:val="TableBodyCopy"/>
            </w:pPr>
            <w:r w:rsidRPr="00B02BAE">
              <w:t>3.3.1 Solomon Islands resilience and ability to manage its maritime domain, border and cyber threats is strengthened through capacity building and data</w:t>
            </w:r>
            <w:r w:rsidR="006B2692">
              <w:t xml:space="preserve"> and </w:t>
            </w:r>
            <w:r w:rsidRPr="00B02BAE">
              <w:t>information sharing</w:t>
            </w:r>
          </w:p>
        </w:tc>
        <w:tc>
          <w:tcPr>
            <w:tcW w:w="2551" w:type="dxa"/>
            <w:shd w:val="clear" w:color="auto" w:fill="F0DBD4" w:themeFill="accent5" w:themeFillTint="33"/>
            <w:tcMar>
              <w:left w:w="108" w:type="dxa"/>
              <w:bottom w:w="113" w:type="dxa"/>
              <w:right w:w="108" w:type="dxa"/>
            </w:tcMar>
          </w:tcPr>
          <w:p w14:paraId="4D0E4582" w14:textId="149DE3D5" w:rsidR="00F410BF" w:rsidRPr="007A6EC6" w:rsidRDefault="00132E27" w:rsidP="007A6EC6">
            <w:pPr>
              <w:pStyle w:val="TableBodyCopy"/>
            </w:pPr>
            <w:r>
              <w:t>Australian Border Force</w:t>
            </w:r>
            <w:r w:rsidR="00F410BF" w:rsidRPr="007A6EC6">
              <w:t xml:space="preserve"> in</w:t>
            </w:r>
            <w:r w:rsidR="005F1721">
              <w:noBreakHyphen/>
            </w:r>
            <w:r w:rsidR="00F410BF" w:rsidRPr="007A6EC6">
              <w:t xml:space="preserve">country </w:t>
            </w:r>
            <w:r>
              <w:t xml:space="preserve">training </w:t>
            </w:r>
            <w:r w:rsidR="00F410BF" w:rsidRPr="007A6EC6">
              <w:t>on operational command, investigations, and border fundamentals for Solomon Islands Customs and Excise Division, Solomon Islands Immigration Division and other border agencies</w:t>
            </w:r>
          </w:p>
          <w:p w14:paraId="46384FDB" w14:textId="617785FA" w:rsidR="00F410BF" w:rsidRPr="007A6EC6" w:rsidRDefault="00F410BF" w:rsidP="007A6EC6">
            <w:pPr>
              <w:pStyle w:val="TableBodyCopy"/>
            </w:pPr>
            <w:r w:rsidRPr="007A6EC6">
              <w:t xml:space="preserve">Border Management System is sustained by </w:t>
            </w:r>
            <w:r w:rsidR="000F7096">
              <w:t>the Solomon Islands Government</w:t>
            </w:r>
          </w:p>
          <w:p w14:paraId="2B726368" w14:textId="364A40D7" w:rsidR="00F410BF" w:rsidRPr="007A6EC6" w:rsidRDefault="00F410BF" w:rsidP="007A6EC6">
            <w:pPr>
              <w:pStyle w:val="TableBodyCopy"/>
            </w:pPr>
            <w:r w:rsidRPr="007A6EC6">
              <w:t xml:space="preserve">Defence training to </w:t>
            </w:r>
            <w:r w:rsidR="00C57CEA">
              <w:t xml:space="preserve">the </w:t>
            </w:r>
            <w:r w:rsidR="006642B4">
              <w:t>Royal Solomon Islands Police Force (</w:t>
            </w:r>
            <w:r w:rsidRPr="007A6EC6">
              <w:t>RSIPF</w:t>
            </w:r>
            <w:r w:rsidR="006642B4">
              <w:t>)</w:t>
            </w:r>
            <w:r w:rsidRPr="007A6EC6">
              <w:t xml:space="preserve"> Maritime </w:t>
            </w:r>
            <w:r w:rsidR="005D62C2">
              <w:t>Division</w:t>
            </w:r>
            <w:r w:rsidRPr="007A6EC6">
              <w:t xml:space="preserve"> in support of the operation of </w:t>
            </w:r>
            <w:r w:rsidR="00965882">
              <w:t>2 </w:t>
            </w:r>
            <w:r w:rsidRPr="007A6EC6">
              <w:t xml:space="preserve">Guardian-class </w:t>
            </w:r>
            <w:r w:rsidR="00965882">
              <w:t>p</w:t>
            </w:r>
            <w:r w:rsidRPr="007A6EC6">
              <w:t xml:space="preserve">atrol </w:t>
            </w:r>
            <w:r w:rsidR="00965882">
              <w:t>b</w:t>
            </w:r>
            <w:r w:rsidRPr="007A6EC6">
              <w:t>oats</w:t>
            </w:r>
          </w:p>
        </w:tc>
        <w:tc>
          <w:tcPr>
            <w:tcW w:w="2551" w:type="dxa"/>
            <w:shd w:val="clear" w:color="auto" w:fill="F0DBD4" w:themeFill="accent5" w:themeFillTint="33"/>
            <w:tcMar>
              <w:left w:w="108" w:type="dxa"/>
              <w:bottom w:w="113" w:type="dxa"/>
              <w:right w:w="108" w:type="dxa"/>
            </w:tcMar>
          </w:tcPr>
          <w:p w14:paraId="5E5C5F6D" w14:textId="083A15B5" w:rsidR="00F410BF" w:rsidRPr="007A6EC6" w:rsidRDefault="00132E27" w:rsidP="007A6EC6">
            <w:pPr>
              <w:pStyle w:val="TableBodyCopy"/>
            </w:pPr>
            <w:r>
              <w:t>Australian Border Force</w:t>
            </w:r>
            <w:r w:rsidR="00F410BF" w:rsidRPr="007A6EC6">
              <w:t xml:space="preserve"> in</w:t>
            </w:r>
            <w:r w:rsidR="005F1721">
              <w:noBreakHyphen/>
            </w:r>
            <w:r w:rsidR="00F410BF" w:rsidRPr="007A6EC6">
              <w:t xml:space="preserve">country </w:t>
            </w:r>
            <w:r>
              <w:t xml:space="preserve">training </w:t>
            </w:r>
            <w:r w:rsidR="00F410BF" w:rsidRPr="007A6EC6">
              <w:t xml:space="preserve">on operational command, investigations, and border fundamentals for </w:t>
            </w:r>
            <w:r w:rsidR="00764725">
              <w:t>Solomon Islands Customs and Excise Division</w:t>
            </w:r>
            <w:r w:rsidR="00F410BF" w:rsidRPr="007A6EC6">
              <w:t xml:space="preserve">, </w:t>
            </w:r>
            <w:r w:rsidR="00A522FF">
              <w:t>Solomon Islands Immigration Division</w:t>
            </w:r>
            <w:r w:rsidR="00F410BF" w:rsidRPr="007A6EC6">
              <w:t xml:space="preserve"> and other border agencies</w:t>
            </w:r>
          </w:p>
        </w:tc>
        <w:tc>
          <w:tcPr>
            <w:tcW w:w="2551" w:type="dxa"/>
            <w:shd w:val="clear" w:color="auto" w:fill="F0DBD4" w:themeFill="accent5" w:themeFillTint="33"/>
            <w:tcMar>
              <w:left w:w="108" w:type="dxa"/>
              <w:bottom w:w="113" w:type="dxa"/>
              <w:right w:w="108" w:type="dxa"/>
            </w:tcMar>
          </w:tcPr>
          <w:p w14:paraId="18C5BFDA" w14:textId="641AC6EE" w:rsidR="00F410BF" w:rsidRPr="007A6EC6" w:rsidRDefault="00F410BF" w:rsidP="007A6EC6">
            <w:pPr>
              <w:pStyle w:val="TableBodyCopy"/>
            </w:pPr>
            <w:r w:rsidRPr="007A6EC6">
              <w:t>Border Management System is independently managed by Solomon Islands Immigration Division, under the Ministry of Commerce, Industr</w:t>
            </w:r>
            <w:r w:rsidR="006642B4">
              <w:t>y</w:t>
            </w:r>
            <w:r w:rsidRPr="007A6EC6">
              <w:t>, Labour and Immigration</w:t>
            </w:r>
          </w:p>
        </w:tc>
        <w:tc>
          <w:tcPr>
            <w:tcW w:w="2551" w:type="dxa"/>
            <w:shd w:val="clear" w:color="auto" w:fill="F0DBD4" w:themeFill="accent5" w:themeFillTint="33"/>
            <w:tcMar>
              <w:left w:w="108" w:type="dxa"/>
              <w:bottom w:w="113" w:type="dxa"/>
              <w:right w:w="108" w:type="dxa"/>
            </w:tcMar>
          </w:tcPr>
          <w:p w14:paraId="755DCD35" w14:textId="438B0C16" w:rsidR="00F410BF" w:rsidRPr="007A6EC6" w:rsidRDefault="00F410BF" w:rsidP="007A6EC6">
            <w:pPr>
              <w:pStyle w:val="TableBodyCopy"/>
            </w:pPr>
            <w:r w:rsidRPr="007A6EC6">
              <w:t>SDG4</w:t>
            </w:r>
            <w:r w:rsidR="00001B91">
              <w:t xml:space="preserve">, </w:t>
            </w:r>
            <w:r w:rsidRPr="007A6EC6">
              <w:t>SDG16</w:t>
            </w:r>
          </w:p>
        </w:tc>
      </w:tr>
      <w:tr w:rsidR="00B02BAE" w:rsidRPr="00575D31" w14:paraId="2B5EB9AF" w14:textId="77777777" w:rsidTr="00275453">
        <w:trPr>
          <w:cantSplit/>
          <w:trHeight w:val="465"/>
        </w:trPr>
        <w:tc>
          <w:tcPr>
            <w:tcW w:w="1705" w:type="dxa"/>
            <w:shd w:val="clear" w:color="auto" w:fill="F0DBD4" w:themeFill="accent5" w:themeFillTint="33"/>
            <w:tcMar>
              <w:left w:w="108" w:type="dxa"/>
              <w:bottom w:w="113" w:type="dxa"/>
              <w:right w:w="108" w:type="dxa"/>
            </w:tcMar>
          </w:tcPr>
          <w:p w14:paraId="62E6F55F" w14:textId="47A5F2DB" w:rsidR="00F410BF" w:rsidRPr="00575D31" w:rsidRDefault="00B02BAE" w:rsidP="008216F0">
            <w:pPr>
              <w:pStyle w:val="TableBodyCopybold"/>
            </w:pPr>
            <w:r w:rsidRPr="007A6EC6">
              <w:lastRenderedPageBreak/>
              <w:t>Outcome 3.3</w:t>
            </w:r>
          </w:p>
        </w:tc>
        <w:tc>
          <w:tcPr>
            <w:tcW w:w="2551" w:type="dxa"/>
            <w:shd w:val="clear" w:color="auto" w:fill="F0DBD4" w:themeFill="accent5" w:themeFillTint="33"/>
            <w:tcMar>
              <w:left w:w="108" w:type="dxa"/>
              <w:bottom w:w="113" w:type="dxa"/>
              <w:right w:w="108" w:type="dxa"/>
            </w:tcMar>
          </w:tcPr>
          <w:p w14:paraId="51602DFA" w14:textId="7BF0D13F" w:rsidR="00F410BF" w:rsidRPr="00B02BAE" w:rsidRDefault="00F410BF" w:rsidP="007A6EC6">
            <w:pPr>
              <w:pStyle w:val="TableBodyCopy"/>
            </w:pPr>
            <w:r w:rsidRPr="00B02BAE">
              <w:t xml:space="preserve">3.3.2 Improved rule of law through support to </w:t>
            </w:r>
            <w:r w:rsidR="00C57CEA">
              <w:t xml:space="preserve">the </w:t>
            </w:r>
            <w:r w:rsidRPr="00B02BAE">
              <w:t>RSIPF and broader law and justice sector policy advice and training</w:t>
            </w:r>
          </w:p>
        </w:tc>
        <w:tc>
          <w:tcPr>
            <w:tcW w:w="2551" w:type="dxa"/>
            <w:shd w:val="clear" w:color="auto" w:fill="F0DBD4" w:themeFill="accent5" w:themeFillTint="33"/>
            <w:tcMar>
              <w:left w:w="108" w:type="dxa"/>
              <w:bottom w:w="113" w:type="dxa"/>
              <w:right w:w="108" w:type="dxa"/>
            </w:tcMar>
          </w:tcPr>
          <w:p w14:paraId="7C6F5C10" w14:textId="637DB231" w:rsidR="00F410BF" w:rsidRPr="007A6EC6" w:rsidRDefault="00F410BF" w:rsidP="007A6EC6">
            <w:pPr>
              <w:pStyle w:val="TableBodyCopy"/>
            </w:pPr>
            <w:r w:rsidRPr="007A6EC6">
              <w:t>1</w:t>
            </w:r>
            <w:r w:rsidR="00BC6B42">
              <w:t>0</w:t>
            </w:r>
            <w:r w:rsidR="00C57CEA">
              <w:t> g</w:t>
            </w:r>
            <w:r w:rsidRPr="007A6EC6">
              <w:t xml:space="preserve">overnment </w:t>
            </w:r>
            <w:r w:rsidR="00137EE1">
              <w:t>i</w:t>
            </w:r>
            <w:r w:rsidRPr="007A6EC6">
              <w:t>nstitutions supported</w:t>
            </w:r>
            <w:r w:rsidR="00C57CEA">
              <w:t>:</w:t>
            </w:r>
            <w:r w:rsidRPr="007A6EC6">
              <w:t xml:space="preserve"> Ministry </w:t>
            </w:r>
            <w:r w:rsidR="00217EE4">
              <w:t xml:space="preserve">of </w:t>
            </w:r>
            <w:r w:rsidRPr="007A6EC6">
              <w:t>Justice and Legal Affairs (MJLA)</w:t>
            </w:r>
            <w:r w:rsidR="00217EE4">
              <w:t>;</w:t>
            </w:r>
            <w:r w:rsidRPr="007A6EC6">
              <w:t xml:space="preserve"> Ministry of Police, National Security and Correctional Services (MPNSCS)</w:t>
            </w:r>
            <w:r w:rsidR="00F24909">
              <w:t>;</w:t>
            </w:r>
            <w:r w:rsidRPr="007A6EC6">
              <w:t xml:space="preserve"> Attorney</w:t>
            </w:r>
            <w:r w:rsidR="00ED2FD3">
              <w:t xml:space="preserve"> </w:t>
            </w:r>
            <w:r w:rsidRPr="007A6EC6">
              <w:t>General</w:t>
            </w:r>
            <w:r w:rsidR="00ED2FD3">
              <w:t>’</w:t>
            </w:r>
            <w:r w:rsidRPr="007A6EC6">
              <w:t>s Chambers</w:t>
            </w:r>
            <w:r w:rsidR="00ED2FD3">
              <w:t>;</w:t>
            </w:r>
            <w:r w:rsidRPr="007A6EC6">
              <w:t xml:space="preserve"> Registrar General’s Office</w:t>
            </w:r>
            <w:r w:rsidR="00C84425">
              <w:t>;</w:t>
            </w:r>
            <w:r w:rsidRPr="007A6EC6">
              <w:t xml:space="preserve"> </w:t>
            </w:r>
            <w:r w:rsidR="00E87361">
              <w:t>Solomon Islands</w:t>
            </w:r>
            <w:r w:rsidRPr="007A6EC6">
              <w:t xml:space="preserve"> Law Reform Commission</w:t>
            </w:r>
            <w:r w:rsidR="00E87361">
              <w:t>;</w:t>
            </w:r>
            <w:r w:rsidRPr="007A6EC6">
              <w:t xml:space="preserve"> Public Solicitor’s Office</w:t>
            </w:r>
            <w:r w:rsidR="00B36537">
              <w:t>;</w:t>
            </w:r>
            <w:r w:rsidRPr="007A6EC6">
              <w:t xml:space="preserve"> Office of the Director of Public Prosecutions</w:t>
            </w:r>
            <w:r w:rsidR="00896233">
              <w:t>;</w:t>
            </w:r>
            <w:r w:rsidRPr="007A6EC6">
              <w:t xml:space="preserve"> Correctional Service</w:t>
            </w:r>
            <w:r w:rsidR="00F72F74">
              <w:t xml:space="preserve"> of the Solomon Islands;</w:t>
            </w:r>
            <w:r w:rsidRPr="007A6EC6">
              <w:t xml:space="preserve"> RSIPF</w:t>
            </w:r>
            <w:r w:rsidR="00F72F74">
              <w:t>;</w:t>
            </w:r>
            <w:r w:rsidR="00C57CEA">
              <w:t xml:space="preserve"> </w:t>
            </w:r>
            <w:r w:rsidRPr="007A6EC6">
              <w:t>national judiciary</w:t>
            </w:r>
          </w:p>
          <w:p w14:paraId="5A809DAB" w14:textId="38CEB1B5" w:rsidR="00F410BF" w:rsidRPr="007A6EC6" w:rsidRDefault="00F410BF" w:rsidP="007A6EC6">
            <w:pPr>
              <w:pStyle w:val="TableBodyCopy"/>
            </w:pPr>
            <w:r w:rsidRPr="007A6EC6">
              <w:t xml:space="preserve">Continued delivery of </w:t>
            </w:r>
            <w:r w:rsidR="00F1557E">
              <w:t xml:space="preserve">the </w:t>
            </w:r>
            <w:r w:rsidR="00B80122" w:rsidRPr="6144B121">
              <w:t xml:space="preserve">Royal Solomon Islands Police Force </w:t>
            </w:r>
            <w:r w:rsidR="00B80122">
              <w:t xml:space="preserve">—Australian Federal Police </w:t>
            </w:r>
            <w:r w:rsidR="00B80122" w:rsidRPr="6144B121">
              <w:t>Policing Partnership Program</w:t>
            </w:r>
            <w:r w:rsidR="00B80122" w:rsidRPr="007A6EC6">
              <w:t xml:space="preserve"> </w:t>
            </w:r>
            <w:r w:rsidR="009870CA">
              <w:t>(</w:t>
            </w:r>
            <w:r w:rsidRPr="007A6EC6">
              <w:t>RAPPP</w:t>
            </w:r>
            <w:r w:rsidR="009870CA">
              <w:t>)</w:t>
            </w:r>
            <w:r w:rsidRPr="007A6EC6">
              <w:t xml:space="preserve"> through the provision of technical policing and enabling advisory support and assistance to the RSIPF to identify, target and combat emerging crime and security issues</w:t>
            </w:r>
          </w:p>
        </w:tc>
        <w:tc>
          <w:tcPr>
            <w:tcW w:w="2551" w:type="dxa"/>
            <w:shd w:val="clear" w:color="auto" w:fill="F0DBD4" w:themeFill="accent5" w:themeFillTint="33"/>
            <w:tcMar>
              <w:left w:w="108" w:type="dxa"/>
              <w:bottom w:w="113" w:type="dxa"/>
              <w:right w:w="108" w:type="dxa"/>
            </w:tcMar>
          </w:tcPr>
          <w:p w14:paraId="76784F40" w14:textId="6829ED19" w:rsidR="00F410BF" w:rsidRPr="007A6EC6" w:rsidRDefault="00F410BF" w:rsidP="007A6EC6">
            <w:pPr>
              <w:pStyle w:val="TableBodyCopy"/>
            </w:pPr>
            <w:r w:rsidRPr="007A6EC6">
              <w:t>1</w:t>
            </w:r>
            <w:r w:rsidR="00B61C27">
              <w:t>0</w:t>
            </w:r>
            <w:r w:rsidR="00C57CEA">
              <w:t> g</w:t>
            </w:r>
            <w:r w:rsidRPr="007A6EC6">
              <w:t xml:space="preserve">overnment </w:t>
            </w:r>
            <w:r w:rsidR="00137EE1">
              <w:t>i</w:t>
            </w:r>
            <w:r w:rsidRPr="007A6EC6">
              <w:t>nstitutions supported</w:t>
            </w:r>
            <w:r w:rsidR="00C57CEA">
              <w:t>:</w:t>
            </w:r>
            <w:r w:rsidRPr="007A6EC6">
              <w:t xml:space="preserve"> MJLA</w:t>
            </w:r>
            <w:r w:rsidR="00F24909">
              <w:t>;</w:t>
            </w:r>
            <w:r w:rsidRPr="007A6EC6">
              <w:t xml:space="preserve"> MPNSCS</w:t>
            </w:r>
            <w:r w:rsidR="00F24909">
              <w:t>;</w:t>
            </w:r>
            <w:r w:rsidRPr="007A6EC6">
              <w:t xml:space="preserve"> Attorney</w:t>
            </w:r>
            <w:r w:rsidR="00ED2FD3">
              <w:t xml:space="preserve"> </w:t>
            </w:r>
            <w:r w:rsidRPr="007A6EC6">
              <w:t>General</w:t>
            </w:r>
            <w:r w:rsidR="00ED2FD3">
              <w:t>’</w:t>
            </w:r>
            <w:r w:rsidRPr="007A6EC6">
              <w:t>s Chambers</w:t>
            </w:r>
            <w:r w:rsidR="00900682">
              <w:t>;</w:t>
            </w:r>
            <w:r w:rsidRPr="007A6EC6">
              <w:t xml:space="preserve"> Registrar General’s Office</w:t>
            </w:r>
            <w:r w:rsidR="00C84425">
              <w:t>;</w:t>
            </w:r>
            <w:r w:rsidRPr="007A6EC6">
              <w:t xml:space="preserve"> </w:t>
            </w:r>
            <w:r w:rsidR="00E87361">
              <w:t>Solomon Islands</w:t>
            </w:r>
            <w:r w:rsidRPr="007A6EC6">
              <w:t xml:space="preserve"> Law Reform Commission</w:t>
            </w:r>
            <w:r w:rsidR="00E87361">
              <w:t>;</w:t>
            </w:r>
            <w:r w:rsidRPr="007A6EC6">
              <w:t xml:space="preserve"> Public Solicitor’s Office</w:t>
            </w:r>
            <w:r w:rsidR="00B36537">
              <w:t>;</w:t>
            </w:r>
            <w:r w:rsidRPr="007A6EC6">
              <w:t xml:space="preserve"> Office of the Director of Public Prosecutions</w:t>
            </w:r>
            <w:r w:rsidR="00896233">
              <w:t>;</w:t>
            </w:r>
            <w:r w:rsidRPr="007A6EC6">
              <w:t xml:space="preserve"> Correctional Service</w:t>
            </w:r>
            <w:r w:rsidR="00F72F74">
              <w:t xml:space="preserve"> of the Solomon Islands;</w:t>
            </w:r>
            <w:r w:rsidRPr="007A6EC6">
              <w:t xml:space="preserve"> RSIPF</w:t>
            </w:r>
            <w:r w:rsidR="005F6BB5">
              <w:t>;</w:t>
            </w:r>
            <w:r w:rsidR="00C57CEA">
              <w:t xml:space="preserve"> </w:t>
            </w:r>
            <w:r w:rsidRPr="007A6EC6">
              <w:t>national judiciary</w:t>
            </w:r>
          </w:p>
          <w:p w14:paraId="132D868F" w14:textId="1018B194" w:rsidR="00F410BF" w:rsidRPr="007A6EC6" w:rsidRDefault="00F410BF" w:rsidP="007A6EC6">
            <w:pPr>
              <w:pStyle w:val="TableBodyCopy"/>
            </w:pPr>
            <w:r w:rsidRPr="007A6EC6">
              <w:t xml:space="preserve">Continued delivery of </w:t>
            </w:r>
            <w:r w:rsidR="00F1557E">
              <w:t xml:space="preserve">the </w:t>
            </w:r>
            <w:r w:rsidRPr="007A6EC6">
              <w:t>RAPPP through the provision of technical policing and enabling advisory support and assistance to the RSIPF to identify, target and combat emerging crime and security issues</w:t>
            </w:r>
          </w:p>
        </w:tc>
        <w:tc>
          <w:tcPr>
            <w:tcW w:w="2551" w:type="dxa"/>
            <w:shd w:val="clear" w:color="auto" w:fill="F0DBD4" w:themeFill="accent5" w:themeFillTint="33"/>
            <w:tcMar>
              <w:left w:w="108" w:type="dxa"/>
              <w:bottom w:w="113" w:type="dxa"/>
              <w:right w:w="108" w:type="dxa"/>
            </w:tcMar>
          </w:tcPr>
          <w:p w14:paraId="548FE2D5" w14:textId="2B79B61E" w:rsidR="00F410BF" w:rsidRPr="007A6EC6" w:rsidRDefault="00F410BF" w:rsidP="007A6EC6">
            <w:pPr>
              <w:pStyle w:val="TableBodyCopy"/>
            </w:pPr>
            <w:r w:rsidRPr="007A6EC6">
              <w:t>1</w:t>
            </w:r>
            <w:r w:rsidR="00B61C27">
              <w:t>0</w:t>
            </w:r>
            <w:r w:rsidR="00C57CEA">
              <w:t> g</w:t>
            </w:r>
            <w:r w:rsidRPr="007A6EC6">
              <w:t xml:space="preserve">overnment </w:t>
            </w:r>
            <w:r w:rsidR="00137EE1">
              <w:t>i</w:t>
            </w:r>
            <w:r w:rsidRPr="007A6EC6">
              <w:t>nstitutions supported</w:t>
            </w:r>
            <w:r w:rsidR="00C57CEA">
              <w:t>:</w:t>
            </w:r>
            <w:r w:rsidRPr="007A6EC6">
              <w:t xml:space="preserve"> MJLA</w:t>
            </w:r>
            <w:r w:rsidR="00F24909">
              <w:t>;</w:t>
            </w:r>
            <w:r w:rsidRPr="007A6EC6">
              <w:t xml:space="preserve"> MPNSCS</w:t>
            </w:r>
            <w:r w:rsidR="00F24909">
              <w:t>;</w:t>
            </w:r>
            <w:r w:rsidRPr="007A6EC6">
              <w:t xml:space="preserve"> Attorney</w:t>
            </w:r>
            <w:r w:rsidR="00900682">
              <w:t xml:space="preserve"> </w:t>
            </w:r>
            <w:r w:rsidRPr="007A6EC6">
              <w:t>General</w:t>
            </w:r>
            <w:r w:rsidR="00900682">
              <w:t>’</w:t>
            </w:r>
            <w:r w:rsidRPr="007A6EC6">
              <w:t>s Chambers</w:t>
            </w:r>
            <w:r w:rsidR="00900682">
              <w:t>;</w:t>
            </w:r>
            <w:r w:rsidRPr="007A6EC6">
              <w:t xml:space="preserve"> Registrar General’s Office</w:t>
            </w:r>
            <w:r w:rsidR="00C84425">
              <w:t>;</w:t>
            </w:r>
            <w:r w:rsidRPr="007A6EC6">
              <w:t xml:space="preserve"> </w:t>
            </w:r>
            <w:r w:rsidR="00E87361">
              <w:t>Solomon Islands</w:t>
            </w:r>
            <w:r w:rsidRPr="007A6EC6">
              <w:t xml:space="preserve"> Law Reform Commission</w:t>
            </w:r>
            <w:r w:rsidR="00E87361">
              <w:t>;</w:t>
            </w:r>
            <w:r w:rsidRPr="007A6EC6">
              <w:t xml:space="preserve"> Public Solicitor’s Office</w:t>
            </w:r>
            <w:r w:rsidR="00B36537">
              <w:t>;</w:t>
            </w:r>
            <w:r w:rsidRPr="007A6EC6">
              <w:t xml:space="preserve"> Office of the Director of Public Prosecutions</w:t>
            </w:r>
            <w:r w:rsidR="00896233">
              <w:t>;</w:t>
            </w:r>
            <w:r w:rsidRPr="007A6EC6">
              <w:t xml:space="preserve"> Correctional Service</w:t>
            </w:r>
            <w:r w:rsidR="00F72F74">
              <w:t xml:space="preserve"> of the Solomon Islands;</w:t>
            </w:r>
            <w:r w:rsidRPr="007A6EC6">
              <w:t xml:space="preserve"> RSIPF</w:t>
            </w:r>
            <w:r w:rsidR="005F6BB5">
              <w:t>;</w:t>
            </w:r>
            <w:r w:rsidR="00C57CEA">
              <w:t xml:space="preserve"> </w:t>
            </w:r>
            <w:r w:rsidRPr="007A6EC6">
              <w:t>national judiciary</w:t>
            </w:r>
          </w:p>
        </w:tc>
        <w:tc>
          <w:tcPr>
            <w:tcW w:w="2551" w:type="dxa"/>
            <w:shd w:val="clear" w:color="auto" w:fill="F0DBD4" w:themeFill="accent5" w:themeFillTint="33"/>
            <w:tcMar>
              <w:left w:w="108" w:type="dxa"/>
              <w:bottom w:w="113" w:type="dxa"/>
              <w:right w:w="108" w:type="dxa"/>
            </w:tcMar>
          </w:tcPr>
          <w:p w14:paraId="170B6642" w14:textId="298DEF13" w:rsidR="00F410BF" w:rsidRPr="007A6EC6" w:rsidRDefault="00F410BF" w:rsidP="007A6EC6">
            <w:pPr>
              <w:pStyle w:val="TableBodyCopy"/>
            </w:pPr>
            <w:r w:rsidRPr="007A6EC6">
              <w:t>SDG16</w:t>
            </w:r>
          </w:p>
        </w:tc>
      </w:tr>
    </w:tbl>
    <w:p w14:paraId="027C5501" w14:textId="77777777" w:rsidR="008530EB" w:rsidRDefault="008530EB" w:rsidP="00B25597">
      <w:pPr>
        <w:rPr>
          <w:rFonts w:cs="Calibri Light"/>
          <w:sz w:val="20"/>
          <w:szCs w:val="21"/>
          <w:lang w:eastAsia="en-AU"/>
        </w:rPr>
      </w:pPr>
      <w:r>
        <w:rPr>
          <w:lang w:eastAsia="en-AU"/>
        </w:rPr>
        <w:br w:type="page"/>
      </w:r>
    </w:p>
    <w:p w14:paraId="29A02A64" w14:textId="7BEB0719" w:rsidR="004113A1" w:rsidRPr="00575D31" w:rsidRDefault="008530EB" w:rsidP="007A6EC6">
      <w:pPr>
        <w:pStyle w:val="PAFobjectivehead"/>
        <w:rPr>
          <w:rFonts w:ascii="Calibri" w:hAnsi="Calibri" w:cs="Calibri"/>
          <w:szCs w:val="20"/>
        </w:rPr>
      </w:pPr>
      <w:r>
        <w:lastRenderedPageBreak/>
        <w:t>Cross-program</w:t>
      </w: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Cross-program Performance Assessment Framework"/>
        <w:tblDescription w:val="Expected results for the first three years of the DPP and against the Sustainable Development Goals&#10;"/>
      </w:tblPr>
      <w:tblGrid>
        <w:gridCol w:w="1707"/>
        <w:gridCol w:w="2551"/>
        <w:gridCol w:w="2551"/>
        <w:gridCol w:w="2551"/>
        <w:gridCol w:w="2551"/>
        <w:gridCol w:w="2551"/>
      </w:tblGrid>
      <w:tr w:rsidR="00B53F71" w:rsidRPr="00D21CD2" w14:paraId="7C9DC811" w14:textId="77777777" w:rsidTr="00275453">
        <w:trPr>
          <w:trHeight w:val="780"/>
          <w:tblHeader/>
        </w:trPr>
        <w:tc>
          <w:tcPr>
            <w:tcW w:w="1707" w:type="dxa"/>
            <w:shd w:val="clear" w:color="auto" w:fill="3A586E" w:themeFill="accent1"/>
            <w:tcMar>
              <w:left w:w="108" w:type="dxa"/>
              <w:bottom w:w="113" w:type="dxa"/>
              <w:right w:w="108" w:type="dxa"/>
            </w:tcMar>
            <w:hideMark/>
          </w:tcPr>
          <w:p w14:paraId="60C5864E" w14:textId="0D5E7074" w:rsidR="00B53F71" w:rsidRPr="00D21CD2" w:rsidRDefault="005E5593" w:rsidP="00007DA4">
            <w:pPr>
              <w:pStyle w:val="TableHeading"/>
            </w:pPr>
            <w:r>
              <w:t>Theme</w:t>
            </w:r>
          </w:p>
        </w:tc>
        <w:tc>
          <w:tcPr>
            <w:tcW w:w="2551" w:type="dxa"/>
            <w:shd w:val="clear" w:color="auto" w:fill="3A586E" w:themeFill="accent1"/>
            <w:tcMar>
              <w:left w:w="108" w:type="dxa"/>
              <w:bottom w:w="113" w:type="dxa"/>
              <w:right w:w="108" w:type="dxa"/>
            </w:tcMar>
            <w:hideMark/>
          </w:tcPr>
          <w:p w14:paraId="14BE43DE" w14:textId="72679B06" w:rsidR="00B53F71" w:rsidRPr="00D21CD2" w:rsidRDefault="00B53F71" w:rsidP="00007DA4">
            <w:pPr>
              <w:pStyle w:val="TableHeading"/>
            </w:pPr>
            <w:r w:rsidRPr="00560F84">
              <w:t>Indicator</w:t>
            </w:r>
          </w:p>
        </w:tc>
        <w:tc>
          <w:tcPr>
            <w:tcW w:w="2551" w:type="dxa"/>
            <w:shd w:val="clear" w:color="auto" w:fill="3A586E" w:themeFill="accent1"/>
            <w:tcMar>
              <w:left w:w="108" w:type="dxa"/>
              <w:bottom w:w="113" w:type="dxa"/>
              <w:right w:w="108" w:type="dxa"/>
            </w:tcMar>
            <w:hideMark/>
          </w:tcPr>
          <w:p w14:paraId="623E53D8" w14:textId="7F18AB47" w:rsidR="00B53F71" w:rsidRPr="00D21CD2" w:rsidRDefault="00B53F71" w:rsidP="00007DA4">
            <w:pPr>
              <w:pStyle w:val="TableHeading"/>
            </w:pPr>
            <w:r w:rsidRPr="00560F84">
              <w:t>Expected results</w:t>
            </w:r>
            <w:r>
              <w:br/>
            </w:r>
            <w:r w:rsidRPr="00560F84">
              <w:t>2024</w:t>
            </w:r>
            <w:r>
              <w:rPr>
                <w:rFonts w:cstheme="majorHAnsi"/>
              </w:rPr>
              <w:t>–</w:t>
            </w:r>
            <w:r w:rsidRPr="00560F84">
              <w:t>25</w:t>
            </w:r>
          </w:p>
        </w:tc>
        <w:tc>
          <w:tcPr>
            <w:tcW w:w="2551" w:type="dxa"/>
            <w:shd w:val="clear" w:color="auto" w:fill="3A586E" w:themeFill="accent1"/>
            <w:tcMar>
              <w:left w:w="108" w:type="dxa"/>
              <w:bottom w:w="113" w:type="dxa"/>
              <w:right w:w="108" w:type="dxa"/>
            </w:tcMar>
            <w:hideMark/>
          </w:tcPr>
          <w:p w14:paraId="0C236827" w14:textId="5A6885AD" w:rsidR="00B53F71" w:rsidRPr="00D21CD2" w:rsidRDefault="00B53F71" w:rsidP="00007DA4">
            <w:pPr>
              <w:pStyle w:val="TableHeading"/>
            </w:pPr>
            <w:r w:rsidRPr="00560F84">
              <w:t>Expected results</w:t>
            </w:r>
            <w:r>
              <w:br/>
            </w:r>
            <w:r w:rsidRPr="00560F84">
              <w:t>2025</w:t>
            </w:r>
            <w:r>
              <w:rPr>
                <w:rFonts w:cstheme="majorHAnsi"/>
              </w:rPr>
              <w:t>–</w:t>
            </w:r>
            <w:r w:rsidRPr="00560F84">
              <w:t>26</w:t>
            </w:r>
          </w:p>
        </w:tc>
        <w:tc>
          <w:tcPr>
            <w:tcW w:w="2551" w:type="dxa"/>
            <w:shd w:val="clear" w:color="auto" w:fill="3A586E" w:themeFill="accent1"/>
            <w:tcMar>
              <w:left w:w="108" w:type="dxa"/>
              <w:bottom w:w="113" w:type="dxa"/>
              <w:right w:w="108" w:type="dxa"/>
            </w:tcMar>
            <w:hideMark/>
          </w:tcPr>
          <w:p w14:paraId="455F5C1C" w14:textId="0E0C7AF6" w:rsidR="00B53F71" w:rsidRPr="00D21CD2" w:rsidRDefault="00B53F71" w:rsidP="00007DA4">
            <w:pPr>
              <w:pStyle w:val="TableHeading"/>
            </w:pPr>
            <w:r w:rsidRPr="00560F84">
              <w:t>Expected results</w:t>
            </w:r>
            <w:r>
              <w:br/>
            </w:r>
            <w:r w:rsidRPr="00560F84">
              <w:t>2026</w:t>
            </w:r>
            <w:r>
              <w:rPr>
                <w:rFonts w:cstheme="majorHAnsi"/>
              </w:rPr>
              <w:t>–</w:t>
            </w:r>
            <w:r w:rsidRPr="00560F84">
              <w:t>27</w:t>
            </w:r>
          </w:p>
        </w:tc>
        <w:tc>
          <w:tcPr>
            <w:tcW w:w="2551" w:type="dxa"/>
            <w:shd w:val="clear" w:color="auto" w:fill="3A586E" w:themeFill="accent1"/>
            <w:tcMar>
              <w:left w:w="108" w:type="dxa"/>
              <w:bottom w:w="113" w:type="dxa"/>
              <w:right w:w="108" w:type="dxa"/>
            </w:tcMar>
            <w:hideMark/>
          </w:tcPr>
          <w:p w14:paraId="765D83FF" w14:textId="77777777" w:rsidR="00B53F71" w:rsidRPr="00D21CD2" w:rsidRDefault="00B53F71" w:rsidP="00007DA4">
            <w:pPr>
              <w:pStyle w:val="TableHeading"/>
            </w:pPr>
            <w:r w:rsidRPr="00560F84">
              <w:t>S</w:t>
            </w:r>
            <w:r>
              <w:t xml:space="preserve">ustainable </w:t>
            </w:r>
            <w:r w:rsidRPr="00560F84">
              <w:t>D</w:t>
            </w:r>
            <w:r>
              <w:t xml:space="preserve">evelopment </w:t>
            </w:r>
            <w:r w:rsidRPr="00560F84">
              <w:t>Goals</w:t>
            </w:r>
            <w:r>
              <w:t xml:space="preserve"> (SDGs</w:t>
            </w:r>
            <w:r w:rsidRPr="00560F84">
              <w:t>)</w:t>
            </w:r>
          </w:p>
        </w:tc>
      </w:tr>
      <w:tr w:rsidR="00D008FD" w:rsidRPr="00B02BAE" w14:paraId="61FD786C" w14:textId="77777777" w:rsidTr="00275453">
        <w:trPr>
          <w:trHeight w:val="465"/>
        </w:trPr>
        <w:tc>
          <w:tcPr>
            <w:tcW w:w="1707" w:type="dxa"/>
            <w:shd w:val="clear" w:color="auto" w:fill="D2DEE7"/>
            <w:tcMar>
              <w:left w:w="108" w:type="dxa"/>
              <w:bottom w:w="113" w:type="dxa"/>
              <w:right w:w="108" w:type="dxa"/>
            </w:tcMar>
          </w:tcPr>
          <w:p w14:paraId="5398783C" w14:textId="7C074382" w:rsidR="00F410BF" w:rsidRPr="007A6EC6" w:rsidRDefault="005E5593" w:rsidP="007A6EC6">
            <w:pPr>
              <w:pStyle w:val="TableBodyCopy"/>
            </w:pPr>
            <w:r w:rsidRPr="007A6EC6">
              <w:t>Gender equality</w:t>
            </w:r>
          </w:p>
        </w:tc>
        <w:tc>
          <w:tcPr>
            <w:tcW w:w="2551" w:type="dxa"/>
            <w:shd w:val="clear" w:color="auto" w:fill="D2DEE7"/>
            <w:tcMar>
              <w:left w:w="108" w:type="dxa"/>
              <w:bottom w:w="113" w:type="dxa"/>
              <w:right w:w="108" w:type="dxa"/>
            </w:tcMar>
          </w:tcPr>
          <w:p w14:paraId="1B496FF0" w14:textId="63E75069" w:rsidR="00F410BF" w:rsidRPr="007A6EC6" w:rsidRDefault="00F410BF" w:rsidP="007A6EC6">
            <w:pPr>
              <w:pStyle w:val="TableBodyCopy"/>
            </w:pPr>
            <w:r w:rsidRPr="007A6EC6">
              <w:t>Percentage of investments addressing gender equality effectively</w:t>
            </w:r>
            <w:r w:rsidR="00856F61">
              <w:t xml:space="preserve"> (Tier 3)</w:t>
            </w:r>
          </w:p>
        </w:tc>
        <w:tc>
          <w:tcPr>
            <w:tcW w:w="2551" w:type="dxa"/>
            <w:shd w:val="clear" w:color="auto" w:fill="D2DEE7"/>
            <w:tcMar>
              <w:left w:w="108" w:type="dxa"/>
              <w:bottom w:w="113" w:type="dxa"/>
              <w:right w:w="108" w:type="dxa"/>
            </w:tcMar>
          </w:tcPr>
          <w:p w14:paraId="6B58115E" w14:textId="0CAFA177" w:rsidR="00F410BF" w:rsidRPr="007A6EC6" w:rsidRDefault="00130B9E" w:rsidP="007A6EC6">
            <w:pPr>
              <w:pStyle w:val="TableBodyCopy"/>
              <w:tabs>
                <w:tab w:val="center" w:pos="1132"/>
              </w:tabs>
            </w:pPr>
            <w:r>
              <w:t>75</w:t>
            </w:r>
          </w:p>
        </w:tc>
        <w:tc>
          <w:tcPr>
            <w:tcW w:w="2551" w:type="dxa"/>
            <w:shd w:val="clear" w:color="auto" w:fill="D2DEE7"/>
            <w:tcMar>
              <w:left w:w="108" w:type="dxa"/>
              <w:bottom w:w="113" w:type="dxa"/>
              <w:right w:w="108" w:type="dxa"/>
            </w:tcMar>
          </w:tcPr>
          <w:p w14:paraId="2C9F326B" w14:textId="4EAE6A25" w:rsidR="00F410BF" w:rsidRPr="007A6EC6" w:rsidRDefault="00130B9E" w:rsidP="007A6EC6">
            <w:pPr>
              <w:pStyle w:val="TableBodyCopy"/>
            </w:pPr>
            <w:r>
              <w:t>80</w:t>
            </w:r>
          </w:p>
        </w:tc>
        <w:tc>
          <w:tcPr>
            <w:tcW w:w="2551" w:type="dxa"/>
            <w:shd w:val="clear" w:color="auto" w:fill="D2DEE7"/>
            <w:tcMar>
              <w:left w:w="108" w:type="dxa"/>
              <w:bottom w:w="113" w:type="dxa"/>
              <w:right w:w="108" w:type="dxa"/>
            </w:tcMar>
          </w:tcPr>
          <w:p w14:paraId="725E02AB" w14:textId="1F709C3E" w:rsidR="00F410BF" w:rsidRPr="007A6EC6" w:rsidRDefault="00130B9E" w:rsidP="007A6EC6">
            <w:pPr>
              <w:pStyle w:val="TableBodyCopy"/>
            </w:pPr>
            <w:r>
              <w:t>85</w:t>
            </w:r>
          </w:p>
        </w:tc>
        <w:tc>
          <w:tcPr>
            <w:tcW w:w="2551" w:type="dxa"/>
            <w:shd w:val="clear" w:color="auto" w:fill="D2DEE7"/>
            <w:tcMar>
              <w:left w:w="108" w:type="dxa"/>
              <w:bottom w:w="113" w:type="dxa"/>
              <w:right w:w="108" w:type="dxa"/>
            </w:tcMar>
          </w:tcPr>
          <w:p w14:paraId="1B99451F" w14:textId="09EC26AC" w:rsidR="00F410BF" w:rsidRPr="007A6EC6" w:rsidRDefault="00F410BF" w:rsidP="007A6EC6">
            <w:pPr>
              <w:pStyle w:val="TableBodyCopy"/>
            </w:pPr>
            <w:r w:rsidRPr="007A6EC6">
              <w:t xml:space="preserve">SDG5: Gender </w:t>
            </w:r>
            <w:r w:rsidR="001A5F91">
              <w:t>e</w:t>
            </w:r>
            <w:r w:rsidRPr="007A6EC6">
              <w:t>quality</w:t>
            </w:r>
          </w:p>
        </w:tc>
      </w:tr>
      <w:tr w:rsidR="00D008FD" w:rsidRPr="00B02BAE" w14:paraId="6BD9218A" w14:textId="77777777" w:rsidTr="00275453">
        <w:trPr>
          <w:trHeight w:val="465"/>
        </w:trPr>
        <w:tc>
          <w:tcPr>
            <w:tcW w:w="1707" w:type="dxa"/>
            <w:shd w:val="clear" w:color="auto" w:fill="D2DEE7"/>
            <w:tcMar>
              <w:left w:w="108" w:type="dxa"/>
              <w:bottom w:w="113" w:type="dxa"/>
              <w:right w:w="108" w:type="dxa"/>
            </w:tcMar>
          </w:tcPr>
          <w:p w14:paraId="40E11A8D" w14:textId="671C2161" w:rsidR="00F410BF" w:rsidRPr="007A6EC6" w:rsidRDefault="00DA5745" w:rsidP="007A6EC6">
            <w:pPr>
              <w:pStyle w:val="TableBodyCopy"/>
            </w:pPr>
            <w:r w:rsidRPr="007A6EC6">
              <w:t>Disability equity</w:t>
            </w:r>
          </w:p>
        </w:tc>
        <w:tc>
          <w:tcPr>
            <w:tcW w:w="2551" w:type="dxa"/>
            <w:shd w:val="clear" w:color="auto" w:fill="D2DEE7"/>
            <w:tcMar>
              <w:left w:w="108" w:type="dxa"/>
              <w:bottom w:w="113" w:type="dxa"/>
              <w:right w:w="108" w:type="dxa"/>
            </w:tcMar>
          </w:tcPr>
          <w:p w14:paraId="16C462E0" w14:textId="61455680" w:rsidR="00F410BF" w:rsidRPr="00421F81" w:rsidRDefault="00F410BF" w:rsidP="007A6EC6">
            <w:pPr>
              <w:pStyle w:val="TableBodyCopy"/>
            </w:pPr>
            <w:r w:rsidRPr="00421F81">
              <w:t>Percentage of investments effective</w:t>
            </w:r>
            <w:r w:rsidR="004A5414">
              <w:t>ly</w:t>
            </w:r>
            <w:r w:rsidRPr="00421F81">
              <w:t xml:space="preserve"> addressing disability equity in implementation</w:t>
            </w:r>
            <w:r w:rsidR="004A5414">
              <w:t xml:space="preserve"> (Tier 3)</w:t>
            </w:r>
          </w:p>
        </w:tc>
        <w:tc>
          <w:tcPr>
            <w:tcW w:w="2551" w:type="dxa"/>
            <w:shd w:val="clear" w:color="auto" w:fill="D2DEE7"/>
            <w:tcMar>
              <w:left w:w="108" w:type="dxa"/>
              <w:bottom w:w="113" w:type="dxa"/>
              <w:right w:w="108" w:type="dxa"/>
            </w:tcMar>
          </w:tcPr>
          <w:p w14:paraId="0711E214" w14:textId="4EB5309F" w:rsidR="00F410BF" w:rsidRPr="00421F81" w:rsidRDefault="00DD7AB0" w:rsidP="007A6EC6">
            <w:pPr>
              <w:pStyle w:val="TableBodyCopy"/>
            </w:pPr>
            <w:r>
              <w:t>Results collected centrally</w:t>
            </w:r>
          </w:p>
        </w:tc>
        <w:tc>
          <w:tcPr>
            <w:tcW w:w="2551" w:type="dxa"/>
            <w:shd w:val="clear" w:color="auto" w:fill="D2DEE7"/>
            <w:tcMar>
              <w:left w:w="108" w:type="dxa"/>
              <w:bottom w:w="113" w:type="dxa"/>
              <w:right w:w="108" w:type="dxa"/>
            </w:tcMar>
          </w:tcPr>
          <w:p w14:paraId="541ABD4E" w14:textId="2802B516" w:rsidR="00F410BF" w:rsidRPr="00421F81" w:rsidRDefault="00DD7AB0" w:rsidP="007A6EC6">
            <w:pPr>
              <w:pStyle w:val="TableBodyCopy"/>
            </w:pPr>
            <w:r>
              <w:t>Results collected centrally</w:t>
            </w:r>
          </w:p>
        </w:tc>
        <w:tc>
          <w:tcPr>
            <w:tcW w:w="2551" w:type="dxa"/>
            <w:shd w:val="clear" w:color="auto" w:fill="D2DEE7"/>
            <w:tcMar>
              <w:left w:w="108" w:type="dxa"/>
              <w:bottom w:w="113" w:type="dxa"/>
              <w:right w:w="108" w:type="dxa"/>
            </w:tcMar>
          </w:tcPr>
          <w:p w14:paraId="20DD4157" w14:textId="19461CC0" w:rsidR="00F410BF" w:rsidRPr="00CB6F08" w:rsidRDefault="00DD7AB0" w:rsidP="007A6EC6">
            <w:pPr>
              <w:pStyle w:val="TableBodyCopy"/>
            </w:pPr>
            <w:r>
              <w:t>Results collected centrally</w:t>
            </w:r>
          </w:p>
        </w:tc>
        <w:tc>
          <w:tcPr>
            <w:tcW w:w="2551" w:type="dxa"/>
            <w:shd w:val="clear" w:color="auto" w:fill="D2DEE7"/>
            <w:tcMar>
              <w:left w:w="108" w:type="dxa"/>
              <w:bottom w:w="113" w:type="dxa"/>
              <w:right w:w="108" w:type="dxa"/>
            </w:tcMar>
          </w:tcPr>
          <w:p w14:paraId="63205E93" w14:textId="339C0722" w:rsidR="00F410BF" w:rsidRPr="00CB6F08" w:rsidRDefault="00F410BF" w:rsidP="007A6EC6">
            <w:pPr>
              <w:pStyle w:val="TableBodyCopy"/>
            </w:pPr>
            <w:r w:rsidRPr="00CB6F08">
              <w:t xml:space="preserve">SDG10: Reduced </w:t>
            </w:r>
            <w:r w:rsidR="001A5F91">
              <w:t>i</w:t>
            </w:r>
            <w:r w:rsidRPr="00CB6F08">
              <w:t>nequalities</w:t>
            </w:r>
          </w:p>
        </w:tc>
      </w:tr>
      <w:tr w:rsidR="009E4CE0" w:rsidRPr="00B02BAE" w14:paraId="747E0FE2" w14:textId="77777777" w:rsidTr="00275453">
        <w:trPr>
          <w:trHeight w:val="465"/>
        </w:trPr>
        <w:tc>
          <w:tcPr>
            <w:tcW w:w="1707" w:type="dxa"/>
            <w:shd w:val="clear" w:color="auto" w:fill="D2DEE7"/>
            <w:tcMar>
              <w:left w:w="108" w:type="dxa"/>
              <w:bottom w:w="113" w:type="dxa"/>
              <w:right w:w="108" w:type="dxa"/>
            </w:tcMar>
          </w:tcPr>
          <w:p w14:paraId="48A6759C" w14:textId="45C63ACD" w:rsidR="009E4CE0" w:rsidRPr="00E97AE9" w:rsidRDefault="009E4CE0" w:rsidP="00E97AE9">
            <w:pPr>
              <w:pStyle w:val="TableBodyCopy"/>
            </w:pPr>
            <w:r w:rsidRPr="00E97AE9">
              <w:t>Localisation</w:t>
            </w:r>
          </w:p>
        </w:tc>
        <w:tc>
          <w:tcPr>
            <w:tcW w:w="2551" w:type="dxa"/>
            <w:shd w:val="clear" w:color="auto" w:fill="D2DEE7"/>
            <w:tcMar>
              <w:left w:w="108" w:type="dxa"/>
              <w:bottom w:w="113" w:type="dxa"/>
              <w:right w:w="108" w:type="dxa"/>
            </w:tcMar>
          </w:tcPr>
          <w:p w14:paraId="34FAB5D1" w14:textId="2F0F3EB5" w:rsidR="009E4CE0" w:rsidRPr="00E97AE9" w:rsidRDefault="009E4CE0" w:rsidP="00E97AE9">
            <w:pPr>
              <w:pStyle w:val="TableBodyCopy"/>
            </w:pPr>
            <w:r w:rsidRPr="00E97AE9">
              <w:t>Number of local personnel, sub-contractors and staff engaged (employment created)</w:t>
            </w:r>
            <w:r w:rsidR="00110E05">
              <w:t xml:space="preserve"> – Managing Contractors (Tier 3)</w:t>
            </w:r>
          </w:p>
        </w:tc>
        <w:tc>
          <w:tcPr>
            <w:tcW w:w="2551" w:type="dxa"/>
            <w:shd w:val="clear" w:color="auto" w:fill="D2DEE7"/>
            <w:tcMar>
              <w:left w:w="108" w:type="dxa"/>
              <w:bottom w:w="113" w:type="dxa"/>
              <w:right w:w="108" w:type="dxa"/>
            </w:tcMar>
          </w:tcPr>
          <w:p w14:paraId="111DEC18" w14:textId="44A43E70" w:rsidR="009E4CE0" w:rsidRPr="00E97AE9" w:rsidRDefault="004F27CE" w:rsidP="00E97AE9">
            <w:pPr>
              <w:pStyle w:val="TableBodyCopy"/>
            </w:pPr>
            <w:r>
              <w:t>Results collected</w:t>
            </w:r>
            <w:r w:rsidR="009E4CE0" w:rsidRPr="00E97AE9">
              <w:t xml:space="preserve"> centrally</w:t>
            </w:r>
          </w:p>
        </w:tc>
        <w:tc>
          <w:tcPr>
            <w:tcW w:w="2551" w:type="dxa"/>
            <w:shd w:val="clear" w:color="auto" w:fill="D2DEE7"/>
            <w:tcMar>
              <w:left w:w="108" w:type="dxa"/>
              <w:bottom w:w="113" w:type="dxa"/>
              <w:right w:w="108" w:type="dxa"/>
            </w:tcMar>
          </w:tcPr>
          <w:p w14:paraId="43F70E0A" w14:textId="0169E681" w:rsidR="009E4CE0" w:rsidRPr="00E97AE9" w:rsidRDefault="004F27CE" w:rsidP="00E97AE9">
            <w:pPr>
              <w:pStyle w:val="TableBodyCopy"/>
            </w:pPr>
            <w:r>
              <w:t>Results collected</w:t>
            </w:r>
            <w:r w:rsidR="009E4CE0" w:rsidRPr="00E97AE9">
              <w:t xml:space="preserve"> centrally</w:t>
            </w:r>
          </w:p>
        </w:tc>
        <w:tc>
          <w:tcPr>
            <w:tcW w:w="2551" w:type="dxa"/>
            <w:shd w:val="clear" w:color="auto" w:fill="D2DEE7"/>
            <w:tcMar>
              <w:left w:w="108" w:type="dxa"/>
              <w:bottom w:w="113" w:type="dxa"/>
              <w:right w:w="108" w:type="dxa"/>
            </w:tcMar>
          </w:tcPr>
          <w:p w14:paraId="77E26DBF" w14:textId="50DF7530" w:rsidR="009E4CE0" w:rsidRPr="00E97AE9" w:rsidRDefault="004F27CE" w:rsidP="00E97AE9">
            <w:pPr>
              <w:pStyle w:val="TableBodyCopy"/>
            </w:pPr>
            <w:r>
              <w:t>Results collected</w:t>
            </w:r>
            <w:r w:rsidR="009E4CE0" w:rsidRPr="00E97AE9">
              <w:t xml:space="preserve"> centrally</w:t>
            </w:r>
          </w:p>
        </w:tc>
        <w:tc>
          <w:tcPr>
            <w:tcW w:w="2551" w:type="dxa"/>
            <w:shd w:val="clear" w:color="auto" w:fill="D2DEE7"/>
            <w:tcMar>
              <w:left w:w="108" w:type="dxa"/>
              <w:bottom w:w="113" w:type="dxa"/>
              <w:right w:w="108" w:type="dxa"/>
            </w:tcMar>
          </w:tcPr>
          <w:p w14:paraId="2FAFC467" w14:textId="701B6CEE" w:rsidR="00AF2021" w:rsidRDefault="009E4CE0" w:rsidP="00E97AE9">
            <w:pPr>
              <w:pStyle w:val="TableBodyCopy"/>
            </w:pPr>
            <w:r w:rsidRPr="00E97AE9">
              <w:t>SDG10</w:t>
            </w:r>
          </w:p>
          <w:p w14:paraId="55929C2B" w14:textId="0F9FC42F" w:rsidR="009E4CE0" w:rsidRPr="00E97AE9" w:rsidRDefault="009E4CE0" w:rsidP="00E97AE9">
            <w:pPr>
              <w:pStyle w:val="TableBodyCopy"/>
            </w:pPr>
            <w:r w:rsidRPr="00E97AE9">
              <w:t>SDG17</w:t>
            </w:r>
            <w:r w:rsidR="00AF2021">
              <w:t>: Partnerships for the goals</w:t>
            </w:r>
          </w:p>
        </w:tc>
      </w:tr>
      <w:tr w:rsidR="00D008FD" w:rsidRPr="00B02BAE" w14:paraId="69A9041B" w14:textId="77777777" w:rsidTr="00275453">
        <w:trPr>
          <w:trHeight w:val="1006"/>
        </w:trPr>
        <w:tc>
          <w:tcPr>
            <w:tcW w:w="1707" w:type="dxa"/>
            <w:shd w:val="clear" w:color="auto" w:fill="D2DEE7"/>
            <w:tcMar>
              <w:left w:w="108" w:type="dxa"/>
              <w:bottom w:w="113" w:type="dxa"/>
              <w:right w:w="108" w:type="dxa"/>
            </w:tcMar>
          </w:tcPr>
          <w:p w14:paraId="23345162" w14:textId="1E50C93C" w:rsidR="00F410BF" w:rsidRPr="00E97AE9" w:rsidRDefault="00DA5745" w:rsidP="00E97AE9">
            <w:pPr>
              <w:pStyle w:val="TableBodyCopy"/>
            </w:pPr>
            <w:r w:rsidRPr="00E97AE9">
              <w:t>Localisation</w:t>
            </w:r>
          </w:p>
        </w:tc>
        <w:tc>
          <w:tcPr>
            <w:tcW w:w="2551" w:type="dxa"/>
            <w:shd w:val="clear" w:color="auto" w:fill="D2DEE7"/>
            <w:tcMar>
              <w:left w:w="108" w:type="dxa"/>
              <w:bottom w:w="113" w:type="dxa"/>
              <w:right w:w="108" w:type="dxa"/>
            </w:tcMar>
          </w:tcPr>
          <w:p w14:paraId="37676302" w14:textId="7780E798" w:rsidR="00F410BF" w:rsidRPr="00E97AE9" w:rsidRDefault="00F410BF" w:rsidP="00E97AE9">
            <w:pPr>
              <w:pStyle w:val="TableBodyCopy"/>
            </w:pPr>
            <w:r w:rsidRPr="00E97AE9">
              <w:t xml:space="preserve">Number and dollar value of local contracts and grants </w:t>
            </w:r>
            <w:r w:rsidR="00546F73">
              <w:t xml:space="preserve">(local supply chains) </w:t>
            </w:r>
            <w:r w:rsidRPr="00E97AE9">
              <w:t xml:space="preserve">– </w:t>
            </w:r>
            <w:r w:rsidR="00546F73">
              <w:t>M</w:t>
            </w:r>
            <w:r w:rsidRPr="00E97AE9">
              <w:t xml:space="preserve">anaging </w:t>
            </w:r>
            <w:r w:rsidR="00546F73">
              <w:t>C</w:t>
            </w:r>
            <w:r w:rsidRPr="00E97AE9">
              <w:t>ontractors</w:t>
            </w:r>
            <w:r w:rsidR="00546F73">
              <w:t xml:space="preserve"> (Tier 3)</w:t>
            </w:r>
          </w:p>
        </w:tc>
        <w:tc>
          <w:tcPr>
            <w:tcW w:w="2551" w:type="dxa"/>
            <w:shd w:val="clear" w:color="auto" w:fill="D2DEE7"/>
            <w:tcMar>
              <w:left w:w="108" w:type="dxa"/>
              <w:bottom w:w="113" w:type="dxa"/>
              <w:right w:w="108" w:type="dxa"/>
            </w:tcMar>
          </w:tcPr>
          <w:p w14:paraId="144E1254" w14:textId="5CEA8882" w:rsidR="00F410BF" w:rsidRPr="00E97AE9" w:rsidRDefault="004F27CE" w:rsidP="00E97AE9">
            <w:pPr>
              <w:pStyle w:val="TableBodyCopy"/>
            </w:pPr>
            <w:r>
              <w:t>Results collected</w:t>
            </w:r>
            <w:r w:rsidR="00F410BF" w:rsidRPr="00E97AE9">
              <w:t xml:space="preserve"> centrally</w:t>
            </w:r>
          </w:p>
        </w:tc>
        <w:tc>
          <w:tcPr>
            <w:tcW w:w="2551" w:type="dxa"/>
            <w:shd w:val="clear" w:color="auto" w:fill="D2DEE7"/>
            <w:tcMar>
              <w:left w:w="108" w:type="dxa"/>
              <w:bottom w:w="113" w:type="dxa"/>
              <w:right w:w="108" w:type="dxa"/>
            </w:tcMar>
          </w:tcPr>
          <w:p w14:paraId="1221E8C0" w14:textId="2C83D4BF" w:rsidR="00F410BF" w:rsidRPr="00327064" w:rsidRDefault="004F27CE" w:rsidP="00E97AE9">
            <w:pPr>
              <w:pStyle w:val="TableBodyCopy"/>
            </w:pPr>
            <w:r>
              <w:t>Results collected</w:t>
            </w:r>
            <w:r w:rsidR="00F410BF" w:rsidRPr="00E97AE9">
              <w:t xml:space="preserve"> centrally</w:t>
            </w:r>
          </w:p>
        </w:tc>
        <w:tc>
          <w:tcPr>
            <w:tcW w:w="2551" w:type="dxa"/>
            <w:shd w:val="clear" w:color="auto" w:fill="D2DEE7"/>
            <w:tcMar>
              <w:left w:w="108" w:type="dxa"/>
              <w:bottom w:w="113" w:type="dxa"/>
              <w:right w:w="108" w:type="dxa"/>
            </w:tcMar>
          </w:tcPr>
          <w:p w14:paraId="39EAC51F" w14:textId="68DEC428" w:rsidR="00F410BF" w:rsidRPr="00327064" w:rsidRDefault="004F27CE" w:rsidP="00E97AE9">
            <w:pPr>
              <w:pStyle w:val="TableBodyCopy"/>
            </w:pPr>
            <w:r>
              <w:t>Results collected</w:t>
            </w:r>
            <w:r w:rsidR="00F410BF" w:rsidRPr="00327064">
              <w:t xml:space="preserve"> centrally</w:t>
            </w:r>
          </w:p>
        </w:tc>
        <w:tc>
          <w:tcPr>
            <w:tcW w:w="2551" w:type="dxa"/>
            <w:shd w:val="clear" w:color="auto" w:fill="D2DEE7"/>
            <w:tcMar>
              <w:left w:w="108" w:type="dxa"/>
              <w:bottom w:w="113" w:type="dxa"/>
              <w:right w:w="108" w:type="dxa"/>
            </w:tcMar>
          </w:tcPr>
          <w:p w14:paraId="05069C5B" w14:textId="6EC982AE" w:rsidR="00F410BF" w:rsidRPr="00327064" w:rsidRDefault="00F410BF" w:rsidP="00E97AE9">
            <w:pPr>
              <w:pStyle w:val="TableBodyCopy"/>
            </w:pPr>
            <w:r w:rsidRPr="00327064">
              <w:t>SDG17</w:t>
            </w:r>
          </w:p>
        </w:tc>
      </w:tr>
    </w:tbl>
    <w:p w14:paraId="709BAE75" w14:textId="77777777" w:rsidR="00207222" w:rsidRPr="00207222" w:rsidRDefault="00207222" w:rsidP="00B25597">
      <w:pPr>
        <w:rPr>
          <w:lang w:eastAsia="en-AU"/>
        </w:rPr>
      </w:pPr>
    </w:p>
    <w:p w14:paraId="62DA59B5" w14:textId="6BC5330C" w:rsidR="00B81A62" w:rsidRPr="000B04E1" w:rsidRDefault="00B81A62" w:rsidP="00B25597">
      <w:pPr>
        <w:sectPr w:rsidR="00B81A62" w:rsidRPr="000B04E1" w:rsidSect="000E5ABD">
          <w:headerReference w:type="default" r:id="rId13"/>
          <w:footerReference w:type="default" r:id="rId14"/>
          <w:endnotePr>
            <w:numFmt w:val="decimal"/>
          </w:endnotePr>
          <w:pgSz w:w="16840" w:h="11907" w:code="9"/>
          <w:pgMar w:top="1418" w:right="1276" w:bottom="992" w:left="1134" w:header="340" w:footer="414" w:gutter="0"/>
          <w:cols w:space="708"/>
          <w:noEndnote/>
          <w:docGrid w:linePitch="360"/>
        </w:sectPr>
      </w:pPr>
    </w:p>
    <w:p w14:paraId="6DB05183" w14:textId="2DA46210" w:rsidR="002F4955" w:rsidRPr="00291082" w:rsidRDefault="002F4955" w:rsidP="00AD414A">
      <w:pPr>
        <w:pStyle w:val="H2-Heading2"/>
      </w:pPr>
      <w:r w:rsidRPr="00291082">
        <w:lastRenderedPageBreak/>
        <w:t>Annex 1</w:t>
      </w:r>
      <w:r w:rsidR="00890471">
        <w:t>: S</w:t>
      </w:r>
      <w:r w:rsidR="00890471" w:rsidRPr="00890471">
        <w:t>upporting investments</w:t>
      </w:r>
      <w:r w:rsidR="00013060">
        <w:t xml:space="preserve"> in Solomon Islands</w:t>
      </w:r>
    </w:p>
    <w:p w14:paraId="3C9476A6" w14:textId="77777777" w:rsidR="002A2C59" w:rsidRPr="00346EFA" w:rsidRDefault="002A2C59" w:rsidP="002A2C59">
      <w:r w:rsidRPr="00346EFA">
        <w:t xml:space="preserve">Note: </w:t>
      </w:r>
      <w:r w:rsidRPr="00346EFA">
        <w:rPr>
          <w:lang w:eastAsia="en-AU"/>
        </w:rPr>
        <w:t>‘</w:t>
      </w:r>
      <w:r w:rsidRPr="00346EFA">
        <w:rPr>
          <w:rFonts w:eastAsia="Calibri Light"/>
        </w:rPr>
        <w:t xml:space="preserve">bilateral’ indicates the project is funded from our bilateral allocation of </w:t>
      </w:r>
      <w:r w:rsidRPr="00346EFA">
        <w:rPr>
          <w:lang w:eastAsia="en-AU"/>
        </w:rPr>
        <w:t>Official Development Assistance</w:t>
      </w:r>
      <w:r>
        <w:rPr>
          <w:lang w:eastAsia="en-AU"/>
        </w:rPr>
        <w:t> </w:t>
      </w:r>
      <w:r w:rsidRPr="00346EFA">
        <w:rPr>
          <w:lang w:eastAsia="en-AU"/>
        </w:rPr>
        <w:t>(ODA). ‘Regional, global, other’ indicates that the project is funded by regional ODA and/or global</w:t>
      </w:r>
      <w:r>
        <w:rPr>
          <w:lang w:eastAsia="en-AU"/>
        </w:rPr>
        <w:t> </w:t>
      </w:r>
      <w:r w:rsidRPr="00346EFA">
        <w:rPr>
          <w:lang w:eastAsia="en-AU"/>
        </w:rPr>
        <w:t xml:space="preserve">ODA or non-ODA budgets. </w:t>
      </w:r>
    </w:p>
    <w:p w14:paraId="6C783C8A" w14:textId="03E58E03" w:rsidR="00103B6F" w:rsidRPr="00275453" w:rsidRDefault="001B563E" w:rsidP="00B25597">
      <w:r>
        <w:rPr>
          <w:lang w:eastAsia="en-AU"/>
        </w:rPr>
        <w:t xml:space="preserve">Australian Government </w:t>
      </w:r>
      <w:r w:rsidR="002F4955" w:rsidRPr="413282F0">
        <w:rPr>
          <w:lang w:eastAsia="en-AU"/>
        </w:rPr>
        <w:t>supporting investment</w:t>
      </w:r>
      <w:r w:rsidR="00C52100">
        <w:rPr>
          <w:lang w:eastAsia="en-AU"/>
        </w:rPr>
        <w:t>s</w:t>
      </w:r>
      <w:r w:rsidR="002F4955" w:rsidRPr="413282F0">
        <w:rPr>
          <w:lang w:eastAsia="en-AU"/>
        </w:rPr>
        <w:t xml:space="preserve"> for Objective</w:t>
      </w:r>
      <w:r w:rsidR="00852289">
        <w:rPr>
          <w:lang w:eastAsia="en-AU"/>
        </w:rPr>
        <w:t> </w:t>
      </w:r>
      <w:r w:rsidR="002F4955" w:rsidRPr="413282F0">
        <w:rPr>
          <w:lang w:eastAsia="en-AU"/>
        </w:rPr>
        <w:t>1</w:t>
      </w:r>
      <w:r w:rsidR="00647CAF">
        <w:rPr>
          <w:lang w:eastAsia="en-AU"/>
        </w:rPr>
        <w:t xml:space="preserve"> </w:t>
      </w:r>
      <w:r w:rsidR="00647CAF">
        <w:rPr>
          <w:rFonts w:cstheme="majorHAnsi"/>
          <w:lang w:eastAsia="en-AU"/>
        </w:rPr>
        <w:t>–</w:t>
      </w:r>
      <w:r w:rsidR="00647CAF">
        <w:rPr>
          <w:lang w:eastAsia="en-AU"/>
        </w:rPr>
        <w:t xml:space="preserve"> </w:t>
      </w:r>
      <w:r w:rsidR="00647CAF">
        <w:t>Inclusive economic growth, infrastructure and job</w:t>
      </w:r>
      <w:r w:rsidR="00A07E27">
        <w:t> </w:t>
      </w:r>
      <w:r w:rsidR="00647CAF">
        <w:t>creation</w:t>
      </w:r>
      <w:r w:rsidR="00E970CC">
        <w:t>.</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10;"/>
      </w:tblPr>
      <w:tblGrid>
        <w:gridCol w:w="4105"/>
        <w:gridCol w:w="2693"/>
        <w:gridCol w:w="3396"/>
      </w:tblGrid>
      <w:tr w:rsidR="00970CDD" w14:paraId="754DE181" w14:textId="77777777" w:rsidTr="2A22DF3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tcMar>
              <w:bottom w:w="113" w:type="dxa"/>
            </w:tcMar>
          </w:tcPr>
          <w:p w14:paraId="31CA0A60" w14:textId="77777777" w:rsidR="0037548C" w:rsidRPr="00792386" w:rsidRDefault="0037548C" w:rsidP="0059386F">
            <w:pPr>
              <w:pStyle w:val="TableHeading"/>
            </w:pPr>
            <w:r w:rsidRPr="00792386">
              <w:t>Name of investment/activity</w:t>
            </w:r>
          </w:p>
        </w:tc>
        <w:tc>
          <w:tcPr>
            <w:tcW w:w="2693" w:type="dxa"/>
            <w:tcMar>
              <w:bottom w:w="113" w:type="dxa"/>
            </w:tcMar>
          </w:tcPr>
          <w:p w14:paraId="2EFCD7E6" w14:textId="77777777" w:rsidR="0037548C" w:rsidRPr="00792386" w:rsidRDefault="0037548C" w:rsidP="0059386F">
            <w:pPr>
              <w:pStyle w:val="TableHeading"/>
              <w:cnfStyle w:val="100000000000" w:firstRow="1" w:lastRow="0" w:firstColumn="0" w:lastColumn="0" w:oddVBand="0" w:evenVBand="0" w:oddHBand="0" w:evenHBand="0" w:firstRowFirstColumn="0" w:firstRowLastColumn="0" w:lastRowFirstColumn="0" w:lastRowLastColumn="0"/>
            </w:pPr>
            <w:r w:rsidRPr="00792386">
              <w:t>Duration</w:t>
            </w:r>
          </w:p>
        </w:tc>
        <w:tc>
          <w:tcPr>
            <w:tcW w:w="3396" w:type="dxa"/>
            <w:tcMar>
              <w:bottom w:w="113" w:type="dxa"/>
            </w:tcMar>
          </w:tcPr>
          <w:p w14:paraId="34F34FEC" w14:textId="77777777" w:rsidR="0037548C" w:rsidRPr="00792386" w:rsidRDefault="5E2B7F76" w:rsidP="0059386F">
            <w:pPr>
              <w:pStyle w:val="TableHeading"/>
              <w:cnfStyle w:val="100000000000" w:firstRow="1" w:lastRow="0" w:firstColumn="0" w:lastColumn="0" w:oddVBand="0" w:evenVBand="0" w:oddHBand="0" w:evenHBand="0" w:firstRowFirstColumn="0" w:firstRowLastColumn="0" w:lastRowFirstColumn="0" w:lastRowLastColumn="0"/>
            </w:pPr>
            <w:r>
              <w:t>Key partners</w:t>
            </w:r>
          </w:p>
        </w:tc>
      </w:tr>
      <w:tr w:rsidR="0093146F" w:rsidRPr="003A4470" w14:paraId="4B37656E"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1CFC44A3" w14:textId="1885A989" w:rsidR="0037548C" w:rsidRPr="00A2230F" w:rsidRDefault="0037548C" w:rsidP="0059386F">
            <w:pPr>
              <w:pStyle w:val="TableBodyCopy"/>
            </w:pPr>
            <w:r w:rsidRPr="00A2230F">
              <w:t>Australia</w:t>
            </w:r>
            <w:r w:rsidR="0094418E" w:rsidRPr="00A2230F">
              <w:t xml:space="preserve"> </w:t>
            </w:r>
            <w:r w:rsidRPr="00A2230F">
              <w:t>Pacific Training Coalition</w:t>
            </w:r>
            <w:r w:rsidR="006A2D84">
              <w:t xml:space="preserve"> Phase 3</w:t>
            </w:r>
            <w:r w:rsidRPr="00A2230F">
              <w:t xml:space="preserve"> </w:t>
            </w:r>
            <w:r w:rsidR="00563C9D" w:rsidRPr="00A2230F">
              <w:t xml:space="preserve">(APTC) </w:t>
            </w:r>
            <w:r w:rsidR="73D97731" w:rsidRPr="00A2230F">
              <w:t>(</w:t>
            </w:r>
            <w:r w:rsidR="005577F7" w:rsidRPr="00A2230F">
              <w:t>n</w:t>
            </w:r>
            <w:r w:rsidR="73D97731" w:rsidRPr="00A2230F">
              <w:t xml:space="preserve">ew skills investment to </w:t>
            </w:r>
            <w:r w:rsidR="0E4D8F41" w:rsidRPr="00A2230F">
              <w:t>c</w:t>
            </w:r>
            <w:r w:rsidR="73D97731" w:rsidRPr="00A2230F">
              <w:t xml:space="preserve">ommence </w:t>
            </w:r>
            <w:r w:rsidR="005577F7" w:rsidRPr="00A2230F">
              <w:t>in</w:t>
            </w:r>
            <w:r w:rsidR="00745DC8">
              <w:t> </w:t>
            </w:r>
            <w:r w:rsidR="73D97731" w:rsidRPr="00A2230F">
              <w:t>2025)</w:t>
            </w:r>
          </w:p>
          <w:p w14:paraId="39953499" w14:textId="74F7B6D3" w:rsidR="0037548C" w:rsidRPr="00A2230F" w:rsidRDefault="12739E2C" w:rsidP="0059386F">
            <w:pPr>
              <w:pStyle w:val="TableBodyCopy"/>
            </w:pPr>
            <w:r w:rsidRPr="00A2230F">
              <w:t>(regional, global, other)</w:t>
            </w:r>
          </w:p>
        </w:tc>
        <w:tc>
          <w:tcPr>
            <w:tcW w:w="0" w:type="dxa"/>
            <w:shd w:val="clear" w:color="auto" w:fill="D2DEE7" w:themeFill="accent1" w:themeFillTint="33"/>
            <w:tcMar>
              <w:bottom w:w="113" w:type="dxa"/>
            </w:tcMar>
          </w:tcPr>
          <w:p w14:paraId="2C0F9FCF" w14:textId="498F8235" w:rsidR="0037548C" w:rsidRPr="00A2230F" w:rsidRDefault="0037548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2017</w:t>
            </w:r>
            <w:r w:rsidR="003A4470" w:rsidRPr="00A2230F">
              <w:t>–</w:t>
            </w:r>
            <w:r w:rsidRPr="00A2230F">
              <w:t>2025</w:t>
            </w:r>
          </w:p>
        </w:tc>
        <w:tc>
          <w:tcPr>
            <w:tcW w:w="3396" w:type="dxa"/>
            <w:shd w:val="clear" w:color="auto" w:fill="F2F2F2" w:themeFill="background1" w:themeFillShade="F2"/>
            <w:tcMar>
              <w:bottom w:w="113" w:type="dxa"/>
            </w:tcMar>
          </w:tcPr>
          <w:p w14:paraId="3CA2C39E" w14:textId="47DA90E4" w:rsidR="0037548C" w:rsidRPr="008540FB" w:rsidRDefault="0037548C"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8540FB">
              <w:t>Ministry of Education and Human Resources Development</w:t>
            </w:r>
            <w:r w:rsidR="008540FB" w:rsidRPr="008540FB">
              <w:t>;</w:t>
            </w:r>
            <w:r w:rsidR="005107D5">
              <w:t xml:space="preserve"> </w:t>
            </w:r>
            <w:r w:rsidRPr="005107D5">
              <w:t>Solomon Islands Tertiary Education and Skills Authority</w:t>
            </w:r>
          </w:p>
        </w:tc>
      </w:tr>
      <w:tr w:rsidR="0093146F" w:rsidRPr="003A4470" w14:paraId="69E38CEC"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62A13F76" w14:textId="026B6DA5" w:rsidR="0037548C" w:rsidRPr="00A2230F" w:rsidRDefault="73D97731" w:rsidP="0059386F">
            <w:pPr>
              <w:pStyle w:val="TableBodyCopy"/>
            </w:pPr>
            <w:r w:rsidRPr="00A2230F">
              <w:t xml:space="preserve">Pacific Horticulture and Agriculture Market Access </w:t>
            </w:r>
            <w:r w:rsidR="004E1269" w:rsidRPr="00A2230F">
              <w:t>P</w:t>
            </w:r>
            <w:r w:rsidRPr="00A2230F">
              <w:t>lus (PHAMA</w:t>
            </w:r>
            <w:r w:rsidR="004E1269" w:rsidRPr="00A2230F">
              <w:t xml:space="preserve"> Plus</w:t>
            </w:r>
            <w:r w:rsidRPr="00A2230F">
              <w:t>)</w:t>
            </w:r>
            <w:r w:rsidR="004E1269" w:rsidRPr="00A2230F">
              <w:t xml:space="preserve"> Program</w:t>
            </w:r>
          </w:p>
          <w:p w14:paraId="273B0F6B" w14:textId="4FF00533" w:rsidR="0037548C" w:rsidRPr="00A2230F" w:rsidRDefault="076EEBBC" w:rsidP="0059386F">
            <w:pPr>
              <w:pStyle w:val="TableBodyCopy"/>
            </w:pPr>
            <w:r w:rsidRPr="00A2230F">
              <w:t>(regional, global, other)</w:t>
            </w:r>
          </w:p>
        </w:tc>
        <w:tc>
          <w:tcPr>
            <w:tcW w:w="0" w:type="dxa"/>
            <w:shd w:val="clear" w:color="auto" w:fill="D2DEE7" w:themeFill="accent1" w:themeFillTint="33"/>
            <w:tcMar>
              <w:bottom w:w="113" w:type="dxa"/>
            </w:tcMar>
          </w:tcPr>
          <w:p w14:paraId="1FCB4946" w14:textId="218311D5" w:rsidR="0037548C" w:rsidRPr="00A2230F" w:rsidRDefault="0037548C"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2018</w:t>
            </w:r>
            <w:r w:rsidR="003A4470" w:rsidRPr="00A2230F">
              <w:t>–</w:t>
            </w:r>
            <w:r w:rsidRPr="00A2230F">
              <w:t>2026</w:t>
            </w:r>
          </w:p>
        </w:tc>
        <w:tc>
          <w:tcPr>
            <w:tcW w:w="3396" w:type="dxa"/>
            <w:shd w:val="clear" w:color="auto" w:fill="F2F2F2" w:themeFill="background1" w:themeFillShade="F2"/>
            <w:tcMar>
              <w:bottom w:w="113" w:type="dxa"/>
            </w:tcMar>
          </w:tcPr>
          <w:p w14:paraId="54C6CE42" w14:textId="7F9C8186" w:rsidR="0037548C" w:rsidRPr="008540FB" w:rsidRDefault="0037548C"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BE63E9">
              <w:t>Ministry of Commerce, Industry, Labour and Immigration</w:t>
            </w:r>
            <w:r w:rsidR="00BE63E9">
              <w:t>;</w:t>
            </w:r>
            <w:r w:rsidRPr="00BE63E9">
              <w:t xml:space="preserve"> </w:t>
            </w:r>
            <w:r w:rsidRPr="00037D09">
              <w:t>Ministry of Foreign Affairs and External Trade</w:t>
            </w:r>
            <w:r w:rsidR="00037D09" w:rsidRPr="00037D09">
              <w:t>;</w:t>
            </w:r>
            <w:r w:rsidRPr="00037D09">
              <w:t xml:space="preserve"> </w:t>
            </w:r>
            <w:r w:rsidRPr="003D4600">
              <w:t>Ministry of Agriculture and Livestock</w:t>
            </w:r>
            <w:r w:rsidR="006E2A88" w:rsidRPr="003D4600">
              <w:t>;</w:t>
            </w:r>
            <w:r w:rsidRPr="003D4600">
              <w:t xml:space="preserve"> Ministry of Forestry and Research</w:t>
            </w:r>
          </w:p>
        </w:tc>
      </w:tr>
      <w:tr w:rsidR="0093146F" w:rsidRPr="003A4470" w14:paraId="7C297D76"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1C0937F2" w14:textId="6FBFD6D9" w:rsidR="0037548C" w:rsidRPr="00A2230F" w:rsidRDefault="73D97731" w:rsidP="0059386F">
            <w:pPr>
              <w:pStyle w:val="TableBodyCopy"/>
            </w:pPr>
            <w:r w:rsidRPr="00A2230F">
              <w:t>Strongim Bisnis</w:t>
            </w:r>
          </w:p>
          <w:p w14:paraId="09E73E1B" w14:textId="718C87C6" w:rsidR="0037548C" w:rsidRPr="00A2230F" w:rsidRDefault="2FEF8026" w:rsidP="0059386F">
            <w:pPr>
              <w:pStyle w:val="TableBodyCopy"/>
            </w:pPr>
            <w:r w:rsidRPr="00A2230F">
              <w:t>(bilateral)</w:t>
            </w:r>
          </w:p>
        </w:tc>
        <w:tc>
          <w:tcPr>
            <w:tcW w:w="0" w:type="dxa"/>
            <w:shd w:val="clear" w:color="auto" w:fill="D2DEE7" w:themeFill="accent1" w:themeFillTint="33"/>
            <w:tcMar>
              <w:bottom w:w="113" w:type="dxa"/>
            </w:tcMar>
          </w:tcPr>
          <w:p w14:paraId="07463973" w14:textId="3C4FE568" w:rsidR="0037548C" w:rsidRPr="00A2230F" w:rsidRDefault="0037548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2023</w:t>
            </w:r>
            <w:r w:rsidR="003A4470" w:rsidRPr="00A2230F">
              <w:t>–</w:t>
            </w:r>
            <w:r w:rsidRPr="00A2230F">
              <w:t>2026</w:t>
            </w:r>
          </w:p>
        </w:tc>
        <w:tc>
          <w:tcPr>
            <w:tcW w:w="3396" w:type="dxa"/>
            <w:shd w:val="clear" w:color="auto" w:fill="F2F2F2" w:themeFill="background1" w:themeFillShade="F2"/>
            <w:tcMar>
              <w:bottom w:w="113" w:type="dxa"/>
            </w:tcMar>
          </w:tcPr>
          <w:p w14:paraId="2C16A7A0" w14:textId="3384780E" w:rsidR="0037548C" w:rsidRPr="008540FB" w:rsidRDefault="0037548C"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BE63E9">
              <w:t>Ministry of Commerce, Industry, Labour and Immigration</w:t>
            </w:r>
            <w:r w:rsidR="00BE63E9">
              <w:t>;</w:t>
            </w:r>
            <w:r w:rsidRPr="00BE63E9">
              <w:t xml:space="preserve"> </w:t>
            </w:r>
            <w:r w:rsidRPr="00037D09">
              <w:t xml:space="preserve">Ministry of </w:t>
            </w:r>
            <w:r w:rsidRPr="00D8439B">
              <w:t>Foreign Affairs and External Trade</w:t>
            </w:r>
            <w:r w:rsidR="00037D09" w:rsidRPr="00D8439B">
              <w:t>;</w:t>
            </w:r>
            <w:r w:rsidRPr="00D8439B">
              <w:t xml:space="preserve"> Ministry of Culture and Tourism</w:t>
            </w:r>
            <w:r w:rsidR="00D8439B">
              <w:t>;</w:t>
            </w:r>
            <w:r w:rsidRPr="00D8439B">
              <w:t xml:space="preserve"> </w:t>
            </w:r>
            <w:r w:rsidRPr="006E2A88">
              <w:t>Ministry of Agriculture and Livesto</w:t>
            </w:r>
            <w:r w:rsidRPr="003D4600">
              <w:t>ck</w:t>
            </w:r>
            <w:r w:rsidR="006E2A88" w:rsidRPr="003D4600">
              <w:t>;</w:t>
            </w:r>
            <w:r w:rsidRPr="003D4600">
              <w:t xml:space="preserve"> Ministry of Forestry and Research</w:t>
            </w:r>
          </w:p>
        </w:tc>
      </w:tr>
      <w:tr w:rsidR="0093146F" w:rsidRPr="003A4470" w14:paraId="0AA657C1"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2D9C3ABA" w14:textId="3B0A9DA9" w:rsidR="0037548C" w:rsidRPr="00A2230F" w:rsidRDefault="73D97731" w:rsidP="0059386F">
            <w:pPr>
              <w:pStyle w:val="TableBodyCopy"/>
            </w:pPr>
            <w:r w:rsidRPr="00A2230F">
              <w:t>Pacific Digital Economy Program</w:t>
            </w:r>
            <w:r w:rsidR="00CD338D" w:rsidRPr="00A2230F">
              <w:t>me</w:t>
            </w:r>
          </w:p>
          <w:p w14:paraId="5EBF1DFD" w14:textId="60DB8868" w:rsidR="0037548C" w:rsidRPr="00A2230F" w:rsidRDefault="563B1875" w:rsidP="0059386F">
            <w:pPr>
              <w:pStyle w:val="TableBodyCopy"/>
            </w:pPr>
            <w:r w:rsidRPr="00A2230F">
              <w:t>(regional, global, other)</w:t>
            </w:r>
          </w:p>
        </w:tc>
        <w:tc>
          <w:tcPr>
            <w:tcW w:w="0" w:type="dxa"/>
            <w:shd w:val="clear" w:color="auto" w:fill="D2DEE7" w:themeFill="accent1" w:themeFillTint="33"/>
            <w:tcMar>
              <w:bottom w:w="113" w:type="dxa"/>
            </w:tcMar>
          </w:tcPr>
          <w:p w14:paraId="64EE5224" w14:textId="60209621" w:rsidR="0037548C" w:rsidRPr="00A2230F" w:rsidRDefault="0037548C"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2021</w:t>
            </w:r>
            <w:r w:rsidR="003A4470" w:rsidRPr="00A2230F">
              <w:t>–</w:t>
            </w:r>
            <w:r w:rsidRPr="00A2230F">
              <w:t>2025</w:t>
            </w:r>
          </w:p>
        </w:tc>
        <w:tc>
          <w:tcPr>
            <w:tcW w:w="3396" w:type="dxa"/>
            <w:shd w:val="clear" w:color="auto" w:fill="F2F2F2" w:themeFill="background1" w:themeFillShade="F2"/>
            <w:tcMar>
              <w:bottom w:w="113" w:type="dxa"/>
            </w:tcMar>
          </w:tcPr>
          <w:p w14:paraId="25D22A1D" w14:textId="5AC5B932" w:rsidR="0037548C" w:rsidRPr="008540FB" w:rsidRDefault="0037548C"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FD292B">
              <w:t>Telecommunication</w:t>
            </w:r>
            <w:r w:rsidR="00FD292B">
              <w:t>s</w:t>
            </w:r>
            <w:r w:rsidRPr="00FD292B">
              <w:t xml:space="preserve"> Commission</w:t>
            </w:r>
            <w:r w:rsidR="00FD292B">
              <w:t xml:space="preserve"> Solomon Islands;</w:t>
            </w:r>
            <w:r w:rsidRPr="00FD292B">
              <w:t xml:space="preserve"> Central Bank of Solomon Islands (CBSI)</w:t>
            </w:r>
            <w:r w:rsidR="00FD292B" w:rsidRPr="00FD292B">
              <w:t>;</w:t>
            </w:r>
            <w:r w:rsidRPr="00FD292B">
              <w:t xml:space="preserve"> United Nations Capital Development Fund (UN</w:t>
            </w:r>
            <w:r w:rsidR="009A4041">
              <w:t>C</w:t>
            </w:r>
            <w:r w:rsidRPr="00FD292B">
              <w:t>DF)</w:t>
            </w:r>
            <w:r w:rsidR="0014203C" w:rsidRPr="00FD292B">
              <w:t>;</w:t>
            </w:r>
            <w:r w:rsidRPr="00FD292B">
              <w:t xml:space="preserve"> United Nations Trade and Development (UNCTAD)</w:t>
            </w:r>
            <w:r w:rsidR="0014203C" w:rsidRPr="00FD292B">
              <w:t>;</w:t>
            </w:r>
            <w:r w:rsidRPr="00FD292B">
              <w:t xml:space="preserve"> United</w:t>
            </w:r>
            <w:r w:rsidRPr="006C7B67">
              <w:t xml:space="preserve"> Nations Development Programme (UNDP)</w:t>
            </w:r>
          </w:p>
        </w:tc>
      </w:tr>
      <w:tr w:rsidR="0093146F" w:rsidRPr="003A4470" w14:paraId="230A921E"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1165B5FB" w14:textId="6457BD7C" w:rsidR="0037548C" w:rsidRPr="00A2230F" w:rsidRDefault="73D97731" w:rsidP="0059386F">
            <w:pPr>
              <w:pStyle w:val="TableBodyCopy"/>
            </w:pPr>
            <w:r w:rsidRPr="00A2230F">
              <w:t>Solomon Islands Infrastructure Program</w:t>
            </w:r>
          </w:p>
          <w:p w14:paraId="2A8149F3" w14:textId="27A4D9E9" w:rsidR="0037548C" w:rsidRPr="00A2230F" w:rsidRDefault="3E5F51D7" w:rsidP="0059386F">
            <w:pPr>
              <w:pStyle w:val="TableBodyCopy"/>
            </w:pPr>
            <w:r w:rsidRPr="00A2230F">
              <w:t>(bilateral)</w:t>
            </w:r>
          </w:p>
        </w:tc>
        <w:tc>
          <w:tcPr>
            <w:tcW w:w="0" w:type="dxa"/>
            <w:shd w:val="clear" w:color="auto" w:fill="D2DEE7" w:themeFill="accent1" w:themeFillTint="33"/>
            <w:tcMar>
              <w:bottom w:w="113" w:type="dxa"/>
            </w:tcMar>
          </w:tcPr>
          <w:p w14:paraId="3CFECA04" w14:textId="5D2C578A" w:rsidR="0037548C" w:rsidRPr="00A2230F" w:rsidRDefault="0037548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2021</w:t>
            </w:r>
            <w:r w:rsidR="003A4470" w:rsidRPr="00A2230F">
              <w:t>–</w:t>
            </w:r>
            <w:r w:rsidRPr="00A2230F">
              <w:t>2031</w:t>
            </w:r>
          </w:p>
        </w:tc>
        <w:tc>
          <w:tcPr>
            <w:tcW w:w="3396" w:type="dxa"/>
            <w:shd w:val="clear" w:color="auto" w:fill="F2F2F2" w:themeFill="background1" w:themeFillShade="F2"/>
            <w:tcMar>
              <w:bottom w:w="113" w:type="dxa"/>
            </w:tcMar>
          </w:tcPr>
          <w:p w14:paraId="1598D405" w14:textId="5ABFD07D" w:rsidR="0037548C" w:rsidRPr="008540FB" w:rsidRDefault="0037548C"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C80499">
              <w:t>Ministry of National Planning and Development Coordination</w:t>
            </w:r>
            <w:r w:rsidR="00C80499">
              <w:rPr>
                <w:rStyle w:val="cf01"/>
                <w:rFonts w:ascii="Calibri Light" w:hAnsi="Calibri Light" w:cs="Calibri Light"/>
                <w:sz w:val="20"/>
                <w:szCs w:val="21"/>
              </w:rPr>
              <w:t>;</w:t>
            </w:r>
            <w:r w:rsidRPr="00C80499">
              <w:rPr>
                <w:rStyle w:val="cf01"/>
                <w:rFonts w:ascii="Calibri Light" w:hAnsi="Calibri Light" w:cs="Calibri Light"/>
                <w:sz w:val="20"/>
                <w:szCs w:val="21"/>
              </w:rPr>
              <w:t xml:space="preserve"> </w:t>
            </w:r>
            <w:r w:rsidRPr="00C80499">
              <w:t>Ministry</w:t>
            </w:r>
            <w:r w:rsidRPr="000F25FC">
              <w:t xml:space="preserve"> of Infrastructure Development</w:t>
            </w:r>
            <w:r w:rsidR="000F25FC" w:rsidRPr="000F25FC">
              <w:t>;</w:t>
            </w:r>
            <w:r w:rsidRPr="000F25FC">
              <w:t xml:space="preserve"> </w:t>
            </w:r>
            <w:r w:rsidRPr="002E3CB5">
              <w:t>Ministry of Finance and Treasury</w:t>
            </w:r>
          </w:p>
        </w:tc>
      </w:tr>
      <w:tr w:rsidR="0093146F" w:rsidRPr="003A4470" w14:paraId="4DAC0E07"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06276855" w14:textId="5F0B2262" w:rsidR="0037548C" w:rsidRPr="00A2230F" w:rsidRDefault="73D97731" w:rsidP="0059386F">
            <w:pPr>
              <w:pStyle w:val="TableBodyCopy"/>
            </w:pPr>
            <w:r w:rsidRPr="00A2230F">
              <w:t>Australian Infrastructure Financing Facility for the Pacific (AIFFP)</w:t>
            </w:r>
          </w:p>
          <w:p w14:paraId="67945B9E" w14:textId="7D43AFE8" w:rsidR="0037548C" w:rsidRPr="00A2230F" w:rsidRDefault="65596637" w:rsidP="0059386F">
            <w:pPr>
              <w:pStyle w:val="TableBodyCopy"/>
            </w:pPr>
            <w:r w:rsidRPr="00A2230F">
              <w:t>(regional, global, other)</w:t>
            </w:r>
          </w:p>
        </w:tc>
        <w:tc>
          <w:tcPr>
            <w:tcW w:w="0" w:type="dxa"/>
            <w:shd w:val="clear" w:color="auto" w:fill="D2DEE7" w:themeFill="accent1" w:themeFillTint="33"/>
            <w:tcMar>
              <w:bottom w:w="113" w:type="dxa"/>
            </w:tcMar>
          </w:tcPr>
          <w:p w14:paraId="418BAA9E" w14:textId="491AF3BF" w:rsidR="0037548C" w:rsidRPr="00A2230F" w:rsidRDefault="0037548C"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2019</w:t>
            </w:r>
            <w:r w:rsidR="003A4470" w:rsidRPr="00A2230F">
              <w:t>–</w:t>
            </w:r>
            <w:r w:rsidRPr="00A2230F">
              <w:t>2028</w:t>
            </w:r>
          </w:p>
        </w:tc>
        <w:tc>
          <w:tcPr>
            <w:tcW w:w="3396" w:type="dxa"/>
            <w:shd w:val="clear" w:color="auto" w:fill="F2F2F2" w:themeFill="background1" w:themeFillShade="F2"/>
            <w:tcMar>
              <w:bottom w:w="113" w:type="dxa"/>
            </w:tcMar>
          </w:tcPr>
          <w:p w14:paraId="261D50A8" w14:textId="72033431" w:rsidR="0037548C" w:rsidRPr="008540FB" w:rsidRDefault="0037548C"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AE4234">
              <w:t>Solomon Islands Electricity Authority</w:t>
            </w:r>
            <w:r w:rsidR="00AE4234" w:rsidRPr="00AE4234">
              <w:t>;</w:t>
            </w:r>
            <w:r w:rsidRPr="00AE4234">
              <w:t xml:space="preserve"> </w:t>
            </w:r>
            <w:r w:rsidRPr="00FE521C">
              <w:t>Ministry of Finance and Treasury</w:t>
            </w:r>
            <w:r w:rsidR="00FE521C">
              <w:t>;</w:t>
            </w:r>
            <w:r w:rsidRPr="00FE521C">
              <w:t xml:space="preserve"> Ministry of Mines, Energy and Rural Electrification</w:t>
            </w:r>
          </w:p>
        </w:tc>
      </w:tr>
      <w:tr w:rsidR="0093146F" w:rsidRPr="003A4470" w14:paraId="6C436E5D"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412E6FE2" w14:textId="270A2D97" w:rsidR="0037548C" w:rsidRPr="00A2230F" w:rsidRDefault="73D97731" w:rsidP="0059386F">
            <w:pPr>
              <w:pStyle w:val="TableBodyCopy"/>
            </w:pPr>
            <w:r w:rsidRPr="00A2230F">
              <w:t xml:space="preserve">Community Access and Urban Services Enhancement Project, </w:t>
            </w:r>
            <w:r w:rsidR="00F63B03" w:rsidRPr="00A2230F">
              <w:t>p</w:t>
            </w:r>
            <w:r w:rsidRPr="00A2230F">
              <w:t>hase</w:t>
            </w:r>
            <w:r w:rsidR="00255316">
              <w:t> </w:t>
            </w:r>
            <w:r w:rsidRPr="00A2230F">
              <w:t>2</w:t>
            </w:r>
          </w:p>
          <w:p w14:paraId="5CA309F1" w14:textId="69CF66AE" w:rsidR="0037548C" w:rsidRPr="00A2230F" w:rsidRDefault="020D938D" w:rsidP="0059386F">
            <w:pPr>
              <w:pStyle w:val="TableBodyCopy"/>
            </w:pPr>
            <w:r w:rsidRPr="00A2230F">
              <w:t>(bilateral)</w:t>
            </w:r>
          </w:p>
        </w:tc>
        <w:tc>
          <w:tcPr>
            <w:tcW w:w="0" w:type="dxa"/>
            <w:shd w:val="clear" w:color="auto" w:fill="D2DEE7" w:themeFill="accent1" w:themeFillTint="33"/>
            <w:tcMar>
              <w:bottom w:w="113" w:type="dxa"/>
            </w:tcMar>
          </w:tcPr>
          <w:p w14:paraId="75C155DD" w14:textId="2A05B297" w:rsidR="0037548C" w:rsidRPr="00A2230F" w:rsidRDefault="0037548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2024</w:t>
            </w:r>
            <w:r w:rsidR="003A4470" w:rsidRPr="00A2230F">
              <w:t>–</w:t>
            </w:r>
            <w:r w:rsidRPr="00A2230F">
              <w:t>2030</w:t>
            </w:r>
          </w:p>
        </w:tc>
        <w:tc>
          <w:tcPr>
            <w:tcW w:w="3396" w:type="dxa"/>
            <w:shd w:val="clear" w:color="auto" w:fill="F2F2F2" w:themeFill="background1" w:themeFillShade="F2"/>
            <w:tcMar>
              <w:bottom w:w="113" w:type="dxa"/>
            </w:tcMar>
          </w:tcPr>
          <w:p w14:paraId="1507EE08" w14:textId="495D97A8" w:rsidR="0037548C" w:rsidRPr="008540FB" w:rsidRDefault="0037548C"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BE63E9">
              <w:t>World Bank</w:t>
            </w:r>
            <w:r w:rsidR="00BE63E9">
              <w:t>;</w:t>
            </w:r>
            <w:r w:rsidRPr="00BE63E9">
              <w:t xml:space="preserve"> </w:t>
            </w:r>
            <w:r w:rsidRPr="000F25FC">
              <w:t xml:space="preserve">Ministry of Infrastructure </w:t>
            </w:r>
            <w:r w:rsidRPr="00C80499">
              <w:t>Development</w:t>
            </w:r>
            <w:r w:rsidR="000F25FC" w:rsidRPr="00C80499">
              <w:t>;</w:t>
            </w:r>
            <w:r w:rsidRPr="00C80499">
              <w:t xml:space="preserve"> Ministry of Finance and Treasury</w:t>
            </w:r>
            <w:r w:rsidR="002E3CB5" w:rsidRPr="00C80499">
              <w:t>;</w:t>
            </w:r>
            <w:r w:rsidRPr="00C80499">
              <w:t xml:space="preserve"> Honiara City Council</w:t>
            </w:r>
          </w:p>
        </w:tc>
      </w:tr>
      <w:tr w:rsidR="0093146F" w:rsidRPr="003A4470" w14:paraId="1E17C4EB"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13C25532" w14:textId="1FA5BFBF" w:rsidR="0037548C" w:rsidRPr="00A2230F" w:rsidRDefault="73D97731" w:rsidP="0059386F">
            <w:pPr>
              <w:pStyle w:val="TableBodyCopy"/>
            </w:pPr>
            <w:r w:rsidRPr="00A2230F">
              <w:lastRenderedPageBreak/>
              <w:t xml:space="preserve">Tina River Hydropower Development Project </w:t>
            </w:r>
            <w:r w:rsidR="00F63B03" w:rsidRPr="00A2230F">
              <w:t>(</w:t>
            </w:r>
            <w:r w:rsidRPr="00A2230F">
              <w:t>Australia</w:t>
            </w:r>
            <w:r w:rsidR="00706223" w:rsidRPr="00A2230F">
              <w:t xml:space="preserve"> –</w:t>
            </w:r>
            <w:r w:rsidRPr="00A2230F">
              <w:t xml:space="preserve"> Pacific Islands Partnership trust fund</w:t>
            </w:r>
            <w:r w:rsidR="00F63B03" w:rsidRPr="00A2230F">
              <w:t>)</w:t>
            </w:r>
          </w:p>
          <w:p w14:paraId="71EDCE3C" w14:textId="7F8BAA8D" w:rsidR="0037548C" w:rsidRPr="00A2230F" w:rsidRDefault="03556946" w:rsidP="0059386F">
            <w:pPr>
              <w:pStyle w:val="TableBodyCopy"/>
            </w:pPr>
            <w:r w:rsidRPr="00A2230F">
              <w:t>(regional, global, other)</w:t>
            </w:r>
          </w:p>
        </w:tc>
        <w:tc>
          <w:tcPr>
            <w:tcW w:w="0" w:type="dxa"/>
            <w:shd w:val="clear" w:color="auto" w:fill="D2DEE7" w:themeFill="accent1" w:themeFillTint="33"/>
            <w:tcMar>
              <w:bottom w:w="113" w:type="dxa"/>
            </w:tcMar>
          </w:tcPr>
          <w:p w14:paraId="4B0DB5BA" w14:textId="37A11A48" w:rsidR="0037548C" w:rsidRPr="00A2230F" w:rsidRDefault="0037548C"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2019</w:t>
            </w:r>
            <w:r w:rsidR="003A4470" w:rsidRPr="00A2230F">
              <w:t>–</w:t>
            </w:r>
            <w:r w:rsidRPr="00A2230F">
              <w:t>2028</w:t>
            </w:r>
          </w:p>
        </w:tc>
        <w:tc>
          <w:tcPr>
            <w:tcW w:w="3396" w:type="dxa"/>
            <w:shd w:val="clear" w:color="auto" w:fill="F2F2F2" w:themeFill="background1" w:themeFillShade="F2"/>
            <w:tcMar>
              <w:bottom w:w="113" w:type="dxa"/>
            </w:tcMar>
          </w:tcPr>
          <w:p w14:paraId="680189FE" w14:textId="2F419730" w:rsidR="0037548C" w:rsidRPr="008540FB" w:rsidRDefault="0037548C"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FE521C">
              <w:t>Ministry of Finance and Treasury</w:t>
            </w:r>
            <w:r w:rsidR="002E3CB5" w:rsidRPr="00FE521C">
              <w:t>;</w:t>
            </w:r>
            <w:r w:rsidRPr="00FE521C">
              <w:t xml:space="preserve"> Ministry of Mines, Energy and Rural Electrification</w:t>
            </w:r>
          </w:p>
        </w:tc>
      </w:tr>
      <w:tr w:rsidR="0093146F" w:rsidRPr="003A4470" w14:paraId="6C13C0C0"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1E50DF92" w14:textId="11062168" w:rsidR="0037548C" w:rsidRPr="00A2230F" w:rsidRDefault="73D97731" w:rsidP="0059386F">
            <w:pPr>
              <w:pStyle w:val="TableBodyCopy"/>
            </w:pPr>
            <w:r w:rsidRPr="00A2230F">
              <w:t>Pacific Climate Infrastructure Financing Partnership</w:t>
            </w:r>
          </w:p>
          <w:p w14:paraId="10EA3794" w14:textId="0345D2C3" w:rsidR="0037548C" w:rsidRPr="00A2230F" w:rsidRDefault="783F5EC8" w:rsidP="0059386F">
            <w:pPr>
              <w:pStyle w:val="TableBodyCopy"/>
            </w:pPr>
            <w:r w:rsidRPr="00A2230F">
              <w:t>(regional, global, other)</w:t>
            </w:r>
          </w:p>
        </w:tc>
        <w:tc>
          <w:tcPr>
            <w:tcW w:w="0" w:type="dxa"/>
            <w:shd w:val="clear" w:color="auto" w:fill="D2DEE7" w:themeFill="accent1" w:themeFillTint="33"/>
            <w:tcMar>
              <w:bottom w:w="113" w:type="dxa"/>
            </w:tcMar>
          </w:tcPr>
          <w:p w14:paraId="0462D1D5" w14:textId="3A7A0450" w:rsidR="0037548C" w:rsidRPr="00A2230F" w:rsidRDefault="0037548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2023</w:t>
            </w:r>
            <w:r w:rsidR="003A4470" w:rsidRPr="00A2230F">
              <w:t>–</w:t>
            </w:r>
            <w:r w:rsidRPr="00A2230F">
              <w:t>2029</w:t>
            </w:r>
          </w:p>
        </w:tc>
        <w:tc>
          <w:tcPr>
            <w:tcW w:w="3396" w:type="dxa"/>
            <w:shd w:val="clear" w:color="auto" w:fill="F2F2F2" w:themeFill="background1" w:themeFillShade="F2"/>
            <w:tcMar>
              <w:bottom w:w="113" w:type="dxa"/>
            </w:tcMar>
          </w:tcPr>
          <w:p w14:paraId="5E187A2C" w14:textId="3DA772A3" w:rsidR="0037548C" w:rsidRPr="008540FB" w:rsidRDefault="0037548C"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FE521C">
              <w:t>Ministry of Mines, Energy and Rural Electrification</w:t>
            </w:r>
            <w:r w:rsidR="00FE521C" w:rsidRPr="00FE521C">
              <w:t>;</w:t>
            </w:r>
            <w:r w:rsidRPr="00FE521C">
              <w:t xml:space="preserve"> Ministry</w:t>
            </w:r>
            <w:r w:rsidRPr="002E3CB5">
              <w:t xml:space="preserve"> of Finance and Treasury</w:t>
            </w:r>
          </w:p>
        </w:tc>
      </w:tr>
      <w:tr w:rsidR="0093146F" w:rsidRPr="003A4470" w14:paraId="5AA4FEB8"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319D890B" w14:textId="3B48BDB9" w:rsidR="0037548C" w:rsidRPr="00A2230F" w:rsidRDefault="73D97731" w:rsidP="0059386F">
            <w:pPr>
              <w:pStyle w:val="TableBodyCopy"/>
            </w:pPr>
            <w:r w:rsidRPr="00A2230F">
              <w:t>Fisheries Development Assistance in the Pacific</w:t>
            </w:r>
          </w:p>
          <w:p w14:paraId="4CD66CA0" w14:textId="6BDFB8A6" w:rsidR="0037548C" w:rsidRPr="00A2230F" w:rsidRDefault="28B525E3" w:rsidP="0059386F">
            <w:pPr>
              <w:pStyle w:val="TableBodyCopy"/>
            </w:pPr>
            <w:r w:rsidRPr="00A2230F">
              <w:t>(regional, global, other)</w:t>
            </w:r>
          </w:p>
        </w:tc>
        <w:tc>
          <w:tcPr>
            <w:tcW w:w="0" w:type="dxa"/>
            <w:shd w:val="clear" w:color="auto" w:fill="D2DEE7" w:themeFill="accent1" w:themeFillTint="33"/>
            <w:tcMar>
              <w:bottom w:w="113" w:type="dxa"/>
            </w:tcMar>
          </w:tcPr>
          <w:p w14:paraId="59121F19" w14:textId="760447D4" w:rsidR="0037548C" w:rsidRPr="00A2230F" w:rsidRDefault="0037548C"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2010</w:t>
            </w:r>
            <w:r w:rsidR="003A4470" w:rsidRPr="00A2230F">
              <w:t>–</w:t>
            </w:r>
            <w:r w:rsidRPr="00A2230F">
              <w:t>2026</w:t>
            </w:r>
          </w:p>
        </w:tc>
        <w:tc>
          <w:tcPr>
            <w:tcW w:w="3396" w:type="dxa"/>
            <w:shd w:val="clear" w:color="auto" w:fill="F2F2F2" w:themeFill="background1" w:themeFillShade="F2"/>
            <w:tcMar>
              <w:bottom w:w="113" w:type="dxa"/>
            </w:tcMar>
          </w:tcPr>
          <w:p w14:paraId="273FEE48" w14:textId="5BE5A656" w:rsidR="0037548C" w:rsidRPr="008540FB" w:rsidRDefault="0037548C"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06698A">
              <w:t xml:space="preserve">Forum Fisheries </w:t>
            </w:r>
            <w:r w:rsidR="0006698A">
              <w:t>Agency</w:t>
            </w:r>
          </w:p>
        </w:tc>
      </w:tr>
      <w:tr w:rsidR="0093146F" w:rsidRPr="003A4470" w14:paraId="4941E691"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4E8C760A" w14:textId="42A62B92" w:rsidR="0037548C" w:rsidRPr="00A2230F" w:rsidRDefault="73D97731" w:rsidP="0059386F">
            <w:pPr>
              <w:pStyle w:val="TableBodyCopy"/>
            </w:pPr>
            <w:r w:rsidRPr="00A2230F">
              <w:t>Solomon Islands Biosecurity Development Program (SIBDP)</w:t>
            </w:r>
          </w:p>
          <w:p w14:paraId="06CCCC63" w14:textId="2496AC50" w:rsidR="0037548C" w:rsidRPr="00A2230F" w:rsidRDefault="6D97A128" w:rsidP="0059386F">
            <w:pPr>
              <w:pStyle w:val="TableBodyCopy"/>
            </w:pPr>
            <w:r w:rsidRPr="00A2230F">
              <w:t>(regional, global, other)</w:t>
            </w:r>
          </w:p>
        </w:tc>
        <w:tc>
          <w:tcPr>
            <w:tcW w:w="0" w:type="dxa"/>
            <w:shd w:val="clear" w:color="auto" w:fill="D2DEE7" w:themeFill="accent1" w:themeFillTint="33"/>
            <w:tcMar>
              <w:bottom w:w="113" w:type="dxa"/>
            </w:tcMar>
          </w:tcPr>
          <w:p w14:paraId="79C9A8E2" w14:textId="485F509B" w:rsidR="0037548C" w:rsidRPr="00A2230F" w:rsidRDefault="0037548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2013</w:t>
            </w:r>
            <w:r w:rsidR="003A4470" w:rsidRPr="00A2230F">
              <w:t>–</w:t>
            </w:r>
            <w:r w:rsidRPr="00A2230F">
              <w:t>202</w:t>
            </w:r>
            <w:r w:rsidR="00B27C7C">
              <w:t>5</w:t>
            </w:r>
          </w:p>
        </w:tc>
        <w:tc>
          <w:tcPr>
            <w:tcW w:w="3396" w:type="dxa"/>
            <w:shd w:val="clear" w:color="auto" w:fill="F2F2F2" w:themeFill="background1" w:themeFillShade="F2"/>
            <w:tcMar>
              <w:bottom w:w="113" w:type="dxa"/>
            </w:tcMar>
          </w:tcPr>
          <w:p w14:paraId="4860EBC6" w14:textId="573F1B8B" w:rsidR="0037548C" w:rsidRPr="008540FB" w:rsidRDefault="00F07990"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F07990">
              <w:t>Biosecurity Solomon Islands</w:t>
            </w:r>
            <w:r w:rsidRPr="00AE3C0D">
              <w:t xml:space="preserve"> </w:t>
            </w:r>
            <w:r>
              <w:t>(</w:t>
            </w:r>
            <w:r w:rsidR="0037548C" w:rsidRPr="00AE3C0D">
              <w:t>Ministry of Agriculture and Livestock</w:t>
            </w:r>
            <w:r>
              <w:t>)</w:t>
            </w:r>
          </w:p>
        </w:tc>
      </w:tr>
      <w:tr w:rsidR="0093146F" w:rsidRPr="003A4470" w14:paraId="038C6086"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021863CF" w14:textId="6D7588A3" w:rsidR="00153F43" w:rsidRPr="00A2230F" w:rsidRDefault="00153F43" w:rsidP="0059386F">
            <w:pPr>
              <w:pStyle w:val="TableBodyCopy"/>
            </w:pPr>
            <w:r w:rsidRPr="00A2230F">
              <w:t xml:space="preserve">Transformation pathways for Pacific </w:t>
            </w:r>
            <w:r w:rsidR="004862B9" w:rsidRPr="00A2230F">
              <w:t>c</w:t>
            </w:r>
            <w:r w:rsidRPr="00A2230F">
              <w:t>oastal food systems</w:t>
            </w:r>
          </w:p>
          <w:p w14:paraId="7B63502B" w14:textId="64DEC8BE" w:rsidR="001F0E8D" w:rsidRPr="00A2230F" w:rsidRDefault="0097520F" w:rsidP="0059386F">
            <w:pPr>
              <w:pStyle w:val="TableBodyCopy"/>
            </w:pPr>
            <w:r w:rsidRPr="00A2230F">
              <w:t>(regional, global, other)</w:t>
            </w:r>
            <w:r w:rsidRPr="00A2230F" w:rsidDel="0097520F">
              <w:t xml:space="preserve"> </w:t>
            </w:r>
          </w:p>
        </w:tc>
        <w:tc>
          <w:tcPr>
            <w:tcW w:w="0" w:type="dxa"/>
            <w:shd w:val="clear" w:color="auto" w:fill="D2DEE7" w:themeFill="accent1" w:themeFillTint="33"/>
            <w:tcMar>
              <w:bottom w:w="113" w:type="dxa"/>
            </w:tcMar>
          </w:tcPr>
          <w:p w14:paraId="2C078725" w14:textId="6691F1CD" w:rsidR="001F0E8D" w:rsidRPr="00A2230F" w:rsidRDefault="001F0E8D"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w:t>
            </w:r>
            <w:r w:rsidR="00153F43" w:rsidRPr="00A2230F">
              <w:t>23</w:t>
            </w:r>
            <w:r w:rsidR="003A4470" w:rsidRPr="00A2230F">
              <w:t>–</w:t>
            </w:r>
            <w:r w:rsidRPr="00A2230F">
              <w:t>202</w:t>
            </w:r>
            <w:r w:rsidR="00153F43" w:rsidRPr="00A2230F">
              <w:t>6</w:t>
            </w:r>
          </w:p>
        </w:tc>
        <w:tc>
          <w:tcPr>
            <w:tcW w:w="3396" w:type="dxa"/>
            <w:shd w:val="clear" w:color="auto" w:fill="F2F2F2" w:themeFill="background1" w:themeFillShade="F2"/>
            <w:tcMar>
              <w:bottom w:w="113" w:type="dxa"/>
            </w:tcMar>
          </w:tcPr>
          <w:p w14:paraId="37D8644B" w14:textId="3BA77EED" w:rsidR="001F0E8D" w:rsidRPr="008540FB" w:rsidRDefault="003C6C14"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EC21FF">
              <w:t>Pacific Community</w:t>
            </w:r>
            <w:r w:rsidR="00EC21FF">
              <w:t>;</w:t>
            </w:r>
            <w:r w:rsidR="00B846B5" w:rsidRPr="00EC21FF">
              <w:t xml:space="preserve"> </w:t>
            </w:r>
            <w:r w:rsidR="006D590C" w:rsidRPr="00987133">
              <w:t xml:space="preserve">World Wildlife Fund </w:t>
            </w:r>
            <w:r w:rsidR="00B846B5" w:rsidRPr="00987133">
              <w:t>Solomon Islands</w:t>
            </w:r>
          </w:p>
        </w:tc>
      </w:tr>
      <w:tr w:rsidR="0093146F" w:rsidRPr="003A4470" w14:paraId="24139A75"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A5BDCF" w:themeFill="accent1" w:themeFillTint="66"/>
            <w:tcMar>
              <w:bottom w:w="113" w:type="dxa"/>
            </w:tcMar>
          </w:tcPr>
          <w:p w14:paraId="023C7060" w14:textId="6364147A" w:rsidR="0097520F" w:rsidRPr="00A2230F" w:rsidRDefault="0097520F" w:rsidP="0059386F">
            <w:pPr>
              <w:pStyle w:val="TableBodyCopy"/>
            </w:pPr>
            <w:r w:rsidRPr="00A2230F">
              <w:t>Australian Centre for International Agricultural Research</w:t>
            </w:r>
          </w:p>
          <w:p w14:paraId="3BF7BF5E" w14:textId="63AFD2CA" w:rsidR="0097520F" w:rsidRPr="00A2230F" w:rsidRDefault="0097520F" w:rsidP="0059386F">
            <w:pPr>
              <w:pStyle w:val="TableBodyCopy"/>
            </w:pPr>
            <w:r w:rsidRPr="00A2230F">
              <w:t>(regional, global, other)</w:t>
            </w:r>
          </w:p>
        </w:tc>
        <w:tc>
          <w:tcPr>
            <w:tcW w:w="0" w:type="dxa"/>
            <w:shd w:val="clear" w:color="auto" w:fill="D2DEE7" w:themeFill="accent1" w:themeFillTint="33"/>
            <w:tcMar>
              <w:bottom w:w="113" w:type="dxa"/>
            </w:tcMar>
          </w:tcPr>
          <w:p w14:paraId="2A75504B" w14:textId="07F631AC" w:rsidR="0097520F" w:rsidRPr="00A2230F" w:rsidRDefault="003A4470" w:rsidP="0059386F">
            <w:pPr>
              <w:pStyle w:val="TableBodyCopy"/>
              <w:cnfStyle w:val="000000100000" w:firstRow="0" w:lastRow="0" w:firstColumn="0" w:lastColumn="0" w:oddVBand="0" w:evenVBand="0" w:oddHBand="1" w:evenHBand="0" w:firstRowFirstColumn="0" w:firstRowLastColumn="0" w:lastRowFirstColumn="0" w:lastRowLastColumn="0"/>
            </w:pPr>
            <w:r w:rsidRPr="00A2230F">
              <w:t>Ongoing</w:t>
            </w:r>
          </w:p>
        </w:tc>
        <w:tc>
          <w:tcPr>
            <w:tcW w:w="3396" w:type="dxa"/>
            <w:shd w:val="clear" w:color="auto" w:fill="F2F2F2" w:themeFill="background1" w:themeFillShade="F2"/>
            <w:tcMar>
              <w:bottom w:w="113" w:type="dxa"/>
            </w:tcMar>
          </w:tcPr>
          <w:p w14:paraId="71960A3C" w14:textId="558343C1" w:rsidR="0097520F" w:rsidRPr="008540FB" w:rsidRDefault="0097520F"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AE3C0D">
              <w:t>Ministry of Agriculture and Livestock</w:t>
            </w:r>
            <w:r w:rsidR="00AE3C0D" w:rsidRPr="00AE3C0D">
              <w:t>;</w:t>
            </w:r>
            <w:r w:rsidRPr="00AE3C0D">
              <w:t xml:space="preserve"> </w:t>
            </w:r>
            <w:r w:rsidR="00C70A53">
              <w:t>v</w:t>
            </w:r>
            <w:r w:rsidRPr="00C70A53">
              <w:t xml:space="preserve">arious </w:t>
            </w:r>
            <w:r w:rsidR="00C70A53">
              <w:t>m</w:t>
            </w:r>
            <w:r w:rsidRPr="00C70A53">
              <w:t>inistries</w:t>
            </w:r>
          </w:p>
        </w:tc>
      </w:tr>
    </w:tbl>
    <w:p w14:paraId="7E238B13" w14:textId="7D5D3026" w:rsidR="008F5B80" w:rsidRDefault="008F5B80" w:rsidP="00B25597">
      <w:pPr>
        <w:rPr>
          <w:lang w:eastAsia="en-AU"/>
        </w:rPr>
      </w:pPr>
      <w:r>
        <w:rPr>
          <w:lang w:eastAsia="en-AU"/>
        </w:rPr>
        <w:t xml:space="preserve">Australian Government </w:t>
      </w:r>
      <w:r w:rsidRPr="413282F0">
        <w:rPr>
          <w:lang w:eastAsia="en-AU"/>
        </w:rPr>
        <w:t>supporting investment</w:t>
      </w:r>
      <w:r w:rsidR="00C52100">
        <w:rPr>
          <w:lang w:eastAsia="en-AU"/>
        </w:rPr>
        <w:t>s</w:t>
      </w:r>
      <w:r w:rsidRPr="413282F0">
        <w:rPr>
          <w:lang w:eastAsia="en-AU"/>
        </w:rPr>
        <w:t xml:space="preserve"> for Objective</w:t>
      </w:r>
      <w:r w:rsidR="00852289">
        <w:rPr>
          <w:lang w:eastAsia="en-AU"/>
        </w:rPr>
        <w:t> </w:t>
      </w:r>
      <w:r w:rsidR="00F15978">
        <w:rPr>
          <w:lang w:eastAsia="en-AU"/>
        </w:rPr>
        <w:t>2</w:t>
      </w:r>
      <w:r w:rsidR="00647CAF">
        <w:rPr>
          <w:lang w:eastAsia="en-AU"/>
        </w:rPr>
        <w:t xml:space="preserve"> </w:t>
      </w:r>
      <w:r w:rsidR="00647CAF">
        <w:rPr>
          <w:rFonts w:cstheme="majorHAnsi"/>
          <w:lang w:eastAsia="en-AU"/>
        </w:rPr>
        <w:t>–</w:t>
      </w:r>
      <w:r w:rsidR="00647CAF">
        <w:rPr>
          <w:lang w:eastAsia="en-AU"/>
        </w:rPr>
        <w:t xml:space="preserve"> </w:t>
      </w:r>
      <w:r w:rsidR="00647CAF">
        <w:t>Investing in people, communities and links to Australia and the region</w:t>
      </w:r>
    </w:p>
    <w:tbl>
      <w:tblPr>
        <w:tblStyle w:val="ListTable3-Accent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10;"/>
      </w:tblPr>
      <w:tblGrid>
        <w:gridCol w:w="4107"/>
        <w:gridCol w:w="2694"/>
        <w:gridCol w:w="3395"/>
      </w:tblGrid>
      <w:tr w:rsidR="00DE260E" w14:paraId="5A032F94" w14:textId="77777777" w:rsidTr="7E61FB3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014" w:type="pct"/>
            <w:tcMar>
              <w:bottom w:w="113" w:type="dxa"/>
            </w:tcMar>
          </w:tcPr>
          <w:p w14:paraId="236BF2D6" w14:textId="2179F2EC" w:rsidR="00DE260E" w:rsidRDefault="00DE260E" w:rsidP="0059386F">
            <w:pPr>
              <w:pStyle w:val="TableHeading"/>
            </w:pPr>
            <w:r w:rsidRPr="4BA5C0C5">
              <w:t xml:space="preserve">Name of </w:t>
            </w:r>
            <w:r w:rsidR="00AD2F20">
              <w:t>i</w:t>
            </w:r>
            <w:r w:rsidRPr="4BA5C0C5">
              <w:t>nvestment</w:t>
            </w:r>
            <w:r w:rsidR="00AD2F20">
              <w:t>/activity</w:t>
            </w:r>
          </w:p>
        </w:tc>
        <w:tc>
          <w:tcPr>
            <w:tcW w:w="1321" w:type="pct"/>
            <w:tcMar>
              <w:bottom w:w="113" w:type="dxa"/>
            </w:tcMar>
          </w:tcPr>
          <w:p w14:paraId="7F4FD308" w14:textId="77777777" w:rsidR="00DE260E" w:rsidRDefault="00DE260E" w:rsidP="0059386F">
            <w:pPr>
              <w:pStyle w:val="TableHeading"/>
              <w:cnfStyle w:val="100000000000" w:firstRow="1" w:lastRow="0" w:firstColumn="0" w:lastColumn="0" w:oddVBand="0" w:evenVBand="0" w:oddHBand="0" w:evenHBand="0" w:firstRowFirstColumn="0" w:firstRowLastColumn="0" w:lastRowFirstColumn="0" w:lastRowLastColumn="0"/>
            </w:pPr>
            <w:r w:rsidRPr="6B023681">
              <w:t>Duration</w:t>
            </w:r>
          </w:p>
        </w:tc>
        <w:tc>
          <w:tcPr>
            <w:tcW w:w="1665" w:type="pct"/>
            <w:tcMar>
              <w:bottom w:w="113" w:type="dxa"/>
            </w:tcMar>
          </w:tcPr>
          <w:p w14:paraId="345FCB33" w14:textId="77777777" w:rsidR="00DE260E" w:rsidRDefault="00DE260E" w:rsidP="0059386F">
            <w:pPr>
              <w:pStyle w:val="TableHeading"/>
              <w:cnfStyle w:val="100000000000" w:firstRow="1" w:lastRow="0" w:firstColumn="0" w:lastColumn="0" w:oddVBand="0" w:evenVBand="0" w:oddHBand="0" w:evenHBand="0" w:firstRowFirstColumn="0" w:firstRowLastColumn="0" w:lastRowFirstColumn="0" w:lastRowLastColumn="0"/>
            </w:pPr>
            <w:r w:rsidRPr="4BA5C0C5">
              <w:t>Key partners</w:t>
            </w:r>
          </w:p>
        </w:tc>
      </w:tr>
      <w:tr w:rsidR="00DE260E" w:rsidRPr="003A4470" w14:paraId="51CF6E8B"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6ACE46FF" w14:textId="0912F1EE" w:rsidR="00DE260E" w:rsidRPr="00A2230F" w:rsidRDefault="423C4589" w:rsidP="0059386F">
            <w:pPr>
              <w:pStyle w:val="TableBodyCopy"/>
            </w:pPr>
            <w:r w:rsidRPr="00A2230F">
              <w:t>Education Sector Support Program 3</w:t>
            </w:r>
          </w:p>
          <w:p w14:paraId="4745289E" w14:textId="20A43C32" w:rsidR="00DE260E" w:rsidRPr="00A2230F" w:rsidRDefault="259F33BC" w:rsidP="0059386F">
            <w:pPr>
              <w:pStyle w:val="TableBodyCopy"/>
            </w:pPr>
            <w:r w:rsidRPr="00A2230F">
              <w:t>(bilateral)</w:t>
            </w:r>
          </w:p>
        </w:tc>
        <w:tc>
          <w:tcPr>
            <w:tcW w:w="1321" w:type="pct"/>
            <w:shd w:val="clear" w:color="auto" w:fill="D2DEE7" w:themeFill="accent1" w:themeFillTint="33"/>
            <w:tcMar>
              <w:bottom w:w="113" w:type="dxa"/>
            </w:tcMar>
          </w:tcPr>
          <w:p w14:paraId="433405CC" w14:textId="15303783"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2020</w:t>
            </w:r>
            <w:r w:rsidR="003A4470" w:rsidRPr="00A2230F">
              <w:t>–</w:t>
            </w:r>
            <w:r w:rsidRPr="00A2230F">
              <w:t>2025</w:t>
            </w:r>
          </w:p>
        </w:tc>
        <w:tc>
          <w:tcPr>
            <w:tcW w:w="1665" w:type="pct"/>
            <w:shd w:val="clear" w:color="auto" w:fill="F2F2F2" w:themeFill="background1" w:themeFillShade="F2"/>
            <w:tcMar>
              <w:bottom w:w="113" w:type="dxa"/>
            </w:tcMar>
          </w:tcPr>
          <w:p w14:paraId="3DCF3921" w14:textId="77777777" w:rsidR="00DE260E" w:rsidRPr="008540FB" w:rsidRDefault="00DE260E"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8540FB">
              <w:t>Ministry of Education and Human Resources Development</w:t>
            </w:r>
          </w:p>
        </w:tc>
      </w:tr>
      <w:tr w:rsidR="00DE260E" w:rsidRPr="003A4470" w14:paraId="7AC481BD" w14:textId="77777777" w:rsidTr="7E61FB33">
        <w:trPr>
          <w:trHeight w:val="997"/>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097766B0" w14:textId="6FD13BC3" w:rsidR="00DE260E" w:rsidRPr="00A2230F" w:rsidRDefault="1394C9BD" w:rsidP="0059386F">
            <w:pPr>
              <w:pStyle w:val="TableBodyCopy"/>
            </w:pPr>
            <w:r>
              <w:t>Solomon Islands Australia Partnership for Strengthening Education Together (SIAP-SET)</w:t>
            </w:r>
          </w:p>
          <w:p w14:paraId="1DD0B63F" w14:textId="569F51C2" w:rsidR="00DE260E" w:rsidRPr="00A2230F" w:rsidRDefault="404EB3BB" w:rsidP="0059386F">
            <w:pPr>
              <w:pStyle w:val="TableBodyCopy"/>
            </w:pPr>
            <w:r w:rsidRPr="00A2230F">
              <w:t>(bilateral)</w:t>
            </w:r>
          </w:p>
        </w:tc>
        <w:tc>
          <w:tcPr>
            <w:tcW w:w="1321" w:type="pct"/>
            <w:shd w:val="clear" w:color="auto" w:fill="D2DEE7" w:themeFill="accent1" w:themeFillTint="33"/>
            <w:tcMar>
              <w:bottom w:w="113" w:type="dxa"/>
            </w:tcMar>
          </w:tcPr>
          <w:p w14:paraId="6AEC4A01" w14:textId="75CE49FE" w:rsidR="00DE260E" w:rsidRPr="00A2230F"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2025</w:t>
            </w:r>
            <w:r w:rsidR="003A4470" w:rsidRPr="00A2230F">
              <w:t>–</w:t>
            </w:r>
            <w:r w:rsidRPr="00A2230F">
              <w:t>2033</w:t>
            </w:r>
          </w:p>
        </w:tc>
        <w:tc>
          <w:tcPr>
            <w:tcW w:w="1665" w:type="pct"/>
            <w:shd w:val="clear" w:color="auto" w:fill="F2F2F2" w:themeFill="background1" w:themeFillShade="F2"/>
            <w:tcMar>
              <w:bottom w:w="113" w:type="dxa"/>
            </w:tcMar>
          </w:tcPr>
          <w:p w14:paraId="05DFEE45" w14:textId="1B554414" w:rsidR="00DE260E" w:rsidRPr="008540FB" w:rsidRDefault="76C15147"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8540FB">
              <w:t>Ministry of Education and Human Resources Development</w:t>
            </w:r>
            <w:r w:rsidR="008540FB" w:rsidRPr="008540FB">
              <w:t>;</w:t>
            </w:r>
            <w:r w:rsidR="00C70A53">
              <w:t xml:space="preserve"> </w:t>
            </w:r>
            <w:r w:rsidRPr="00C70A53">
              <w:t>Solomon Islands National University</w:t>
            </w:r>
          </w:p>
        </w:tc>
      </w:tr>
      <w:tr w:rsidR="00DE260E" w:rsidRPr="003A4470" w14:paraId="0A23D8AD"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0A6D2FA6" w14:textId="3C92F97F" w:rsidR="00DE260E" w:rsidRPr="00A2230F" w:rsidRDefault="423C4589" w:rsidP="0059386F">
            <w:pPr>
              <w:pStyle w:val="TableBodyCopy"/>
            </w:pPr>
            <w:r w:rsidRPr="00A2230F">
              <w:t>Health Sector Support Program</w:t>
            </w:r>
            <w:r w:rsidR="00E17914" w:rsidRPr="00A2230F">
              <w:t>,</w:t>
            </w:r>
            <w:r w:rsidRPr="00A2230F">
              <w:t xml:space="preserve"> </w:t>
            </w:r>
            <w:r w:rsidR="00E17914" w:rsidRPr="00A2230F">
              <w:t>p</w:t>
            </w:r>
            <w:r w:rsidRPr="00A2230F">
              <w:t>hase</w:t>
            </w:r>
            <w:r w:rsidR="00255316">
              <w:t> </w:t>
            </w:r>
            <w:r w:rsidRPr="00A2230F">
              <w:t>3</w:t>
            </w:r>
          </w:p>
          <w:p w14:paraId="501FB769" w14:textId="787E622E" w:rsidR="00DE260E" w:rsidRPr="00A2230F" w:rsidRDefault="43A7D372" w:rsidP="0059386F">
            <w:pPr>
              <w:pStyle w:val="TableBodyCopy"/>
            </w:pPr>
            <w:r w:rsidRPr="00A2230F">
              <w:t>(bilateral)</w:t>
            </w:r>
          </w:p>
        </w:tc>
        <w:tc>
          <w:tcPr>
            <w:tcW w:w="1321" w:type="pct"/>
            <w:shd w:val="clear" w:color="auto" w:fill="D2DEE7" w:themeFill="accent1" w:themeFillTint="33"/>
            <w:tcMar>
              <w:bottom w:w="113" w:type="dxa"/>
            </w:tcMar>
          </w:tcPr>
          <w:p w14:paraId="6BCC194C" w14:textId="05F99854"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2016</w:t>
            </w:r>
            <w:r w:rsidR="003A4470" w:rsidRPr="00A2230F">
              <w:t>–</w:t>
            </w:r>
            <w:r w:rsidRPr="00A2230F">
              <w:t>2024</w:t>
            </w:r>
          </w:p>
        </w:tc>
        <w:tc>
          <w:tcPr>
            <w:tcW w:w="1665" w:type="pct"/>
            <w:shd w:val="clear" w:color="auto" w:fill="F2F2F2" w:themeFill="background1" w:themeFillShade="F2"/>
            <w:tcMar>
              <w:bottom w:w="113" w:type="dxa"/>
            </w:tcMar>
          </w:tcPr>
          <w:p w14:paraId="0FF376DE" w14:textId="77777777" w:rsidR="00DE260E" w:rsidRPr="000C72A7"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0C72A7">
              <w:t>Ministry of Health and Medical Services</w:t>
            </w:r>
          </w:p>
        </w:tc>
      </w:tr>
      <w:tr w:rsidR="00DE260E" w:rsidRPr="003A4470" w14:paraId="0819995F"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4B3AFB8B" w14:textId="0BCA8A56" w:rsidR="00DE260E" w:rsidRPr="00A2230F" w:rsidRDefault="1394C9BD" w:rsidP="0059386F">
            <w:pPr>
              <w:pStyle w:val="TableBodyCopy"/>
            </w:pPr>
            <w:r>
              <w:t>Solomon Islands Australia Partnership for Health</w:t>
            </w:r>
          </w:p>
          <w:p w14:paraId="1C3C16E7" w14:textId="6995C17F" w:rsidR="00DE260E" w:rsidRPr="00A2230F" w:rsidRDefault="455C7A71" w:rsidP="0059386F">
            <w:pPr>
              <w:pStyle w:val="TableBodyCopy"/>
            </w:pPr>
            <w:r w:rsidRPr="00A2230F">
              <w:t>(bilateral)</w:t>
            </w:r>
          </w:p>
        </w:tc>
        <w:tc>
          <w:tcPr>
            <w:tcW w:w="1321" w:type="pct"/>
            <w:shd w:val="clear" w:color="auto" w:fill="D2DEE7" w:themeFill="accent1" w:themeFillTint="33"/>
            <w:tcMar>
              <w:bottom w:w="113" w:type="dxa"/>
            </w:tcMar>
          </w:tcPr>
          <w:p w14:paraId="48475C48" w14:textId="53557627" w:rsidR="00DE260E" w:rsidRPr="00A2230F"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2025</w:t>
            </w:r>
            <w:r w:rsidR="003A4470" w:rsidRPr="00A2230F">
              <w:t>–</w:t>
            </w:r>
            <w:r w:rsidRPr="00A2230F">
              <w:t>2028</w:t>
            </w:r>
          </w:p>
        </w:tc>
        <w:tc>
          <w:tcPr>
            <w:tcW w:w="1665" w:type="pct"/>
            <w:shd w:val="clear" w:color="auto" w:fill="F2F2F2" w:themeFill="background1" w:themeFillShade="F2"/>
            <w:tcMar>
              <w:bottom w:w="113" w:type="dxa"/>
            </w:tcMar>
          </w:tcPr>
          <w:p w14:paraId="74AC111E" w14:textId="77777777" w:rsidR="00DE260E" w:rsidRPr="000C72A7"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0C72A7">
              <w:t>Ministry of Health and Medical Services</w:t>
            </w:r>
          </w:p>
        </w:tc>
      </w:tr>
      <w:tr w:rsidR="00DE260E" w:rsidRPr="003A4470" w14:paraId="1DF2E1D6"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591D9386" w14:textId="77777777" w:rsidR="00DE260E" w:rsidRPr="00A2230F" w:rsidRDefault="423C4589" w:rsidP="0059386F">
            <w:pPr>
              <w:pStyle w:val="TableBodyCopy"/>
            </w:pPr>
            <w:r w:rsidRPr="00A2230F">
              <w:t>Partnerships for a Healthy Region</w:t>
            </w:r>
          </w:p>
          <w:p w14:paraId="5EB1567E" w14:textId="7F4B521F" w:rsidR="00DE260E" w:rsidRPr="00A2230F" w:rsidRDefault="4E5AC9B9" w:rsidP="0059386F">
            <w:pPr>
              <w:pStyle w:val="TableBodyCopy"/>
            </w:pPr>
            <w:r w:rsidRPr="00A2230F">
              <w:t>(regional, global, other)</w:t>
            </w:r>
          </w:p>
        </w:tc>
        <w:tc>
          <w:tcPr>
            <w:tcW w:w="1321" w:type="pct"/>
            <w:shd w:val="clear" w:color="auto" w:fill="D2DEE7" w:themeFill="accent1" w:themeFillTint="33"/>
            <w:tcMar>
              <w:bottom w:w="113" w:type="dxa"/>
            </w:tcMar>
          </w:tcPr>
          <w:p w14:paraId="544FFF4E" w14:textId="42345AAB"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2024</w:t>
            </w:r>
            <w:r w:rsidR="003A4470" w:rsidRPr="00A2230F">
              <w:t>–</w:t>
            </w:r>
            <w:r w:rsidRPr="00A2230F">
              <w:t>2027</w:t>
            </w:r>
          </w:p>
        </w:tc>
        <w:tc>
          <w:tcPr>
            <w:tcW w:w="1665" w:type="pct"/>
            <w:shd w:val="clear" w:color="auto" w:fill="F2F2F2" w:themeFill="background1" w:themeFillShade="F2"/>
            <w:tcMar>
              <w:bottom w:w="113" w:type="dxa"/>
            </w:tcMar>
          </w:tcPr>
          <w:p w14:paraId="1C0243E1" w14:textId="35E31315" w:rsidR="00DE260E" w:rsidRPr="008540FB" w:rsidRDefault="1ECEBA47"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0C72A7">
              <w:t>Ministry of Health and Medical Services</w:t>
            </w:r>
            <w:r w:rsidR="000C72A7" w:rsidRPr="000C72A7">
              <w:t>;</w:t>
            </w:r>
            <w:r w:rsidR="5F9C40A2" w:rsidRPr="002950C7">
              <w:t xml:space="preserve"> </w:t>
            </w:r>
            <w:r w:rsidR="002950C7" w:rsidRPr="002950C7">
              <w:t>Biosecurity Solomon Islands</w:t>
            </w:r>
            <w:r w:rsidR="002950C7">
              <w:t xml:space="preserve"> (</w:t>
            </w:r>
            <w:r w:rsidR="5F9C40A2" w:rsidRPr="002950C7">
              <w:t>Ministry of Agriculture and Livestock</w:t>
            </w:r>
            <w:r w:rsidR="002950C7">
              <w:t>)</w:t>
            </w:r>
          </w:p>
        </w:tc>
      </w:tr>
      <w:tr w:rsidR="00DE260E" w:rsidRPr="003A4470" w14:paraId="372C0451"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477EF0C1" w14:textId="2575EAE4" w:rsidR="00DE260E" w:rsidRPr="00A2230F" w:rsidRDefault="32125AEA" w:rsidP="0059386F">
            <w:pPr>
              <w:pStyle w:val="TableBodyCopy"/>
            </w:pPr>
            <w:r>
              <w:lastRenderedPageBreak/>
              <w:t xml:space="preserve">Transformative Agenda for Women, Adolescents and </w:t>
            </w:r>
            <w:r w:rsidR="27694B97">
              <w:t>Youth</w:t>
            </w:r>
            <w:r>
              <w:t xml:space="preserve"> in the Pacific</w:t>
            </w:r>
            <w:r w:rsidR="27694B97">
              <w:t>, phase</w:t>
            </w:r>
            <w:r w:rsidR="3CC3E8D0">
              <w:t> </w:t>
            </w:r>
            <w:r w:rsidR="21C7E6A6">
              <w:t>2</w:t>
            </w:r>
          </w:p>
          <w:p w14:paraId="09CE9315" w14:textId="5EE104E6" w:rsidR="00DE260E" w:rsidRPr="00A2230F" w:rsidRDefault="00F647FC" w:rsidP="0059386F">
            <w:pPr>
              <w:pStyle w:val="TableBodyCopy"/>
            </w:pPr>
            <w:r w:rsidRPr="00A2230F">
              <w:t>(regional, global, other)</w:t>
            </w:r>
          </w:p>
        </w:tc>
        <w:tc>
          <w:tcPr>
            <w:tcW w:w="1321" w:type="pct"/>
            <w:shd w:val="clear" w:color="auto" w:fill="D2DEE7" w:themeFill="accent1" w:themeFillTint="33"/>
            <w:tcMar>
              <w:bottom w:w="113" w:type="dxa"/>
            </w:tcMar>
          </w:tcPr>
          <w:p w14:paraId="54ED32EB" w14:textId="2F4488B6" w:rsidR="00DE260E" w:rsidRPr="00A2230F"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2022</w:t>
            </w:r>
            <w:r w:rsidR="003A4470" w:rsidRPr="00A2230F">
              <w:t>–</w:t>
            </w:r>
            <w:r w:rsidRPr="00A2230F">
              <w:t>2028</w:t>
            </w:r>
          </w:p>
        </w:tc>
        <w:tc>
          <w:tcPr>
            <w:tcW w:w="1665" w:type="pct"/>
            <w:shd w:val="clear" w:color="auto" w:fill="F2F2F2" w:themeFill="background1" w:themeFillShade="F2"/>
            <w:tcMar>
              <w:bottom w:w="113" w:type="dxa"/>
            </w:tcMar>
          </w:tcPr>
          <w:p w14:paraId="2AC7343E" w14:textId="44772EF7" w:rsidR="00DE260E" w:rsidRPr="008540FB" w:rsidRDefault="00DE260E"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1E37FD">
              <w:t>United Nations Population Fund (UNFPA)</w:t>
            </w:r>
            <w:r w:rsidR="001E37FD" w:rsidRPr="001E37FD">
              <w:t>;</w:t>
            </w:r>
            <w:r w:rsidRPr="001E37FD">
              <w:t xml:space="preserve"> Ministry</w:t>
            </w:r>
            <w:r w:rsidRPr="000C72A7">
              <w:t xml:space="preserve"> of Health and Medical Services</w:t>
            </w:r>
          </w:p>
        </w:tc>
      </w:tr>
      <w:tr w:rsidR="00DE260E" w:rsidRPr="003A4470" w14:paraId="6ED71FD8"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5E3AB92A" w14:textId="7B0D1A23" w:rsidR="00DE260E" w:rsidRPr="00A2230F" w:rsidRDefault="423C4589" w:rsidP="0059386F">
            <w:pPr>
              <w:pStyle w:val="TableBodyCopy"/>
            </w:pPr>
            <w:r w:rsidRPr="00A2230F">
              <w:t xml:space="preserve">Advance Universal Health </w:t>
            </w:r>
            <w:r w:rsidR="00CB3E27">
              <w:t>Coverage</w:t>
            </w:r>
            <w:r w:rsidRPr="00A2230F">
              <w:t xml:space="preserve"> Multi</w:t>
            </w:r>
            <w:r w:rsidR="00440E79">
              <w:noBreakHyphen/>
            </w:r>
            <w:r w:rsidRPr="00A2230F">
              <w:t>Donor Trust Fund</w:t>
            </w:r>
          </w:p>
          <w:p w14:paraId="2EAE7071" w14:textId="0D3F064D" w:rsidR="00DE260E" w:rsidRPr="00A2230F" w:rsidRDefault="45D5E0E7" w:rsidP="0059386F">
            <w:pPr>
              <w:pStyle w:val="TableBodyCopy"/>
            </w:pPr>
            <w:r w:rsidRPr="00A2230F">
              <w:t>(regional, global, other)</w:t>
            </w:r>
          </w:p>
        </w:tc>
        <w:tc>
          <w:tcPr>
            <w:tcW w:w="1321" w:type="pct"/>
            <w:shd w:val="clear" w:color="auto" w:fill="D2DEE7" w:themeFill="accent1" w:themeFillTint="33"/>
            <w:tcMar>
              <w:bottom w:w="113" w:type="dxa"/>
            </w:tcMar>
          </w:tcPr>
          <w:p w14:paraId="751C70CB" w14:textId="733D74FF"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2022</w:t>
            </w:r>
            <w:r w:rsidR="003A4470" w:rsidRPr="00A2230F">
              <w:t>–</w:t>
            </w:r>
            <w:r w:rsidRPr="00A2230F">
              <w:t>2026</w:t>
            </w:r>
          </w:p>
        </w:tc>
        <w:tc>
          <w:tcPr>
            <w:tcW w:w="1665" w:type="pct"/>
            <w:shd w:val="clear" w:color="auto" w:fill="F2F2F2" w:themeFill="background1" w:themeFillShade="F2"/>
            <w:tcMar>
              <w:bottom w:w="113" w:type="dxa"/>
            </w:tcMar>
          </w:tcPr>
          <w:p w14:paraId="5F202277" w14:textId="584958DD" w:rsidR="00DE260E" w:rsidRPr="000C72A7"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0C72A7">
              <w:t>World Bank</w:t>
            </w:r>
            <w:r w:rsidR="00BB717F" w:rsidRPr="000C72A7">
              <w:t>;</w:t>
            </w:r>
            <w:r w:rsidRPr="000C72A7">
              <w:t xml:space="preserve"> Ministry of Health and Medical Services</w:t>
            </w:r>
          </w:p>
        </w:tc>
      </w:tr>
      <w:tr w:rsidR="00DE260E" w:rsidRPr="003A4470" w14:paraId="3955885A"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5DBF6984" w14:textId="5C56C99C" w:rsidR="00DE260E" w:rsidRPr="00A2230F" w:rsidRDefault="423C4589" w:rsidP="0059386F">
            <w:pPr>
              <w:pStyle w:val="TableBodyCopy"/>
            </w:pPr>
            <w:r w:rsidRPr="00A2230F">
              <w:t>The Global Fund</w:t>
            </w:r>
          </w:p>
          <w:p w14:paraId="4DEDA1E5" w14:textId="5FEB3E0E" w:rsidR="00DE260E" w:rsidRPr="00A2230F" w:rsidRDefault="473A49CA" w:rsidP="0059386F">
            <w:pPr>
              <w:pStyle w:val="TableBodyCopy"/>
            </w:pPr>
            <w:r w:rsidRPr="00A2230F">
              <w:t>(regional, global, other)</w:t>
            </w:r>
          </w:p>
        </w:tc>
        <w:tc>
          <w:tcPr>
            <w:tcW w:w="1321" w:type="pct"/>
            <w:shd w:val="clear" w:color="auto" w:fill="D2DEE7" w:themeFill="accent1" w:themeFillTint="33"/>
            <w:tcMar>
              <w:bottom w:w="113" w:type="dxa"/>
            </w:tcMar>
          </w:tcPr>
          <w:p w14:paraId="3068B4EB" w14:textId="65DE5A50" w:rsidR="00DE260E" w:rsidRPr="00A2230F"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2024</w:t>
            </w:r>
            <w:r w:rsidR="003A4470" w:rsidRPr="00A2230F">
              <w:t>–</w:t>
            </w:r>
            <w:r w:rsidRPr="00A2230F">
              <w:t>2026</w:t>
            </w:r>
          </w:p>
        </w:tc>
        <w:tc>
          <w:tcPr>
            <w:tcW w:w="1665" w:type="pct"/>
            <w:shd w:val="clear" w:color="auto" w:fill="F2F2F2" w:themeFill="background1" w:themeFillShade="F2"/>
            <w:tcMar>
              <w:bottom w:w="113" w:type="dxa"/>
            </w:tcMar>
          </w:tcPr>
          <w:p w14:paraId="3BF17656" w14:textId="77777777" w:rsidR="00DE260E" w:rsidRPr="000C72A7"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0C72A7">
              <w:t>Ministry of Health and Medical Services</w:t>
            </w:r>
          </w:p>
        </w:tc>
      </w:tr>
      <w:tr w:rsidR="00DE260E" w:rsidRPr="003A4470" w14:paraId="4CAB0BBE"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44266B4D" w14:textId="308E85AA" w:rsidR="00DE260E" w:rsidRPr="00A2230F" w:rsidRDefault="423C4589" w:rsidP="0059386F">
            <w:pPr>
              <w:pStyle w:val="TableBodyCopy"/>
            </w:pPr>
            <w:r w:rsidRPr="00A2230F">
              <w:t>Gavi, the Vaccine Alliance</w:t>
            </w:r>
          </w:p>
          <w:p w14:paraId="215CA6A2" w14:textId="1288421E" w:rsidR="00DE260E" w:rsidRPr="00A2230F" w:rsidRDefault="68013E66" w:rsidP="0059386F">
            <w:pPr>
              <w:pStyle w:val="TableBodyCopy"/>
            </w:pPr>
            <w:r w:rsidRPr="00A2230F">
              <w:t>(regional, global, other)</w:t>
            </w:r>
          </w:p>
        </w:tc>
        <w:tc>
          <w:tcPr>
            <w:tcW w:w="1321" w:type="pct"/>
            <w:shd w:val="clear" w:color="auto" w:fill="D2DEE7" w:themeFill="accent1" w:themeFillTint="33"/>
            <w:tcMar>
              <w:bottom w:w="113" w:type="dxa"/>
            </w:tcMar>
          </w:tcPr>
          <w:p w14:paraId="7A7168B1" w14:textId="1E3BABAC"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2021</w:t>
            </w:r>
            <w:r w:rsidR="003A4470" w:rsidRPr="00A2230F">
              <w:t>–</w:t>
            </w:r>
            <w:r w:rsidRPr="00A2230F">
              <w:t>2025</w:t>
            </w:r>
          </w:p>
        </w:tc>
        <w:tc>
          <w:tcPr>
            <w:tcW w:w="1665" w:type="pct"/>
            <w:shd w:val="clear" w:color="auto" w:fill="F2F2F2" w:themeFill="background1" w:themeFillShade="F2"/>
            <w:tcMar>
              <w:bottom w:w="113" w:type="dxa"/>
            </w:tcMar>
          </w:tcPr>
          <w:p w14:paraId="6BCA5851" w14:textId="77777777" w:rsidR="00DE260E" w:rsidRPr="000C72A7"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0C72A7">
              <w:t>Ministry of Health and Medical Services</w:t>
            </w:r>
          </w:p>
        </w:tc>
      </w:tr>
      <w:tr w:rsidR="00DE260E" w:rsidRPr="003A4470" w14:paraId="72DD9A1D"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6ADB5CC7" w14:textId="53E20BBD" w:rsidR="00DE260E" w:rsidRPr="00A2230F" w:rsidRDefault="423C4589" w:rsidP="0059386F">
            <w:pPr>
              <w:pStyle w:val="TableBodyCopy"/>
            </w:pPr>
            <w:r w:rsidRPr="00A2230F">
              <w:t xml:space="preserve">Core funding to </w:t>
            </w:r>
            <w:r w:rsidR="00CB3E27">
              <w:t>the World Health Organization</w:t>
            </w:r>
            <w:r w:rsidR="008F775D">
              <w:t> </w:t>
            </w:r>
            <w:r w:rsidR="00CB3E27">
              <w:t>(</w:t>
            </w:r>
            <w:r w:rsidRPr="00A2230F">
              <w:t>WHO</w:t>
            </w:r>
            <w:r w:rsidR="00CB3E27">
              <w:t>)</w:t>
            </w:r>
            <w:r w:rsidRPr="00A2230F">
              <w:t xml:space="preserve">, </w:t>
            </w:r>
            <w:r w:rsidR="00CB3E27">
              <w:t>United Nations Children’s Fund (</w:t>
            </w:r>
            <w:r w:rsidRPr="00A2230F">
              <w:t>UNICEF</w:t>
            </w:r>
            <w:r w:rsidR="00CB3E27">
              <w:t>)</w:t>
            </w:r>
            <w:r w:rsidRPr="00A2230F">
              <w:t xml:space="preserve">, </w:t>
            </w:r>
            <w:r w:rsidR="00CB3E27">
              <w:t>United Nations Population Fund</w:t>
            </w:r>
            <w:r w:rsidR="008F775D">
              <w:t> </w:t>
            </w:r>
            <w:r w:rsidR="00CB3E27">
              <w:t>(</w:t>
            </w:r>
            <w:r w:rsidRPr="00A2230F">
              <w:t>UNFPA</w:t>
            </w:r>
            <w:r w:rsidR="00CB3E27">
              <w:t>)</w:t>
            </w:r>
            <w:r w:rsidRPr="00A2230F">
              <w:t xml:space="preserve">, </w:t>
            </w:r>
            <w:r w:rsidR="008867CE">
              <w:t>Joint United Nations Programme on HIV/AIDS (</w:t>
            </w:r>
            <w:r w:rsidRPr="00A2230F">
              <w:t>UNAIDS</w:t>
            </w:r>
            <w:r w:rsidR="008867CE">
              <w:t>) and</w:t>
            </w:r>
            <w:r w:rsidRPr="00A2230F">
              <w:t xml:space="preserve"> </w:t>
            </w:r>
            <w:r w:rsidR="00A439F5">
              <w:t>Global Polio Eradication Initiative (</w:t>
            </w:r>
            <w:r w:rsidRPr="00A2230F">
              <w:t>GPEI</w:t>
            </w:r>
            <w:r w:rsidR="00A439F5">
              <w:t>)</w:t>
            </w:r>
          </w:p>
          <w:p w14:paraId="58EE5CA7" w14:textId="07D2B31D" w:rsidR="00DE260E" w:rsidRPr="00A2230F" w:rsidRDefault="14537520" w:rsidP="0059386F">
            <w:pPr>
              <w:pStyle w:val="TableBodyCopy"/>
            </w:pPr>
            <w:r w:rsidRPr="00A2230F">
              <w:t>(regional, global, other)</w:t>
            </w:r>
          </w:p>
        </w:tc>
        <w:tc>
          <w:tcPr>
            <w:tcW w:w="1321" w:type="pct"/>
            <w:shd w:val="clear" w:color="auto" w:fill="D2DEE7" w:themeFill="accent1" w:themeFillTint="33"/>
            <w:tcMar>
              <w:bottom w:w="113" w:type="dxa"/>
            </w:tcMar>
          </w:tcPr>
          <w:p w14:paraId="4B654A55" w14:textId="6F5C3906" w:rsidR="00DE260E" w:rsidRPr="00A2230F" w:rsidRDefault="003A4470" w:rsidP="0059386F">
            <w:pPr>
              <w:pStyle w:val="TableBodyCopy"/>
              <w:cnfStyle w:val="000000000000" w:firstRow="0" w:lastRow="0" w:firstColumn="0" w:lastColumn="0" w:oddVBand="0" w:evenVBand="0" w:oddHBand="0" w:evenHBand="0" w:firstRowFirstColumn="0" w:firstRowLastColumn="0" w:lastRowFirstColumn="0" w:lastRowLastColumn="0"/>
            </w:pPr>
            <w:r w:rsidRPr="00A2230F">
              <w:t>Ongoing</w:t>
            </w:r>
          </w:p>
        </w:tc>
        <w:tc>
          <w:tcPr>
            <w:tcW w:w="1665" w:type="pct"/>
            <w:shd w:val="clear" w:color="auto" w:fill="F2F2F2" w:themeFill="background1" w:themeFillShade="F2"/>
            <w:tcMar>
              <w:bottom w:w="113" w:type="dxa"/>
            </w:tcMar>
          </w:tcPr>
          <w:p w14:paraId="07E18CA7" w14:textId="77777777" w:rsidR="00DE260E" w:rsidRPr="000C72A7"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0C72A7">
              <w:t>Ministry of Health and Medical Services</w:t>
            </w:r>
          </w:p>
        </w:tc>
      </w:tr>
      <w:tr w:rsidR="00DE260E" w:rsidRPr="003A4470" w14:paraId="2B57C65B"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2BC84715" w14:textId="2C84119E" w:rsidR="00DE260E" w:rsidRPr="00A2230F" w:rsidRDefault="1394C9BD" w:rsidP="0059386F">
            <w:pPr>
              <w:pStyle w:val="TableBodyCopy"/>
            </w:pPr>
            <w:r>
              <w:t>Advancing Gender Equality in Solomon Islands</w:t>
            </w:r>
          </w:p>
          <w:p w14:paraId="3A6E3442" w14:textId="1ADD8008" w:rsidR="00DE260E" w:rsidRPr="00A2230F" w:rsidRDefault="097BCF2E" w:rsidP="0059386F">
            <w:pPr>
              <w:pStyle w:val="TableBodyCopy"/>
            </w:pPr>
            <w:r w:rsidRPr="00A2230F">
              <w:t>(bilateral)</w:t>
            </w:r>
          </w:p>
        </w:tc>
        <w:tc>
          <w:tcPr>
            <w:tcW w:w="1321" w:type="pct"/>
            <w:shd w:val="clear" w:color="auto" w:fill="D2DEE7" w:themeFill="accent1" w:themeFillTint="33"/>
            <w:tcMar>
              <w:bottom w:w="113" w:type="dxa"/>
            </w:tcMar>
          </w:tcPr>
          <w:p w14:paraId="30D7AD35" w14:textId="72359B94"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2024</w:t>
            </w:r>
            <w:r w:rsidR="003A4470" w:rsidRPr="00A2230F">
              <w:t>–</w:t>
            </w:r>
            <w:r w:rsidRPr="00A2230F">
              <w:t>2028</w:t>
            </w:r>
          </w:p>
        </w:tc>
        <w:tc>
          <w:tcPr>
            <w:tcW w:w="1665" w:type="pct"/>
            <w:shd w:val="clear" w:color="auto" w:fill="F2F2F2" w:themeFill="background1" w:themeFillShade="F2"/>
            <w:tcMar>
              <w:bottom w:w="113" w:type="dxa"/>
            </w:tcMar>
          </w:tcPr>
          <w:p w14:paraId="5D1C8CF0" w14:textId="1F1F19A9" w:rsidR="00DE260E" w:rsidRPr="008540FB" w:rsidRDefault="00DE260E"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593B85">
              <w:t>UN Women; Ministry of Women, Youth, Children and Family Affairs</w:t>
            </w:r>
          </w:p>
        </w:tc>
      </w:tr>
      <w:tr w:rsidR="00DE260E" w:rsidRPr="003A4470" w14:paraId="65D0E482"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70A8569B" w14:textId="1C440FB8" w:rsidR="00DE260E" w:rsidRPr="00A2230F" w:rsidRDefault="423C4589" w:rsidP="0059386F">
            <w:pPr>
              <w:pStyle w:val="TableBodyCopy"/>
            </w:pPr>
            <w:r w:rsidRPr="00A2230F">
              <w:t>Water for Women</w:t>
            </w:r>
          </w:p>
          <w:p w14:paraId="59645EAD" w14:textId="3B745810" w:rsidR="00DE260E" w:rsidRPr="00A2230F" w:rsidRDefault="47B67E9F" w:rsidP="0059386F">
            <w:pPr>
              <w:pStyle w:val="TableBodyCopy"/>
            </w:pPr>
            <w:r w:rsidRPr="00A2230F">
              <w:t>(regional, global, other)</w:t>
            </w:r>
          </w:p>
        </w:tc>
        <w:tc>
          <w:tcPr>
            <w:tcW w:w="1321" w:type="pct"/>
            <w:shd w:val="clear" w:color="auto" w:fill="D2DEE7" w:themeFill="accent1" w:themeFillTint="33"/>
            <w:tcMar>
              <w:bottom w:w="113" w:type="dxa"/>
            </w:tcMar>
          </w:tcPr>
          <w:p w14:paraId="7A9105C9" w14:textId="0D9E8284" w:rsidR="00DE260E" w:rsidRPr="00A2230F" w:rsidRDefault="00DE260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2017</w:t>
            </w:r>
            <w:r w:rsidR="003A4470" w:rsidRPr="00A2230F">
              <w:t>–</w:t>
            </w:r>
            <w:r w:rsidRPr="00A2230F">
              <w:t>2025</w:t>
            </w:r>
          </w:p>
        </w:tc>
        <w:tc>
          <w:tcPr>
            <w:tcW w:w="1665" w:type="pct"/>
            <w:shd w:val="clear" w:color="auto" w:fill="F2F2F2" w:themeFill="background1" w:themeFillShade="F2"/>
            <w:tcMar>
              <w:bottom w:w="113" w:type="dxa"/>
            </w:tcMar>
          </w:tcPr>
          <w:p w14:paraId="2897E249" w14:textId="4B2F02E1" w:rsidR="00DE260E" w:rsidRPr="00BF2C8F" w:rsidRDefault="00BF2C8F"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BF2C8F">
              <w:t>Plan International Australia; Live and Learn Environmental Education</w:t>
            </w:r>
          </w:p>
        </w:tc>
      </w:tr>
      <w:tr w:rsidR="00DE260E" w:rsidRPr="003A4470" w14:paraId="3281708C" w14:textId="77777777" w:rsidTr="7E61FB3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32FD1DBD" w14:textId="0A6E480D" w:rsidR="00DE260E" w:rsidRPr="00A2230F" w:rsidRDefault="423C4589" w:rsidP="0059386F">
            <w:pPr>
              <w:pStyle w:val="TableBodyCopy"/>
            </w:pPr>
            <w:r w:rsidRPr="00A2230F">
              <w:t>Pacific Women Lead</w:t>
            </w:r>
          </w:p>
          <w:p w14:paraId="19DB2ED6" w14:textId="4366DEC9" w:rsidR="00DE260E" w:rsidRPr="00A2230F" w:rsidRDefault="07573684" w:rsidP="0059386F">
            <w:pPr>
              <w:pStyle w:val="TableBodyCopy"/>
            </w:pPr>
            <w:r w:rsidRPr="00A2230F">
              <w:t>(regional, global, other)</w:t>
            </w:r>
          </w:p>
        </w:tc>
        <w:tc>
          <w:tcPr>
            <w:tcW w:w="1321" w:type="pct"/>
            <w:shd w:val="clear" w:color="auto" w:fill="D2DEE7" w:themeFill="accent1" w:themeFillTint="33"/>
            <w:tcMar>
              <w:bottom w:w="113" w:type="dxa"/>
            </w:tcMar>
          </w:tcPr>
          <w:p w14:paraId="08A098E5" w14:textId="1501BE46" w:rsidR="00DE260E" w:rsidRPr="00A2230F" w:rsidRDefault="00DE260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2021</w:t>
            </w:r>
            <w:r w:rsidR="003A4470" w:rsidRPr="00A2230F">
              <w:t>–</w:t>
            </w:r>
            <w:r w:rsidRPr="00A2230F">
              <w:t>2026</w:t>
            </w:r>
          </w:p>
        </w:tc>
        <w:tc>
          <w:tcPr>
            <w:tcW w:w="1665" w:type="pct"/>
            <w:shd w:val="clear" w:color="auto" w:fill="F2F2F2" w:themeFill="background1" w:themeFillShade="F2"/>
            <w:tcMar>
              <w:bottom w:w="113" w:type="dxa"/>
            </w:tcMar>
          </w:tcPr>
          <w:p w14:paraId="141631CE" w14:textId="66DE6E41" w:rsidR="00DE260E" w:rsidRPr="008540FB" w:rsidRDefault="00DE260E"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972A06">
              <w:t>Pacific Community</w:t>
            </w:r>
            <w:r w:rsidR="00972A06" w:rsidRPr="00972A06">
              <w:t>;</w:t>
            </w:r>
            <w:r w:rsidRPr="00972A06">
              <w:t xml:space="preserve"> </w:t>
            </w:r>
            <w:r w:rsidRPr="00593B85">
              <w:t>Ministry of Women, Youth, Children and Family Affairs</w:t>
            </w:r>
          </w:p>
        </w:tc>
      </w:tr>
      <w:tr w:rsidR="00D529A7" w:rsidRPr="003A4470" w14:paraId="6FCDCDE0"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0CFB09C8" w14:textId="77777777" w:rsidR="00D529A7" w:rsidRPr="00A2230F" w:rsidRDefault="00D529A7" w:rsidP="0059386F">
            <w:pPr>
              <w:pStyle w:val="TableBodyCopy"/>
            </w:pPr>
            <w:r w:rsidRPr="00A2230F">
              <w:t>Australian Volunteers Program (AVP)</w:t>
            </w:r>
          </w:p>
          <w:p w14:paraId="2AC773FE" w14:textId="15B3006C" w:rsidR="00D529A7" w:rsidRPr="00A2230F" w:rsidRDefault="00D529A7" w:rsidP="0059386F">
            <w:pPr>
              <w:pStyle w:val="TableBodyCopy"/>
            </w:pPr>
            <w:r w:rsidRPr="00A2230F">
              <w:t>(regional, global, other)</w:t>
            </w:r>
          </w:p>
        </w:tc>
        <w:tc>
          <w:tcPr>
            <w:tcW w:w="1321" w:type="pct"/>
            <w:shd w:val="clear" w:color="auto" w:fill="D2DEE7" w:themeFill="accent1" w:themeFillTint="33"/>
            <w:tcMar>
              <w:bottom w:w="113" w:type="dxa"/>
            </w:tcMar>
          </w:tcPr>
          <w:p w14:paraId="40B9958A" w14:textId="7EED3F5E" w:rsidR="00D529A7" w:rsidRPr="00A2230F" w:rsidRDefault="00D529A7"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2017</w:t>
            </w:r>
            <w:r w:rsidR="003A4470" w:rsidRPr="00A2230F">
              <w:t>–</w:t>
            </w:r>
            <w:r w:rsidRPr="00A2230F">
              <w:t>2027</w:t>
            </w:r>
          </w:p>
        </w:tc>
        <w:tc>
          <w:tcPr>
            <w:tcW w:w="1665" w:type="pct"/>
            <w:shd w:val="clear" w:color="auto" w:fill="F2F2F2" w:themeFill="background1" w:themeFillShade="F2"/>
            <w:tcMar>
              <w:bottom w:w="113" w:type="dxa"/>
            </w:tcMar>
          </w:tcPr>
          <w:p w14:paraId="2AAAA6CD" w14:textId="2E782716" w:rsidR="00D529A7" w:rsidRPr="008540FB" w:rsidRDefault="00836157"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094512">
              <w:t>Various</w:t>
            </w:r>
          </w:p>
        </w:tc>
      </w:tr>
      <w:tr w:rsidR="003A4470" w:rsidRPr="003A4470" w14:paraId="1019AB3E" w14:textId="77777777" w:rsidTr="7E61FB33">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45600E8C" w14:textId="6DD45C43" w:rsidR="003A4470" w:rsidRPr="00A2230F" w:rsidRDefault="003A4470" w:rsidP="0059386F">
            <w:pPr>
              <w:pStyle w:val="TableBodyCopy"/>
            </w:pPr>
            <w:r w:rsidRPr="00A2230F">
              <w:t>Australian NGO Cooperation Program (ANCP) (regional, global, other)</w:t>
            </w:r>
          </w:p>
        </w:tc>
        <w:tc>
          <w:tcPr>
            <w:tcW w:w="1321" w:type="pct"/>
            <w:shd w:val="clear" w:color="auto" w:fill="D2DEE7" w:themeFill="accent1" w:themeFillTint="33"/>
            <w:tcMar>
              <w:bottom w:w="113" w:type="dxa"/>
            </w:tcMar>
          </w:tcPr>
          <w:p w14:paraId="111AFA96" w14:textId="6EA50556" w:rsidR="003A4470" w:rsidRPr="00A2230F" w:rsidRDefault="003A4470" w:rsidP="0059386F">
            <w:pPr>
              <w:pStyle w:val="TableBodyCopy"/>
              <w:cnfStyle w:val="000000100000" w:firstRow="0" w:lastRow="0" w:firstColumn="0" w:lastColumn="0" w:oddVBand="0" w:evenVBand="0" w:oddHBand="1" w:evenHBand="0" w:firstRowFirstColumn="0" w:firstRowLastColumn="0" w:lastRowFirstColumn="0" w:lastRowLastColumn="0"/>
            </w:pPr>
            <w:r w:rsidRPr="00A2230F">
              <w:t>Ongoing</w:t>
            </w:r>
          </w:p>
        </w:tc>
        <w:tc>
          <w:tcPr>
            <w:tcW w:w="1665" w:type="pct"/>
            <w:shd w:val="clear" w:color="auto" w:fill="F2F2F2" w:themeFill="background1" w:themeFillShade="F2"/>
            <w:tcMar>
              <w:bottom w:w="113" w:type="dxa"/>
            </w:tcMar>
          </w:tcPr>
          <w:p w14:paraId="530C0B48" w14:textId="0ADFC571" w:rsidR="003A4470" w:rsidRPr="008540FB" w:rsidRDefault="00CC22B0" w:rsidP="009B17AC">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9B17AC">
              <w:t xml:space="preserve">ChildFund Australia; World Vision Australia; </w:t>
            </w:r>
            <w:r w:rsidR="004A70BD" w:rsidRPr="009B17AC">
              <w:t xml:space="preserve">Plan International Australia; </w:t>
            </w:r>
            <w:r w:rsidR="00BA362E" w:rsidRPr="009B17AC">
              <w:t xml:space="preserve">Family Planning NSW; </w:t>
            </w:r>
            <w:r w:rsidR="00836D56" w:rsidRPr="009B17AC">
              <w:t xml:space="preserve">Anglican Overseas Aid; </w:t>
            </w:r>
            <w:r w:rsidR="00DE6F85" w:rsidRPr="009B17AC">
              <w:t xml:space="preserve">International Women’s Development Agency; </w:t>
            </w:r>
            <w:r w:rsidR="009B17AC" w:rsidRPr="009B17AC">
              <w:t>Save the Children Australia; SurfAid International Australia</w:t>
            </w:r>
          </w:p>
        </w:tc>
      </w:tr>
      <w:tr w:rsidR="003A4470" w:rsidRPr="003A4470" w14:paraId="609BF126"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03DB78BC" w14:textId="77777777" w:rsidR="003A4470" w:rsidRPr="00A2230F" w:rsidRDefault="003A4470" w:rsidP="0059386F">
            <w:pPr>
              <w:pStyle w:val="TableBodyCopy"/>
            </w:pPr>
            <w:r w:rsidRPr="00A2230F">
              <w:t>New Colombo Plan</w:t>
            </w:r>
          </w:p>
          <w:p w14:paraId="24B461A0" w14:textId="15B37A66" w:rsidR="003A4470" w:rsidRPr="00A2230F" w:rsidRDefault="003A4470" w:rsidP="0059386F">
            <w:pPr>
              <w:pStyle w:val="TableBodyCopy"/>
            </w:pPr>
            <w:r w:rsidRPr="00A2230F">
              <w:t>(regional, global, other)</w:t>
            </w:r>
          </w:p>
        </w:tc>
        <w:tc>
          <w:tcPr>
            <w:tcW w:w="1321" w:type="pct"/>
            <w:shd w:val="clear" w:color="auto" w:fill="D2DEE7" w:themeFill="accent1" w:themeFillTint="33"/>
            <w:tcMar>
              <w:bottom w:w="113" w:type="dxa"/>
            </w:tcMar>
          </w:tcPr>
          <w:p w14:paraId="77B8157C" w14:textId="4BCAAEC0" w:rsidR="003A4470" w:rsidRPr="00A2230F" w:rsidRDefault="003A4470" w:rsidP="0059386F">
            <w:pPr>
              <w:pStyle w:val="TableBodyCopy"/>
              <w:cnfStyle w:val="000000000000" w:firstRow="0" w:lastRow="0" w:firstColumn="0" w:lastColumn="0" w:oddVBand="0" w:evenVBand="0" w:oddHBand="0" w:evenHBand="0" w:firstRowFirstColumn="0" w:firstRowLastColumn="0" w:lastRowFirstColumn="0" w:lastRowLastColumn="0"/>
            </w:pPr>
            <w:r w:rsidRPr="00A2230F">
              <w:t>Ongoing</w:t>
            </w:r>
          </w:p>
        </w:tc>
        <w:tc>
          <w:tcPr>
            <w:tcW w:w="1665" w:type="pct"/>
            <w:shd w:val="clear" w:color="auto" w:fill="F2F2F2" w:themeFill="background1" w:themeFillShade="F2"/>
            <w:tcMar>
              <w:bottom w:w="113" w:type="dxa"/>
            </w:tcMar>
          </w:tcPr>
          <w:p w14:paraId="46100F11" w14:textId="736B291F" w:rsidR="003A4470" w:rsidRPr="008540FB" w:rsidRDefault="00883C00"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385501">
              <w:t>Australian universities</w:t>
            </w:r>
          </w:p>
        </w:tc>
      </w:tr>
      <w:tr w:rsidR="00D529A7" w:rsidRPr="003A4470" w14:paraId="106BDA48"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5DEDDCB5" w14:textId="116A6222" w:rsidR="00D529A7" w:rsidRPr="00A2230F" w:rsidRDefault="00D529A7" w:rsidP="0059386F">
            <w:pPr>
              <w:pStyle w:val="TableBodyCopy"/>
            </w:pPr>
            <w:r w:rsidRPr="00A2230F">
              <w:lastRenderedPageBreak/>
              <w:t xml:space="preserve">Pacific </w:t>
            </w:r>
            <w:r w:rsidR="001C4242">
              <w:t xml:space="preserve">Australia </w:t>
            </w:r>
            <w:r w:rsidRPr="00A2230F">
              <w:t>Labour Mobility (PALM)</w:t>
            </w:r>
            <w:r w:rsidR="001C4242">
              <w:t xml:space="preserve"> scheme</w:t>
            </w:r>
          </w:p>
          <w:p w14:paraId="57E962BF" w14:textId="0938E286" w:rsidR="00D529A7" w:rsidRPr="00A2230F" w:rsidRDefault="00D529A7" w:rsidP="0059386F">
            <w:pPr>
              <w:pStyle w:val="TableBodyCopy"/>
            </w:pPr>
            <w:r w:rsidRPr="00A2230F">
              <w:t>(regional, global, other)</w:t>
            </w:r>
          </w:p>
        </w:tc>
        <w:tc>
          <w:tcPr>
            <w:tcW w:w="1321" w:type="pct"/>
            <w:shd w:val="clear" w:color="auto" w:fill="D2DEE7" w:themeFill="accent1" w:themeFillTint="33"/>
            <w:tcMar>
              <w:bottom w:w="113" w:type="dxa"/>
            </w:tcMar>
          </w:tcPr>
          <w:p w14:paraId="2F7E2057" w14:textId="7E5CE399" w:rsidR="00D529A7" w:rsidRPr="00A2230F" w:rsidRDefault="00D529A7"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2023</w:t>
            </w:r>
            <w:r w:rsidR="003A4470" w:rsidRPr="00A2230F">
              <w:t>–</w:t>
            </w:r>
            <w:r w:rsidRPr="00A2230F">
              <w:t>2032</w:t>
            </w:r>
          </w:p>
        </w:tc>
        <w:tc>
          <w:tcPr>
            <w:tcW w:w="1665" w:type="pct"/>
            <w:shd w:val="clear" w:color="auto" w:fill="F2F2F2" w:themeFill="background1" w:themeFillShade="F2"/>
            <w:tcMar>
              <w:bottom w:w="113" w:type="dxa"/>
            </w:tcMar>
          </w:tcPr>
          <w:p w14:paraId="14AB731D" w14:textId="302313B4" w:rsidR="00D529A7" w:rsidRPr="008540FB" w:rsidRDefault="00D529A7"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037D09">
              <w:t>Ministry of Foreign Affairs and External Trade</w:t>
            </w:r>
          </w:p>
        </w:tc>
      </w:tr>
      <w:tr w:rsidR="00D529A7" w:rsidRPr="003A4470" w14:paraId="7570A286"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219461F1" w14:textId="33ECBC20" w:rsidR="00D529A7" w:rsidRPr="00A2230F" w:rsidRDefault="00D529A7" w:rsidP="0059386F">
            <w:pPr>
              <w:pStyle w:val="TableBodyCopy"/>
            </w:pPr>
            <w:r w:rsidRPr="00A2230F">
              <w:t xml:space="preserve">Australia </w:t>
            </w:r>
            <w:r w:rsidR="00E2439C">
              <w:t xml:space="preserve">– </w:t>
            </w:r>
            <w:r w:rsidRPr="00A2230F">
              <w:t>Solomon Islands Program Support Facility (ASIPS)</w:t>
            </w:r>
          </w:p>
          <w:p w14:paraId="14467401" w14:textId="547E2D45" w:rsidR="00D529A7" w:rsidRPr="00A2230F" w:rsidRDefault="00D529A7" w:rsidP="0059386F">
            <w:pPr>
              <w:pStyle w:val="TableBodyCopy"/>
            </w:pPr>
            <w:r w:rsidRPr="00A2230F">
              <w:t>(bilateral)</w:t>
            </w:r>
          </w:p>
        </w:tc>
        <w:tc>
          <w:tcPr>
            <w:tcW w:w="1321" w:type="pct"/>
            <w:shd w:val="clear" w:color="auto" w:fill="D2DEE7" w:themeFill="accent1" w:themeFillTint="33"/>
            <w:tcMar>
              <w:bottom w:w="113" w:type="dxa"/>
            </w:tcMar>
          </w:tcPr>
          <w:p w14:paraId="6DDD06E7" w14:textId="24695154" w:rsidR="00D529A7" w:rsidRPr="00A2230F" w:rsidRDefault="00D529A7"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2022</w:t>
            </w:r>
            <w:r w:rsidR="003A4470" w:rsidRPr="00A2230F">
              <w:t>–</w:t>
            </w:r>
            <w:r w:rsidRPr="00A2230F">
              <w:t>2027</w:t>
            </w:r>
          </w:p>
        </w:tc>
        <w:tc>
          <w:tcPr>
            <w:tcW w:w="1665" w:type="pct"/>
            <w:shd w:val="clear" w:color="auto" w:fill="F2F2F2" w:themeFill="background1" w:themeFillShade="F2"/>
            <w:tcMar>
              <w:bottom w:w="113" w:type="dxa"/>
            </w:tcMar>
          </w:tcPr>
          <w:p w14:paraId="535EC321" w14:textId="469401B5" w:rsidR="00D529A7" w:rsidRPr="008540FB" w:rsidRDefault="00D55250"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C557C0">
              <w:t>Various</w:t>
            </w:r>
          </w:p>
        </w:tc>
      </w:tr>
      <w:tr w:rsidR="00D529A7" w:rsidRPr="003A4470" w14:paraId="7B0BFB66" w14:textId="77777777" w:rsidTr="7E61FB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62BA153D" w14:textId="77777777" w:rsidR="00D529A7" w:rsidRPr="00A2230F" w:rsidRDefault="00D529A7" w:rsidP="0059386F">
            <w:pPr>
              <w:pStyle w:val="TableBodyCopy"/>
            </w:pPr>
            <w:r w:rsidRPr="00A2230F">
              <w:t>Australia Awards in Solomon Islands</w:t>
            </w:r>
          </w:p>
          <w:p w14:paraId="6174682E" w14:textId="17CDC285" w:rsidR="00D529A7" w:rsidRPr="00A2230F" w:rsidRDefault="00D529A7" w:rsidP="0059386F">
            <w:pPr>
              <w:pStyle w:val="TableBodyCopy"/>
            </w:pPr>
            <w:r w:rsidRPr="00A2230F">
              <w:t>(bilateral)</w:t>
            </w:r>
          </w:p>
        </w:tc>
        <w:tc>
          <w:tcPr>
            <w:tcW w:w="1321" w:type="pct"/>
            <w:shd w:val="clear" w:color="auto" w:fill="D2DEE7" w:themeFill="accent1" w:themeFillTint="33"/>
            <w:tcMar>
              <w:bottom w:w="113" w:type="dxa"/>
            </w:tcMar>
          </w:tcPr>
          <w:p w14:paraId="49CD966F" w14:textId="61B457C7" w:rsidR="00D529A7" w:rsidRPr="00A2230F" w:rsidRDefault="00D529A7"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2019</w:t>
            </w:r>
            <w:r w:rsidR="003A4470" w:rsidRPr="00A2230F">
              <w:t>–</w:t>
            </w:r>
            <w:r w:rsidRPr="00A2230F">
              <w:t>2027</w:t>
            </w:r>
          </w:p>
        </w:tc>
        <w:tc>
          <w:tcPr>
            <w:tcW w:w="1665" w:type="pct"/>
            <w:shd w:val="clear" w:color="auto" w:fill="F2F2F2" w:themeFill="background1" w:themeFillShade="F2"/>
            <w:tcMar>
              <w:bottom w:w="113" w:type="dxa"/>
            </w:tcMar>
          </w:tcPr>
          <w:p w14:paraId="6F11057A" w14:textId="26315B38" w:rsidR="00D529A7" w:rsidRPr="008540FB" w:rsidRDefault="00D529A7"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8540FB">
              <w:t>Ministry of Education and Human Resources Development</w:t>
            </w:r>
          </w:p>
        </w:tc>
      </w:tr>
      <w:tr w:rsidR="00D529A7" w:rsidRPr="003A4470" w14:paraId="2F353FAA" w14:textId="77777777" w:rsidTr="7E61FB33">
        <w:trPr>
          <w:trHeight w:val="300"/>
        </w:trPr>
        <w:tc>
          <w:tcPr>
            <w:cnfStyle w:val="001000000000" w:firstRow="0" w:lastRow="0" w:firstColumn="1" w:lastColumn="0" w:oddVBand="0" w:evenVBand="0" w:oddHBand="0" w:evenHBand="0" w:firstRowFirstColumn="0" w:firstRowLastColumn="0" w:lastRowFirstColumn="0" w:lastRowLastColumn="0"/>
            <w:tcW w:w="2014" w:type="pct"/>
            <w:shd w:val="clear" w:color="auto" w:fill="A5BDCF" w:themeFill="accent1" w:themeFillTint="66"/>
            <w:tcMar>
              <w:bottom w:w="113" w:type="dxa"/>
            </w:tcMar>
          </w:tcPr>
          <w:p w14:paraId="2434CD59" w14:textId="0BA43349" w:rsidR="00D529A7" w:rsidRPr="00A2230F" w:rsidRDefault="00D529A7" w:rsidP="0059386F">
            <w:pPr>
              <w:pStyle w:val="TableBodyCopy"/>
            </w:pPr>
            <w:r>
              <w:t xml:space="preserve">Solomon Islands – Australia Community Partnerships  </w:t>
            </w:r>
          </w:p>
          <w:p w14:paraId="0344FCB1" w14:textId="18B682F6" w:rsidR="00D529A7" w:rsidRPr="00A2230F" w:rsidRDefault="00D529A7" w:rsidP="0059386F">
            <w:pPr>
              <w:pStyle w:val="TableBodyCopy"/>
            </w:pPr>
            <w:r w:rsidRPr="00A2230F">
              <w:t>(bilateral)</w:t>
            </w:r>
          </w:p>
        </w:tc>
        <w:tc>
          <w:tcPr>
            <w:tcW w:w="1321" w:type="pct"/>
            <w:shd w:val="clear" w:color="auto" w:fill="D2DEE7" w:themeFill="accent1" w:themeFillTint="33"/>
            <w:tcMar>
              <w:bottom w:w="113" w:type="dxa"/>
            </w:tcMar>
          </w:tcPr>
          <w:p w14:paraId="089ECA33" w14:textId="5740B9BE" w:rsidR="00D529A7" w:rsidRPr="00A2230F" w:rsidRDefault="00D529A7"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2024</w:t>
            </w:r>
            <w:r w:rsidR="003A4470" w:rsidRPr="00A2230F">
              <w:t>–</w:t>
            </w:r>
            <w:r w:rsidRPr="00A2230F">
              <w:t>2025</w:t>
            </w:r>
          </w:p>
        </w:tc>
        <w:tc>
          <w:tcPr>
            <w:tcW w:w="1665" w:type="pct"/>
            <w:shd w:val="clear" w:color="auto" w:fill="F2F2F2" w:themeFill="background1" w:themeFillShade="F2"/>
            <w:tcMar>
              <w:bottom w:w="113" w:type="dxa"/>
            </w:tcMar>
          </w:tcPr>
          <w:p w14:paraId="4EBFCD56" w14:textId="2C8FC849" w:rsidR="00D529A7" w:rsidRPr="008540FB" w:rsidRDefault="00C67EAE"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C67EAE">
              <w:t>Various</w:t>
            </w:r>
          </w:p>
        </w:tc>
      </w:tr>
    </w:tbl>
    <w:p w14:paraId="3D78E429" w14:textId="09CD90C9" w:rsidR="008F5B80" w:rsidRDefault="709A135C" w:rsidP="00B25597">
      <w:pPr>
        <w:rPr>
          <w:lang w:eastAsia="en-AU"/>
        </w:rPr>
      </w:pPr>
      <w:r w:rsidRPr="69118224">
        <w:rPr>
          <w:lang w:eastAsia="en-AU"/>
        </w:rPr>
        <w:t>Australian Government supporting investments for Objective</w:t>
      </w:r>
      <w:r w:rsidR="00852289">
        <w:rPr>
          <w:lang w:eastAsia="en-AU"/>
        </w:rPr>
        <w:t> </w:t>
      </w:r>
      <w:r w:rsidR="37829822" w:rsidRPr="69118224">
        <w:rPr>
          <w:lang w:eastAsia="en-AU"/>
        </w:rPr>
        <w:t>3</w:t>
      </w:r>
      <w:r w:rsidR="00323DBD">
        <w:rPr>
          <w:lang w:eastAsia="en-AU"/>
        </w:rPr>
        <w:t xml:space="preserve"> </w:t>
      </w:r>
      <w:r w:rsidR="00323DBD">
        <w:rPr>
          <w:rFonts w:cstheme="majorHAnsi"/>
          <w:lang w:eastAsia="en-AU"/>
        </w:rPr>
        <w:t>–</w:t>
      </w:r>
      <w:r w:rsidR="00323DBD">
        <w:rPr>
          <w:lang w:eastAsia="en-AU"/>
        </w:rPr>
        <w:t xml:space="preserve"> </w:t>
      </w:r>
      <w:r w:rsidR="00323DBD">
        <w:t>Improved stability, security and resilience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10;"/>
      </w:tblPr>
      <w:tblGrid>
        <w:gridCol w:w="4105"/>
        <w:gridCol w:w="2693"/>
        <w:gridCol w:w="3396"/>
      </w:tblGrid>
      <w:tr w:rsidR="0001561D" w14:paraId="45E597E6" w14:textId="77777777" w:rsidTr="2A22DF3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tcMar>
              <w:bottom w:w="113" w:type="dxa"/>
            </w:tcMar>
          </w:tcPr>
          <w:p w14:paraId="6F03C67C" w14:textId="549034E8" w:rsidR="0001561D" w:rsidRDefault="0001561D" w:rsidP="0059386F">
            <w:pPr>
              <w:pStyle w:val="TableHeading"/>
            </w:pPr>
            <w:r w:rsidRPr="4BA5C0C5">
              <w:t xml:space="preserve">Name of </w:t>
            </w:r>
            <w:r w:rsidR="00852289">
              <w:t>i</w:t>
            </w:r>
            <w:r w:rsidRPr="4BA5C0C5">
              <w:t>nvestment</w:t>
            </w:r>
            <w:r w:rsidR="00AD2F20">
              <w:t>/activity</w:t>
            </w:r>
          </w:p>
        </w:tc>
        <w:tc>
          <w:tcPr>
            <w:tcW w:w="2693" w:type="dxa"/>
            <w:tcMar>
              <w:bottom w:w="113" w:type="dxa"/>
            </w:tcMar>
          </w:tcPr>
          <w:p w14:paraId="7EE27B3A" w14:textId="77777777" w:rsidR="0001561D" w:rsidRDefault="0001561D" w:rsidP="0059386F">
            <w:pPr>
              <w:pStyle w:val="TableHeading"/>
              <w:cnfStyle w:val="100000000000" w:firstRow="1" w:lastRow="0" w:firstColumn="0" w:lastColumn="0" w:oddVBand="0" w:evenVBand="0" w:oddHBand="0" w:evenHBand="0" w:firstRowFirstColumn="0" w:firstRowLastColumn="0" w:lastRowFirstColumn="0" w:lastRowLastColumn="0"/>
            </w:pPr>
            <w:r w:rsidRPr="1C40DA7E">
              <w:t>Duration</w:t>
            </w:r>
          </w:p>
        </w:tc>
        <w:tc>
          <w:tcPr>
            <w:tcW w:w="3396" w:type="dxa"/>
            <w:tcMar>
              <w:bottom w:w="113" w:type="dxa"/>
            </w:tcMar>
          </w:tcPr>
          <w:p w14:paraId="519E6DC2" w14:textId="77777777" w:rsidR="0001561D" w:rsidRDefault="0001561D" w:rsidP="0059386F">
            <w:pPr>
              <w:pStyle w:val="TableHeading"/>
              <w:cnfStyle w:val="100000000000" w:firstRow="1" w:lastRow="0" w:firstColumn="0" w:lastColumn="0" w:oddVBand="0" w:evenVBand="0" w:oddHBand="0" w:evenHBand="0" w:firstRowFirstColumn="0" w:firstRowLastColumn="0" w:lastRowFirstColumn="0" w:lastRowLastColumn="0"/>
            </w:pPr>
            <w:r w:rsidRPr="1C40DA7E">
              <w:t>Key partners</w:t>
            </w:r>
          </w:p>
        </w:tc>
      </w:tr>
      <w:tr w:rsidR="0001561D" w:rsidRPr="003A4470" w14:paraId="71DEADCA"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190203F3" w14:textId="6105FFD3" w:rsidR="0001561D" w:rsidRPr="00A2230F" w:rsidRDefault="3D69293D" w:rsidP="0059386F">
            <w:pPr>
              <w:pStyle w:val="TableBodyCopy"/>
            </w:pPr>
            <w:r w:rsidRPr="00A2230F">
              <w:t xml:space="preserve">Australia </w:t>
            </w:r>
            <w:r w:rsidR="00246326">
              <w:t xml:space="preserve">– </w:t>
            </w:r>
            <w:r w:rsidRPr="00A2230F">
              <w:t>Solomon Islands Partnership for Governance (ASIP-Gov)</w:t>
            </w:r>
          </w:p>
          <w:p w14:paraId="0B1C9B5C" w14:textId="19003046" w:rsidR="0001561D" w:rsidRPr="00A2230F" w:rsidRDefault="5B9685D5" w:rsidP="0059386F">
            <w:pPr>
              <w:pStyle w:val="TableBodyCopy"/>
            </w:pPr>
            <w:r w:rsidRPr="00A2230F">
              <w:t>(bilateral)</w:t>
            </w:r>
          </w:p>
        </w:tc>
        <w:tc>
          <w:tcPr>
            <w:tcW w:w="2693" w:type="dxa"/>
            <w:shd w:val="clear" w:color="auto" w:fill="D2DEE7" w:themeFill="accent1" w:themeFillTint="33"/>
            <w:tcMar>
              <w:bottom w:w="113" w:type="dxa"/>
            </w:tcMar>
          </w:tcPr>
          <w:p w14:paraId="6380D077" w14:textId="1F83B00C" w:rsidR="0001561D" w:rsidRPr="00A2230F" w:rsidRDefault="0001561D"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2022</w:t>
            </w:r>
            <w:r w:rsidR="003A4470" w:rsidRPr="00A2230F">
              <w:t>–</w:t>
            </w:r>
            <w:r w:rsidRPr="00A2230F">
              <w:t>2027</w:t>
            </w:r>
          </w:p>
        </w:tc>
        <w:tc>
          <w:tcPr>
            <w:tcW w:w="3396" w:type="dxa"/>
            <w:shd w:val="clear" w:color="auto" w:fill="F2F2F2" w:themeFill="background1" w:themeFillShade="F2"/>
            <w:tcMar>
              <w:bottom w:w="113" w:type="dxa"/>
            </w:tcMar>
          </w:tcPr>
          <w:p w14:paraId="5FCA6056" w14:textId="77777777" w:rsidR="0001561D" w:rsidRPr="008540FB" w:rsidRDefault="0001561D"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2E3CB5">
              <w:t>Ministry of Finance and Treasury</w:t>
            </w:r>
          </w:p>
        </w:tc>
      </w:tr>
      <w:tr w:rsidR="0001561D" w:rsidRPr="003A4470" w14:paraId="01C80506"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06BE0377" w14:textId="1E6CC8B1" w:rsidR="0001561D" w:rsidRPr="00A2230F" w:rsidRDefault="00E03C6F" w:rsidP="0059386F">
            <w:pPr>
              <w:pStyle w:val="TableBodyCopy"/>
            </w:pPr>
            <w:r>
              <w:t xml:space="preserve">Australia </w:t>
            </w:r>
            <w:r w:rsidR="3D69293D" w:rsidRPr="00A2230F">
              <w:t xml:space="preserve">Solomon Islands </w:t>
            </w:r>
            <w:r>
              <w:t xml:space="preserve">Partnership in </w:t>
            </w:r>
            <w:r w:rsidR="3D69293D" w:rsidRPr="00A2230F">
              <w:t xml:space="preserve">Justice </w:t>
            </w:r>
            <w:r>
              <w:t>p</w:t>
            </w:r>
            <w:r w:rsidR="3D69293D" w:rsidRPr="00A2230F">
              <w:t xml:space="preserve">rogram </w:t>
            </w:r>
            <w:r w:rsidR="4FFE55CA" w:rsidRPr="00A2230F">
              <w:t>(bilateral)</w:t>
            </w:r>
          </w:p>
        </w:tc>
        <w:tc>
          <w:tcPr>
            <w:tcW w:w="2693" w:type="dxa"/>
            <w:shd w:val="clear" w:color="auto" w:fill="D2DEE7" w:themeFill="accent1" w:themeFillTint="33"/>
            <w:tcMar>
              <w:bottom w:w="113" w:type="dxa"/>
            </w:tcMar>
          </w:tcPr>
          <w:p w14:paraId="4297A10E" w14:textId="1A0578AE" w:rsidR="0001561D" w:rsidRPr="00A2230F" w:rsidRDefault="0001561D"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2021</w:t>
            </w:r>
            <w:r w:rsidR="003A4470" w:rsidRPr="00A2230F">
              <w:t>–</w:t>
            </w:r>
            <w:r w:rsidRPr="00A2230F">
              <w:t>2026</w:t>
            </w:r>
          </w:p>
        </w:tc>
        <w:tc>
          <w:tcPr>
            <w:tcW w:w="3396" w:type="dxa"/>
            <w:shd w:val="clear" w:color="auto" w:fill="F2F2F2" w:themeFill="background1" w:themeFillShade="F2"/>
            <w:tcMar>
              <w:bottom w:w="113" w:type="dxa"/>
            </w:tcMar>
          </w:tcPr>
          <w:p w14:paraId="4E0A7219" w14:textId="77777777" w:rsidR="0001561D" w:rsidRPr="008540FB" w:rsidRDefault="0001561D"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9E447C">
              <w:t>Ministry of Justice and Legal Affairs</w:t>
            </w:r>
          </w:p>
        </w:tc>
      </w:tr>
      <w:tr w:rsidR="0001561D" w:rsidRPr="003A4470" w14:paraId="6AC1799B"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309139EE" w14:textId="13EA705E" w:rsidR="00E03C6F" w:rsidRDefault="3D69293D" w:rsidP="0059386F">
            <w:pPr>
              <w:pStyle w:val="TableBodyCopy"/>
              <w:rPr>
                <w:b w:val="0"/>
                <w:bCs w:val="0"/>
              </w:rPr>
            </w:pPr>
            <w:r w:rsidRPr="00A2230F">
              <w:t>Solomon Islands</w:t>
            </w:r>
            <w:r w:rsidR="00303319">
              <w:t xml:space="preserve"> – </w:t>
            </w:r>
            <w:r w:rsidRPr="00A2230F">
              <w:t>Australia Media Sector Partnership</w:t>
            </w:r>
          </w:p>
          <w:p w14:paraId="77B44773" w14:textId="3CD41E0A" w:rsidR="0001561D" w:rsidRPr="00A2230F" w:rsidRDefault="3918B111" w:rsidP="0059386F">
            <w:pPr>
              <w:pStyle w:val="TableBodyCopy"/>
            </w:pPr>
            <w:r w:rsidRPr="00A2230F">
              <w:t>(bilateral)</w:t>
            </w:r>
          </w:p>
        </w:tc>
        <w:tc>
          <w:tcPr>
            <w:tcW w:w="2693" w:type="dxa"/>
            <w:shd w:val="clear" w:color="auto" w:fill="D2DEE7" w:themeFill="accent1" w:themeFillTint="33"/>
            <w:tcMar>
              <w:bottom w:w="113" w:type="dxa"/>
            </w:tcMar>
          </w:tcPr>
          <w:p w14:paraId="5A26039B" w14:textId="5EF36727" w:rsidR="0001561D" w:rsidRPr="00A2230F" w:rsidRDefault="0001561D"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2023</w:t>
            </w:r>
            <w:r w:rsidR="003A4470" w:rsidRPr="00A2230F">
              <w:t>–</w:t>
            </w:r>
            <w:r w:rsidRPr="00A2230F">
              <w:t>2027</w:t>
            </w:r>
          </w:p>
        </w:tc>
        <w:tc>
          <w:tcPr>
            <w:tcW w:w="3396" w:type="dxa"/>
            <w:shd w:val="clear" w:color="auto" w:fill="F2F2F2" w:themeFill="background1" w:themeFillShade="F2"/>
            <w:tcMar>
              <w:bottom w:w="113" w:type="dxa"/>
            </w:tcMar>
          </w:tcPr>
          <w:p w14:paraId="7F6542D2" w14:textId="6F6A4BBB" w:rsidR="0001561D" w:rsidRPr="008540FB" w:rsidRDefault="00440923"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F0109B">
              <w:t>Media Association of Solomon Islands</w:t>
            </w:r>
          </w:p>
        </w:tc>
      </w:tr>
      <w:tr w:rsidR="0001561D" w:rsidRPr="003A4470" w14:paraId="5514505A"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4281406B" w14:textId="1471E742" w:rsidR="0001561D" w:rsidRPr="00A2230F" w:rsidRDefault="3D69293D" w:rsidP="0059386F">
            <w:pPr>
              <w:pStyle w:val="TableBodyCopy"/>
            </w:pPr>
            <w:r w:rsidRPr="00A2230F">
              <w:t>Royal Solomon Islands Police Force – Australian Federal Police Policing Partnership Program (RAPPP)</w:t>
            </w:r>
          </w:p>
          <w:p w14:paraId="48EA962B" w14:textId="51C58C3A" w:rsidR="0001561D" w:rsidRPr="00A2230F" w:rsidRDefault="17418EE0" w:rsidP="0059386F">
            <w:pPr>
              <w:pStyle w:val="TableBodyCopy"/>
            </w:pPr>
            <w:r w:rsidRPr="00A2230F">
              <w:t>(regional, global, other)</w:t>
            </w:r>
          </w:p>
        </w:tc>
        <w:tc>
          <w:tcPr>
            <w:tcW w:w="2693" w:type="dxa"/>
            <w:shd w:val="clear" w:color="auto" w:fill="D2DEE7" w:themeFill="accent1" w:themeFillTint="33"/>
            <w:tcMar>
              <w:bottom w:w="113" w:type="dxa"/>
            </w:tcMar>
          </w:tcPr>
          <w:p w14:paraId="6A8FD06D" w14:textId="3AC928FF" w:rsidR="0001561D" w:rsidRPr="00A2230F" w:rsidRDefault="5545AB40"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2021</w:t>
            </w:r>
            <w:r w:rsidR="003A4470" w:rsidRPr="00A2230F">
              <w:t>–</w:t>
            </w:r>
            <w:r w:rsidRPr="00A2230F">
              <w:t>2026</w:t>
            </w:r>
          </w:p>
        </w:tc>
        <w:tc>
          <w:tcPr>
            <w:tcW w:w="3396" w:type="dxa"/>
            <w:shd w:val="clear" w:color="auto" w:fill="F2F2F2" w:themeFill="background1" w:themeFillShade="F2"/>
            <w:tcMar>
              <w:bottom w:w="113" w:type="dxa"/>
            </w:tcMar>
          </w:tcPr>
          <w:p w14:paraId="2A3BD983" w14:textId="472C7088" w:rsidR="0001561D" w:rsidRPr="006C7B67" w:rsidRDefault="6F3729DE" w:rsidP="0059386F">
            <w:pPr>
              <w:pStyle w:val="TableBodyCopy"/>
              <w:cnfStyle w:val="000000000000" w:firstRow="0" w:lastRow="0" w:firstColumn="0" w:lastColumn="0" w:oddVBand="0" w:evenVBand="0" w:oddHBand="0" w:evenHBand="0" w:firstRowFirstColumn="0" w:firstRowLastColumn="0" w:lastRowFirstColumn="0" w:lastRowLastColumn="0"/>
            </w:pPr>
            <w:r w:rsidRPr="006C7B67">
              <w:t>Royal Solomon Islands Police Force</w:t>
            </w:r>
            <w:r w:rsidR="2C997F7C" w:rsidRPr="006C7B67">
              <w:t xml:space="preserve"> </w:t>
            </w:r>
            <w:r w:rsidR="006C7B67" w:rsidRPr="006C7B67">
              <w:t>(RSIPF)</w:t>
            </w:r>
          </w:p>
        </w:tc>
      </w:tr>
      <w:tr w:rsidR="003A4470" w:rsidRPr="003A4470" w14:paraId="50656322"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38F3BAE1" w14:textId="60FDE030" w:rsidR="003A4470" w:rsidRPr="00A2230F" w:rsidRDefault="003A4470" w:rsidP="0059386F">
            <w:pPr>
              <w:pStyle w:val="TableBodyCopy"/>
            </w:pPr>
            <w:r w:rsidRPr="00A2230F">
              <w:t>Pacific Policing Initiative</w:t>
            </w:r>
          </w:p>
          <w:p w14:paraId="075B7DC4" w14:textId="3080496F" w:rsidR="003A4470" w:rsidRPr="00A2230F" w:rsidRDefault="003A4470" w:rsidP="0059386F">
            <w:pPr>
              <w:pStyle w:val="TableBodyCopy"/>
            </w:pPr>
            <w:r w:rsidRPr="00A2230F">
              <w:t>(regional, global, other)</w:t>
            </w:r>
          </w:p>
        </w:tc>
        <w:tc>
          <w:tcPr>
            <w:tcW w:w="2693" w:type="dxa"/>
            <w:shd w:val="clear" w:color="auto" w:fill="D2DEE7" w:themeFill="accent1" w:themeFillTint="33"/>
            <w:tcMar>
              <w:bottom w:w="113" w:type="dxa"/>
            </w:tcMar>
          </w:tcPr>
          <w:p w14:paraId="5BF47F59" w14:textId="6B2EDAC7" w:rsidR="003A4470" w:rsidRPr="00A2230F" w:rsidRDefault="003A4470" w:rsidP="0059386F">
            <w:pPr>
              <w:pStyle w:val="TableBodyCopy"/>
              <w:cnfStyle w:val="000000100000" w:firstRow="0" w:lastRow="0" w:firstColumn="0" w:lastColumn="0" w:oddVBand="0" w:evenVBand="0" w:oddHBand="1" w:evenHBand="0" w:firstRowFirstColumn="0" w:firstRowLastColumn="0" w:lastRowFirstColumn="0" w:lastRowLastColumn="0"/>
            </w:pPr>
            <w:r w:rsidRPr="00A2230F">
              <w:t>Ongoing</w:t>
            </w:r>
          </w:p>
        </w:tc>
        <w:tc>
          <w:tcPr>
            <w:tcW w:w="3396" w:type="dxa"/>
            <w:shd w:val="clear" w:color="auto" w:fill="F2F2F2" w:themeFill="background1" w:themeFillShade="F2"/>
            <w:tcMar>
              <w:bottom w:w="113" w:type="dxa"/>
            </w:tcMar>
          </w:tcPr>
          <w:p w14:paraId="4DC66D8C" w14:textId="4448CEB7" w:rsidR="003A4470" w:rsidRPr="006C7B67" w:rsidRDefault="006C7B67" w:rsidP="0059386F">
            <w:pPr>
              <w:pStyle w:val="TableBodyCopy"/>
              <w:cnfStyle w:val="000000100000" w:firstRow="0" w:lastRow="0" w:firstColumn="0" w:lastColumn="0" w:oddVBand="0" w:evenVBand="0" w:oddHBand="1" w:evenHBand="0" w:firstRowFirstColumn="0" w:firstRowLastColumn="0" w:lastRowFirstColumn="0" w:lastRowLastColumn="0"/>
            </w:pPr>
            <w:r>
              <w:t>RSIPF</w:t>
            </w:r>
          </w:p>
        </w:tc>
      </w:tr>
      <w:tr w:rsidR="003A4470" w:rsidRPr="003A4470" w14:paraId="438F43E2"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1C1611F8" w14:textId="77777777" w:rsidR="003A4470" w:rsidRDefault="5BBB0EC2" w:rsidP="0059386F">
            <w:pPr>
              <w:pStyle w:val="TableBodyCopy"/>
              <w:rPr>
                <w:b w:val="0"/>
                <w:bCs w:val="0"/>
              </w:rPr>
            </w:pPr>
            <w:r>
              <w:t>Defence Cooperation Program</w:t>
            </w:r>
          </w:p>
          <w:p w14:paraId="5C98EFEF" w14:textId="649EC495" w:rsidR="00F0109B" w:rsidRPr="00A2230F" w:rsidRDefault="00F0109B" w:rsidP="0059386F">
            <w:pPr>
              <w:pStyle w:val="TableBodyCopy"/>
            </w:pPr>
            <w:r w:rsidRPr="00A2230F">
              <w:t>(regional, global, other</w:t>
            </w:r>
            <w:r>
              <w:t>)</w:t>
            </w:r>
          </w:p>
        </w:tc>
        <w:tc>
          <w:tcPr>
            <w:tcW w:w="2693" w:type="dxa"/>
            <w:shd w:val="clear" w:color="auto" w:fill="D2DEE7" w:themeFill="accent1" w:themeFillTint="33"/>
            <w:tcMar>
              <w:bottom w:w="113" w:type="dxa"/>
            </w:tcMar>
          </w:tcPr>
          <w:p w14:paraId="723982D5" w14:textId="164936D4" w:rsidR="003A4470" w:rsidRPr="00A2230F" w:rsidRDefault="003A4470" w:rsidP="0059386F">
            <w:pPr>
              <w:pStyle w:val="TableBodyCopy"/>
              <w:cnfStyle w:val="000000000000" w:firstRow="0" w:lastRow="0" w:firstColumn="0" w:lastColumn="0" w:oddVBand="0" w:evenVBand="0" w:oddHBand="0" w:evenHBand="0" w:firstRowFirstColumn="0" w:firstRowLastColumn="0" w:lastRowFirstColumn="0" w:lastRowLastColumn="0"/>
            </w:pPr>
            <w:r w:rsidRPr="00A2230F">
              <w:t>Ongoing</w:t>
            </w:r>
          </w:p>
        </w:tc>
        <w:tc>
          <w:tcPr>
            <w:tcW w:w="3396" w:type="dxa"/>
            <w:shd w:val="clear" w:color="auto" w:fill="F2F2F2" w:themeFill="background1" w:themeFillShade="F2"/>
            <w:tcMar>
              <w:bottom w:w="113" w:type="dxa"/>
            </w:tcMar>
          </w:tcPr>
          <w:p w14:paraId="235D0B82" w14:textId="72390139" w:rsidR="003A4470" w:rsidRPr="006C7B67" w:rsidRDefault="006C7B67" w:rsidP="0059386F">
            <w:pPr>
              <w:pStyle w:val="TableBodyCopy"/>
              <w:cnfStyle w:val="000000000000" w:firstRow="0" w:lastRow="0" w:firstColumn="0" w:lastColumn="0" w:oddVBand="0" w:evenVBand="0" w:oddHBand="0" w:evenHBand="0" w:firstRowFirstColumn="0" w:firstRowLastColumn="0" w:lastRowFirstColumn="0" w:lastRowLastColumn="0"/>
            </w:pPr>
            <w:r>
              <w:t>RSIPF</w:t>
            </w:r>
          </w:p>
        </w:tc>
      </w:tr>
      <w:tr w:rsidR="00DC441C" w:rsidRPr="003A4470" w14:paraId="52180827"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hemeFill="accent1" w:themeFillTint="66"/>
            <w:tcMar>
              <w:bottom w:w="113" w:type="dxa"/>
            </w:tcMar>
          </w:tcPr>
          <w:p w14:paraId="0598FB85" w14:textId="280C49B5" w:rsidR="00DC441C" w:rsidRPr="00A2230F" w:rsidRDefault="6BE0B15E" w:rsidP="0059386F">
            <w:pPr>
              <w:pStyle w:val="TableBodyCopy"/>
            </w:pPr>
            <w:r w:rsidRPr="00A2230F">
              <w:t>Disaster READY</w:t>
            </w:r>
          </w:p>
          <w:p w14:paraId="1DD4A932" w14:textId="58F5D6C9" w:rsidR="00DC441C" w:rsidRPr="00A2230F" w:rsidRDefault="00DC441C" w:rsidP="0059386F">
            <w:pPr>
              <w:pStyle w:val="TableBodyCopy"/>
            </w:pPr>
            <w:r w:rsidRPr="00A2230F">
              <w:t>(regional, global, other)</w:t>
            </w:r>
          </w:p>
        </w:tc>
        <w:tc>
          <w:tcPr>
            <w:tcW w:w="2693" w:type="dxa"/>
            <w:shd w:val="clear" w:color="auto" w:fill="D2DEE7" w:themeFill="accent1" w:themeFillTint="33"/>
            <w:tcMar>
              <w:bottom w:w="113" w:type="dxa"/>
            </w:tcMar>
          </w:tcPr>
          <w:p w14:paraId="026BAC39" w14:textId="11C92B1A" w:rsidR="00DC441C" w:rsidRPr="00A2230F" w:rsidRDefault="00DC441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2017</w:t>
            </w:r>
            <w:r w:rsidR="003A4470" w:rsidRPr="00A2230F">
              <w:t>–</w:t>
            </w:r>
            <w:r w:rsidRPr="00A2230F">
              <w:t>2027</w:t>
            </w:r>
          </w:p>
        </w:tc>
        <w:tc>
          <w:tcPr>
            <w:tcW w:w="3396" w:type="dxa"/>
            <w:shd w:val="clear" w:color="auto" w:fill="F2F2F2" w:themeFill="background1" w:themeFillShade="F2"/>
            <w:tcMar>
              <w:bottom w:w="113" w:type="dxa"/>
            </w:tcMar>
          </w:tcPr>
          <w:p w14:paraId="77BABE00" w14:textId="2E382425" w:rsidR="00DC441C" w:rsidRPr="008540FB" w:rsidRDefault="00923AE4"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923AE4">
              <w:t>Save the Children Australia</w:t>
            </w:r>
            <w:r>
              <w:t>;</w:t>
            </w:r>
            <w:r w:rsidRPr="00923AE4">
              <w:t xml:space="preserve"> Oxfam Australia</w:t>
            </w:r>
            <w:r>
              <w:t>;</w:t>
            </w:r>
            <w:r w:rsidRPr="00923AE4">
              <w:t xml:space="preserve"> World Vision Australia</w:t>
            </w:r>
            <w:r>
              <w:t>;</w:t>
            </w:r>
            <w:r w:rsidRPr="00923AE4">
              <w:t xml:space="preserve"> Caritas Australia/CAN DO</w:t>
            </w:r>
            <w:r>
              <w:t>;</w:t>
            </w:r>
            <w:r w:rsidRPr="00923AE4">
              <w:t xml:space="preserve"> Live and Learn</w:t>
            </w:r>
            <w:r w:rsidR="00CB72DA">
              <w:t>;</w:t>
            </w:r>
            <w:r w:rsidRPr="00923AE4">
              <w:t xml:space="preserve"> Plan International Australia</w:t>
            </w:r>
          </w:p>
        </w:tc>
      </w:tr>
      <w:tr w:rsidR="00275453" w:rsidRPr="003A4470" w14:paraId="348E69D4" w14:textId="77777777" w:rsidTr="00275453">
        <w:trPr>
          <w:cantSplit/>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5E717283" w14:textId="08F5BCAD" w:rsidR="00DC441C" w:rsidRPr="00A2230F" w:rsidRDefault="00DC441C" w:rsidP="0059386F">
            <w:pPr>
              <w:pStyle w:val="TableBodyCopy"/>
            </w:pPr>
            <w:r w:rsidRPr="00A2230F">
              <w:lastRenderedPageBreak/>
              <w:t>Pacific Humanitarian Warehousing</w:t>
            </w:r>
            <w:r w:rsidR="000C13A2">
              <w:t xml:space="preserve"> Program</w:t>
            </w:r>
          </w:p>
          <w:p w14:paraId="31D018BD" w14:textId="4142F7C9" w:rsidR="00DC441C" w:rsidRPr="00A2230F" w:rsidRDefault="00DC441C" w:rsidP="0059386F">
            <w:pPr>
              <w:pStyle w:val="TableBodyCopy"/>
            </w:pPr>
            <w:r w:rsidRPr="00A2230F">
              <w:t>(regional, global, other)</w:t>
            </w:r>
          </w:p>
        </w:tc>
        <w:tc>
          <w:tcPr>
            <w:tcW w:w="0"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1751C8C7" w14:textId="6D872DE1" w:rsidR="00DC441C" w:rsidRPr="00A2230F" w:rsidRDefault="00DC441C"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2023</w:t>
            </w:r>
            <w:r w:rsidR="003A4470" w:rsidRPr="00A2230F">
              <w:t>–</w:t>
            </w:r>
            <w:r w:rsidRPr="00A2230F">
              <w:t>2031</w:t>
            </w:r>
          </w:p>
        </w:tc>
        <w:tc>
          <w:tcPr>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37904406" w14:textId="749165FD" w:rsidR="00DC441C" w:rsidRPr="008540FB" w:rsidRDefault="00DC441C"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343546">
              <w:t>National Disaster Management Office</w:t>
            </w:r>
            <w:r w:rsidR="00593B85" w:rsidRPr="00343546">
              <w:t>;</w:t>
            </w:r>
            <w:r w:rsidRPr="00343546">
              <w:t xml:space="preserve"> Ministry of Environment, Climate Change</w:t>
            </w:r>
            <w:r w:rsidR="00343546" w:rsidRPr="00343546">
              <w:t>,</w:t>
            </w:r>
            <w:r w:rsidRPr="00343546">
              <w:t xml:space="preserve"> Disaster Management and Meteorology</w:t>
            </w:r>
          </w:p>
        </w:tc>
      </w:tr>
      <w:tr w:rsidR="00DC441C" w:rsidRPr="003A4470" w14:paraId="0E995F47"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496C686D" w14:textId="368EAF23" w:rsidR="00DC441C" w:rsidRPr="00A2230F" w:rsidRDefault="00DC441C" w:rsidP="0059386F">
            <w:pPr>
              <w:pStyle w:val="TableBodyCopy"/>
            </w:pPr>
            <w:r w:rsidRPr="00A2230F">
              <w:t>Pacific Islands Emergency Management Alliance</w:t>
            </w:r>
          </w:p>
          <w:p w14:paraId="4EFC9F99" w14:textId="5EEEFCE8" w:rsidR="00DC441C" w:rsidRPr="00A2230F" w:rsidRDefault="00DC441C" w:rsidP="0059386F">
            <w:pPr>
              <w:pStyle w:val="TableBodyCopy"/>
            </w:pPr>
            <w:r w:rsidRPr="00A2230F">
              <w:t>(regional, global, other)</w:t>
            </w:r>
          </w:p>
        </w:tc>
        <w:tc>
          <w:tcPr>
            <w:tcW w:w="2693"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4C837E5B" w14:textId="11692BEC" w:rsidR="00DC441C" w:rsidRPr="00A2230F" w:rsidRDefault="00DC441C"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2023-2027</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6B9357BA" w14:textId="7CF10D20" w:rsidR="00DC441C" w:rsidRPr="008540FB" w:rsidRDefault="00DC441C"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972A06">
              <w:t>Pacific Community</w:t>
            </w:r>
            <w:r w:rsidR="00972A06" w:rsidRPr="00972A06">
              <w:t>;</w:t>
            </w:r>
            <w:r w:rsidRPr="00972A06">
              <w:t xml:space="preserve"> National</w:t>
            </w:r>
            <w:r w:rsidRPr="00593B85">
              <w:t xml:space="preserve"> Disaster Management Office.</w:t>
            </w:r>
          </w:p>
        </w:tc>
      </w:tr>
      <w:tr w:rsidR="530F848E" w:rsidRPr="003A4470" w14:paraId="14DD54A9"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08BDEDD0" w14:textId="4C3F5002" w:rsidR="00AD0A06" w:rsidRPr="00A2230F" w:rsidRDefault="530F848E" w:rsidP="0059386F">
            <w:pPr>
              <w:pStyle w:val="TableBodyCopy"/>
            </w:pPr>
            <w:r w:rsidRPr="00A2230F">
              <w:t>Australia Assists</w:t>
            </w:r>
            <w:r w:rsidR="00B76258">
              <w:t>, p</w:t>
            </w:r>
            <w:r w:rsidR="009D6C2D" w:rsidRPr="00A2230F">
              <w:t>hase</w:t>
            </w:r>
            <w:r w:rsidR="00255316">
              <w:t> </w:t>
            </w:r>
            <w:r w:rsidR="009D6C2D" w:rsidRPr="00A2230F">
              <w:t>2</w:t>
            </w:r>
          </w:p>
          <w:p w14:paraId="7172F56B" w14:textId="594CF7D7" w:rsidR="530F848E" w:rsidRPr="00A2230F" w:rsidRDefault="009D6C2D" w:rsidP="0059386F">
            <w:pPr>
              <w:pStyle w:val="TableBodyCopy"/>
            </w:pPr>
            <w:r w:rsidRPr="00A2230F">
              <w:t>(</w:t>
            </w:r>
            <w:r w:rsidR="00AD0A06" w:rsidRPr="00A2230F">
              <w:t>regional, global, other)</w:t>
            </w:r>
            <w:r w:rsidR="00AD0A06" w:rsidRPr="00A2230F" w:rsidDel="00AD0A06">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15AA774D" w14:textId="271AF035" w:rsidR="530F848E" w:rsidRPr="00A2230F" w:rsidRDefault="530F848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2024</w:t>
            </w:r>
            <w:r w:rsidR="003A4470" w:rsidRPr="00A2230F">
              <w:t>–</w:t>
            </w:r>
            <w:r w:rsidR="00B85690">
              <w:t>20</w:t>
            </w:r>
            <w:r w:rsidRPr="00A2230F">
              <w:t xml:space="preserve">29 </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5F0A82D5" w14:textId="19BDCB55" w:rsidR="38CB0DE5" w:rsidRPr="008540FB" w:rsidRDefault="38CB0DE5"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593B85">
              <w:t>National Disaster Management Office</w:t>
            </w:r>
          </w:p>
        </w:tc>
      </w:tr>
      <w:tr w:rsidR="530F848E" w:rsidRPr="003A4470" w14:paraId="2C986B12"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0CD95AAE" w14:textId="577BF2A3" w:rsidR="530F848E" w:rsidRPr="00A2230F" w:rsidRDefault="530F848E" w:rsidP="0059386F">
            <w:pPr>
              <w:pStyle w:val="TableBodyCopy"/>
            </w:pPr>
            <w:r w:rsidRPr="00A2230F">
              <w:t>Australian Red Cross</w:t>
            </w:r>
          </w:p>
          <w:p w14:paraId="477761BD" w14:textId="606D109B" w:rsidR="009D6C2D" w:rsidRPr="00A2230F" w:rsidRDefault="009D6C2D" w:rsidP="0059386F">
            <w:pPr>
              <w:pStyle w:val="TableBodyCopy"/>
            </w:pPr>
            <w:r w:rsidRPr="00A2230F">
              <w:t>(regional, global, other)</w:t>
            </w:r>
          </w:p>
        </w:tc>
        <w:tc>
          <w:tcPr>
            <w:tcW w:w="2693"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27091884" w14:textId="7B643CEC" w:rsidR="530F848E" w:rsidRPr="00A2230F" w:rsidRDefault="530F848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2019</w:t>
            </w:r>
            <w:r w:rsidR="003A4470" w:rsidRPr="00A2230F">
              <w:t>–</w:t>
            </w:r>
            <w:r w:rsidRPr="00A2230F">
              <w:t>2024</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5F67F3C1" w14:textId="4FEA1498" w:rsidR="530F848E" w:rsidRPr="008540FB" w:rsidRDefault="530F848E"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D67E5D">
              <w:t>Solomon Islands Red Cross</w:t>
            </w:r>
          </w:p>
        </w:tc>
      </w:tr>
      <w:tr w:rsidR="530F848E" w:rsidRPr="003A4470" w14:paraId="4B48CE96"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523509B5" w14:textId="60F1D08C" w:rsidR="530F848E" w:rsidRPr="00A2230F" w:rsidRDefault="530F848E" w:rsidP="0059386F">
            <w:pPr>
              <w:pStyle w:val="TableBodyCopy"/>
            </w:pPr>
            <w:r w:rsidRPr="00A2230F">
              <w:t xml:space="preserve">Disaster </w:t>
            </w:r>
            <w:r w:rsidR="004F7B5C">
              <w:t>a</w:t>
            </w:r>
            <w:r w:rsidRPr="00A2230F">
              <w:t xml:space="preserve">ssistance </w:t>
            </w:r>
            <w:r w:rsidR="004F7B5C">
              <w:t>r</w:t>
            </w:r>
            <w:r w:rsidRPr="00A2230F">
              <w:t xml:space="preserve">esponse </w:t>
            </w:r>
            <w:r w:rsidR="004F7B5C">
              <w:t>t</w:t>
            </w:r>
            <w:r w:rsidRPr="00A2230F">
              <w:t>eams</w:t>
            </w:r>
          </w:p>
          <w:p w14:paraId="63690856" w14:textId="4D2640AE" w:rsidR="009D6C2D" w:rsidRPr="00A2230F" w:rsidRDefault="009D6C2D" w:rsidP="0059386F">
            <w:pPr>
              <w:pStyle w:val="TableBodyCopy"/>
            </w:pPr>
            <w:r w:rsidRPr="00A2230F">
              <w:t>(regional, global, other)</w:t>
            </w:r>
          </w:p>
        </w:tc>
        <w:tc>
          <w:tcPr>
            <w:tcW w:w="2693"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2FCB7FA0" w14:textId="4C25D540" w:rsidR="530F848E" w:rsidRPr="00A2230F" w:rsidRDefault="530F848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2023</w:t>
            </w:r>
            <w:r w:rsidR="003A4470" w:rsidRPr="00A2230F">
              <w:t>–</w:t>
            </w:r>
            <w:r w:rsidRPr="00A2230F">
              <w:t>2028</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5F44AF72" w14:textId="51CBB4D5" w:rsidR="08E94F8F" w:rsidRPr="008540FB" w:rsidRDefault="08E94F8F"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593B85">
              <w:t>National Disaster Management Office</w:t>
            </w:r>
          </w:p>
        </w:tc>
      </w:tr>
      <w:tr w:rsidR="530F848E" w:rsidRPr="003A4470" w14:paraId="4967E6CC" w14:textId="77777777" w:rsidTr="2A22DF3F">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50D52769" w14:textId="40F9BF30" w:rsidR="530F848E" w:rsidRPr="00A2230F" w:rsidRDefault="638BBA55" w:rsidP="0059386F">
            <w:pPr>
              <w:pStyle w:val="TableBodyCopy"/>
            </w:pPr>
            <w:r w:rsidRPr="00A2230F">
              <w:t>Deployable Power Restoration</w:t>
            </w:r>
            <w:r w:rsidR="00255316">
              <w:t>, p</w:t>
            </w:r>
            <w:r w:rsidR="76EB9D27" w:rsidRPr="00A2230F">
              <w:t>hase</w:t>
            </w:r>
            <w:r w:rsidR="00255316">
              <w:t> </w:t>
            </w:r>
            <w:r w:rsidR="76EB9D27" w:rsidRPr="00A2230F">
              <w:t>1</w:t>
            </w:r>
          </w:p>
          <w:p w14:paraId="4EA72DE2" w14:textId="00404778" w:rsidR="007A7EBB" w:rsidRPr="00A2230F" w:rsidRDefault="527B688F" w:rsidP="0059386F">
            <w:pPr>
              <w:pStyle w:val="TableBodyCopy"/>
            </w:pPr>
            <w:r w:rsidRPr="00A2230F">
              <w:t>(regional, global, other)</w:t>
            </w:r>
          </w:p>
        </w:tc>
        <w:tc>
          <w:tcPr>
            <w:tcW w:w="2693"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335EE278" w14:textId="6272CB6B" w:rsidR="530F848E" w:rsidRPr="00A2230F" w:rsidRDefault="530F848E"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2021</w:t>
            </w:r>
            <w:r w:rsidR="003A4470" w:rsidRPr="00A2230F">
              <w:t>–</w:t>
            </w:r>
            <w:r w:rsidRPr="00A2230F">
              <w:t xml:space="preserve">2024 </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549CC8F3" w14:textId="63DF67FB" w:rsidR="5DD8949B" w:rsidRPr="008540FB" w:rsidRDefault="006C7B67"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t>To be confirmed</w:t>
            </w:r>
          </w:p>
        </w:tc>
      </w:tr>
      <w:tr w:rsidR="530F848E" w:rsidRPr="003A4470" w14:paraId="0114552F" w14:textId="77777777" w:rsidTr="2A22DF3F">
        <w:trPr>
          <w:trHeight w:val="300"/>
        </w:trPr>
        <w:tc>
          <w:tcPr>
            <w:cnfStyle w:val="001000000000" w:firstRow="0" w:lastRow="0" w:firstColumn="1" w:lastColumn="0" w:oddVBand="0" w:evenVBand="0" w:oddHBand="0" w:evenHBand="0" w:firstRowFirstColumn="0" w:firstRowLastColumn="0" w:lastRowFirstColumn="0" w:lastRowLastColumn="0"/>
            <w:tcW w:w="4105"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185ABC9D" w14:textId="014499B8" w:rsidR="530F848E" w:rsidRPr="00A2230F" w:rsidRDefault="638BBA55" w:rsidP="0059386F">
            <w:pPr>
              <w:pStyle w:val="TableBodyCopy"/>
            </w:pPr>
            <w:r w:rsidRPr="00A2230F">
              <w:t>National Critical Care and Trauma Response Centre</w:t>
            </w:r>
          </w:p>
          <w:p w14:paraId="7C388ED7" w14:textId="391E5CD3" w:rsidR="007A7EBB" w:rsidRPr="00A2230F" w:rsidRDefault="527B688F" w:rsidP="0059386F">
            <w:pPr>
              <w:pStyle w:val="TableBodyCopy"/>
            </w:pPr>
            <w:r w:rsidRPr="00A2230F">
              <w:t>(regional, global, other)</w:t>
            </w:r>
          </w:p>
        </w:tc>
        <w:tc>
          <w:tcPr>
            <w:tcW w:w="2693"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13101D3D" w14:textId="42C4ABAA" w:rsidR="530F848E" w:rsidRPr="00A2230F" w:rsidRDefault="530F848E" w:rsidP="0059386F">
            <w:pPr>
              <w:pStyle w:val="TableBodyCopy"/>
              <w:cnfStyle w:val="000000000000" w:firstRow="0" w:lastRow="0" w:firstColumn="0" w:lastColumn="0" w:oddVBand="0" w:evenVBand="0" w:oddHBand="0" w:evenHBand="0" w:firstRowFirstColumn="0" w:firstRowLastColumn="0" w:lastRowFirstColumn="0" w:lastRowLastColumn="0"/>
            </w:pPr>
            <w:r w:rsidRPr="00A2230F">
              <w:t>2023</w:t>
            </w:r>
            <w:r w:rsidR="003A4470" w:rsidRPr="00A2230F">
              <w:t>–</w:t>
            </w:r>
            <w:r w:rsidRPr="00A2230F">
              <w:t>2026</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5A9D5B40" w14:textId="3FC9D28E" w:rsidR="530F848E" w:rsidRPr="008540FB" w:rsidRDefault="530F848E" w:rsidP="0059386F">
            <w:pPr>
              <w:pStyle w:val="TableBodyCopy"/>
              <w:cnfStyle w:val="000000000000" w:firstRow="0" w:lastRow="0" w:firstColumn="0" w:lastColumn="0" w:oddVBand="0" w:evenVBand="0" w:oddHBand="0" w:evenHBand="0" w:firstRowFirstColumn="0" w:firstRowLastColumn="0" w:lastRowFirstColumn="0" w:lastRowLastColumn="0"/>
              <w:rPr>
                <w:highlight w:val="yellow"/>
              </w:rPr>
            </w:pPr>
            <w:r w:rsidRPr="000C72A7">
              <w:t xml:space="preserve">Ministry of Health </w:t>
            </w:r>
            <w:r w:rsidR="000C72A7" w:rsidRPr="000C72A7">
              <w:t>and Medical Services;</w:t>
            </w:r>
            <w:r w:rsidRPr="000C72A7">
              <w:t xml:space="preserve"> </w:t>
            </w:r>
            <w:r w:rsidR="00376BDA">
              <w:t>Solomon Islands Emergency Medical Teams (</w:t>
            </w:r>
            <w:r w:rsidRPr="00D67E5D">
              <w:t>SOLMAT</w:t>
            </w:r>
            <w:r w:rsidR="00376BDA">
              <w:t>)</w:t>
            </w:r>
          </w:p>
        </w:tc>
      </w:tr>
      <w:tr w:rsidR="00385F69" w:rsidRPr="003A4470" w14:paraId="3D04511A" w14:textId="77777777" w:rsidTr="2A22DF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5BDCF" w:themeFill="accent1" w:themeFillTint="66"/>
            <w:tcMar>
              <w:bottom w:w="113" w:type="dxa"/>
            </w:tcMar>
          </w:tcPr>
          <w:p w14:paraId="40EEEEB0" w14:textId="77777777" w:rsidR="00385F69" w:rsidRPr="00A2230F" w:rsidRDefault="00BF47B2" w:rsidP="0059386F">
            <w:pPr>
              <w:pStyle w:val="TableBodyCopy"/>
            </w:pPr>
            <w:r w:rsidRPr="00A2230F">
              <w:t>Weather Ready Pacific</w:t>
            </w:r>
          </w:p>
          <w:p w14:paraId="1F620878" w14:textId="5F6127B4" w:rsidR="00BF47B2" w:rsidRPr="00A2230F" w:rsidRDefault="00BF47B2" w:rsidP="0059386F">
            <w:pPr>
              <w:pStyle w:val="TableBodyCopy"/>
            </w:pPr>
            <w:r w:rsidRPr="00A2230F">
              <w:t>(regional, global, other)</w:t>
            </w:r>
          </w:p>
        </w:tc>
        <w:tc>
          <w:tcPr>
            <w:tcW w:w="0" w:type="dxa"/>
            <w:tcBorders>
              <w:top w:val="single" w:sz="4" w:space="0" w:color="auto"/>
              <w:left w:val="single" w:sz="4" w:space="0" w:color="auto"/>
              <w:bottom w:val="single" w:sz="4" w:space="0" w:color="auto"/>
              <w:right w:val="single" w:sz="4" w:space="0" w:color="auto"/>
            </w:tcBorders>
            <w:shd w:val="clear" w:color="auto" w:fill="D2DEE7" w:themeFill="accent1" w:themeFillTint="33"/>
            <w:tcMar>
              <w:bottom w:w="113" w:type="dxa"/>
            </w:tcMar>
          </w:tcPr>
          <w:p w14:paraId="0EEB9653" w14:textId="4FBA413A" w:rsidR="00385F69" w:rsidRPr="00A2230F" w:rsidRDefault="001A104F" w:rsidP="0059386F">
            <w:pPr>
              <w:pStyle w:val="TableBodyCopy"/>
              <w:cnfStyle w:val="000000100000" w:firstRow="0" w:lastRow="0" w:firstColumn="0" w:lastColumn="0" w:oddVBand="0" w:evenVBand="0" w:oddHBand="1" w:evenHBand="0" w:firstRowFirstColumn="0" w:firstRowLastColumn="0" w:lastRowFirstColumn="0" w:lastRowLastColumn="0"/>
            </w:pPr>
            <w:r w:rsidRPr="00A2230F">
              <w:t>2023</w:t>
            </w:r>
            <w:r w:rsidR="003A4470" w:rsidRPr="00A2230F">
              <w:t>–</w:t>
            </w:r>
            <w:r w:rsidRPr="00A2230F">
              <w:t>2029</w:t>
            </w:r>
          </w:p>
        </w:tc>
        <w:tc>
          <w:tcPr>
            <w:tcW w:w="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113" w:type="dxa"/>
            </w:tcMar>
          </w:tcPr>
          <w:p w14:paraId="7EF2A080" w14:textId="22852686" w:rsidR="00385F69" w:rsidRPr="008540FB" w:rsidRDefault="00DF0B01" w:rsidP="0059386F">
            <w:pPr>
              <w:pStyle w:val="TableBodyCopy"/>
              <w:cnfStyle w:val="000000100000" w:firstRow="0" w:lastRow="0" w:firstColumn="0" w:lastColumn="0" w:oddVBand="0" w:evenVBand="0" w:oddHBand="1" w:evenHBand="0" w:firstRowFirstColumn="0" w:firstRowLastColumn="0" w:lastRowFirstColumn="0" w:lastRowLastColumn="0"/>
              <w:rPr>
                <w:highlight w:val="yellow"/>
              </w:rPr>
            </w:pPr>
            <w:r w:rsidRPr="000970A5">
              <w:t xml:space="preserve">Pacific </w:t>
            </w:r>
            <w:r w:rsidR="006575BC" w:rsidRPr="00343546">
              <w:t>Meteorological</w:t>
            </w:r>
            <w:r w:rsidRPr="00343546">
              <w:t xml:space="preserve"> Council</w:t>
            </w:r>
            <w:r w:rsidR="000970A5" w:rsidRPr="00343546">
              <w:t>;</w:t>
            </w:r>
            <w:r w:rsidR="006575BC" w:rsidRPr="00343546">
              <w:t xml:space="preserve"> Ministry of Environment, Climate Change</w:t>
            </w:r>
            <w:r w:rsidR="00343546">
              <w:t>,</w:t>
            </w:r>
            <w:r w:rsidR="006575BC" w:rsidRPr="00343546">
              <w:t xml:space="preserve"> Disaster Management and Meteorology</w:t>
            </w:r>
            <w:r w:rsidR="00343546">
              <w:t>;</w:t>
            </w:r>
            <w:r w:rsidR="007B4686" w:rsidRPr="00343546">
              <w:t xml:space="preserve"> Secretariat of the Pacific </w:t>
            </w:r>
            <w:r w:rsidR="00343546" w:rsidRPr="00343546">
              <w:t xml:space="preserve">Regional </w:t>
            </w:r>
            <w:r w:rsidR="007B4686" w:rsidRPr="00343546">
              <w:t>Environmen</w:t>
            </w:r>
            <w:r w:rsidR="001A104F" w:rsidRPr="00343546">
              <w:t xml:space="preserve">t </w:t>
            </w:r>
            <w:r w:rsidR="001360AE" w:rsidRPr="00343546">
              <w:t>Programme</w:t>
            </w:r>
          </w:p>
        </w:tc>
      </w:tr>
    </w:tbl>
    <w:p w14:paraId="49CC7948" w14:textId="77777777" w:rsidR="009C353C" w:rsidRDefault="009C353C" w:rsidP="00B25597"/>
    <w:p w14:paraId="578F9F47" w14:textId="77777777" w:rsidR="00BB3BD9" w:rsidRDefault="47BEEE07" w:rsidP="001C278D">
      <w:pPr>
        <w:pStyle w:val="H2-Heading2"/>
        <w:spacing w:before="0" w:after="0"/>
        <w:rPr>
          <w:lang w:eastAsia="en-AU"/>
        </w:rPr>
        <w:sectPr w:rsidR="00BB3BD9" w:rsidSect="00524435">
          <w:headerReference w:type="default" r:id="rId15"/>
          <w:footerReference w:type="default" r:id="rId16"/>
          <w:headerReference w:type="first" r:id="rId17"/>
          <w:footerReference w:type="first" r:id="rId18"/>
          <w:endnotePr>
            <w:numFmt w:val="decimal"/>
          </w:endnotePr>
          <w:pgSz w:w="11906" w:h="16838" w:code="9"/>
          <w:pgMar w:top="1418" w:right="851" w:bottom="284" w:left="851" w:header="340" w:footer="415" w:gutter="0"/>
          <w:cols w:space="708"/>
          <w:titlePg/>
          <w:docGrid w:linePitch="360"/>
        </w:sectPr>
      </w:pPr>
      <w:r w:rsidRPr="2A22DF3F">
        <w:rPr>
          <w:lang w:eastAsia="en-AU"/>
        </w:rPr>
        <w:lastRenderedPageBreak/>
        <w:t>Endnotes</w:t>
      </w:r>
    </w:p>
    <w:p w14:paraId="0293DB4B" w14:textId="3B01004C" w:rsidR="00F327AE" w:rsidRDefault="00F327AE" w:rsidP="007168CF">
      <w:pPr>
        <w:pStyle w:val="Coverphotocreditshead"/>
        <w:spacing w:before="0" w:after="0"/>
      </w:pPr>
      <w:r w:rsidRPr="009F3727">
        <w:t>Cover photo credits</w:t>
      </w:r>
    </w:p>
    <w:p w14:paraId="25AB6079" w14:textId="3B0B13D4" w:rsidR="00613251" w:rsidRPr="00094512" w:rsidRDefault="00613251" w:rsidP="00613251">
      <w:pPr>
        <w:pStyle w:val="Endnotes"/>
        <w:rPr>
          <w:sz w:val="19"/>
          <w:szCs w:val="19"/>
        </w:rPr>
      </w:pPr>
      <w:r w:rsidRPr="00094512">
        <w:rPr>
          <w:sz w:val="19"/>
          <w:szCs w:val="19"/>
        </w:rPr>
        <w:t>Top row (from left to right):</w:t>
      </w:r>
    </w:p>
    <w:p w14:paraId="3AA0BFEC" w14:textId="18647A35" w:rsidR="00613251" w:rsidRPr="00724B29" w:rsidRDefault="18537C26" w:rsidP="00613251">
      <w:pPr>
        <w:pStyle w:val="Endnotes"/>
        <w:numPr>
          <w:ilvl w:val="0"/>
          <w:numId w:val="56"/>
        </w:numPr>
        <w:rPr>
          <w:sz w:val="19"/>
          <w:szCs w:val="19"/>
        </w:rPr>
      </w:pPr>
      <w:r w:rsidRPr="2A22DF3F">
        <w:rPr>
          <w:sz w:val="19"/>
          <w:szCs w:val="19"/>
        </w:rPr>
        <w:t xml:space="preserve">Australian Defence Force bulk distribution of ballot boxes for </w:t>
      </w:r>
      <w:r w:rsidR="4B3AD4EB" w:rsidRPr="2A22DF3F">
        <w:rPr>
          <w:sz w:val="19"/>
          <w:szCs w:val="19"/>
        </w:rPr>
        <w:t xml:space="preserve">the </w:t>
      </w:r>
      <w:r w:rsidR="252E3BF5" w:rsidRPr="2A22DF3F">
        <w:rPr>
          <w:sz w:val="19"/>
          <w:szCs w:val="19"/>
        </w:rPr>
        <w:t xml:space="preserve">Solomon Islands </w:t>
      </w:r>
      <w:r w:rsidRPr="2A22DF3F">
        <w:rPr>
          <w:sz w:val="19"/>
          <w:szCs w:val="19"/>
        </w:rPr>
        <w:t>2023 National General Election</w:t>
      </w:r>
      <w:r w:rsidR="5CEC07D5" w:rsidRPr="2A22DF3F">
        <w:rPr>
          <w:sz w:val="19"/>
          <w:szCs w:val="19"/>
        </w:rPr>
        <w:t>s</w:t>
      </w:r>
      <w:r w:rsidR="45FD8B8B" w:rsidRPr="2A22DF3F">
        <w:rPr>
          <w:sz w:val="19"/>
          <w:szCs w:val="19"/>
        </w:rPr>
        <w:t>.</w:t>
      </w:r>
      <w:r w:rsidR="00613251">
        <w:br/>
      </w:r>
      <w:r w:rsidRPr="2A22DF3F">
        <w:rPr>
          <w:sz w:val="19"/>
          <w:szCs w:val="19"/>
        </w:rPr>
        <w:t xml:space="preserve">Credit: </w:t>
      </w:r>
      <w:r w:rsidR="45FD8B8B" w:rsidRPr="2A22DF3F">
        <w:rPr>
          <w:sz w:val="19"/>
          <w:szCs w:val="19"/>
        </w:rPr>
        <w:t xml:space="preserve">Australian Government Department of </w:t>
      </w:r>
      <w:r w:rsidRPr="2A22DF3F">
        <w:rPr>
          <w:sz w:val="19"/>
          <w:szCs w:val="19"/>
        </w:rPr>
        <w:t>Defence</w:t>
      </w:r>
    </w:p>
    <w:p w14:paraId="43EFA2E4" w14:textId="039AA845" w:rsidR="00613251" w:rsidRPr="00724B29" w:rsidRDefault="00613251" w:rsidP="006D6610">
      <w:pPr>
        <w:pStyle w:val="Endnotes"/>
        <w:numPr>
          <w:ilvl w:val="0"/>
          <w:numId w:val="56"/>
        </w:numPr>
        <w:rPr>
          <w:sz w:val="19"/>
          <w:szCs w:val="19"/>
        </w:rPr>
      </w:pPr>
      <w:r w:rsidRPr="00724B29">
        <w:rPr>
          <w:sz w:val="19"/>
          <w:szCs w:val="19"/>
        </w:rPr>
        <w:t>Workers at the western extension works of the Honiara central market.</w:t>
      </w:r>
      <w:r w:rsidRPr="00724B29">
        <w:rPr>
          <w:sz w:val="19"/>
          <w:szCs w:val="19"/>
        </w:rPr>
        <w:br/>
        <w:t xml:space="preserve">Credit: </w:t>
      </w:r>
      <w:r w:rsidR="00D83016" w:rsidRPr="00724B29">
        <w:rPr>
          <w:sz w:val="19"/>
          <w:szCs w:val="19"/>
        </w:rPr>
        <w:t xml:space="preserve">Australian Government Department of Foreign Affairs and Trade and </w:t>
      </w:r>
      <w:r w:rsidR="008A7D92" w:rsidRPr="00724B29">
        <w:rPr>
          <w:sz w:val="19"/>
          <w:szCs w:val="19"/>
        </w:rPr>
        <w:t>SIIP</w:t>
      </w:r>
    </w:p>
    <w:p w14:paraId="4C2EE1BF" w14:textId="3AE49529" w:rsidR="00613251" w:rsidRPr="00724B29" w:rsidRDefault="00613251" w:rsidP="00613251">
      <w:pPr>
        <w:pStyle w:val="Endnotes"/>
        <w:rPr>
          <w:sz w:val="19"/>
          <w:szCs w:val="19"/>
        </w:rPr>
      </w:pPr>
      <w:r w:rsidRPr="00724B29">
        <w:rPr>
          <w:sz w:val="19"/>
          <w:szCs w:val="19"/>
        </w:rPr>
        <w:t>Bottom row (from left to right):</w:t>
      </w:r>
    </w:p>
    <w:p w14:paraId="77C2BF38" w14:textId="624E8A9F" w:rsidR="00613251" w:rsidRPr="00724B29" w:rsidRDefault="00613251" w:rsidP="00007DA4">
      <w:pPr>
        <w:pStyle w:val="Endnotes"/>
        <w:numPr>
          <w:ilvl w:val="0"/>
          <w:numId w:val="57"/>
        </w:numPr>
        <w:rPr>
          <w:sz w:val="19"/>
          <w:szCs w:val="19"/>
        </w:rPr>
      </w:pPr>
      <w:r w:rsidRPr="7E61FB33">
        <w:rPr>
          <w:sz w:val="19"/>
          <w:szCs w:val="19"/>
        </w:rPr>
        <w:t>School</w:t>
      </w:r>
      <w:r w:rsidR="00D83016" w:rsidRPr="7E61FB33">
        <w:rPr>
          <w:sz w:val="19"/>
          <w:szCs w:val="19"/>
        </w:rPr>
        <w:t>c</w:t>
      </w:r>
      <w:r w:rsidRPr="7E61FB33">
        <w:rPr>
          <w:sz w:val="19"/>
          <w:szCs w:val="19"/>
        </w:rPr>
        <w:t>hildren of Mwanihuki Village, Makira-Ulawa Province, using their new water supply system funded by Australia through the Solomon Islands – Australia Community Partnerships</w:t>
      </w:r>
      <w:r w:rsidR="12A887D4" w:rsidRPr="7E61FB33">
        <w:rPr>
          <w:sz w:val="19"/>
          <w:szCs w:val="19"/>
        </w:rPr>
        <w:t>.</w:t>
      </w:r>
      <w:r w:rsidRPr="7E61FB33">
        <w:rPr>
          <w:sz w:val="19"/>
          <w:szCs w:val="19"/>
        </w:rPr>
        <w:t xml:space="preserve"> </w:t>
      </w:r>
      <w:r>
        <w:br/>
      </w:r>
      <w:r w:rsidRPr="7E61FB33">
        <w:rPr>
          <w:sz w:val="19"/>
          <w:szCs w:val="19"/>
        </w:rPr>
        <w:t xml:space="preserve">Credit: </w:t>
      </w:r>
      <w:r w:rsidR="00D5388B" w:rsidRPr="7E61FB33">
        <w:rPr>
          <w:sz w:val="19"/>
          <w:szCs w:val="19"/>
        </w:rPr>
        <w:t>Australian Government Department of Foreign Affairs and Trade</w:t>
      </w:r>
    </w:p>
    <w:p w14:paraId="004D8A95" w14:textId="680669DA" w:rsidR="00613251" w:rsidRPr="00724B29" w:rsidRDefault="00613251" w:rsidP="00007DA4">
      <w:pPr>
        <w:pStyle w:val="Endnotes"/>
        <w:numPr>
          <w:ilvl w:val="0"/>
          <w:numId w:val="57"/>
        </w:numPr>
        <w:rPr>
          <w:sz w:val="19"/>
          <w:szCs w:val="19"/>
        </w:rPr>
      </w:pPr>
      <w:r w:rsidRPr="00724B29">
        <w:rPr>
          <w:sz w:val="19"/>
          <w:szCs w:val="19"/>
        </w:rPr>
        <w:t>Angeline Chamber</w:t>
      </w:r>
      <w:r w:rsidR="002F217C" w:rsidRPr="00724B29">
        <w:rPr>
          <w:sz w:val="19"/>
          <w:szCs w:val="19"/>
        </w:rPr>
        <w:t>, an</w:t>
      </w:r>
      <w:r w:rsidRPr="00724B29">
        <w:rPr>
          <w:sz w:val="19"/>
          <w:szCs w:val="19"/>
        </w:rPr>
        <w:t xml:space="preserve"> aged care worker</w:t>
      </w:r>
      <w:r w:rsidR="002F217C" w:rsidRPr="00724B29">
        <w:rPr>
          <w:sz w:val="19"/>
          <w:szCs w:val="19"/>
        </w:rPr>
        <w:t xml:space="preserve"> in the</w:t>
      </w:r>
      <w:r w:rsidRPr="00724B29">
        <w:rPr>
          <w:sz w:val="19"/>
          <w:szCs w:val="19"/>
        </w:rPr>
        <w:t xml:space="preserve"> PALM scheme</w:t>
      </w:r>
      <w:r w:rsidR="00EF578A" w:rsidRPr="00724B29">
        <w:rPr>
          <w:sz w:val="19"/>
          <w:szCs w:val="19"/>
        </w:rPr>
        <w:t>.</w:t>
      </w:r>
      <w:r w:rsidRPr="00724B29">
        <w:rPr>
          <w:sz w:val="19"/>
          <w:szCs w:val="19"/>
        </w:rPr>
        <w:br/>
        <w:t>Credit: Pacific Labour Mobility Facility</w:t>
      </w:r>
    </w:p>
    <w:p w14:paraId="724FEE59" w14:textId="4BA54776" w:rsidR="00BB3BD9" w:rsidRPr="00724B29" w:rsidRDefault="12C38F54" w:rsidP="001C278D">
      <w:pPr>
        <w:pStyle w:val="Endnotes"/>
        <w:numPr>
          <w:ilvl w:val="0"/>
          <w:numId w:val="57"/>
        </w:numPr>
        <w:rPr>
          <w:sz w:val="19"/>
          <w:szCs w:val="19"/>
        </w:rPr>
      </w:pPr>
      <w:r w:rsidRPr="2A22DF3F">
        <w:rPr>
          <w:sz w:val="19"/>
          <w:szCs w:val="19"/>
        </w:rPr>
        <w:t>Head of mission</w:t>
      </w:r>
      <w:r w:rsidR="18537C26" w:rsidRPr="2A22DF3F">
        <w:rPr>
          <w:sz w:val="19"/>
          <w:szCs w:val="19"/>
        </w:rPr>
        <w:t xml:space="preserve"> visiting a women led agribusiness partnership</w:t>
      </w:r>
      <w:r w:rsidRPr="2A22DF3F">
        <w:rPr>
          <w:sz w:val="19"/>
          <w:szCs w:val="19"/>
        </w:rPr>
        <w:t xml:space="preserve"> at Amazing Grace Cocoa Farm</w:t>
      </w:r>
      <w:r w:rsidR="6BDA18EB" w:rsidRPr="2A22DF3F">
        <w:rPr>
          <w:sz w:val="19"/>
          <w:szCs w:val="19"/>
        </w:rPr>
        <w:t>.</w:t>
      </w:r>
      <w:r w:rsidR="00EA5420">
        <w:br/>
      </w:r>
      <w:r w:rsidR="18537C26" w:rsidRPr="2A22DF3F">
        <w:rPr>
          <w:sz w:val="19"/>
          <w:szCs w:val="19"/>
        </w:rPr>
        <w:t xml:space="preserve">Credit: </w:t>
      </w:r>
      <w:r w:rsidR="0EED7FA3" w:rsidRPr="2A22DF3F">
        <w:rPr>
          <w:sz w:val="19"/>
          <w:szCs w:val="19"/>
        </w:rPr>
        <w:t xml:space="preserve">Australian Government Department of Foreign Affairs and Trade and </w:t>
      </w:r>
      <w:r w:rsidR="18537C26" w:rsidRPr="2A22DF3F">
        <w:rPr>
          <w:sz w:val="19"/>
          <w:szCs w:val="19"/>
        </w:rPr>
        <w:t xml:space="preserve">Strongim Bisnis </w:t>
      </w:r>
      <w:r w:rsidR="5E42A579" w:rsidRPr="2A22DF3F">
        <w:rPr>
          <w:sz w:val="19"/>
          <w:szCs w:val="19"/>
        </w:rPr>
        <w:t>p</w:t>
      </w:r>
      <w:r w:rsidR="18537C26" w:rsidRPr="2A22DF3F">
        <w:rPr>
          <w:sz w:val="19"/>
          <w:szCs w:val="19"/>
        </w:rPr>
        <w:t>rogram</w:t>
      </w:r>
    </w:p>
    <w:sectPr w:rsidR="00BB3BD9" w:rsidRPr="00724B29" w:rsidSect="009D0E31">
      <w:endnotePr>
        <w:numFmt w:val="decimal"/>
      </w:endnotePr>
      <w:type w:val="continuous"/>
      <w:pgSz w:w="11906" w:h="16838" w:code="9"/>
      <w:pgMar w:top="1418" w:right="851" w:bottom="284" w:left="851" w:header="340"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125C0" w14:textId="77777777" w:rsidR="00E6486D" w:rsidRPr="000B7DDD" w:rsidRDefault="00E6486D" w:rsidP="000B7DDD">
      <w:pPr>
        <w:pStyle w:val="endnotespacer"/>
      </w:pPr>
    </w:p>
  </w:endnote>
  <w:endnote w:type="continuationSeparator" w:id="0">
    <w:p w14:paraId="0AF32793" w14:textId="77777777" w:rsidR="00E6486D" w:rsidRPr="00735DE4" w:rsidRDefault="00E6486D" w:rsidP="00735DE4">
      <w:pPr>
        <w:pStyle w:val="endnotespacer"/>
      </w:pPr>
    </w:p>
  </w:endnote>
  <w:endnote w:type="continuationNotice" w:id="1">
    <w:p w14:paraId="55224EA4" w14:textId="77777777" w:rsidR="00E6486D" w:rsidRDefault="00E6486D" w:rsidP="00735DE4">
      <w:pPr>
        <w:pStyle w:val="endnotespacer"/>
      </w:pPr>
    </w:p>
  </w:endnote>
  <w:endnote w:id="2">
    <w:p w14:paraId="74C5C593" w14:textId="1FB9F8A3" w:rsidR="001B26D9" w:rsidRPr="00275453" w:rsidRDefault="001B26D9" w:rsidP="00275453">
      <w:pPr>
        <w:pStyle w:val="Endnotes"/>
        <w:rPr>
          <w:sz w:val="19"/>
          <w:szCs w:val="19"/>
        </w:rPr>
      </w:pPr>
      <w:r w:rsidRPr="004574D7">
        <w:rPr>
          <w:rStyle w:val="EndnoteReference"/>
          <w:sz w:val="19"/>
          <w:szCs w:val="19"/>
        </w:rPr>
        <w:endnoteRef/>
      </w:r>
      <w:r w:rsidRPr="00275453">
        <w:rPr>
          <w:sz w:val="19"/>
          <w:szCs w:val="19"/>
        </w:rPr>
        <w:t xml:space="preserve"> Solomon Islands Government, </w:t>
      </w:r>
      <w:r w:rsidRPr="00275453">
        <w:rPr>
          <w:i/>
          <w:iCs/>
          <w:sz w:val="19"/>
          <w:szCs w:val="19"/>
        </w:rPr>
        <w:t>National development strategy 2016 to 2035</w:t>
      </w:r>
      <w:r w:rsidR="006F1B29" w:rsidRPr="00275453">
        <w:rPr>
          <w:i/>
          <w:iCs/>
          <w:sz w:val="19"/>
          <w:szCs w:val="19"/>
        </w:rPr>
        <w:t>: improving the social and economic livelihoods of all Solomon Islanders</w:t>
      </w:r>
      <w:r w:rsidR="006F1B29" w:rsidRPr="00275453">
        <w:rPr>
          <w:sz w:val="19"/>
          <w:szCs w:val="19"/>
        </w:rPr>
        <w:t>, 2016</w:t>
      </w:r>
      <w:r w:rsidR="00B463DA" w:rsidRPr="00275453">
        <w:rPr>
          <w:sz w:val="19"/>
          <w:szCs w:val="19"/>
        </w:rPr>
        <w:t>, p. 11</w:t>
      </w:r>
      <w:r w:rsidR="006F1B29" w:rsidRPr="00275453">
        <w:rPr>
          <w:sz w:val="19"/>
          <w:szCs w:val="19"/>
        </w:rPr>
        <w:t xml:space="preserve">. </w:t>
      </w:r>
      <w:r w:rsidR="000B478B" w:rsidRPr="00275453">
        <w:t>https://solomons.gov.sb/wp-content/uploads/2020/02/National-Development-Strategy-2016.pdf</w:t>
      </w:r>
    </w:p>
  </w:endnote>
  <w:endnote w:id="3">
    <w:p w14:paraId="21F7AE13" w14:textId="3444804B" w:rsidR="009D0E1B" w:rsidRPr="00275453" w:rsidRDefault="009D0E1B" w:rsidP="00275453">
      <w:pPr>
        <w:pStyle w:val="Endnotes"/>
        <w:rPr>
          <w:sz w:val="19"/>
          <w:szCs w:val="19"/>
        </w:rPr>
      </w:pPr>
      <w:r w:rsidRPr="00275453">
        <w:rPr>
          <w:rStyle w:val="EndnoteReference"/>
          <w:sz w:val="19"/>
          <w:szCs w:val="19"/>
        </w:rPr>
        <w:endnoteRef/>
      </w:r>
      <w:r w:rsidRPr="00275453">
        <w:rPr>
          <w:sz w:val="19"/>
          <w:szCs w:val="19"/>
        </w:rPr>
        <w:t xml:space="preserve"> Asian Development Bank, </w:t>
      </w:r>
      <w:r w:rsidRPr="00275453">
        <w:rPr>
          <w:i/>
          <w:iCs/>
          <w:sz w:val="19"/>
          <w:szCs w:val="19"/>
        </w:rPr>
        <w:t>Poverty data:</w:t>
      </w:r>
      <w:r w:rsidRPr="00275453">
        <w:rPr>
          <w:sz w:val="19"/>
          <w:szCs w:val="19"/>
        </w:rPr>
        <w:t> </w:t>
      </w:r>
      <w:r w:rsidRPr="00275453">
        <w:rPr>
          <w:i/>
          <w:iCs/>
          <w:sz w:val="19"/>
          <w:szCs w:val="19"/>
        </w:rPr>
        <w:t>Solomon Islands</w:t>
      </w:r>
      <w:r w:rsidRPr="00275453">
        <w:rPr>
          <w:sz w:val="19"/>
          <w:szCs w:val="19"/>
        </w:rPr>
        <w:t>, 2024. </w:t>
      </w:r>
      <w:r w:rsidR="004574D7" w:rsidRPr="00275453">
        <w:rPr>
          <w:sz w:val="19"/>
          <w:szCs w:val="19"/>
        </w:rPr>
        <w:t>https://www.adb.org/where-we-work/solomon-islands/poverty</w:t>
      </w:r>
      <w:r w:rsidRPr="00275453">
        <w:rPr>
          <w:sz w:val="19"/>
          <w:szCs w:val="19"/>
        </w:rPr>
        <w:t> </w:t>
      </w:r>
    </w:p>
  </w:endnote>
  <w:endnote w:id="4">
    <w:p w14:paraId="7C2EFA61" w14:textId="42FA852D" w:rsidR="009C3E4A" w:rsidRPr="00275453" w:rsidRDefault="009C3E4A" w:rsidP="00275453">
      <w:pPr>
        <w:pStyle w:val="Endnotes"/>
        <w:rPr>
          <w:sz w:val="19"/>
          <w:szCs w:val="19"/>
        </w:rPr>
      </w:pPr>
      <w:r w:rsidRPr="00275453">
        <w:rPr>
          <w:rStyle w:val="EndnoteReference"/>
          <w:sz w:val="19"/>
          <w:szCs w:val="19"/>
        </w:rPr>
        <w:endnoteRef/>
      </w:r>
      <w:r w:rsidRPr="00275453">
        <w:rPr>
          <w:sz w:val="19"/>
          <w:szCs w:val="19"/>
        </w:rPr>
        <w:t xml:space="preserve"> The Pacific Community, Solomon Islands datasets [Pacific Data Hub website]</w:t>
      </w:r>
      <w:r w:rsidR="0033039B" w:rsidRPr="00275453">
        <w:rPr>
          <w:sz w:val="19"/>
          <w:szCs w:val="19"/>
        </w:rPr>
        <w:t>,</w:t>
      </w:r>
      <w:r w:rsidRPr="00275453">
        <w:rPr>
          <w:sz w:val="19"/>
          <w:szCs w:val="19"/>
        </w:rPr>
        <w:t> 2024. </w:t>
      </w:r>
      <w:hyperlink r:id="rId1" w:tgtFrame="_blank" w:history="1">
        <w:r w:rsidRPr="00275453">
          <w:rPr>
            <w:sz w:val="19"/>
            <w:szCs w:val="19"/>
          </w:rPr>
          <w:t>https://pacificdata.org/data/dataset?member_countries=SB</w:t>
        </w:r>
      </w:hyperlink>
    </w:p>
  </w:endnote>
  <w:endnote w:id="5">
    <w:p w14:paraId="215E5CE2" w14:textId="1FD3F793" w:rsidR="004C77A7" w:rsidRPr="00275453" w:rsidRDefault="004C77A7" w:rsidP="00275453">
      <w:pPr>
        <w:pStyle w:val="Endnotes"/>
        <w:rPr>
          <w:sz w:val="19"/>
          <w:szCs w:val="19"/>
        </w:rPr>
      </w:pPr>
      <w:r w:rsidRPr="004574D7">
        <w:rPr>
          <w:rStyle w:val="EndnoteReference"/>
          <w:sz w:val="19"/>
          <w:szCs w:val="19"/>
        </w:rPr>
        <w:endnoteRef/>
      </w:r>
      <w:r w:rsidRPr="00275453">
        <w:rPr>
          <w:sz w:val="19"/>
          <w:szCs w:val="19"/>
        </w:rPr>
        <w:t xml:space="preserve"> </w:t>
      </w:r>
      <w:r w:rsidR="00B11964" w:rsidRPr="00275453">
        <w:rPr>
          <w:sz w:val="19"/>
          <w:szCs w:val="19"/>
        </w:rPr>
        <w:t xml:space="preserve">Solomon Islands National Statistics Office, </w:t>
      </w:r>
      <w:r w:rsidR="00B11964" w:rsidRPr="00275453">
        <w:rPr>
          <w:i/>
          <w:iCs/>
          <w:sz w:val="19"/>
          <w:szCs w:val="19"/>
        </w:rPr>
        <w:t>Rise in urbanization as growth in urban centers increase</w:t>
      </w:r>
      <w:r w:rsidR="00B11964" w:rsidRPr="00275453">
        <w:rPr>
          <w:sz w:val="19"/>
          <w:szCs w:val="19"/>
        </w:rPr>
        <w:t xml:space="preserve"> [press release], </w:t>
      </w:r>
      <w:r w:rsidR="0005171F" w:rsidRPr="00275453">
        <w:rPr>
          <w:sz w:val="19"/>
          <w:szCs w:val="19"/>
        </w:rPr>
        <w:t>12</w:t>
      </w:r>
      <w:r w:rsidR="00C83A21" w:rsidRPr="00275453">
        <w:rPr>
          <w:sz w:val="19"/>
          <w:szCs w:val="19"/>
        </w:rPr>
        <w:t> </w:t>
      </w:r>
      <w:r w:rsidR="0005171F" w:rsidRPr="00275453">
        <w:rPr>
          <w:sz w:val="19"/>
          <w:szCs w:val="19"/>
        </w:rPr>
        <w:t xml:space="preserve">October 2023. </w:t>
      </w:r>
      <w:r w:rsidR="004574D7" w:rsidRPr="00275453">
        <w:t>https://solomons.gov.sb/rise-in-urbanization-as-growth-in-urban-centers-increase/</w:t>
      </w:r>
    </w:p>
  </w:endnote>
  <w:endnote w:id="6">
    <w:p w14:paraId="64B87F0B" w14:textId="21CD8F48" w:rsidR="003A3800" w:rsidRPr="004574D7" w:rsidRDefault="003A3800" w:rsidP="00275453">
      <w:pPr>
        <w:pStyle w:val="Endnotes"/>
        <w:rPr>
          <w:sz w:val="19"/>
          <w:szCs w:val="19"/>
        </w:rPr>
      </w:pPr>
      <w:r w:rsidRPr="004574D7">
        <w:rPr>
          <w:rStyle w:val="EndnoteReference"/>
          <w:sz w:val="19"/>
          <w:szCs w:val="19"/>
        </w:rPr>
        <w:endnoteRef/>
      </w:r>
      <w:r w:rsidRPr="004574D7">
        <w:rPr>
          <w:sz w:val="19"/>
          <w:szCs w:val="19"/>
        </w:rPr>
        <w:t xml:space="preserve"> </w:t>
      </w:r>
      <w:r w:rsidR="001E71BD" w:rsidRPr="004574D7">
        <w:rPr>
          <w:sz w:val="19"/>
          <w:szCs w:val="19"/>
        </w:rPr>
        <w:t>Australian Government Department of Foreign Affairs and Trade</w:t>
      </w:r>
      <w:r w:rsidR="00124E04" w:rsidRPr="004574D7">
        <w:rPr>
          <w:sz w:val="19"/>
          <w:szCs w:val="19"/>
        </w:rPr>
        <w:t>,</w:t>
      </w:r>
      <w:r w:rsidRPr="004574D7">
        <w:rPr>
          <w:sz w:val="19"/>
          <w:szCs w:val="19"/>
        </w:rPr>
        <w:t xml:space="preserve"> </w:t>
      </w:r>
      <w:r w:rsidRPr="004574D7">
        <w:rPr>
          <w:i/>
          <w:iCs/>
          <w:sz w:val="19"/>
          <w:szCs w:val="19"/>
        </w:rPr>
        <w:t>Trade time series data</w:t>
      </w:r>
      <w:r w:rsidR="001E71BD" w:rsidRPr="004574D7">
        <w:rPr>
          <w:sz w:val="19"/>
          <w:szCs w:val="19"/>
        </w:rPr>
        <w:t>, 2024</w:t>
      </w:r>
      <w:r w:rsidR="00B27652" w:rsidRPr="004574D7">
        <w:rPr>
          <w:sz w:val="19"/>
          <w:szCs w:val="19"/>
        </w:rPr>
        <w:t xml:space="preserve">. </w:t>
      </w:r>
      <w:r w:rsidR="004574D7" w:rsidRPr="00275453">
        <w:t>https://www.dfat.gov.au/trade/trade-and-investment-data-information-and-publications/trade-statistics/trade-time-series-data</w:t>
      </w:r>
    </w:p>
  </w:endnote>
  <w:endnote w:id="7">
    <w:p w14:paraId="17694744" w14:textId="65FE7E91" w:rsidR="00337E7A" w:rsidRPr="004574D7" w:rsidRDefault="00337E7A" w:rsidP="00275453">
      <w:pPr>
        <w:pStyle w:val="Endnotes"/>
        <w:rPr>
          <w:sz w:val="19"/>
          <w:szCs w:val="19"/>
        </w:rPr>
      </w:pPr>
      <w:r w:rsidRPr="004574D7">
        <w:rPr>
          <w:rStyle w:val="EndnoteReference"/>
          <w:sz w:val="19"/>
          <w:szCs w:val="19"/>
        </w:rPr>
        <w:endnoteRef/>
      </w:r>
      <w:r w:rsidRPr="004574D7">
        <w:rPr>
          <w:sz w:val="19"/>
          <w:szCs w:val="19"/>
        </w:rPr>
        <w:t xml:space="preserve"> International Trade Centre, </w:t>
      </w:r>
      <w:r w:rsidRPr="004574D7">
        <w:rPr>
          <w:i/>
          <w:iCs/>
          <w:sz w:val="19"/>
          <w:szCs w:val="19"/>
        </w:rPr>
        <w:t>Bilateral trade between China and Solomon Islands</w:t>
      </w:r>
      <w:r w:rsidRPr="004574D7">
        <w:rPr>
          <w:sz w:val="19"/>
          <w:szCs w:val="19"/>
        </w:rPr>
        <w:t xml:space="preserve"> [International Trade Map website], 2024.</w:t>
      </w:r>
      <w:r w:rsidRPr="004574D7">
        <w:rPr>
          <w:i/>
          <w:iCs/>
          <w:sz w:val="19"/>
          <w:szCs w:val="19"/>
        </w:rPr>
        <w:t xml:space="preserve"> </w:t>
      </w:r>
      <w:r w:rsidR="004574D7" w:rsidRPr="00275453">
        <w:t>https://www.trademap.org/Bilateral_TS.aspx?nvpm=1%7c156%7c%7c090%7c%7cTOTAL%7c%7c%7c2%7c1%7c1%7c1%7c2%7c1%7c1%7c1%7c1%7c1</w:t>
      </w:r>
    </w:p>
  </w:endnote>
  <w:endnote w:id="8">
    <w:p w14:paraId="60579B3D" w14:textId="6F4A7077" w:rsidR="003A3800" w:rsidRPr="00275453" w:rsidRDefault="003A3800" w:rsidP="00275453">
      <w:pPr>
        <w:pStyle w:val="Endnotes"/>
        <w:rPr>
          <w:sz w:val="19"/>
          <w:szCs w:val="19"/>
        </w:rPr>
      </w:pPr>
      <w:r w:rsidRPr="004574D7">
        <w:rPr>
          <w:rStyle w:val="EndnoteReference"/>
          <w:sz w:val="19"/>
          <w:szCs w:val="19"/>
        </w:rPr>
        <w:endnoteRef/>
      </w:r>
      <w:r w:rsidR="46ED4AAE" w:rsidRPr="00275453">
        <w:rPr>
          <w:sz w:val="19"/>
          <w:szCs w:val="19"/>
        </w:rPr>
        <w:t xml:space="preserve"> International Monetary Fund, </w:t>
      </w:r>
      <w:r w:rsidR="46ED4AAE" w:rsidRPr="00275453">
        <w:rPr>
          <w:i/>
          <w:iCs/>
          <w:sz w:val="19"/>
          <w:szCs w:val="19"/>
        </w:rPr>
        <w:t xml:space="preserve">Solomon Islands 2024 Article IV Consultation </w:t>
      </w:r>
      <w:r w:rsidR="46ED4AAE" w:rsidRPr="00275453">
        <w:rPr>
          <w:sz w:val="19"/>
          <w:szCs w:val="19"/>
        </w:rPr>
        <w:t>[press release and staff report], 2024.</w:t>
      </w:r>
      <w:r w:rsidR="46ED4AAE" w:rsidRPr="00275453">
        <w:rPr>
          <w:i/>
          <w:iCs/>
          <w:sz w:val="19"/>
          <w:szCs w:val="19"/>
        </w:rPr>
        <w:t xml:space="preserve"> </w:t>
      </w:r>
      <w:r w:rsidR="46ED4AAE" w:rsidRPr="00275453">
        <w:t>www.imf.org/en/Publications/CR/Issues/2025/02/25/Solomon-Islands-2024-Article-IV-Consultation-Press-Release-Staff-Report-and-Statement-by-562652</w:t>
      </w:r>
    </w:p>
  </w:endnote>
  <w:endnote w:id="9">
    <w:p w14:paraId="330232FB" w14:textId="2A7ECB76" w:rsidR="007470FE" w:rsidRPr="00275453" w:rsidRDefault="007470FE" w:rsidP="00275453">
      <w:pPr>
        <w:pStyle w:val="Endnotes"/>
      </w:pPr>
      <w:r w:rsidRPr="00275453">
        <w:rPr>
          <w:rStyle w:val="EndnoteReference"/>
          <w:sz w:val="19"/>
          <w:szCs w:val="19"/>
        </w:rPr>
        <w:endnoteRef/>
      </w:r>
      <w:r w:rsidRPr="00275453">
        <w:rPr>
          <w:sz w:val="19"/>
          <w:szCs w:val="19"/>
        </w:rPr>
        <w:t xml:space="preserve"> </w:t>
      </w:r>
      <w:r w:rsidRPr="004574D7">
        <w:rPr>
          <w:sz w:val="19"/>
          <w:szCs w:val="19"/>
        </w:rPr>
        <w:t>World Bank,</w:t>
      </w:r>
      <w:r w:rsidR="00077B98" w:rsidRPr="004574D7">
        <w:rPr>
          <w:sz w:val="19"/>
          <w:szCs w:val="19"/>
        </w:rPr>
        <w:t xml:space="preserve"> </w:t>
      </w:r>
      <w:r w:rsidRPr="00275453">
        <w:rPr>
          <w:i/>
          <w:iCs/>
          <w:sz w:val="19"/>
          <w:szCs w:val="19"/>
        </w:rPr>
        <w:t xml:space="preserve">World </w:t>
      </w:r>
      <w:r w:rsidR="00284B4C" w:rsidRPr="004574D7">
        <w:rPr>
          <w:i/>
          <w:iCs/>
          <w:sz w:val="19"/>
          <w:szCs w:val="19"/>
        </w:rPr>
        <w:t>d</w:t>
      </w:r>
      <w:r w:rsidRPr="00275453">
        <w:rPr>
          <w:i/>
          <w:iCs/>
          <w:sz w:val="19"/>
          <w:szCs w:val="19"/>
        </w:rPr>
        <w:t xml:space="preserve">evelopment </w:t>
      </w:r>
      <w:r w:rsidR="00284B4C" w:rsidRPr="004574D7">
        <w:rPr>
          <w:i/>
          <w:iCs/>
          <w:sz w:val="19"/>
          <w:szCs w:val="19"/>
        </w:rPr>
        <w:t>i</w:t>
      </w:r>
      <w:r w:rsidRPr="00275453">
        <w:rPr>
          <w:i/>
          <w:iCs/>
          <w:sz w:val="19"/>
          <w:szCs w:val="19"/>
        </w:rPr>
        <w:t>ndicators</w:t>
      </w:r>
      <w:r w:rsidR="00A117F0" w:rsidRPr="004574D7">
        <w:rPr>
          <w:sz w:val="19"/>
          <w:szCs w:val="19"/>
        </w:rPr>
        <w:t>,</w:t>
      </w:r>
      <w:r w:rsidR="009F45BA" w:rsidRPr="004574D7">
        <w:rPr>
          <w:sz w:val="19"/>
          <w:szCs w:val="19"/>
        </w:rPr>
        <w:t xml:space="preserve"> 2024</w:t>
      </w:r>
      <w:r w:rsidR="00284B4C" w:rsidRPr="004574D7">
        <w:rPr>
          <w:sz w:val="19"/>
          <w:szCs w:val="19"/>
        </w:rPr>
        <w:t>.</w:t>
      </w:r>
      <w:r w:rsidRPr="00275453">
        <w:rPr>
          <w:sz w:val="19"/>
          <w:szCs w:val="19"/>
        </w:rPr>
        <w:t xml:space="preserve"> </w:t>
      </w:r>
      <w:r w:rsidR="004574D7" w:rsidRPr="00275453">
        <w:t>https://databank.worldbank.org/reports.aspx?source=world-development-indicators</w:t>
      </w:r>
    </w:p>
  </w:endnote>
  <w:endnote w:id="10">
    <w:p w14:paraId="6C81E9DE" w14:textId="5D50399E" w:rsidR="003A3800" w:rsidRPr="00275453" w:rsidRDefault="003A3800" w:rsidP="00275453">
      <w:pPr>
        <w:pStyle w:val="Endnotes"/>
        <w:rPr>
          <w:sz w:val="19"/>
          <w:szCs w:val="19"/>
        </w:rPr>
      </w:pPr>
      <w:r w:rsidRPr="004574D7">
        <w:rPr>
          <w:rStyle w:val="EndnoteReference"/>
          <w:sz w:val="19"/>
          <w:szCs w:val="19"/>
        </w:rPr>
        <w:endnoteRef/>
      </w:r>
      <w:r w:rsidRPr="00275453">
        <w:rPr>
          <w:sz w:val="19"/>
          <w:szCs w:val="19"/>
        </w:rPr>
        <w:t xml:space="preserve"> Pacific Community, </w:t>
      </w:r>
      <w:r w:rsidR="00DE1D90" w:rsidRPr="00275453">
        <w:rPr>
          <w:i/>
          <w:sz w:val="19"/>
          <w:szCs w:val="19"/>
        </w:rPr>
        <w:t>EQAP progress and results report</w:t>
      </w:r>
      <w:r w:rsidRPr="00275453">
        <w:rPr>
          <w:i/>
          <w:sz w:val="19"/>
          <w:szCs w:val="19"/>
        </w:rPr>
        <w:t xml:space="preserve"> 2021</w:t>
      </w:r>
      <w:r w:rsidR="007F5AF7" w:rsidRPr="00275453">
        <w:rPr>
          <w:iCs/>
          <w:sz w:val="19"/>
          <w:szCs w:val="19"/>
        </w:rPr>
        <w:t>, 2022.</w:t>
      </w:r>
      <w:r w:rsidRPr="00275453">
        <w:rPr>
          <w:sz w:val="19"/>
          <w:szCs w:val="19"/>
        </w:rPr>
        <w:t xml:space="preserve"> </w:t>
      </w:r>
      <w:r w:rsidR="004574D7" w:rsidRPr="00275453">
        <w:t>https://eqap.spc.int/sites/default/files/EQAP/Reports/EQAP-Results-Report-2021.pdf</w:t>
      </w:r>
    </w:p>
  </w:endnote>
  <w:endnote w:id="11">
    <w:p w14:paraId="13D85217" w14:textId="225601C2" w:rsidR="006059A1" w:rsidRPr="00275453" w:rsidRDefault="006059A1" w:rsidP="00275453">
      <w:pPr>
        <w:pStyle w:val="Endnotes"/>
        <w:rPr>
          <w:sz w:val="19"/>
          <w:szCs w:val="19"/>
        </w:rPr>
      </w:pPr>
      <w:r w:rsidRPr="00275453">
        <w:rPr>
          <w:rStyle w:val="EndnoteReference"/>
          <w:sz w:val="19"/>
          <w:szCs w:val="19"/>
        </w:rPr>
        <w:endnoteRef/>
      </w:r>
      <w:r w:rsidRPr="00275453">
        <w:rPr>
          <w:sz w:val="19"/>
          <w:szCs w:val="19"/>
        </w:rPr>
        <w:t xml:space="preserve"> </w:t>
      </w:r>
      <w:r w:rsidR="006E167A" w:rsidRPr="00275453">
        <w:rPr>
          <w:sz w:val="19"/>
          <w:szCs w:val="19"/>
        </w:rPr>
        <w:t>Commonwealth Scientific and Industrial Research Organization and</w:t>
      </w:r>
      <w:r w:rsidRPr="00275453">
        <w:rPr>
          <w:sz w:val="19"/>
          <w:szCs w:val="19"/>
        </w:rPr>
        <w:t xml:space="preserve"> </w:t>
      </w:r>
      <w:r w:rsidR="008E5900" w:rsidRPr="00275453">
        <w:rPr>
          <w:sz w:val="19"/>
          <w:szCs w:val="19"/>
        </w:rPr>
        <w:t>South Pacific Regional Environm</w:t>
      </w:r>
      <w:r w:rsidR="00166213" w:rsidRPr="00275453">
        <w:rPr>
          <w:sz w:val="19"/>
          <w:szCs w:val="19"/>
        </w:rPr>
        <w:t>e</w:t>
      </w:r>
      <w:r w:rsidR="008E5900" w:rsidRPr="00275453">
        <w:rPr>
          <w:sz w:val="19"/>
          <w:szCs w:val="19"/>
        </w:rPr>
        <w:t>nt Programme,</w:t>
      </w:r>
      <w:r w:rsidRPr="00275453">
        <w:rPr>
          <w:sz w:val="19"/>
          <w:szCs w:val="19"/>
        </w:rPr>
        <w:t xml:space="preserve"> </w:t>
      </w:r>
      <w:r w:rsidRPr="00275453">
        <w:rPr>
          <w:i/>
          <w:iCs/>
          <w:sz w:val="19"/>
          <w:szCs w:val="19"/>
        </w:rPr>
        <w:t xml:space="preserve">Current and future climate for Solomon Islands: enhanced </w:t>
      </w:r>
      <w:r w:rsidR="00166213" w:rsidRPr="00275453">
        <w:rPr>
          <w:i/>
          <w:iCs/>
          <w:sz w:val="19"/>
          <w:szCs w:val="19"/>
        </w:rPr>
        <w:t xml:space="preserve">‘NextGen’ </w:t>
      </w:r>
      <w:r w:rsidRPr="00275453">
        <w:rPr>
          <w:i/>
          <w:iCs/>
          <w:sz w:val="19"/>
          <w:szCs w:val="19"/>
        </w:rPr>
        <w:t>projections</w:t>
      </w:r>
      <w:r w:rsidR="002E0DE2" w:rsidRPr="00275453">
        <w:rPr>
          <w:i/>
          <w:iCs/>
          <w:sz w:val="19"/>
          <w:szCs w:val="19"/>
        </w:rPr>
        <w:t xml:space="preserve"> </w:t>
      </w:r>
      <w:r w:rsidR="002E0DE2" w:rsidRPr="00275453">
        <w:rPr>
          <w:sz w:val="19"/>
          <w:szCs w:val="19"/>
        </w:rPr>
        <w:t>[</w:t>
      </w:r>
      <w:r w:rsidRPr="00275453">
        <w:rPr>
          <w:sz w:val="19"/>
          <w:szCs w:val="19"/>
        </w:rPr>
        <w:t>Technical report</w:t>
      </w:r>
      <w:r w:rsidR="00166213" w:rsidRPr="00275453">
        <w:rPr>
          <w:sz w:val="19"/>
          <w:szCs w:val="19"/>
        </w:rPr>
        <w:t>]</w:t>
      </w:r>
      <w:r w:rsidR="002E0DE2" w:rsidRPr="00275453">
        <w:rPr>
          <w:sz w:val="19"/>
          <w:szCs w:val="19"/>
        </w:rPr>
        <w:t xml:space="preserve">, 2021. </w:t>
      </w:r>
      <w:r w:rsidR="004574D7" w:rsidRPr="00275453">
        <w:rPr>
          <w:sz w:val="19"/>
          <w:szCs w:val="19"/>
        </w:rPr>
        <w:t>https://doi.org/10.25919/nge2-sr30</w:t>
      </w:r>
    </w:p>
  </w:endnote>
  <w:endnote w:id="12">
    <w:p w14:paraId="03BAEF5A" w14:textId="588E2E1E" w:rsidR="00A144A5" w:rsidRPr="00275453" w:rsidRDefault="00A144A5" w:rsidP="00275453">
      <w:pPr>
        <w:pStyle w:val="Endnotes"/>
        <w:rPr>
          <w:sz w:val="19"/>
          <w:szCs w:val="19"/>
        </w:rPr>
      </w:pPr>
      <w:r w:rsidRPr="00275453">
        <w:rPr>
          <w:rStyle w:val="EndnoteReference"/>
          <w:sz w:val="19"/>
          <w:szCs w:val="19"/>
        </w:rPr>
        <w:endnoteRef/>
      </w:r>
      <w:r w:rsidRPr="00275453">
        <w:rPr>
          <w:sz w:val="19"/>
          <w:szCs w:val="19"/>
        </w:rPr>
        <w:t xml:space="preserve"> </w:t>
      </w:r>
      <w:r w:rsidR="00166213" w:rsidRPr="00275453">
        <w:rPr>
          <w:sz w:val="19"/>
          <w:szCs w:val="19"/>
        </w:rPr>
        <w:t xml:space="preserve">Commonwealth Scientific and Industrial Research Organization and South Pacific Regional Environment Programme, </w:t>
      </w:r>
      <w:r w:rsidR="00166213" w:rsidRPr="00275453">
        <w:rPr>
          <w:i/>
          <w:iCs/>
          <w:sz w:val="19"/>
          <w:szCs w:val="19"/>
        </w:rPr>
        <w:t>Current and future climate for Solomon Islands</w:t>
      </w:r>
      <w:r w:rsidR="00166213" w:rsidRPr="00275453">
        <w:rPr>
          <w:sz w:val="19"/>
          <w:szCs w:val="19"/>
        </w:rPr>
        <w:t xml:space="preserve">. </w:t>
      </w:r>
    </w:p>
  </w:endnote>
  <w:endnote w:id="13">
    <w:p w14:paraId="541FBD85" w14:textId="618C090B" w:rsidR="009C04EF" w:rsidRPr="004574D7" w:rsidRDefault="009C04EF" w:rsidP="00275453">
      <w:pPr>
        <w:pStyle w:val="Endnotes"/>
        <w:rPr>
          <w:sz w:val="19"/>
          <w:szCs w:val="19"/>
        </w:rPr>
      </w:pPr>
      <w:r w:rsidRPr="004574D7">
        <w:rPr>
          <w:rStyle w:val="EndnoteReference"/>
          <w:sz w:val="19"/>
          <w:szCs w:val="19"/>
        </w:rPr>
        <w:endnoteRef/>
      </w:r>
      <w:r w:rsidRPr="004574D7">
        <w:rPr>
          <w:sz w:val="19"/>
          <w:szCs w:val="19"/>
        </w:rPr>
        <w:t xml:space="preserve"> </w:t>
      </w:r>
      <w:r w:rsidRPr="004574D7">
        <w:rPr>
          <w:rStyle w:val="cf01"/>
          <w:rFonts w:asciiTheme="majorHAnsi" w:hAnsiTheme="majorHAnsi" w:cstheme="majorHAnsi"/>
          <w:sz w:val="19"/>
          <w:szCs w:val="19"/>
        </w:rPr>
        <w:t>Internal Displacement Monitoring Centre</w:t>
      </w:r>
      <w:r w:rsidR="00A46716" w:rsidRPr="004574D7">
        <w:rPr>
          <w:rStyle w:val="cf01"/>
          <w:rFonts w:asciiTheme="majorHAnsi" w:hAnsiTheme="majorHAnsi" w:cstheme="majorHAnsi"/>
          <w:sz w:val="19"/>
          <w:szCs w:val="19"/>
        </w:rPr>
        <w:t xml:space="preserve">, </w:t>
      </w:r>
      <w:r w:rsidRPr="004574D7">
        <w:rPr>
          <w:rStyle w:val="cf01"/>
          <w:rFonts w:asciiTheme="majorHAnsi" w:hAnsiTheme="majorHAnsi" w:cstheme="majorHAnsi"/>
          <w:i/>
          <w:iCs/>
          <w:sz w:val="19"/>
          <w:szCs w:val="19"/>
        </w:rPr>
        <w:t>Sudden-</w:t>
      </w:r>
      <w:r w:rsidR="002D7EAD" w:rsidRPr="004574D7">
        <w:rPr>
          <w:rStyle w:val="cf01"/>
          <w:rFonts w:asciiTheme="majorHAnsi" w:hAnsiTheme="majorHAnsi" w:cstheme="majorHAnsi"/>
          <w:i/>
          <w:iCs/>
          <w:sz w:val="19"/>
          <w:szCs w:val="19"/>
        </w:rPr>
        <w:t>o</w:t>
      </w:r>
      <w:r w:rsidRPr="004574D7">
        <w:rPr>
          <w:rStyle w:val="cf01"/>
          <w:rFonts w:asciiTheme="majorHAnsi" w:hAnsiTheme="majorHAnsi" w:cstheme="majorHAnsi"/>
          <w:i/>
          <w:iCs/>
          <w:sz w:val="19"/>
          <w:szCs w:val="19"/>
        </w:rPr>
        <w:t xml:space="preserve">nset </w:t>
      </w:r>
      <w:r w:rsidR="002D7EAD" w:rsidRPr="004574D7">
        <w:rPr>
          <w:rStyle w:val="cf01"/>
          <w:rFonts w:asciiTheme="majorHAnsi" w:hAnsiTheme="majorHAnsi" w:cstheme="majorHAnsi"/>
          <w:i/>
          <w:iCs/>
          <w:sz w:val="19"/>
          <w:szCs w:val="19"/>
        </w:rPr>
        <w:t>h</w:t>
      </w:r>
      <w:r w:rsidRPr="004574D7">
        <w:rPr>
          <w:rStyle w:val="cf01"/>
          <w:rFonts w:asciiTheme="majorHAnsi" w:hAnsiTheme="majorHAnsi" w:cstheme="majorHAnsi"/>
          <w:i/>
          <w:iCs/>
          <w:sz w:val="19"/>
          <w:szCs w:val="19"/>
        </w:rPr>
        <w:t xml:space="preserve">azards and the </w:t>
      </w:r>
      <w:r w:rsidR="002D7EAD" w:rsidRPr="004574D7">
        <w:rPr>
          <w:rStyle w:val="cf01"/>
          <w:rFonts w:asciiTheme="majorHAnsi" w:hAnsiTheme="majorHAnsi" w:cstheme="majorHAnsi"/>
          <w:i/>
          <w:iCs/>
          <w:sz w:val="19"/>
          <w:szCs w:val="19"/>
        </w:rPr>
        <w:t>r</w:t>
      </w:r>
      <w:r w:rsidRPr="004574D7">
        <w:rPr>
          <w:rStyle w:val="cf01"/>
          <w:rFonts w:asciiTheme="majorHAnsi" w:hAnsiTheme="majorHAnsi" w:cstheme="majorHAnsi"/>
          <w:i/>
          <w:iCs/>
          <w:sz w:val="19"/>
          <w:szCs w:val="19"/>
        </w:rPr>
        <w:t xml:space="preserve">isk of </w:t>
      </w:r>
      <w:r w:rsidR="002D7EAD" w:rsidRPr="004574D7">
        <w:rPr>
          <w:rStyle w:val="cf01"/>
          <w:rFonts w:asciiTheme="majorHAnsi" w:hAnsiTheme="majorHAnsi" w:cstheme="majorHAnsi"/>
          <w:i/>
          <w:iCs/>
          <w:sz w:val="19"/>
          <w:szCs w:val="19"/>
        </w:rPr>
        <w:t>f</w:t>
      </w:r>
      <w:r w:rsidRPr="004574D7">
        <w:rPr>
          <w:rStyle w:val="cf01"/>
          <w:rFonts w:asciiTheme="majorHAnsi" w:hAnsiTheme="majorHAnsi" w:cstheme="majorHAnsi"/>
          <w:i/>
          <w:iCs/>
          <w:sz w:val="19"/>
          <w:szCs w:val="19"/>
        </w:rPr>
        <w:t xml:space="preserve">uture </w:t>
      </w:r>
      <w:r w:rsidR="002D7EAD" w:rsidRPr="004574D7">
        <w:rPr>
          <w:rStyle w:val="cf01"/>
          <w:rFonts w:asciiTheme="majorHAnsi" w:hAnsiTheme="majorHAnsi" w:cstheme="majorHAnsi"/>
          <w:i/>
          <w:iCs/>
          <w:sz w:val="19"/>
          <w:szCs w:val="19"/>
        </w:rPr>
        <w:t>d</w:t>
      </w:r>
      <w:r w:rsidRPr="004574D7">
        <w:rPr>
          <w:rStyle w:val="cf01"/>
          <w:rFonts w:asciiTheme="majorHAnsi" w:hAnsiTheme="majorHAnsi" w:cstheme="majorHAnsi"/>
          <w:i/>
          <w:iCs/>
          <w:sz w:val="19"/>
          <w:szCs w:val="19"/>
        </w:rPr>
        <w:t>isplacement in Solomon Islands</w:t>
      </w:r>
      <w:r w:rsidR="007F5AF7" w:rsidRPr="004574D7">
        <w:rPr>
          <w:rStyle w:val="cf01"/>
          <w:rFonts w:asciiTheme="majorHAnsi" w:hAnsiTheme="majorHAnsi" w:cstheme="majorHAnsi"/>
          <w:sz w:val="19"/>
          <w:szCs w:val="19"/>
        </w:rPr>
        <w:t>, 2021</w:t>
      </w:r>
      <w:r w:rsidRPr="004574D7">
        <w:rPr>
          <w:rStyle w:val="cf01"/>
          <w:rFonts w:asciiTheme="majorHAnsi" w:hAnsiTheme="majorHAnsi" w:cstheme="majorHAnsi"/>
          <w:sz w:val="19"/>
          <w:szCs w:val="19"/>
        </w:rPr>
        <w:t>.</w:t>
      </w:r>
      <w:r w:rsidR="00733B0B" w:rsidRPr="004574D7">
        <w:rPr>
          <w:rStyle w:val="cf01"/>
          <w:rFonts w:asciiTheme="majorHAnsi" w:hAnsiTheme="majorHAnsi" w:cstheme="majorHAnsi"/>
          <w:sz w:val="19"/>
          <w:szCs w:val="19"/>
        </w:rPr>
        <w:t xml:space="preserve"> </w:t>
      </w:r>
      <w:r w:rsidR="004574D7" w:rsidRPr="00275453">
        <w:t>https://www.preventionweb.net/publication/risk-profile-sudden-onset-hazards-and-risk-future-displacement-solomon-islands</w:t>
      </w:r>
    </w:p>
  </w:endnote>
  <w:endnote w:id="14">
    <w:p w14:paraId="0C7930FA" w14:textId="5443C429" w:rsidR="003A3800" w:rsidRPr="00275453" w:rsidRDefault="003A3800" w:rsidP="00275453">
      <w:pPr>
        <w:pStyle w:val="Endnotes"/>
        <w:rPr>
          <w:sz w:val="19"/>
          <w:szCs w:val="19"/>
        </w:rPr>
      </w:pPr>
      <w:r w:rsidRPr="004574D7">
        <w:rPr>
          <w:rStyle w:val="EndnoteReference"/>
          <w:sz w:val="19"/>
          <w:szCs w:val="19"/>
        </w:rPr>
        <w:endnoteRef/>
      </w:r>
      <w:r w:rsidRPr="00275453">
        <w:rPr>
          <w:sz w:val="19"/>
          <w:szCs w:val="19"/>
        </w:rPr>
        <w:t xml:space="preserve"> </w:t>
      </w:r>
      <w:r w:rsidR="00480E50" w:rsidRPr="00275453">
        <w:rPr>
          <w:sz w:val="19"/>
          <w:szCs w:val="19"/>
        </w:rPr>
        <w:t>Solomon Islands Go</w:t>
      </w:r>
      <w:r w:rsidR="00EC08C8" w:rsidRPr="00275453">
        <w:rPr>
          <w:sz w:val="19"/>
          <w:szCs w:val="19"/>
        </w:rPr>
        <w:t>vernment</w:t>
      </w:r>
      <w:r w:rsidRPr="00275453">
        <w:rPr>
          <w:sz w:val="19"/>
          <w:szCs w:val="19"/>
        </w:rPr>
        <w:t xml:space="preserve"> Ministry of Environment</w:t>
      </w:r>
      <w:r w:rsidR="00EC08C8" w:rsidRPr="00275453">
        <w:rPr>
          <w:sz w:val="19"/>
          <w:szCs w:val="19"/>
        </w:rPr>
        <w:t>, Climate Change, Disaster Management and Meteorology</w:t>
      </w:r>
      <w:r w:rsidRPr="00275453">
        <w:rPr>
          <w:sz w:val="19"/>
          <w:szCs w:val="19"/>
        </w:rPr>
        <w:t xml:space="preserve">, </w:t>
      </w:r>
      <w:r w:rsidR="004B04F7" w:rsidRPr="00275453">
        <w:rPr>
          <w:i/>
          <w:iCs/>
          <w:sz w:val="19"/>
          <w:szCs w:val="19"/>
        </w:rPr>
        <w:t>Solomon Islands 2021</w:t>
      </w:r>
      <w:r w:rsidRPr="00275453">
        <w:rPr>
          <w:i/>
          <w:iCs/>
          <w:sz w:val="19"/>
          <w:szCs w:val="19"/>
        </w:rPr>
        <w:t xml:space="preserve"> </w:t>
      </w:r>
      <w:r w:rsidR="00480E50" w:rsidRPr="00275453">
        <w:rPr>
          <w:i/>
          <w:iCs/>
          <w:sz w:val="19"/>
          <w:szCs w:val="19"/>
        </w:rPr>
        <w:t>n</w:t>
      </w:r>
      <w:r w:rsidRPr="00275453">
        <w:rPr>
          <w:i/>
          <w:iCs/>
          <w:sz w:val="19"/>
          <w:szCs w:val="19"/>
        </w:rPr>
        <w:t>ational</w:t>
      </w:r>
      <w:r w:rsidR="00480E50" w:rsidRPr="00275453">
        <w:rPr>
          <w:i/>
          <w:iCs/>
          <w:sz w:val="19"/>
          <w:szCs w:val="19"/>
        </w:rPr>
        <w:t>ly</w:t>
      </w:r>
      <w:r w:rsidRPr="00275453">
        <w:rPr>
          <w:i/>
          <w:iCs/>
          <w:sz w:val="19"/>
          <w:szCs w:val="19"/>
        </w:rPr>
        <w:t xml:space="preserve"> </w:t>
      </w:r>
      <w:r w:rsidR="00480E50" w:rsidRPr="00275453">
        <w:rPr>
          <w:i/>
          <w:iCs/>
          <w:sz w:val="19"/>
          <w:szCs w:val="19"/>
        </w:rPr>
        <w:t>d</w:t>
      </w:r>
      <w:r w:rsidRPr="00275453">
        <w:rPr>
          <w:i/>
          <w:iCs/>
          <w:sz w:val="19"/>
          <w:szCs w:val="19"/>
        </w:rPr>
        <w:t xml:space="preserve">etermined </w:t>
      </w:r>
      <w:r w:rsidR="00480E50" w:rsidRPr="00275453">
        <w:rPr>
          <w:i/>
          <w:iCs/>
          <w:sz w:val="19"/>
          <w:szCs w:val="19"/>
        </w:rPr>
        <w:t>c</w:t>
      </w:r>
      <w:r w:rsidRPr="00275453">
        <w:rPr>
          <w:i/>
          <w:iCs/>
          <w:sz w:val="19"/>
          <w:szCs w:val="19"/>
        </w:rPr>
        <w:t>ontribution</w:t>
      </w:r>
      <w:r w:rsidR="00030580" w:rsidRPr="00275453">
        <w:rPr>
          <w:sz w:val="19"/>
          <w:szCs w:val="19"/>
        </w:rPr>
        <w:t>, 2021.</w:t>
      </w:r>
      <w:r w:rsidRPr="00275453">
        <w:rPr>
          <w:sz w:val="19"/>
          <w:szCs w:val="19"/>
        </w:rPr>
        <w:t xml:space="preserve"> </w:t>
      </w:r>
      <w:r w:rsidR="00D34D1C" w:rsidRPr="00275453">
        <w:t>https://unfccc.int/sites/default/files/NDC/2022-06/NDC%20Report%202021%20Final%20Solomon%20Islands%20%281%29.pdf</w:t>
      </w:r>
    </w:p>
  </w:endnote>
  <w:endnote w:id="15">
    <w:p w14:paraId="60BF339A" w14:textId="46C93894" w:rsidR="00FD167E" w:rsidRPr="00275453" w:rsidRDefault="00FD167E" w:rsidP="00275453">
      <w:pPr>
        <w:pStyle w:val="Endnotes"/>
        <w:rPr>
          <w:sz w:val="19"/>
          <w:szCs w:val="19"/>
        </w:rPr>
      </w:pPr>
      <w:r w:rsidRPr="004574D7">
        <w:rPr>
          <w:rStyle w:val="EndnoteReference"/>
          <w:sz w:val="19"/>
          <w:szCs w:val="19"/>
        </w:rPr>
        <w:endnoteRef/>
      </w:r>
      <w:r w:rsidRPr="00275453">
        <w:rPr>
          <w:sz w:val="19"/>
          <w:szCs w:val="19"/>
        </w:rPr>
        <w:t xml:space="preserve"> </w:t>
      </w:r>
      <w:r w:rsidR="00281E18" w:rsidRPr="00275453">
        <w:rPr>
          <w:sz w:val="19"/>
          <w:szCs w:val="19"/>
        </w:rPr>
        <w:t xml:space="preserve">Solomon Islands </w:t>
      </w:r>
      <w:r w:rsidR="00EC08C8" w:rsidRPr="00275453">
        <w:rPr>
          <w:sz w:val="19"/>
          <w:szCs w:val="19"/>
        </w:rPr>
        <w:t xml:space="preserve">Government </w:t>
      </w:r>
      <w:r w:rsidR="00281E18" w:rsidRPr="00275453">
        <w:rPr>
          <w:sz w:val="19"/>
          <w:szCs w:val="19"/>
        </w:rPr>
        <w:t>Ministry of Environment, Climate Change</w:t>
      </w:r>
      <w:r w:rsidR="00DB3F61" w:rsidRPr="00275453">
        <w:rPr>
          <w:sz w:val="19"/>
          <w:szCs w:val="19"/>
        </w:rPr>
        <w:t>, Disaster Management and Meteorology</w:t>
      </w:r>
      <w:r w:rsidR="00983740" w:rsidRPr="00275453">
        <w:rPr>
          <w:sz w:val="19"/>
          <w:szCs w:val="19"/>
        </w:rPr>
        <w:t xml:space="preserve">, </w:t>
      </w:r>
      <w:r w:rsidR="00EE40FB" w:rsidRPr="00275453">
        <w:rPr>
          <w:i/>
          <w:iCs/>
          <w:sz w:val="19"/>
          <w:szCs w:val="19"/>
        </w:rPr>
        <w:t xml:space="preserve">The Solomon Islands </w:t>
      </w:r>
      <w:r w:rsidR="00EC08C8" w:rsidRPr="00275453">
        <w:rPr>
          <w:i/>
          <w:iCs/>
          <w:sz w:val="19"/>
          <w:szCs w:val="19"/>
        </w:rPr>
        <w:t>l</w:t>
      </w:r>
      <w:r w:rsidR="00EE40FB" w:rsidRPr="00275453">
        <w:rPr>
          <w:i/>
          <w:iCs/>
          <w:sz w:val="19"/>
          <w:szCs w:val="19"/>
        </w:rPr>
        <w:t>ong-</w:t>
      </w:r>
      <w:r w:rsidR="00EC08C8" w:rsidRPr="00275453">
        <w:rPr>
          <w:i/>
          <w:iCs/>
          <w:sz w:val="19"/>
          <w:szCs w:val="19"/>
        </w:rPr>
        <w:t>t</w:t>
      </w:r>
      <w:r w:rsidR="00EE40FB" w:rsidRPr="00275453">
        <w:rPr>
          <w:i/>
          <w:iCs/>
          <w:sz w:val="19"/>
          <w:szCs w:val="19"/>
        </w:rPr>
        <w:t xml:space="preserve">erm </w:t>
      </w:r>
      <w:r w:rsidR="00EC08C8" w:rsidRPr="00275453">
        <w:rPr>
          <w:i/>
          <w:iCs/>
          <w:sz w:val="19"/>
          <w:szCs w:val="19"/>
        </w:rPr>
        <w:t>l</w:t>
      </w:r>
      <w:r w:rsidR="00EE40FB" w:rsidRPr="00275453">
        <w:rPr>
          <w:i/>
          <w:iCs/>
          <w:sz w:val="19"/>
          <w:szCs w:val="19"/>
        </w:rPr>
        <w:t xml:space="preserve">ow </w:t>
      </w:r>
      <w:r w:rsidR="00EC08C8" w:rsidRPr="00275453">
        <w:rPr>
          <w:i/>
          <w:iCs/>
          <w:sz w:val="19"/>
          <w:szCs w:val="19"/>
        </w:rPr>
        <w:t>e</w:t>
      </w:r>
      <w:r w:rsidR="00EE40FB" w:rsidRPr="00275453">
        <w:rPr>
          <w:i/>
          <w:iCs/>
          <w:sz w:val="19"/>
          <w:szCs w:val="19"/>
        </w:rPr>
        <w:t xml:space="preserve">missions </w:t>
      </w:r>
      <w:r w:rsidR="00EC08C8" w:rsidRPr="00275453">
        <w:rPr>
          <w:i/>
          <w:iCs/>
          <w:sz w:val="19"/>
          <w:szCs w:val="19"/>
        </w:rPr>
        <w:t>d</w:t>
      </w:r>
      <w:r w:rsidR="00EE40FB" w:rsidRPr="00275453">
        <w:rPr>
          <w:i/>
          <w:iCs/>
          <w:sz w:val="19"/>
          <w:szCs w:val="19"/>
        </w:rPr>
        <w:t xml:space="preserve">evelopment </w:t>
      </w:r>
      <w:r w:rsidR="00EC08C8" w:rsidRPr="00275453">
        <w:rPr>
          <w:i/>
          <w:iCs/>
          <w:sz w:val="19"/>
          <w:szCs w:val="19"/>
        </w:rPr>
        <w:t>s</w:t>
      </w:r>
      <w:r w:rsidR="00EE40FB" w:rsidRPr="00275453">
        <w:rPr>
          <w:i/>
          <w:iCs/>
          <w:sz w:val="19"/>
          <w:szCs w:val="19"/>
        </w:rPr>
        <w:t>trategy</w:t>
      </w:r>
      <w:r w:rsidR="00EE40FB" w:rsidRPr="00275453">
        <w:rPr>
          <w:sz w:val="19"/>
          <w:szCs w:val="19"/>
        </w:rPr>
        <w:t xml:space="preserve">, </w:t>
      </w:r>
      <w:r w:rsidR="00983740" w:rsidRPr="00275453">
        <w:rPr>
          <w:sz w:val="19"/>
          <w:szCs w:val="19"/>
        </w:rPr>
        <w:t>2023</w:t>
      </w:r>
      <w:r w:rsidR="00EE40FB" w:rsidRPr="00275453">
        <w:rPr>
          <w:sz w:val="19"/>
          <w:szCs w:val="19"/>
        </w:rPr>
        <w:t xml:space="preserve">. </w:t>
      </w:r>
      <w:r w:rsidR="00D34D1C" w:rsidRPr="00275453">
        <w:t>https://solomons.gov.sb/solomon-islands-national-climate-change-policy-nccp-2023-2032-and-long-term-low-emission-development-strategy-lt-leds/</w:t>
      </w:r>
    </w:p>
  </w:endnote>
  <w:endnote w:id="16">
    <w:p w14:paraId="47E16A04" w14:textId="308C5DE2" w:rsidR="000C3CFC" w:rsidRPr="00275453" w:rsidRDefault="000C3CFC" w:rsidP="00275453">
      <w:pPr>
        <w:pStyle w:val="Endnotes"/>
        <w:rPr>
          <w:sz w:val="19"/>
          <w:szCs w:val="19"/>
        </w:rPr>
      </w:pPr>
      <w:r w:rsidRPr="004574D7">
        <w:rPr>
          <w:rStyle w:val="EndnoteReference"/>
          <w:sz w:val="19"/>
          <w:szCs w:val="19"/>
        </w:rPr>
        <w:endnoteRef/>
      </w:r>
      <w:r w:rsidRPr="00275453">
        <w:rPr>
          <w:sz w:val="19"/>
          <w:szCs w:val="19"/>
        </w:rPr>
        <w:t xml:space="preserve"> </w:t>
      </w:r>
      <w:r w:rsidR="003F5A23" w:rsidRPr="00275453">
        <w:rPr>
          <w:sz w:val="19"/>
          <w:szCs w:val="19"/>
        </w:rPr>
        <w:t xml:space="preserve">Solomon Islands </w:t>
      </w:r>
      <w:r w:rsidR="00EC08C8" w:rsidRPr="00275453">
        <w:rPr>
          <w:sz w:val="19"/>
          <w:szCs w:val="19"/>
        </w:rPr>
        <w:t xml:space="preserve">Government </w:t>
      </w:r>
      <w:r w:rsidR="003F5A23" w:rsidRPr="00275453">
        <w:rPr>
          <w:sz w:val="19"/>
          <w:szCs w:val="19"/>
        </w:rPr>
        <w:t>Ministry of Environment, Climate Change, Disaster Management and Meteorology</w:t>
      </w:r>
      <w:r w:rsidR="004E6650" w:rsidRPr="00275453">
        <w:rPr>
          <w:sz w:val="19"/>
          <w:szCs w:val="19"/>
        </w:rPr>
        <w:t xml:space="preserve">, </w:t>
      </w:r>
      <w:r w:rsidR="00C968DE" w:rsidRPr="00275453">
        <w:rPr>
          <w:i/>
          <w:iCs/>
          <w:sz w:val="19"/>
          <w:szCs w:val="19"/>
        </w:rPr>
        <w:t xml:space="preserve">Solomon Islands </w:t>
      </w:r>
      <w:r w:rsidR="00EC08C8" w:rsidRPr="00275453">
        <w:rPr>
          <w:i/>
          <w:iCs/>
          <w:sz w:val="19"/>
          <w:szCs w:val="19"/>
        </w:rPr>
        <w:t>n</w:t>
      </w:r>
      <w:r w:rsidR="00C968DE" w:rsidRPr="00275453">
        <w:rPr>
          <w:i/>
          <w:iCs/>
          <w:sz w:val="19"/>
          <w:szCs w:val="19"/>
        </w:rPr>
        <w:t xml:space="preserve">ational </w:t>
      </w:r>
      <w:r w:rsidR="00EC08C8" w:rsidRPr="00275453">
        <w:rPr>
          <w:i/>
          <w:iCs/>
          <w:sz w:val="19"/>
          <w:szCs w:val="19"/>
        </w:rPr>
        <w:t>c</w:t>
      </w:r>
      <w:r w:rsidR="00C968DE" w:rsidRPr="00275453">
        <w:rPr>
          <w:i/>
          <w:iCs/>
          <w:sz w:val="19"/>
          <w:szCs w:val="19"/>
        </w:rPr>
        <w:t xml:space="preserve">limate </w:t>
      </w:r>
      <w:r w:rsidR="00EC08C8" w:rsidRPr="00275453">
        <w:rPr>
          <w:i/>
          <w:iCs/>
          <w:sz w:val="19"/>
          <w:szCs w:val="19"/>
        </w:rPr>
        <w:t>c</w:t>
      </w:r>
      <w:r w:rsidR="00C968DE" w:rsidRPr="00275453">
        <w:rPr>
          <w:i/>
          <w:iCs/>
          <w:sz w:val="19"/>
          <w:szCs w:val="19"/>
        </w:rPr>
        <w:t xml:space="preserve">hange </w:t>
      </w:r>
      <w:r w:rsidR="00EC08C8" w:rsidRPr="00275453">
        <w:rPr>
          <w:i/>
          <w:iCs/>
          <w:sz w:val="19"/>
          <w:szCs w:val="19"/>
        </w:rPr>
        <w:t>p</w:t>
      </w:r>
      <w:r w:rsidR="00C968DE" w:rsidRPr="00275453">
        <w:rPr>
          <w:i/>
          <w:iCs/>
          <w:sz w:val="19"/>
          <w:szCs w:val="19"/>
        </w:rPr>
        <w:t>olicy 2022–2032</w:t>
      </w:r>
      <w:r w:rsidR="004E6650" w:rsidRPr="00275453">
        <w:rPr>
          <w:sz w:val="19"/>
          <w:szCs w:val="19"/>
        </w:rPr>
        <w:t xml:space="preserve">, </w:t>
      </w:r>
      <w:r w:rsidR="003F5A23" w:rsidRPr="00275453">
        <w:rPr>
          <w:sz w:val="19"/>
          <w:szCs w:val="19"/>
        </w:rPr>
        <w:t>2023</w:t>
      </w:r>
      <w:r w:rsidR="004E6650" w:rsidRPr="00275453">
        <w:rPr>
          <w:sz w:val="19"/>
          <w:szCs w:val="19"/>
        </w:rPr>
        <w:t xml:space="preserve">. </w:t>
      </w:r>
      <w:r w:rsidR="00D34D1C" w:rsidRPr="00275453">
        <w:t>https://solomons.gov.sb/solomon-islands-national-climate-change-policy-nccp-2023-2032-and-long-term-low-emission-development-strategy-lt-leds/</w:t>
      </w:r>
    </w:p>
  </w:endnote>
  <w:endnote w:id="17">
    <w:p w14:paraId="0784D61F" w14:textId="13FA71F5" w:rsidR="003A3800" w:rsidRPr="00275453" w:rsidRDefault="003A3800" w:rsidP="00275453">
      <w:pPr>
        <w:pStyle w:val="Endnotes"/>
        <w:rPr>
          <w:sz w:val="19"/>
          <w:szCs w:val="19"/>
        </w:rPr>
      </w:pPr>
      <w:r w:rsidRPr="004574D7">
        <w:rPr>
          <w:rStyle w:val="EndnoteReference"/>
          <w:sz w:val="19"/>
          <w:szCs w:val="19"/>
        </w:rPr>
        <w:endnoteRef/>
      </w:r>
      <w:r w:rsidRPr="00275453">
        <w:rPr>
          <w:sz w:val="19"/>
          <w:szCs w:val="19"/>
        </w:rPr>
        <w:t xml:space="preserve"> Pacific Community, </w:t>
      </w:r>
      <w:r w:rsidRPr="00275453">
        <w:rPr>
          <w:i/>
          <w:iCs/>
          <w:sz w:val="19"/>
          <w:szCs w:val="19"/>
        </w:rPr>
        <w:t xml:space="preserve">Solomon Islands </w:t>
      </w:r>
      <w:r w:rsidR="00380CA8" w:rsidRPr="00275453">
        <w:rPr>
          <w:i/>
          <w:iCs/>
          <w:sz w:val="19"/>
          <w:szCs w:val="19"/>
        </w:rPr>
        <w:t>f</w:t>
      </w:r>
      <w:r w:rsidRPr="00275453">
        <w:rPr>
          <w:i/>
          <w:iCs/>
          <w:sz w:val="19"/>
          <w:szCs w:val="19"/>
        </w:rPr>
        <w:t xml:space="preserve">amily </w:t>
      </w:r>
      <w:r w:rsidR="00380CA8" w:rsidRPr="00275453">
        <w:rPr>
          <w:i/>
          <w:iCs/>
          <w:sz w:val="19"/>
          <w:szCs w:val="19"/>
        </w:rPr>
        <w:t>h</w:t>
      </w:r>
      <w:r w:rsidRPr="00275453">
        <w:rPr>
          <w:i/>
          <w:iCs/>
          <w:sz w:val="19"/>
          <w:szCs w:val="19"/>
        </w:rPr>
        <w:t xml:space="preserve">ealth </w:t>
      </w:r>
      <w:r w:rsidR="00380CA8" w:rsidRPr="00275453">
        <w:rPr>
          <w:i/>
          <w:iCs/>
          <w:sz w:val="19"/>
          <w:szCs w:val="19"/>
        </w:rPr>
        <w:t>and s</w:t>
      </w:r>
      <w:r w:rsidRPr="00275453">
        <w:rPr>
          <w:i/>
          <w:iCs/>
          <w:sz w:val="19"/>
          <w:szCs w:val="19"/>
        </w:rPr>
        <w:t xml:space="preserve">afety </w:t>
      </w:r>
      <w:r w:rsidR="00380CA8" w:rsidRPr="00275453">
        <w:rPr>
          <w:i/>
          <w:iCs/>
          <w:sz w:val="19"/>
          <w:szCs w:val="19"/>
        </w:rPr>
        <w:t>s</w:t>
      </w:r>
      <w:r w:rsidRPr="00275453">
        <w:rPr>
          <w:i/>
          <w:iCs/>
          <w:sz w:val="19"/>
          <w:szCs w:val="19"/>
        </w:rPr>
        <w:t>tudy</w:t>
      </w:r>
      <w:r w:rsidR="00380CA8" w:rsidRPr="00275453">
        <w:rPr>
          <w:i/>
          <w:iCs/>
          <w:sz w:val="19"/>
          <w:szCs w:val="19"/>
        </w:rPr>
        <w:t>: a study on violence against women and children</w:t>
      </w:r>
      <w:r w:rsidR="00EC08C8" w:rsidRPr="00275453">
        <w:rPr>
          <w:sz w:val="19"/>
          <w:szCs w:val="19"/>
        </w:rPr>
        <w:t>, 2009</w:t>
      </w:r>
      <w:r w:rsidRPr="00275453">
        <w:rPr>
          <w:sz w:val="19"/>
          <w:szCs w:val="19"/>
        </w:rPr>
        <w:t xml:space="preserve">. </w:t>
      </w:r>
      <w:r w:rsidR="00D34D1C" w:rsidRPr="00275453">
        <w:t>https://pacific.unfpa.org/sites/default/files/pub-pdf/SolomonIslandsFamilyHealthandSafetyStudy.pdf</w:t>
      </w:r>
    </w:p>
  </w:endnote>
  <w:endnote w:id="18">
    <w:p w14:paraId="0E1720EE" w14:textId="3881FCF7" w:rsidR="003A3800" w:rsidRPr="00275453" w:rsidRDefault="003A3800" w:rsidP="00275453">
      <w:pPr>
        <w:pStyle w:val="Endnotes"/>
        <w:rPr>
          <w:rFonts w:asciiTheme="minorHAnsi" w:hAnsiTheme="minorHAnsi" w:cstheme="minorHAnsi"/>
          <w:sz w:val="19"/>
          <w:szCs w:val="19"/>
          <w:shd w:val="clear" w:color="auto" w:fill="FFFFFF"/>
        </w:rPr>
      </w:pPr>
      <w:r w:rsidRPr="004574D7">
        <w:rPr>
          <w:rStyle w:val="EndnoteReference"/>
          <w:sz w:val="19"/>
          <w:szCs w:val="19"/>
        </w:rPr>
        <w:endnoteRef/>
      </w:r>
      <w:r w:rsidRPr="00275453">
        <w:rPr>
          <w:sz w:val="19"/>
          <w:szCs w:val="19"/>
        </w:rPr>
        <w:t xml:space="preserve"> World Bank</w:t>
      </w:r>
      <w:r w:rsidR="00640CC0" w:rsidRPr="00275453">
        <w:rPr>
          <w:sz w:val="19"/>
          <w:szCs w:val="19"/>
        </w:rPr>
        <w:t>,</w:t>
      </w:r>
      <w:r w:rsidR="00630C23" w:rsidRPr="00275453">
        <w:rPr>
          <w:sz w:val="19"/>
          <w:szCs w:val="19"/>
        </w:rPr>
        <w:t xml:space="preserve"> </w:t>
      </w:r>
      <w:r w:rsidRPr="00275453">
        <w:rPr>
          <w:i/>
          <w:iCs/>
          <w:sz w:val="19"/>
          <w:szCs w:val="19"/>
        </w:rPr>
        <w:t xml:space="preserve">World </w:t>
      </w:r>
      <w:r w:rsidR="00832465" w:rsidRPr="00275453">
        <w:rPr>
          <w:i/>
          <w:iCs/>
          <w:sz w:val="19"/>
          <w:szCs w:val="19"/>
        </w:rPr>
        <w:t>d</w:t>
      </w:r>
      <w:r w:rsidRPr="00275453">
        <w:rPr>
          <w:i/>
          <w:iCs/>
          <w:sz w:val="19"/>
          <w:szCs w:val="19"/>
        </w:rPr>
        <w:t xml:space="preserve">evelopment </w:t>
      </w:r>
      <w:r w:rsidR="00832465" w:rsidRPr="00275453">
        <w:rPr>
          <w:i/>
          <w:iCs/>
          <w:sz w:val="19"/>
          <w:szCs w:val="19"/>
        </w:rPr>
        <w:t>i</w:t>
      </w:r>
      <w:r w:rsidRPr="00275453">
        <w:rPr>
          <w:i/>
          <w:iCs/>
          <w:sz w:val="19"/>
          <w:szCs w:val="19"/>
        </w:rPr>
        <w:t>ndicators</w:t>
      </w:r>
      <w:r w:rsidR="008353DA" w:rsidRPr="00275453">
        <w:rPr>
          <w:sz w:val="19"/>
          <w:szCs w:val="19"/>
        </w:rPr>
        <w:t>, 2024</w:t>
      </w:r>
      <w:r w:rsidRPr="00275453">
        <w:rPr>
          <w:sz w:val="19"/>
          <w:szCs w:val="19"/>
        </w:rPr>
        <w:t>.</w:t>
      </w:r>
    </w:p>
  </w:endnote>
  <w:endnote w:id="19">
    <w:p w14:paraId="285710BF" w14:textId="6B6B0784" w:rsidR="003A3800" w:rsidRPr="00275453" w:rsidRDefault="003A3800" w:rsidP="00275453">
      <w:pPr>
        <w:pStyle w:val="Endnotes"/>
        <w:rPr>
          <w:sz w:val="19"/>
          <w:szCs w:val="19"/>
        </w:rPr>
      </w:pPr>
      <w:r w:rsidRPr="00275453">
        <w:rPr>
          <w:sz w:val="19"/>
          <w:szCs w:val="19"/>
          <w:vertAlign w:val="superscript"/>
        </w:rPr>
        <w:endnoteRef/>
      </w:r>
      <w:r w:rsidRPr="00275453">
        <w:rPr>
          <w:sz w:val="19"/>
          <w:szCs w:val="19"/>
        </w:rPr>
        <w:t xml:space="preserve"> </w:t>
      </w:r>
      <w:r w:rsidR="00651F8C" w:rsidRPr="00275453">
        <w:rPr>
          <w:sz w:val="19"/>
          <w:szCs w:val="19"/>
        </w:rPr>
        <w:t>Solomon Islands Government</w:t>
      </w:r>
      <w:r w:rsidR="00630C23" w:rsidRPr="00275453">
        <w:rPr>
          <w:sz w:val="19"/>
          <w:szCs w:val="19"/>
        </w:rPr>
        <w:t>,</w:t>
      </w:r>
      <w:r w:rsidRPr="00275453">
        <w:rPr>
          <w:sz w:val="19"/>
          <w:szCs w:val="19"/>
        </w:rPr>
        <w:t xml:space="preserve"> </w:t>
      </w:r>
      <w:r w:rsidR="00611F6B" w:rsidRPr="00275453">
        <w:rPr>
          <w:i/>
          <w:iCs/>
          <w:sz w:val="19"/>
          <w:szCs w:val="19"/>
        </w:rPr>
        <w:t>Solomon Islands</w:t>
      </w:r>
      <w:r w:rsidRPr="00275453">
        <w:rPr>
          <w:i/>
          <w:iCs/>
          <w:sz w:val="19"/>
          <w:szCs w:val="19"/>
        </w:rPr>
        <w:t xml:space="preserve"> </w:t>
      </w:r>
      <w:r w:rsidR="00611F6B" w:rsidRPr="00275453">
        <w:rPr>
          <w:i/>
          <w:iCs/>
          <w:sz w:val="19"/>
          <w:szCs w:val="19"/>
        </w:rPr>
        <w:t>n</w:t>
      </w:r>
      <w:r w:rsidRPr="00275453">
        <w:rPr>
          <w:i/>
          <w:iCs/>
          <w:sz w:val="19"/>
          <w:szCs w:val="19"/>
        </w:rPr>
        <w:t xml:space="preserve">ational </w:t>
      </w:r>
      <w:r w:rsidR="00611F6B" w:rsidRPr="00275453">
        <w:rPr>
          <w:i/>
          <w:iCs/>
          <w:sz w:val="19"/>
          <w:szCs w:val="19"/>
        </w:rPr>
        <w:t>h</w:t>
      </w:r>
      <w:r w:rsidRPr="00275453">
        <w:rPr>
          <w:i/>
          <w:iCs/>
          <w:sz w:val="19"/>
          <w:szCs w:val="19"/>
        </w:rPr>
        <w:t xml:space="preserve">ealth </w:t>
      </w:r>
      <w:r w:rsidR="00611F6B" w:rsidRPr="00275453">
        <w:rPr>
          <w:i/>
          <w:iCs/>
          <w:sz w:val="19"/>
          <w:szCs w:val="19"/>
        </w:rPr>
        <w:t>s</w:t>
      </w:r>
      <w:r w:rsidRPr="00275453">
        <w:rPr>
          <w:i/>
          <w:iCs/>
          <w:sz w:val="19"/>
          <w:szCs w:val="19"/>
        </w:rPr>
        <w:t xml:space="preserve">trategic </w:t>
      </w:r>
      <w:r w:rsidR="00611F6B" w:rsidRPr="00275453">
        <w:rPr>
          <w:i/>
          <w:iCs/>
          <w:sz w:val="19"/>
          <w:szCs w:val="19"/>
        </w:rPr>
        <w:t>p</w:t>
      </w:r>
      <w:r w:rsidRPr="00275453">
        <w:rPr>
          <w:i/>
          <w:iCs/>
          <w:sz w:val="19"/>
          <w:szCs w:val="19"/>
        </w:rPr>
        <w:t>lan 2022</w:t>
      </w:r>
      <w:r w:rsidR="00AD4628" w:rsidRPr="00275453">
        <w:rPr>
          <w:i/>
          <w:iCs/>
          <w:sz w:val="19"/>
          <w:szCs w:val="19"/>
        </w:rPr>
        <w:t>–</w:t>
      </w:r>
      <w:r w:rsidRPr="00275453">
        <w:rPr>
          <w:i/>
          <w:iCs/>
          <w:sz w:val="19"/>
          <w:szCs w:val="19"/>
        </w:rPr>
        <w:t>2031</w:t>
      </w:r>
      <w:r w:rsidR="007450AE">
        <w:rPr>
          <w:sz w:val="19"/>
          <w:szCs w:val="19"/>
        </w:rPr>
        <w:t>, 2022</w:t>
      </w:r>
      <w:r w:rsidRPr="00275453">
        <w:rPr>
          <w:sz w:val="19"/>
          <w:szCs w:val="19"/>
        </w:rPr>
        <w:t>.</w:t>
      </w:r>
    </w:p>
  </w:endnote>
  <w:endnote w:id="20">
    <w:p w14:paraId="00B5F0DF" w14:textId="6DD25FC0" w:rsidR="00C1009F" w:rsidRPr="00275453" w:rsidRDefault="00C1009F" w:rsidP="00275453">
      <w:pPr>
        <w:pStyle w:val="Endnotes"/>
        <w:rPr>
          <w:sz w:val="19"/>
          <w:szCs w:val="19"/>
        </w:rPr>
      </w:pPr>
      <w:r w:rsidRPr="004574D7">
        <w:rPr>
          <w:rStyle w:val="EndnoteReference"/>
          <w:sz w:val="19"/>
          <w:szCs w:val="19"/>
        </w:rPr>
        <w:endnoteRef/>
      </w:r>
      <w:r w:rsidRPr="00275453">
        <w:rPr>
          <w:sz w:val="19"/>
          <w:szCs w:val="19"/>
        </w:rPr>
        <w:t xml:space="preserve"> </w:t>
      </w:r>
      <w:r w:rsidR="00474AEC" w:rsidRPr="00275453">
        <w:rPr>
          <w:sz w:val="19"/>
          <w:szCs w:val="19"/>
        </w:rPr>
        <w:t>Pacific Community</w:t>
      </w:r>
      <w:r w:rsidRPr="00275453">
        <w:rPr>
          <w:sz w:val="19"/>
          <w:szCs w:val="19"/>
        </w:rPr>
        <w:t xml:space="preserve">, </w:t>
      </w:r>
      <w:r w:rsidRPr="00275453">
        <w:rPr>
          <w:i/>
          <w:iCs/>
          <w:sz w:val="19"/>
          <w:szCs w:val="19"/>
        </w:rPr>
        <w:t xml:space="preserve">Population and </w:t>
      </w:r>
      <w:r w:rsidR="00474AEC" w:rsidRPr="00275453">
        <w:rPr>
          <w:i/>
          <w:iCs/>
          <w:sz w:val="19"/>
          <w:szCs w:val="19"/>
        </w:rPr>
        <w:t>h</w:t>
      </w:r>
      <w:r w:rsidRPr="00275453">
        <w:rPr>
          <w:i/>
          <w:iCs/>
          <w:sz w:val="19"/>
          <w:szCs w:val="19"/>
        </w:rPr>
        <w:t xml:space="preserve">ousing </w:t>
      </w:r>
      <w:r w:rsidR="00474AEC" w:rsidRPr="00275453">
        <w:rPr>
          <w:i/>
          <w:iCs/>
          <w:sz w:val="19"/>
          <w:szCs w:val="19"/>
        </w:rPr>
        <w:t>c</w:t>
      </w:r>
      <w:r w:rsidRPr="00275453">
        <w:rPr>
          <w:i/>
          <w:iCs/>
          <w:sz w:val="19"/>
          <w:szCs w:val="19"/>
        </w:rPr>
        <w:t>ensus</w:t>
      </w:r>
      <w:r w:rsidR="00474AEC" w:rsidRPr="00275453">
        <w:rPr>
          <w:i/>
          <w:iCs/>
          <w:sz w:val="19"/>
          <w:szCs w:val="19"/>
        </w:rPr>
        <w:t xml:space="preserve"> 2009</w:t>
      </w:r>
      <w:r w:rsidR="00D537AA" w:rsidRPr="00275453">
        <w:rPr>
          <w:sz w:val="19"/>
          <w:szCs w:val="19"/>
        </w:rPr>
        <w:t>, 20</w:t>
      </w:r>
      <w:r w:rsidR="00474AEC" w:rsidRPr="00275453">
        <w:rPr>
          <w:sz w:val="19"/>
          <w:szCs w:val="19"/>
        </w:rPr>
        <w:t>13</w:t>
      </w:r>
      <w:r w:rsidR="00D537AA" w:rsidRPr="00275453">
        <w:rPr>
          <w:sz w:val="19"/>
          <w:szCs w:val="19"/>
        </w:rPr>
        <w:t>.</w:t>
      </w:r>
      <w:r w:rsidRPr="00275453">
        <w:rPr>
          <w:sz w:val="19"/>
          <w:szCs w:val="19"/>
        </w:rPr>
        <w:t xml:space="preserve"> </w:t>
      </w:r>
      <w:r w:rsidR="00D34D1C" w:rsidRPr="00275453">
        <w:t>https://microdata.pacificdata.org/index.php/catalog/31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EF5C" w14:textId="77777777" w:rsidR="00C60E8C" w:rsidRDefault="00C60E8C" w:rsidP="00007DA4">
    <w:pPr>
      <w:pStyle w:val="Footer"/>
      <w:tabs>
        <w:tab w:val="clear" w:pos="4513"/>
        <w:tab w:val="clear" w:pos="9026"/>
        <w:tab w:val="left" w:pos="3699"/>
      </w:tabs>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37313"/>
      <w:docPartObj>
        <w:docPartGallery w:val="Page Numbers (Bottom of Page)"/>
        <w:docPartUnique/>
      </w:docPartObj>
    </w:sdtPr>
    <w:sdtEndPr>
      <w:rPr>
        <w:noProof/>
      </w:rPr>
    </w:sdtEndPr>
    <w:sdtContent>
      <w:p w14:paraId="0B8AF623" w14:textId="7ADA5A1F" w:rsidR="001B6539" w:rsidRDefault="00641B46" w:rsidP="00641B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301753"/>
      <w:docPartObj>
        <w:docPartGallery w:val="Page Numbers (Bottom of Page)"/>
        <w:docPartUnique/>
      </w:docPartObj>
    </w:sdtPr>
    <w:sdtEndPr>
      <w:rPr>
        <w:noProof/>
      </w:rPr>
    </w:sdtEndPr>
    <w:sdtContent>
      <w:p w14:paraId="1110D17A" w14:textId="276E8DF5" w:rsidR="00FC6C44" w:rsidRDefault="0061464D" w:rsidP="006146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C9A7" w14:textId="038EBCC7" w:rsidR="000907F0" w:rsidRDefault="00366D6D" w:rsidP="00327064">
    <w:pPr>
      <w:pStyle w:val="Footer"/>
      <w:tabs>
        <w:tab w:val="clear" w:pos="4513"/>
        <w:tab w:val="clear" w:pos="9026"/>
        <w:tab w:val="left" w:pos="3699"/>
      </w:tabs>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53A" w14:textId="1B9A251E" w:rsidR="001A1CF2" w:rsidRDefault="00366D6D" w:rsidP="0032706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63EB" w14:textId="77777777" w:rsidR="00E6486D" w:rsidRDefault="00E6486D" w:rsidP="00EE32FE">
      <w:pPr>
        <w:spacing w:after="0" w:line="240" w:lineRule="auto"/>
      </w:pPr>
      <w:r>
        <w:separator/>
      </w:r>
    </w:p>
  </w:footnote>
  <w:footnote w:type="continuationSeparator" w:id="0">
    <w:p w14:paraId="327317C2" w14:textId="77777777" w:rsidR="00E6486D" w:rsidRDefault="00E6486D" w:rsidP="00EE32FE">
      <w:pPr>
        <w:spacing w:after="0" w:line="240" w:lineRule="auto"/>
      </w:pPr>
      <w:r>
        <w:continuationSeparator/>
      </w:r>
    </w:p>
  </w:footnote>
  <w:footnote w:type="continuationNotice" w:id="1">
    <w:p w14:paraId="6C04EA84" w14:textId="77777777" w:rsidR="00E6486D" w:rsidRDefault="00E64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512E" w14:textId="42FC80AD" w:rsidR="00C60E8C" w:rsidRPr="00ED19A6" w:rsidRDefault="00A24E35" w:rsidP="00CF17C3">
    <w:pPr>
      <w:pStyle w:val="SECCLASSIFICATION"/>
      <w:rPr>
        <w:color w:val="auto"/>
      </w:rPr>
    </w:pPr>
    <w:r>
      <w:rPr>
        <w:color w:val="auto"/>
      </w:rPr>
      <w:drawing>
        <wp:anchor distT="0" distB="0" distL="114300" distR="114300" simplePos="0" relativeHeight="251658240" behindDoc="1" locked="0" layoutInCell="1" allowOverlap="1" wp14:anchorId="2DBEB41C" wp14:editId="25E7F8E3">
          <wp:simplePos x="0" y="0"/>
          <wp:positionH relativeFrom="column">
            <wp:posOffset>-528955</wp:posOffset>
          </wp:positionH>
          <wp:positionV relativeFrom="paragraph">
            <wp:posOffset>-234315</wp:posOffset>
          </wp:positionV>
          <wp:extent cx="7564484" cy="10699200"/>
          <wp:effectExtent l="0" t="0" r="0" b="6985"/>
          <wp:wrapNone/>
          <wp:docPr id="1842888829" name="Picture 1" descr="Australian Government Department of Foreign Affairs and Trade banner.&#10;Photographs of: the Australian Defence Force bulk distribution of ballot boxes for the Solomon Islands 2023 National General Elections; workers at the western extension works of the Honiara central market; schoolchildren of Mwanihuki Village, Makira-Ulawa Province, using their new water supply system funded by Australia through the Solomon Islands – Australia Community Partnerships program; an aged care worker in the Pacific Australia Labour Mobility (PALM) scheme; and the Amazing Grace Cocoa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88829" name="Picture 1" descr="Australian Government Department of Foreign Affairs and Trade banner.&#10;Photographs of: the Australian Defence Force bulk distribution of ballot boxes for the Solomon Islands 2023 National General Elections; workers at the western extension works of the Honiara central market; schoolchildren of Mwanihuki Village, Makira-Ulawa Province, using their new water supply system funded by Australia through the Solomon Islands – Australia Community Partnerships program; an aged care worker in the Pacific Australia Labour Mobility (PALM) scheme; and the Amazing Grace Cocoa Farm."/>
                  <pic:cNvPicPr/>
                </pic:nvPicPr>
                <pic:blipFill>
                  <a:blip r:embed="rId1">
                    <a:extLst>
                      <a:ext uri="{28A0092B-C50C-407E-A947-70E740481C1C}">
                        <a14:useLocalDpi xmlns:a14="http://schemas.microsoft.com/office/drawing/2010/main" val="0"/>
                      </a:ext>
                    </a:extLst>
                  </a:blip>
                  <a:stretch>
                    <a:fillRect/>
                  </a:stretch>
                </pic:blipFill>
                <pic:spPr>
                  <a:xfrm>
                    <a:off x="0" y="0"/>
                    <a:ext cx="7564484"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F5D7" w14:textId="6855AD2F" w:rsidR="008C7FE5" w:rsidRPr="00ED19A6" w:rsidRDefault="008C7FE5" w:rsidP="00CF17C3">
    <w:pPr>
      <w:pStyle w:val="SECCLASSIFICATION"/>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7619" w14:textId="5748AF18" w:rsidR="00541A9E" w:rsidRPr="0061464D" w:rsidRDefault="00541A9E" w:rsidP="00614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960E" w14:textId="3B4EEC2F" w:rsidR="00EF1299" w:rsidRPr="0061464D" w:rsidRDefault="00EF1299" w:rsidP="006146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3226" w14:textId="4E808229" w:rsidR="001A1CF2" w:rsidRPr="0061464D" w:rsidRDefault="001A1CF2" w:rsidP="00614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30F2"/>
    <w:multiLevelType w:val="hybridMultilevel"/>
    <w:tmpl w:val="8174A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863C3"/>
    <w:multiLevelType w:val="hybridMultilevel"/>
    <w:tmpl w:val="3BB4F288"/>
    <w:lvl w:ilvl="0" w:tplc="806C2AA0">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12CEF"/>
    <w:multiLevelType w:val="hybridMultilevel"/>
    <w:tmpl w:val="0AE2F426"/>
    <w:lvl w:ilvl="0" w:tplc="C370500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2B62"/>
    <w:multiLevelType w:val="hybridMultilevel"/>
    <w:tmpl w:val="C9322540"/>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5A994"/>
    <w:multiLevelType w:val="hybridMultilevel"/>
    <w:tmpl w:val="BEF8B48A"/>
    <w:lvl w:ilvl="0" w:tplc="B434E3CA">
      <w:start w:val="1"/>
      <w:numFmt w:val="bullet"/>
      <w:lvlText w:val="o"/>
      <w:lvlJc w:val="left"/>
      <w:pPr>
        <w:ind w:left="720" w:hanging="360"/>
      </w:pPr>
      <w:rPr>
        <w:rFonts w:ascii="Courier New" w:hAnsi="Courier New" w:hint="default"/>
      </w:rPr>
    </w:lvl>
    <w:lvl w:ilvl="1" w:tplc="82B84CEA">
      <w:start w:val="1"/>
      <w:numFmt w:val="bullet"/>
      <w:lvlText w:val="o"/>
      <w:lvlJc w:val="left"/>
      <w:pPr>
        <w:ind w:left="1440" w:hanging="360"/>
      </w:pPr>
      <w:rPr>
        <w:rFonts w:ascii="Courier New" w:hAnsi="Courier New" w:hint="default"/>
      </w:rPr>
    </w:lvl>
    <w:lvl w:ilvl="2" w:tplc="1C902432">
      <w:start w:val="1"/>
      <w:numFmt w:val="bullet"/>
      <w:lvlText w:val=""/>
      <w:lvlJc w:val="left"/>
      <w:pPr>
        <w:ind w:left="2160" w:hanging="360"/>
      </w:pPr>
      <w:rPr>
        <w:rFonts w:ascii="Wingdings" w:hAnsi="Wingdings" w:hint="default"/>
      </w:rPr>
    </w:lvl>
    <w:lvl w:ilvl="3" w:tplc="DA8CDF28">
      <w:start w:val="1"/>
      <w:numFmt w:val="bullet"/>
      <w:lvlText w:val=""/>
      <w:lvlJc w:val="left"/>
      <w:pPr>
        <w:ind w:left="2880" w:hanging="360"/>
      </w:pPr>
      <w:rPr>
        <w:rFonts w:ascii="Symbol" w:hAnsi="Symbol" w:hint="default"/>
      </w:rPr>
    </w:lvl>
    <w:lvl w:ilvl="4" w:tplc="A056B4DE">
      <w:start w:val="1"/>
      <w:numFmt w:val="bullet"/>
      <w:lvlText w:val="o"/>
      <w:lvlJc w:val="left"/>
      <w:pPr>
        <w:ind w:left="3600" w:hanging="360"/>
      </w:pPr>
      <w:rPr>
        <w:rFonts w:ascii="Courier New" w:hAnsi="Courier New" w:hint="default"/>
      </w:rPr>
    </w:lvl>
    <w:lvl w:ilvl="5" w:tplc="2EEEC460">
      <w:start w:val="1"/>
      <w:numFmt w:val="bullet"/>
      <w:lvlText w:val=""/>
      <w:lvlJc w:val="left"/>
      <w:pPr>
        <w:ind w:left="4320" w:hanging="360"/>
      </w:pPr>
      <w:rPr>
        <w:rFonts w:ascii="Wingdings" w:hAnsi="Wingdings" w:hint="default"/>
      </w:rPr>
    </w:lvl>
    <w:lvl w:ilvl="6" w:tplc="0BAE58DC">
      <w:start w:val="1"/>
      <w:numFmt w:val="bullet"/>
      <w:lvlText w:val=""/>
      <w:lvlJc w:val="left"/>
      <w:pPr>
        <w:ind w:left="5040" w:hanging="360"/>
      </w:pPr>
      <w:rPr>
        <w:rFonts w:ascii="Symbol" w:hAnsi="Symbol" w:hint="default"/>
      </w:rPr>
    </w:lvl>
    <w:lvl w:ilvl="7" w:tplc="8800D7B0">
      <w:start w:val="1"/>
      <w:numFmt w:val="bullet"/>
      <w:lvlText w:val="o"/>
      <w:lvlJc w:val="left"/>
      <w:pPr>
        <w:ind w:left="5760" w:hanging="360"/>
      </w:pPr>
      <w:rPr>
        <w:rFonts w:ascii="Courier New" w:hAnsi="Courier New" w:hint="default"/>
      </w:rPr>
    </w:lvl>
    <w:lvl w:ilvl="8" w:tplc="0FCA350E">
      <w:start w:val="1"/>
      <w:numFmt w:val="bullet"/>
      <w:lvlText w:val=""/>
      <w:lvlJc w:val="left"/>
      <w:pPr>
        <w:ind w:left="6480" w:hanging="360"/>
      </w:pPr>
      <w:rPr>
        <w:rFonts w:ascii="Wingdings" w:hAnsi="Wingdings" w:hint="default"/>
      </w:rPr>
    </w:lvl>
  </w:abstractNum>
  <w:abstractNum w:abstractNumId="5" w15:restartNumberingAfterBreak="0">
    <w:nsid w:val="0F6667B2"/>
    <w:multiLevelType w:val="hybridMultilevel"/>
    <w:tmpl w:val="DF7E9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7B88DE"/>
    <w:multiLevelType w:val="hybridMultilevel"/>
    <w:tmpl w:val="600E5D62"/>
    <w:lvl w:ilvl="0" w:tplc="EED4BCAC">
      <w:start w:val="1"/>
      <w:numFmt w:val="bullet"/>
      <w:lvlText w:val=""/>
      <w:lvlJc w:val="left"/>
      <w:pPr>
        <w:ind w:left="720" w:hanging="360"/>
      </w:pPr>
      <w:rPr>
        <w:rFonts w:ascii="Symbol" w:hAnsi="Symbol" w:hint="default"/>
      </w:rPr>
    </w:lvl>
    <w:lvl w:ilvl="1" w:tplc="CA825D50">
      <w:start w:val="1"/>
      <w:numFmt w:val="bullet"/>
      <w:lvlText w:val="o"/>
      <w:lvlJc w:val="left"/>
      <w:pPr>
        <w:ind w:left="1440" w:hanging="360"/>
      </w:pPr>
      <w:rPr>
        <w:rFonts w:ascii="Courier New" w:hAnsi="Courier New" w:hint="default"/>
      </w:rPr>
    </w:lvl>
    <w:lvl w:ilvl="2" w:tplc="541C1910">
      <w:start w:val="1"/>
      <w:numFmt w:val="bullet"/>
      <w:lvlText w:val=""/>
      <w:lvlJc w:val="left"/>
      <w:pPr>
        <w:ind w:left="2160" w:hanging="360"/>
      </w:pPr>
      <w:rPr>
        <w:rFonts w:ascii="Wingdings" w:hAnsi="Wingdings" w:hint="default"/>
      </w:rPr>
    </w:lvl>
    <w:lvl w:ilvl="3" w:tplc="C9ECD5C0">
      <w:start w:val="1"/>
      <w:numFmt w:val="bullet"/>
      <w:lvlText w:val=""/>
      <w:lvlJc w:val="left"/>
      <w:pPr>
        <w:ind w:left="2880" w:hanging="360"/>
      </w:pPr>
      <w:rPr>
        <w:rFonts w:ascii="Symbol" w:hAnsi="Symbol" w:hint="default"/>
      </w:rPr>
    </w:lvl>
    <w:lvl w:ilvl="4" w:tplc="C2FE284C">
      <w:start w:val="1"/>
      <w:numFmt w:val="bullet"/>
      <w:lvlText w:val="o"/>
      <w:lvlJc w:val="left"/>
      <w:pPr>
        <w:ind w:left="3600" w:hanging="360"/>
      </w:pPr>
      <w:rPr>
        <w:rFonts w:ascii="Courier New" w:hAnsi="Courier New" w:hint="default"/>
      </w:rPr>
    </w:lvl>
    <w:lvl w:ilvl="5" w:tplc="3D86C422">
      <w:start w:val="1"/>
      <w:numFmt w:val="bullet"/>
      <w:lvlText w:val=""/>
      <w:lvlJc w:val="left"/>
      <w:pPr>
        <w:ind w:left="4320" w:hanging="360"/>
      </w:pPr>
      <w:rPr>
        <w:rFonts w:ascii="Wingdings" w:hAnsi="Wingdings" w:hint="default"/>
      </w:rPr>
    </w:lvl>
    <w:lvl w:ilvl="6" w:tplc="D9AA0E1C">
      <w:start w:val="1"/>
      <w:numFmt w:val="bullet"/>
      <w:lvlText w:val=""/>
      <w:lvlJc w:val="left"/>
      <w:pPr>
        <w:ind w:left="5040" w:hanging="360"/>
      </w:pPr>
      <w:rPr>
        <w:rFonts w:ascii="Symbol" w:hAnsi="Symbol" w:hint="default"/>
      </w:rPr>
    </w:lvl>
    <w:lvl w:ilvl="7" w:tplc="C09836F2">
      <w:start w:val="1"/>
      <w:numFmt w:val="bullet"/>
      <w:lvlText w:val="o"/>
      <w:lvlJc w:val="left"/>
      <w:pPr>
        <w:ind w:left="5760" w:hanging="360"/>
      </w:pPr>
      <w:rPr>
        <w:rFonts w:ascii="Courier New" w:hAnsi="Courier New" w:hint="default"/>
      </w:rPr>
    </w:lvl>
    <w:lvl w:ilvl="8" w:tplc="706EBE68">
      <w:start w:val="1"/>
      <w:numFmt w:val="bullet"/>
      <w:lvlText w:val=""/>
      <w:lvlJc w:val="left"/>
      <w:pPr>
        <w:ind w:left="6480" w:hanging="360"/>
      </w:pPr>
      <w:rPr>
        <w:rFonts w:ascii="Wingdings" w:hAnsi="Wingdings" w:hint="default"/>
      </w:rPr>
    </w:lvl>
  </w:abstractNum>
  <w:abstractNum w:abstractNumId="7" w15:restartNumberingAfterBreak="0">
    <w:nsid w:val="128F3C0E"/>
    <w:multiLevelType w:val="hybridMultilevel"/>
    <w:tmpl w:val="581EFD9E"/>
    <w:lvl w:ilvl="0" w:tplc="3C58791E">
      <w:start w:val="1"/>
      <w:numFmt w:val="decimal"/>
      <w:lvlText w:val="%1."/>
      <w:lvlJc w:val="left"/>
      <w:pPr>
        <w:ind w:left="720" w:hanging="360"/>
      </w:pPr>
    </w:lvl>
    <w:lvl w:ilvl="1" w:tplc="03728126">
      <w:start w:val="1"/>
      <w:numFmt w:val="decimal"/>
      <w:lvlText w:val="%2."/>
      <w:lvlJc w:val="left"/>
      <w:pPr>
        <w:ind w:left="720" w:hanging="360"/>
      </w:pPr>
    </w:lvl>
    <w:lvl w:ilvl="2" w:tplc="F51A9B32">
      <w:start w:val="1"/>
      <w:numFmt w:val="decimal"/>
      <w:lvlText w:val="%3."/>
      <w:lvlJc w:val="left"/>
      <w:pPr>
        <w:ind w:left="720" w:hanging="360"/>
      </w:pPr>
    </w:lvl>
    <w:lvl w:ilvl="3" w:tplc="7B364412">
      <w:start w:val="1"/>
      <w:numFmt w:val="decimal"/>
      <w:lvlText w:val="%4."/>
      <w:lvlJc w:val="left"/>
      <w:pPr>
        <w:ind w:left="720" w:hanging="360"/>
      </w:pPr>
    </w:lvl>
    <w:lvl w:ilvl="4" w:tplc="DA22E730">
      <w:start w:val="1"/>
      <w:numFmt w:val="decimal"/>
      <w:lvlText w:val="%5."/>
      <w:lvlJc w:val="left"/>
      <w:pPr>
        <w:ind w:left="720" w:hanging="360"/>
      </w:pPr>
    </w:lvl>
    <w:lvl w:ilvl="5" w:tplc="D8386A12">
      <w:start w:val="1"/>
      <w:numFmt w:val="decimal"/>
      <w:lvlText w:val="%6."/>
      <w:lvlJc w:val="left"/>
      <w:pPr>
        <w:ind w:left="720" w:hanging="360"/>
      </w:pPr>
    </w:lvl>
    <w:lvl w:ilvl="6" w:tplc="9B708778">
      <w:start w:val="1"/>
      <w:numFmt w:val="decimal"/>
      <w:lvlText w:val="%7."/>
      <w:lvlJc w:val="left"/>
      <w:pPr>
        <w:ind w:left="720" w:hanging="360"/>
      </w:pPr>
    </w:lvl>
    <w:lvl w:ilvl="7" w:tplc="9C78555C">
      <w:start w:val="1"/>
      <w:numFmt w:val="decimal"/>
      <w:lvlText w:val="%8."/>
      <w:lvlJc w:val="left"/>
      <w:pPr>
        <w:ind w:left="720" w:hanging="360"/>
      </w:pPr>
    </w:lvl>
    <w:lvl w:ilvl="8" w:tplc="3C26CF3E">
      <w:start w:val="1"/>
      <w:numFmt w:val="decimal"/>
      <w:lvlText w:val="%9."/>
      <w:lvlJc w:val="left"/>
      <w:pPr>
        <w:ind w:left="720" w:hanging="360"/>
      </w:p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9"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2D7028"/>
    <w:multiLevelType w:val="hybridMultilevel"/>
    <w:tmpl w:val="0794046C"/>
    <w:lvl w:ilvl="0" w:tplc="19B0D4A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0722D2"/>
    <w:multiLevelType w:val="hybridMultilevel"/>
    <w:tmpl w:val="3BB05A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AA4C4C"/>
    <w:multiLevelType w:val="hybridMultilevel"/>
    <w:tmpl w:val="ACB63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41218D"/>
    <w:multiLevelType w:val="hybridMultilevel"/>
    <w:tmpl w:val="8612D6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573158"/>
    <w:multiLevelType w:val="hybridMultilevel"/>
    <w:tmpl w:val="64800D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36E99"/>
    <w:multiLevelType w:val="hybridMultilevel"/>
    <w:tmpl w:val="206EA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040BD2"/>
    <w:multiLevelType w:val="hybridMultilevel"/>
    <w:tmpl w:val="4366F4D8"/>
    <w:lvl w:ilvl="0" w:tplc="2C5E754A">
      <w:start w:val="1"/>
      <w:numFmt w:val="decimal"/>
      <w:lvlText w:val="%1."/>
      <w:lvlJc w:val="center"/>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36E47A3"/>
    <w:multiLevelType w:val="hybridMultilevel"/>
    <w:tmpl w:val="E1866DC8"/>
    <w:lvl w:ilvl="0" w:tplc="24042BE4">
      <w:start w:val="1"/>
      <w:numFmt w:val="bullet"/>
      <w:lvlText w:val=""/>
      <w:lvlJc w:val="left"/>
      <w:pPr>
        <w:ind w:left="720" w:hanging="360"/>
      </w:pPr>
      <w:rPr>
        <w:rFonts w:ascii="Symbol" w:hAnsi="Symbol"/>
      </w:rPr>
    </w:lvl>
    <w:lvl w:ilvl="1" w:tplc="0FCEA5DC">
      <w:start w:val="1"/>
      <w:numFmt w:val="bullet"/>
      <w:lvlText w:val=""/>
      <w:lvlJc w:val="left"/>
      <w:pPr>
        <w:ind w:left="720" w:hanging="360"/>
      </w:pPr>
      <w:rPr>
        <w:rFonts w:ascii="Symbol" w:hAnsi="Symbol"/>
      </w:rPr>
    </w:lvl>
    <w:lvl w:ilvl="2" w:tplc="69381FDA">
      <w:start w:val="1"/>
      <w:numFmt w:val="bullet"/>
      <w:lvlText w:val=""/>
      <w:lvlJc w:val="left"/>
      <w:pPr>
        <w:ind w:left="720" w:hanging="360"/>
      </w:pPr>
      <w:rPr>
        <w:rFonts w:ascii="Symbol" w:hAnsi="Symbol"/>
      </w:rPr>
    </w:lvl>
    <w:lvl w:ilvl="3" w:tplc="576EB132">
      <w:start w:val="1"/>
      <w:numFmt w:val="bullet"/>
      <w:lvlText w:val=""/>
      <w:lvlJc w:val="left"/>
      <w:pPr>
        <w:ind w:left="720" w:hanging="360"/>
      </w:pPr>
      <w:rPr>
        <w:rFonts w:ascii="Symbol" w:hAnsi="Symbol"/>
      </w:rPr>
    </w:lvl>
    <w:lvl w:ilvl="4" w:tplc="721AEE74">
      <w:start w:val="1"/>
      <w:numFmt w:val="bullet"/>
      <w:lvlText w:val=""/>
      <w:lvlJc w:val="left"/>
      <w:pPr>
        <w:ind w:left="720" w:hanging="360"/>
      </w:pPr>
      <w:rPr>
        <w:rFonts w:ascii="Symbol" w:hAnsi="Symbol"/>
      </w:rPr>
    </w:lvl>
    <w:lvl w:ilvl="5" w:tplc="6A7EE664">
      <w:start w:val="1"/>
      <w:numFmt w:val="bullet"/>
      <w:lvlText w:val=""/>
      <w:lvlJc w:val="left"/>
      <w:pPr>
        <w:ind w:left="720" w:hanging="360"/>
      </w:pPr>
      <w:rPr>
        <w:rFonts w:ascii="Symbol" w:hAnsi="Symbol"/>
      </w:rPr>
    </w:lvl>
    <w:lvl w:ilvl="6" w:tplc="3A56891C">
      <w:start w:val="1"/>
      <w:numFmt w:val="bullet"/>
      <w:lvlText w:val=""/>
      <w:lvlJc w:val="left"/>
      <w:pPr>
        <w:ind w:left="720" w:hanging="360"/>
      </w:pPr>
      <w:rPr>
        <w:rFonts w:ascii="Symbol" w:hAnsi="Symbol"/>
      </w:rPr>
    </w:lvl>
    <w:lvl w:ilvl="7" w:tplc="9C528966">
      <w:start w:val="1"/>
      <w:numFmt w:val="bullet"/>
      <w:lvlText w:val=""/>
      <w:lvlJc w:val="left"/>
      <w:pPr>
        <w:ind w:left="720" w:hanging="360"/>
      </w:pPr>
      <w:rPr>
        <w:rFonts w:ascii="Symbol" w:hAnsi="Symbol"/>
      </w:rPr>
    </w:lvl>
    <w:lvl w:ilvl="8" w:tplc="AAB693F8">
      <w:start w:val="1"/>
      <w:numFmt w:val="bullet"/>
      <w:lvlText w:val=""/>
      <w:lvlJc w:val="left"/>
      <w:pPr>
        <w:ind w:left="720" w:hanging="360"/>
      </w:pPr>
      <w:rPr>
        <w:rFonts w:ascii="Symbol" w:hAnsi="Symbol"/>
      </w:rPr>
    </w:lvl>
  </w:abstractNum>
  <w:abstractNum w:abstractNumId="19" w15:restartNumberingAfterBreak="0">
    <w:nsid w:val="34735664"/>
    <w:multiLevelType w:val="hybridMultilevel"/>
    <w:tmpl w:val="567A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95DB4"/>
    <w:multiLevelType w:val="hybridMultilevel"/>
    <w:tmpl w:val="D472A79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61B5CE3"/>
    <w:multiLevelType w:val="hybridMultilevel"/>
    <w:tmpl w:val="2A4617D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1A1E04"/>
    <w:multiLevelType w:val="hybridMultilevel"/>
    <w:tmpl w:val="82489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396311"/>
    <w:multiLevelType w:val="hybridMultilevel"/>
    <w:tmpl w:val="8612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C618EB"/>
    <w:multiLevelType w:val="hybridMultilevel"/>
    <w:tmpl w:val="AFA2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F93BC9"/>
    <w:multiLevelType w:val="hybridMultilevel"/>
    <w:tmpl w:val="040CB4B4"/>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6" w15:restartNumberingAfterBreak="0">
    <w:nsid w:val="3E4943B1"/>
    <w:multiLevelType w:val="multilevel"/>
    <w:tmpl w:val="1CCC087E"/>
    <w:lvl w:ilvl="0">
      <w:start w:val="1"/>
      <w:numFmt w:val="bullet"/>
      <w:pStyle w:val="NormalBullets-L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E82AF2"/>
    <w:multiLevelType w:val="hybridMultilevel"/>
    <w:tmpl w:val="477A8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580FB7"/>
    <w:multiLevelType w:val="hybridMultilevel"/>
    <w:tmpl w:val="055ACAB4"/>
    <w:lvl w:ilvl="0" w:tplc="2FE821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077873"/>
    <w:multiLevelType w:val="hybridMultilevel"/>
    <w:tmpl w:val="10D8807C"/>
    <w:lvl w:ilvl="0" w:tplc="6926396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0A406D"/>
    <w:multiLevelType w:val="hybridMultilevel"/>
    <w:tmpl w:val="8EA85C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2" w15:restartNumberingAfterBreak="0">
    <w:nsid w:val="506D18F9"/>
    <w:multiLevelType w:val="hybridMultilevel"/>
    <w:tmpl w:val="6DCC8A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EC2AB4"/>
    <w:multiLevelType w:val="hybridMultilevel"/>
    <w:tmpl w:val="78586CD4"/>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942D10"/>
    <w:multiLevelType w:val="hybridMultilevel"/>
    <w:tmpl w:val="16C839F4"/>
    <w:lvl w:ilvl="0" w:tplc="B8D448B0">
      <w:start w:val="1"/>
      <w:numFmt w:val="bullet"/>
      <w:lvlText w:val=""/>
      <w:lvlJc w:val="left"/>
      <w:pPr>
        <w:ind w:left="720" w:hanging="360"/>
      </w:pPr>
      <w:rPr>
        <w:rFonts w:ascii="Symbol" w:hAnsi="Symbol"/>
      </w:rPr>
    </w:lvl>
    <w:lvl w:ilvl="1" w:tplc="E7205AD0">
      <w:start w:val="1"/>
      <w:numFmt w:val="bullet"/>
      <w:lvlText w:val=""/>
      <w:lvlJc w:val="left"/>
      <w:pPr>
        <w:ind w:left="720" w:hanging="360"/>
      </w:pPr>
      <w:rPr>
        <w:rFonts w:ascii="Symbol" w:hAnsi="Symbol"/>
      </w:rPr>
    </w:lvl>
    <w:lvl w:ilvl="2" w:tplc="6088BB50">
      <w:start w:val="1"/>
      <w:numFmt w:val="bullet"/>
      <w:lvlText w:val=""/>
      <w:lvlJc w:val="left"/>
      <w:pPr>
        <w:ind w:left="720" w:hanging="360"/>
      </w:pPr>
      <w:rPr>
        <w:rFonts w:ascii="Symbol" w:hAnsi="Symbol"/>
      </w:rPr>
    </w:lvl>
    <w:lvl w:ilvl="3" w:tplc="96BC3C9E">
      <w:start w:val="1"/>
      <w:numFmt w:val="bullet"/>
      <w:lvlText w:val=""/>
      <w:lvlJc w:val="left"/>
      <w:pPr>
        <w:ind w:left="720" w:hanging="360"/>
      </w:pPr>
      <w:rPr>
        <w:rFonts w:ascii="Symbol" w:hAnsi="Symbol"/>
      </w:rPr>
    </w:lvl>
    <w:lvl w:ilvl="4" w:tplc="0C7EAD32">
      <w:start w:val="1"/>
      <w:numFmt w:val="bullet"/>
      <w:lvlText w:val=""/>
      <w:lvlJc w:val="left"/>
      <w:pPr>
        <w:ind w:left="720" w:hanging="360"/>
      </w:pPr>
      <w:rPr>
        <w:rFonts w:ascii="Symbol" w:hAnsi="Symbol"/>
      </w:rPr>
    </w:lvl>
    <w:lvl w:ilvl="5" w:tplc="CAB88922">
      <w:start w:val="1"/>
      <w:numFmt w:val="bullet"/>
      <w:lvlText w:val=""/>
      <w:lvlJc w:val="left"/>
      <w:pPr>
        <w:ind w:left="720" w:hanging="360"/>
      </w:pPr>
      <w:rPr>
        <w:rFonts w:ascii="Symbol" w:hAnsi="Symbol"/>
      </w:rPr>
    </w:lvl>
    <w:lvl w:ilvl="6" w:tplc="3ECA2134">
      <w:start w:val="1"/>
      <w:numFmt w:val="bullet"/>
      <w:lvlText w:val=""/>
      <w:lvlJc w:val="left"/>
      <w:pPr>
        <w:ind w:left="720" w:hanging="360"/>
      </w:pPr>
      <w:rPr>
        <w:rFonts w:ascii="Symbol" w:hAnsi="Symbol"/>
      </w:rPr>
    </w:lvl>
    <w:lvl w:ilvl="7" w:tplc="1542EEBC">
      <w:start w:val="1"/>
      <w:numFmt w:val="bullet"/>
      <w:lvlText w:val=""/>
      <w:lvlJc w:val="left"/>
      <w:pPr>
        <w:ind w:left="720" w:hanging="360"/>
      </w:pPr>
      <w:rPr>
        <w:rFonts w:ascii="Symbol" w:hAnsi="Symbol"/>
      </w:rPr>
    </w:lvl>
    <w:lvl w:ilvl="8" w:tplc="59CA33EA">
      <w:start w:val="1"/>
      <w:numFmt w:val="bullet"/>
      <w:lvlText w:val=""/>
      <w:lvlJc w:val="left"/>
      <w:pPr>
        <w:ind w:left="720" w:hanging="360"/>
      </w:pPr>
      <w:rPr>
        <w:rFonts w:ascii="Symbol" w:hAnsi="Symbol"/>
      </w:rPr>
    </w:lvl>
  </w:abstractNum>
  <w:abstractNum w:abstractNumId="35" w15:restartNumberingAfterBreak="0">
    <w:nsid w:val="53327922"/>
    <w:multiLevelType w:val="hybridMultilevel"/>
    <w:tmpl w:val="73EA4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F71CF0"/>
    <w:multiLevelType w:val="hybridMultilevel"/>
    <w:tmpl w:val="CF3CC1A6"/>
    <w:lvl w:ilvl="0" w:tplc="9384AB2E">
      <w:start w:val="1"/>
      <w:numFmt w:val="decimal"/>
      <w:lvlText w:val="%1."/>
      <w:lvlJc w:val="left"/>
      <w:pPr>
        <w:ind w:left="720" w:hanging="360"/>
      </w:pPr>
      <w:rPr>
        <w:b/>
        <w:bCs/>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D02518"/>
    <w:multiLevelType w:val="multilevel"/>
    <w:tmpl w:val="1960D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126FC2"/>
    <w:multiLevelType w:val="hybridMultilevel"/>
    <w:tmpl w:val="842AD1E2"/>
    <w:lvl w:ilvl="0" w:tplc="5076300C">
      <w:start w:val="1"/>
      <w:numFmt w:val="bullet"/>
      <w:lvlText w:val=""/>
      <w:lvlJc w:val="left"/>
      <w:pPr>
        <w:ind w:left="1080" w:hanging="360"/>
      </w:pPr>
      <w:rPr>
        <w:rFonts w:ascii="Symbol" w:hAnsi="Symbol" w:hint="default"/>
      </w:rPr>
    </w:lvl>
    <w:lvl w:ilvl="1" w:tplc="C9DA367E" w:tentative="1">
      <w:start w:val="1"/>
      <w:numFmt w:val="bullet"/>
      <w:lvlText w:val="o"/>
      <w:lvlJc w:val="left"/>
      <w:pPr>
        <w:ind w:left="1800" w:hanging="360"/>
      </w:pPr>
      <w:rPr>
        <w:rFonts w:ascii="Courier New" w:hAnsi="Courier New" w:hint="default"/>
      </w:rPr>
    </w:lvl>
    <w:lvl w:ilvl="2" w:tplc="CED2C46C" w:tentative="1">
      <w:start w:val="1"/>
      <w:numFmt w:val="bullet"/>
      <w:lvlText w:val=""/>
      <w:lvlJc w:val="left"/>
      <w:pPr>
        <w:ind w:left="2520" w:hanging="360"/>
      </w:pPr>
      <w:rPr>
        <w:rFonts w:ascii="Wingdings" w:hAnsi="Wingdings" w:hint="default"/>
      </w:rPr>
    </w:lvl>
    <w:lvl w:ilvl="3" w:tplc="FE8AC018" w:tentative="1">
      <w:start w:val="1"/>
      <w:numFmt w:val="bullet"/>
      <w:lvlText w:val=""/>
      <w:lvlJc w:val="left"/>
      <w:pPr>
        <w:ind w:left="3240" w:hanging="360"/>
      </w:pPr>
      <w:rPr>
        <w:rFonts w:ascii="Symbol" w:hAnsi="Symbol" w:hint="default"/>
      </w:rPr>
    </w:lvl>
    <w:lvl w:ilvl="4" w:tplc="111CA9A0" w:tentative="1">
      <w:start w:val="1"/>
      <w:numFmt w:val="bullet"/>
      <w:lvlText w:val="o"/>
      <w:lvlJc w:val="left"/>
      <w:pPr>
        <w:ind w:left="3960" w:hanging="360"/>
      </w:pPr>
      <w:rPr>
        <w:rFonts w:ascii="Courier New" w:hAnsi="Courier New" w:hint="default"/>
      </w:rPr>
    </w:lvl>
    <w:lvl w:ilvl="5" w:tplc="F3AA61EC" w:tentative="1">
      <w:start w:val="1"/>
      <w:numFmt w:val="bullet"/>
      <w:lvlText w:val=""/>
      <w:lvlJc w:val="left"/>
      <w:pPr>
        <w:ind w:left="4680" w:hanging="360"/>
      </w:pPr>
      <w:rPr>
        <w:rFonts w:ascii="Wingdings" w:hAnsi="Wingdings" w:hint="default"/>
      </w:rPr>
    </w:lvl>
    <w:lvl w:ilvl="6" w:tplc="00A2998C" w:tentative="1">
      <w:start w:val="1"/>
      <w:numFmt w:val="bullet"/>
      <w:lvlText w:val=""/>
      <w:lvlJc w:val="left"/>
      <w:pPr>
        <w:ind w:left="5400" w:hanging="360"/>
      </w:pPr>
      <w:rPr>
        <w:rFonts w:ascii="Symbol" w:hAnsi="Symbol" w:hint="default"/>
      </w:rPr>
    </w:lvl>
    <w:lvl w:ilvl="7" w:tplc="2C02BC26" w:tentative="1">
      <w:start w:val="1"/>
      <w:numFmt w:val="bullet"/>
      <w:lvlText w:val="o"/>
      <w:lvlJc w:val="left"/>
      <w:pPr>
        <w:ind w:left="6120" w:hanging="360"/>
      </w:pPr>
      <w:rPr>
        <w:rFonts w:ascii="Courier New" w:hAnsi="Courier New" w:hint="default"/>
      </w:rPr>
    </w:lvl>
    <w:lvl w:ilvl="8" w:tplc="876EF842" w:tentative="1">
      <w:start w:val="1"/>
      <w:numFmt w:val="bullet"/>
      <w:lvlText w:val=""/>
      <w:lvlJc w:val="left"/>
      <w:pPr>
        <w:ind w:left="6840" w:hanging="360"/>
      </w:pPr>
      <w:rPr>
        <w:rFonts w:ascii="Wingdings" w:hAnsi="Wingdings" w:hint="default"/>
      </w:rPr>
    </w:lvl>
  </w:abstractNum>
  <w:abstractNum w:abstractNumId="39" w15:restartNumberingAfterBreak="0">
    <w:nsid w:val="5DEA24C7"/>
    <w:multiLevelType w:val="hybridMultilevel"/>
    <w:tmpl w:val="57A2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A656B0"/>
    <w:multiLevelType w:val="hybridMultilevel"/>
    <w:tmpl w:val="F232E7AA"/>
    <w:lvl w:ilvl="0" w:tplc="EB860F3E">
      <w:start w:val="1"/>
      <w:numFmt w:val="bullet"/>
      <w:lvlText w:val=""/>
      <w:lvlJc w:val="left"/>
      <w:pPr>
        <w:ind w:left="720" w:hanging="360"/>
      </w:pPr>
      <w:rPr>
        <w:rFonts w:ascii="Symbol" w:hAnsi="Symbol"/>
      </w:rPr>
    </w:lvl>
    <w:lvl w:ilvl="1" w:tplc="015EAD4C">
      <w:start w:val="1"/>
      <w:numFmt w:val="bullet"/>
      <w:lvlText w:val=""/>
      <w:lvlJc w:val="left"/>
      <w:pPr>
        <w:ind w:left="720" w:hanging="360"/>
      </w:pPr>
      <w:rPr>
        <w:rFonts w:ascii="Symbol" w:hAnsi="Symbol"/>
      </w:rPr>
    </w:lvl>
    <w:lvl w:ilvl="2" w:tplc="D24A1EF0">
      <w:start w:val="1"/>
      <w:numFmt w:val="bullet"/>
      <w:lvlText w:val=""/>
      <w:lvlJc w:val="left"/>
      <w:pPr>
        <w:ind w:left="720" w:hanging="360"/>
      </w:pPr>
      <w:rPr>
        <w:rFonts w:ascii="Symbol" w:hAnsi="Symbol"/>
      </w:rPr>
    </w:lvl>
    <w:lvl w:ilvl="3" w:tplc="2834A584">
      <w:start w:val="1"/>
      <w:numFmt w:val="bullet"/>
      <w:lvlText w:val=""/>
      <w:lvlJc w:val="left"/>
      <w:pPr>
        <w:ind w:left="720" w:hanging="360"/>
      </w:pPr>
      <w:rPr>
        <w:rFonts w:ascii="Symbol" w:hAnsi="Symbol"/>
      </w:rPr>
    </w:lvl>
    <w:lvl w:ilvl="4" w:tplc="43F45E7E">
      <w:start w:val="1"/>
      <w:numFmt w:val="bullet"/>
      <w:lvlText w:val=""/>
      <w:lvlJc w:val="left"/>
      <w:pPr>
        <w:ind w:left="720" w:hanging="360"/>
      </w:pPr>
      <w:rPr>
        <w:rFonts w:ascii="Symbol" w:hAnsi="Symbol"/>
      </w:rPr>
    </w:lvl>
    <w:lvl w:ilvl="5" w:tplc="95568E6E">
      <w:start w:val="1"/>
      <w:numFmt w:val="bullet"/>
      <w:lvlText w:val=""/>
      <w:lvlJc w:val="left"/>
      <w:pPr>
        <w:ind w:left="720" w:hanging="360"/>
      </w:pPr>
      <w:rPr>
        <w:rFonts w:ascii="Symbol" w:hAnsi="Symbol"/>
      </w:rPr>
    </w:lvl>
    <w:lvl w:ilvl="6" w:tplc="ADFE53B6">
      <w:start w:val="1"/>
      <w:numFmt w:val="bullet"/>
      <w:lvlText w:val=""/>
      <w:lvlJc w:val="left"/>
      <w:pPr>
        <w:ind w:left="720" w:hanging="360"/>
      </w:pPr>
      <w:rPr>
        <w:rFonts w:ascii="Symbol" w:hAnsi="Symbol"/>
      </w:rPr>
    </w:lvl>
    <w:lvl w:ilvl="7" w:tplc="03169A22">
      <w:start w:val="1"/>
      <w:numFmt w:val="bullet"/>
      <w:lvlText w:val=""/>
      <w:lvlJc w:val="left"/>
      <w:pPr>
        <w:ind w:left="720" w:hanging="360"/>
      </w:pPr>
      <w:rPr>
        <w:rFonts w:ascii="Symbol" w:hAnsi="Symbol"/>
      </w:rPr>
    </w:lvl>
    <w:lvl w:ilvl="8" w:tplc="B582CC40">
      <w:start w:val="1"/>
      <w:numFmt w:val="bullet"/>
      <w:lvlText w:val=""/>
      <w:lvlJc w:val="left"/>
      <w:pPr>
        <w:ind w:left="720" w:hanging="360"/>
      </w:pPr>
      <w:rPr>
        <w:rFonts w:ascii="Symbol" w:hAnsi="Symbol"/>
      </w:rPr>
    </w:lvl>
  </w:abstractNum>
  <w:abstractNum w:abstractNumId="41" w15:restartNumberingAfterBreak="0">
    <w:nsid w:val="70CE71D4"/>
    <w:multiLevelType w:val="hybridMultilevel"/>
    <w:tmpl w:val="40AC5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9D4C20"/>
    <w:multiLevelType w:val="hybridMultilevel"/>
    <w:tmpl w:val="F548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606880"/>
    <w:multiLevelType w:val="hybridMultilevel"/>
    <w:tmpl w:val="D182DE56"/>
    <w:lvl w:ilvl="0" w:tplc="940E656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87E5B61"/>
    <w:multiLevelType w:val="hybridMultilevel"/>
    <w:tmpl w:val="78586CD4"/>
    <w:lvl w:ilvl="0" w:tplc="FFFFFFFF">
      <w:start w:val="1"/>
      <w:numFmt w:val="decimal"/>
      <w:lvlText w:val="%1."/>
      <w:lvlJc w:val="center"/>
      <w:pPr>
        <w:ind w:left="720" w:hanging="360"/>
      </w:pPr>
      <w:rPr>
        <w:rFonts w:asciiTheme="majorHAnsi" w:hAnsiTheme="majorHAnsi" w:cstheme="majorHAnsi"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BF0B63"/>
    <w:multiLevelType w:val="hybridMultilevel"/>
    <w:tmpl w:val="32A0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287429">
    <w:abstractNumId w:val="6"/>
  </w:num>
  <w:num w:numId="2" w16cid:durableId="767967916">
    <w:abstractNumId w:val="16"/>
  </w:num>
  <w:num w:numId="3" w16cid:durableId="266667794">
    <w:abstractNumId w:val="16"/>
    <w:lvlOverride w:ilvl="0">
      <w:startOverride w:val="1"/>
    </w:lvlOverride>
  </w:num>
  <w:num w:numId="4" w16cid:durableId="1903906318">
    <w:abstractNumId w:val="16"/>
    <w:lvlOverride w:ilvl="0">
      <w:startOverride w:val="1"/>
    </w:lvlOverride>
  </w:num>
  <w:num w:numId="5" w16cid:durableId="1122304565">
    <w:abstractNumId w:val="29"/>
  </w:num>
  <w:num w:numId="6" w16cid:durableId="694119614">
    <w:abstractNumId w:val="16"/>
    <w:lvlOverride w:ilvl="0">
      <w:startOverride w:val="1"/>
    </w:lvlOverride>
  </w:num>
  <w:num w:numId="7" w16cid:durableId="876505344">
    <w:abstractNumId w:val="16"/>
    <w:lvlOverride w:ilvl="0">
      <w:startOverride w:val="1"/>
    </w:lvlOverride>
  </w:num>
  <w:num w:numId="8" w16cid:durableId="1400522488">
    <w:abstractNumId w:val="26"/>
  </w:num>
  <w:num w:numId="9" w16cid:durableId="1460949582">
    <w:abstractNumId w:val="41"/>
  </w:num>
  <w:num w:numId="10" w16cid:durableId="1084494418">
    <w:abstractNumId w:val="31"/>
  </w:num>
  <w:num w:numId="11" w16cid:durableId="909847184">
    <w:abstractNumId w:val="8"/>
  </w:num>
  <w:num w:numId="12" w16cid:durableId="751583131">
    <w:abstractNumId w:val="25"/>
  </w:num>
  <w:num w:numId="13" w16cid:durableId="1477331751">
    <w:abstractNumId w:val="39"/>
  </w:num>
  <w:num w:numId="14" w16cid:durableId="238485856">
    <w:abstractNumId w:val="38"/>
  </w:num>
  <w:num w:numId="15" w16cid:durableId="1909537969">
    <w:abstractNumId w:val="5"/>
  </w:num>
  <w:num w:numId="16" w16cid:durableId="1097941218">
    <w:abstractNumId w:val="2"/>
  </w:num>
  <w:num w:numId="17" w16cid:durableId="893662038">
    <w:abstractNumId w:val="30"/>
  </w:num>
  <w:num w:numId="18" w16cid:durableId="879513284">
    <w:abstractNumId w:val="0"/>
  </w:num>
  <w:num w:numId="19" w16cid:durableId="2106991903">
    <w:abstractNumId w:val="29"/>
  </w:num>
  <w:num w:numId="20" w16cid:durableId="1458833825">
    <w:abstractNumId w:val="29"/>
  </w:num>
  <w:num w:numId="21" w16cid:durableId="1847087469">
    <w:abstractNumId w:val="29"/>
  </w:num>
  <w:num w:numId="22" w16cid:durableId="1481769628">
    <w:abstractNumId w:val="29"/>
  </w:num>
  <w:num w:numId="23" w16cid:durableId="1251891245">
    <w:abstractNumId w:val="29"/>
  </w:num>
  <w:num w:numId="24" w16cid:durableId="1201893486">
    <w:abstractNumId w:val="37"/>
  </w:num>
  <w:num w:numId="25" w16cid:durableId="16934237">
    <w:abstractNumId w:val="20"/>
  </w:num>
  <w:num w:numId="26" w16cid:durableId="723600152">
    <w:abstractNumId w:val="28"/>
  </w:num>
  <w:num w:numId="27" w16cid:durableId="826245015">
    <w:abstractNumId w:val="9"/>
  </w:num>
  <w:num w:numId="28" w16cid:durableId="911164738">
    <w:abstractNumId w:val="26"/>
  </w:num>
  <w:num w:numId="29" w16cid:durableId="241574739">
    <w:abstractNumId w:val="9"/>
  </w:num>
  <w:num w:numId="30" w16cid:durableId="889145706">
    <w:abstractNumId w:val="26"/>
  </w:num>
  <w:num w:numId="31" w16cid:durableId="2006088877">
    <w:abstractNumId w:val="36"/>
  </w:num>
  <w:num w:numId="32" w16cid:durableId="626006505">
    <w:abstractNumId w:val="23"/>
  </w:num>
  <w:num w:numId="33" w16cid:durableId="1953898847">
    <w:abstractNumId w:val="19"/>
  </w:num>
  <w:num w:numId="34" w16cid:durableId="635573056">
    <w:abstractNumId w:val="24"/>
  </w:num>
  <w:num w:numId="35" w16cid:durableId="1379276118">
    <w:abstractNumId w:val="13"/>
  </w:num>
  <w:num w:numId="36" w16cid:durableId="1312783132">
    <w:abstractNumId w:val="22"/>
  </w:num>
  <w:num w:numId="37" w16cid:durableId="1813669774">
    <w:abstractNumId w:val="1"/>
  </w:num>
  <w:num w:numId="38" w16cid:durableId="1114902746">
    <w:abstractNumId w:val="21"/>
  </w:num>
  <w:num w:numId="39" w16cid:durableId="1102603397">
    <w:abstractNumId w:val="32"/>
  </w:num>
  <w:num w:numId="40" w16cid:durableId="1616449394">
    <w:abstractNumId w:val="35"/>
  </w:num>
  <w:num w:numId="41" w16cid:durableId="906841593">
    <w:abstractNumId w:val="14"/>
  </w:num>
  <w:num w:numId="42" w16cid:durableId="1186290551">
    <w:abstractNumId w:val="11"/>
  </w:num>
  <w:num w:numId="43" w16cid:durableId="878476460">
    <w:abstractNumId w:val="17"/>
  </w:num>
  <w:num w:numId="44" w16cid:durableId="1532913980">
    <w:abstractNumId w:val="44"/>
  </w:num>
  <w:num w:numId="45" w16cid:durableId="1843549453">
    <w:abstractNumId w:val="12"/>
  </w:num>
  <w:num w:numId="46" w16cid:durableId="1895851377">
    <w:abstractNumId w:val="33"/>
  </w:num>
  <w:num w:numId="47" w16cid:durableId="371928425">
    <w:abstractNumId w:val="3"/>
  </w:num>
  <w:num w:numId="48" w16cid:durableId="1832409917">
    <w:abstractNumId w:val="4"/>
  </w:num>
  <w:num w:numId="49" w16cid:durableId="1621061544">
    <w:abstractNumId w:val="43"/>
  </w:num>
  <w:num w:numId="50" w16cid:durableId="1396322137">
    <w:abstractNumId w:val="10"/>
  </w:num>
  <w:num w:numId="51" w16cid:durableId="436217247">
    <w:abstractNumId w:val="18"/>
  </w:num>
  <w:num w:numId="52" w16cid:durableId="725035768">
    <w:abstractNumId w:val="40"/>
  </w:num>
  <w:num w:numId="53" w16cid:durableId="2013337366">
    <w:abstractNumId w:val="34"/>
  </w:num>
  <w:num w:numId="54" w16cid:durableId="979188059">
    <w:abstractNumId w:val="27"/>
  </w:num>
  <w:num w:numId="55" w16cid:durableId="1841117163">
    <w:abstractNumId w:val="15"/>
  </w:num>
  <w:num w:numId="56" w16cid:durableId="417288367">
    <w:abstractNumId w:val="45"/>
  </w:num>
  <w:num w:numId="57" w16cid:durableId="642318588">
    <w:abstractNumId w:val="42"/>
  </w:num>
  <w:num w:numId="58" w16cid:durableId="340620902">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6"/>
    <w:rsid w:val="00000E54"/>
    <w:rsid w:val="000010CF"/>
    <w:rsid w:val="00001625"/>
    <w:rsid w:val="00001987"/>
    <w:rsid w:val="00001B91"/>
    <w:rsid w:val="00001B93"/>
    <w:rsid w:val="00001EAF"/>
    <w:rsid w:val="000023DA"/>
    <w:rsid w:val="000028B9"/>
    <w:rsid w:val="00002B67"/>
    <w:rsid w:val="00002E50"/>
    <w:rsid w:val="00003531"/>
    <w:rsid w:val="00003A88"/>
    <w:rsid w:val="000049FA"/>
    <w:rsid w:val="00004E99"/>
    <w:rsid w:val="00005225"/>
    <w:rsid w:val="00005696"/>
    <w:rsid w:val="00005719"/>
    <w:rsid w:val="00007686"/>
    <w:rsid w:val="00007DA4"/>
    <w:rsid w:val="00010562"/>
    <w:rsid w:val="00010E77"/>
    <w:rsid w:val="000112BD"/>
    <w:rsid w:val="00012433"/>
    <w:rsid w:val="00013060"/>
    <w:rsid w:val="000152A2"/>
    <w:rsid w:val="0001545F"/>
    <w:rsid w:val="0001561D"/>
    <w:rsid w:val="00015779"/>
    <w:rsid w:val="00015A61"/>
    <w:rsid w:val="00015AB5"/>
    <w:rsid w:val="00015CAC"/>
    <w:rsid w:val="0001674C"/>
    <w:rsid w:val="0001745B"/>
    <w:rsid w:val="000175A1"/>
    <w:rsid w:val="0002021E"/>
    <w:rsid w:val="00020AA5"/>
    <w:rsid w:val="000216EB"/>
    <w:rsid w:val="00021CBC"/>
    <w:rsid w:val="00021EF4"/>
    <w:rsid w:val="00023552"/>
    <w:rsid w:val="00023790"/>
    <w:rsid w:val="00023824"/>
    <w:rsid w:val="0002391D"/>
    <w:rsid w:val="00024021"/>
    <w:rsid w:val="00024249"/>
    <w:rsid w:val="000246E6"/>
    <w:rsid w:val="00024E43"/>
    <w:rsid w:val="00025253"/>
    <w:rsid w:val="00025428"/>
    <w:rsid w:val="00025C69"/>
    <w:rsid w:val="000266DD"/>
    <w:rsid w:val="00026847"/>
    <w:rsid w:val="00026C16"/>
    <w:rsid w:val="00026DA0"/>
    <w:rsid w:val="00026DC4"/>
    <w:rsid w:val="000278C1"/>
    <w:rsid w:val="00027CFF"/>
    <w:rsid w:val="00030580"/>
    <w:rsid w:val="00030679"/>
    <w:rsid w:val="00030BE7"/>
    <w:rsid w:val="00030CC6"/>
    <w:rsid w:val="00030F78"/>
    <w:rsid w:val="00031EF5"/>
    <w:rsid w:val="000326BA"/>
    <w:rsid w:val="00032FCC"/>
    <w:rsid w:val="00033228"/>
    <w:rsid w:val="000338BB"/>
    <w:rsid w:val="00033C1E"/>
    <w:rsid w:val="00033CA5"/>
    <w:rsid w:val="00033DC9"/>
    <w:rsid w:val="000348BB"/>
    <w:rsid w:val="00034C52"/>
    <w:rsid w:val="00034E43"/>
    <w:rsid w:val="00034E51"/>
    <w:rsid w:val="00035231"/>
    <w:rsid w:val="00035D3B"/>
    <w:rsid w:val="000363E1"/>
    <w:rsid w:val="00037D09"/>
    <w:rsid w:val="00037D97"/>
    <w:rsid w:val="000404A7"/>
    <w:rsid w:val="00040A02"/>
    <w:rsid w:val="00041B36"/>
    <w:rsid w:val="0004273D"/>
    <w:rsid w:val="00042E0F"/>
    <w:rsid w:val="00043AFF"/>
    <w:rsid w:val="00043B51"/>
    <w:rsid w:val="00043E7C"/>
    <w:rsid w:val="0004429D"/>
    <w:rsid w:val="00044598"/>
    <w:rsid w:val="000447F4"/>
    <w:rsid w:val="0004480C"/>
    <w:rsid w:val="0004480E"/>
    <w:rsid w:val="00044E0A"/>
    <w:rsid w:val="00045A41"/>
    <w:rsid w:val="00046411"/>
    <w:rsid w:val="00046952"/>
    <w:rsid w:val="00046F9A"/>
    <w:rsid w:val="00047CCC"/>
    <w:rsid w:val="000503BB"/>
    <w:rsid w:val="000506BE"/>
    <w:rsid w:val="000513FB"/>
    <w:rsid w:val="00051446"/>
    <w:rsid w:val="0005171F"/>
    <w:rsid w:val="00053C50"/>
    <w:rsid w:val="00054A1C"/>
    <w:rsid w:val="00054D83"/>
    <w:rsid w:val="00054E09"/>
    <w:rsid w:val="000557CF"/>
    <w:rsid w:val="00055F14"/>
    <w:rsid w:val="000562BA"/>
    <w:rsid w:val="000566A2"/>
    <w:rsid w:val="00056735"/>
    <w:rsid w:val="000567DC"/>
    <w:rsid w:val="0006088C"/>
    <w:rsid w:val="00060FF7"/>
    <w:rsid w:val="0006397C"/>
    <w:rsid w:val="00063A7F"/>
    <w:rsid w:val="00064509"/>
    <w:rsid w:val="00064981"/>
    <w:rsid w:val="00064ACB"/>
    <w:rsid w:val="00064C31"/>
    <w:rsid w:val="00065041"/>
    <w:rsid w:val="000655C8"/>
    <w:rsid w:val="0006698A"/>
    <w:rsid w:val="00066B2E"/>
    <w:rsid w:val="00066C03"/>
    <w:rsid w:val="0006747C"/>
    <w:rsid w:val="000704EE"/>
    <w:rsid w:val="00070885"/>
    <w:rsid w:val="00070EC6"/>
    <w:rsid w:val="00072744"/>
    <w:rsid w:val="00072CD7"/>
    <w:rsid w:val="00073216"/>
    <w:rsid w:val="00073270"/>
    <w:rsid w:val="00073A04"/>
    <w:rsid w:val="00073A91"/>
    <w:rsid w:val="00073C01"/>
    <w:rsid w:val="00073DE7"/>
    <w:rsid w:val="000742AD"/>
    <w:rsid w:val="00074891"/>
    <w:rsid w:val="00075021"/>
    <w:rsid w:val="00076507"/>
    <w:rsid w:val="0007671F"/>
    <w:rsid w:val="00076C76"/>
    <w:rsid w:val="00076D4C"/>
    <w:rsid w:val="000771BF"/>
    <w:rsid w:val="0007788F"/>
    <w:rsid w:val="00077943"/>
    <w:rsid w:val="00077B98"/>
    <w:rsid w:val="00080046"/>
    <w:rsid w:val="00080E20"/>
    <w:rsid w:val="00081CCF"/>
    <w:rsid w:val="00081DEE"/>
    <w:rsid w:val="00081FD4"/>
    <w:rsid w:val="00082495"/>
    <w:rsid w:val="0008259A"/>
    <w:rsid w:val="00082E01"/>
    <w:rsid w:val="00083287"/>
    <w:rsid w:val="00083836"/>
    <w:rsid w:val="0008384B"/>
    <w:rsid w:val="00083CE4"/>
    <w:rsid w:val="00084309"/>
    <w:rsid w:val="00085055"/>
    <w:rsid w:val="0008522E"/>
    <w:rsid w:val="00085274"/>
    <w:rsid w:val="00085871"/>
    <w:rsid w:val="00085AC0"/>
    <w:rsid w:val="00085DD2"/>
    <w:rsid w:val="000864E4"/>
    <w:rsid w:val="00087055"/>
    <w:rsid w:val="000871A7"/>
    <w:rsid w:val="0008735E"/>
    <w:rsid w:val="000876DB"/>
    <w:rsid w:val="00087711"/>
    <w:rsid w:val="00087B0D"/>
    <w:rsid w:val="00087E42"/>
    <w:rsid w:val="00090137"/>
    <w:rsid w:val="00090339"/>
    <w:rsid w:val="00090474"/>
    <w:rsid w:val="00090573"/>
    <w:rsid w:val="000907F0"/>
    <w:rsid w:val="0009099E"/>
    <w:rsid w:val="0009178E"/>
    <w:rsid w:val="000924C8"/>
    <w:rsid w:val="0009265A"/>
    <w:rsid w:val="00093FBA"/>
    <w:rsid w:val="00093FEF"/>
    <w:rsid w:val="00094512"/>
    <w:rsid w:val="00095A0F"/>
    <w:rsid w:val="0009664D"/>
    <w:rsid w:val="000970A5"/>
    <w:rsid w:val="00097182"/>
    <w:rsid w:val="00097D16"/>
    <w:rsid w:val="000A0345"/>
    <w:rsid w:val="000A0841"/>
    <w:rsid w:val="000A09BB"/>
    <w:rsid w:val="000A142A"/>
    <w:rsid w:val="000A1621"/>
    <w:rsid w:val="000A17ED"/>
    <w:rsid w:val="000A1AB5"/>
    <w:rsid w:val="000A2465"/>
    <w:rsid w:val="000A2BD1"/>
    <w:rsid w:val="000A3003"/>
    <w:rsid w:val="000A35EE"/>
    <w:rsid w:val="000A37F6"/>
    <w:rsid w:val="000A43E7"/>
    <w:rsid w:val="000A46E1"/>
    <w:rsid w:val="000A51E3"/>
    <w:rsid w:val="000A5FC3"/>
    <w:rsid w:val="000A674F"/>
    <w:rsid w:val="000A6982"/>
    <w:rsid w:val="000A6EFC"/>
    <w:rsid w:val="000A6F56"/>
    <w:rsid w:val="000A70EA"/>
    <w:rsid w:val="000A747B"/>
    <w:rsid w:val="000A77E9"/>
    <w:rsid w:val="000A7DA0"/>
    <w:rsid w:val="000AABCC"/>
    <w:rsid w:val="000B02D9"/>
    <w:rsid w:val="000B04E1"/>
    <w:rsid w:val="000B118B"/>
    <w:rsid w:val="000B1E75"/>
    <w:rsid w:val="000B2052"/>
    <w:rsid w:val="000B249A"/>
    <w:rsid w:val="000B3028"/>
    <w:rsid w:val="000B3A95"/>
    <w:rsid w:val="000B3CFD"/>
    <w:rsid w:val="000B3E06"/>
    <w:rsid w:val="000B478B"/>
    <w:rsid w:val="000B4819"/>
    <w:rsid w:val="000B4A67"/>
    <w:rsid w:val="000B5D1A"/>
    <w:rsid w:val="000B5E7A"/>
    <w:rsid w:val="000B6A06"/>
    <w:rsid w:val="000B6DC5"/>
    <w:rsid w:val="000B71EC"/>
    <w:rsid w:val="000B79CF"/>
    <w:rsid w:val="000B7B34"/>
    <w:rsid w:val="000B7DDD"/>
    <w:rsid w:val="000C06FE"/>
    <w:rsid w:val="000C1091"/>
    <w:rsid w:val="000C11FB"/>
    <w:rsid w:val="000C13A2"/>
    <w:rsid w:val="000C166F"/>
    <w:rsid w:val="000C1B88"/>
    <w:rsid w:val="000C3C88"/>
    <w:rsid w:val="000C3CFC"/>
    <w:rsid w:val="000C3E81"/>
    <w:rsid w:val="000C4658"/>
    <w:rsid w:val="000C4BA5"/>
    <w:rsid w:val="000C50A7"/>
    <w:rsid w:val="000C52E7"/>
    <w:rsid w:val="000C72A7"/>
    <w:rsid w:val="000D00A9"/>
    <w:rsid w:val="000D031D"/>
    <w:rsid w:val="000D03B1"/>
    <w:rsid w:val="000D0475"/>
    <w:rsid w:val="000D04A0"/>
    <w:rsid w:val="000D0AFA"/>
    <w:rsid w:val="000D156D"/>
    <w:rsid w:val="000D17FF"/>
    <w:rsid w:val="000D1D5D"/>
    <w:rsid w:val="000D2091"/>
    <w:rsid w:val="000D226D"/>
    <w:rsid w:val="000D28CC"/>
    <w:rsid w:val="000D3638"/>
    <w:rsid w:val="000D3663"/>
    <w:rsid w:val="000D3C14"/>
    <w:rsid w:val="000D4CF6"/>
    <w:rsid w:val="000D5486"/>
    <w:rsid w:val="000D62E6"/>
    <w:rsid w:val="000D636F"/>
    <w:rsid w:val="000D6436"/>
    <w:rsid w:val="000D65C6"/>
    <w:rsid w:val="000D6AE2"/>
    <w:rsid w:val="000D72D3"/>
    <w:rsid w:val="000D76E5"/>
    <w:rsid w:val="000D77EA"/>
    <w:rsid w:val="000E0531"/>
    <w:rsid w:val="000E0AE6"/>
    <w:rsid w:val="000E11B8"/>
    <w:rsid w:val="000E1238"/>
    <w:rsid w:val="000E1749"/>
    <w:rsid w:val="000E18EF"/>
    <w:rsid w:val="000E1CB4"/>
    <w:rsid w:val="000E2425"/>
    <w:rsid w:val="000E4947"/>
    <w:rsid w:val="000E52DE"/>
    <w:rsid w:val="000E5ABD"/>
    <w:rsid w:val="000E5B38"/>
    <w:rsid w:val="000E5ED9"/>
    <w:rsid w:val="000E6632"/>
    <w:rsid w:val="000E709E"/>
    <w:rsid w:val="000E72CA"/>
    <w:rsid w:val="000E773B"/>
    <w:rsid w:val="000F1750"/>
    <w:rsid w:val="000F25FC"/>
    <w:rsid w:val="000F2D48"/>
    <w:rsid w:val="000F2E6C"/>
    <w:rsid w:val="000F3A8A"/>
    <w:rsid w:val="000F3D64"/>
    <w:rsid w:val="000F40B2"/>
    <w:rsid w:val="000F41E7"/>
    <w:rsid w:val="000F4EFF"/>
    <w:rsid w:val="000F5AE9"/>
    <w:rsid w:val="000F62AF"/>
    <w:rsid w:val="000F7096"/>
    <w:rsid w:val="000F717B"/>
    <w:rsid w:val="000F78F7"/>
    <w:rsid w:val="000F7AC1"/>
    <w:rsid w:val="001004AB"/>
    <w:rsid w:val="0010061F"/>
    <w:rsid w:val="00100731"/>
    <w:rsid w:val="00100F91"/>
    <w:rsid w:val="00101031"/>
    <w:rsid w:val="0010120A"/>
    <w:rsid w:val="00102257"/>
    <w:rsid w:val="00102C1F"/>
    <w:rsid w:val="00103742"/>
    <w:rsid w:val="00103A1C"/>
    <w:rsid w:val="00103B6F"/>
    <w:rsid w:val="00103F67"/>
    <w:rsid w:val="0010417A"/>
    <w:rsid w:val="0010461F"/>
    <w:rsid w:val="001049A4"/>
    <w:rsid w:val="001058D0"/>
    <w:rsid w:val="001071ED"/>
    <w:rsid w:val="001075E1"/>
    <w:rsid w:val="00107DA9"/>
    <w:rsid w:val="00107E79"/>
    <w:rsid w:val="001100D9"/>
    <w:rsid w:val="0011078D"/>
    <w:rsid w:val="0011097B"/>
    <w:rsid w:val="00110E05"/>
    <w:rsid w:val="0011116C"/>
    <w:rsid w:val="00111838"/>
    <w:rsid w:val="00112FF0"/>
    <w:rsid w:val="0011314B"/>
    <w:rsid w:val="00113275"/>
    <w:rsid w:val="00113782"/>
    <w:rsid w:val="0011411F"/>
    <w:rsid w:val="001145E6"/>
    <w:rsid w:val="00114695"/>
    <w:rsid w:val="001148F8"/>
    <w:rsid w:val="00114C6E"/>
    <w:rsid w:val="0011568D"/>
    <w:rsid w:val="001158B0"/>
    <w:rsid w:val="00115D35"/>
    <w:rsid w:val="00117298"/>
    <w:rsid w:val="001174F0"/>
    <w:rsid w:val="00117C1B"/>
    <w:rsid w:val="00117E7F"/>
    <w:rsid w:val="0012011F"/>
    <w:rsid w:val="00121F62"/>
    <w:rsid w:val="00124162"/>
    <w:rsid w:val="0012448D"/>
    <w:rsid w:val="00124513"/>
    <w:rsid w:val="00124557"/>
    <w:rsid w:val="00124912"/>
    <w:rsid w:val="00124A73"/>
    <w:rsid w:val="00124E04"/>
    <w:rsid w:val="00124E95"/>
    <w:rsid w:val="001253A4"/>
    <w:rsid w:val="00125AD7"/>
    <w:rsid w:val="00125EAF"/>
    <w:rsid w:val="00125F84"/>
    <w:rsid w:val="00126608"/>
    <w:rsid w:val="00127646"/>
    <w:rsid w:val="00127795"/>
    <w:rsid w:val="00127F8F"/>
    <w:rsid w:val="001305BA"/>
    <w:rsid w:val="001306DD"/>
    <w:rsid w:val="00130917"/>
    <w:rsid w:val="00130AD9"/>
    <w:rsid w:val="00130B9E"/>
    <w:rsid w:val="0013120C"/>
    <w:rsid w:val="001313B5"/>
    <w:rsid w:val="001324D0"/>
    <w:rsid w:val="00132E27"/>
    <w:rsid w:val="00132F65"/>
    <w:rsid w:val="00133293"/>
    <w:rsid w:val="001333B2"/>
    <w:rsid w:val="0013402C"/>
    <w:rsid w:val="00134EEB"/>
    <w:rsid w:val="00134F82"/>
    <w:rsid w:val="001354AC"/>
    <w:rsid w:val="0013569B"/>
    <w:rsid w:val="001357FC"/>
    <w:rsid w:val="0013598F"/>
    <w:rsid w:val="00135A66"/>
    <w:rsid w:val="00135C81"/>
    <w:rsid w:val="00135D26"/>
    <w:rsid w:val="00135F12"/>
    <w:rsid w:val="001360AE"/>
    <w:rsid w:val="0013689D"/>
    <w:rsid w:val="001369BF"/>
    <w:rsid w:val="00136EB3"/>
    <w:rsid w:val="0013700F"/>
    <w:rsid w:val="001371C3"/>
    <w:rsid w:val="00137DA5"/>
    <w:rsid w:val="00137EE1"/>
    <w:rsid w:val="001405B7"/>
    <w:rsid w:val="0014115F"/>
    <w:rsid w:val="001412BA"/>
    <w:rsid w:val="00141667"/>
    <w:rsid w:val="001419EE"/>
    <w:rsid w:val="00141ACB"/>
    <w:rsid w:val="00141B3A"/>
    <w:rsid w:val="0014203C"/>
    <w:rsid w:val="00142E01"/>
    <w:rsid w:val="001431D7"/>
    <w:rsid w:val="00143EE9"/>
    <w:rsid w:val="00143F84"/>
    <w:rsid w:val="001440AA"/>
    <w:rsid w:val="001441FB"/>
    <w:rsid w:val="0014462B"/>
    <w:rsid w:val="00144788"/>
    <w:rsid w:val="00144C1A"/>
    <w:rsid w:val="001450D2"/>
    <w:rsid w:val="001452CB"/>
    <w:rsid w:val="00146495"/>
    <w:rsid w:val="00146E8D"/>
    <w:rsid w:val="00147957"/>
    <w:rsid w:val="001500BE"/>
    <w:rsid w:val="00150684"/>
    <w:rsid w:val="00150ADE"/>
    <w:rsid w:val="00150F49"/>
    <w:rsid w:val="0015101A"/>
    <w:rsid w:val="00151078"/>
    <w:rsid w:val="00151C33"/>
    <w:rsid w:val="00152FBE"/>
    <w:rsid w:val="001538B5"/>
    <w:rsid w:val="00153F43"/>
    <w:rsid w:val="00153FE3"/>
    <w:rsid w:val="00155001"/>
    <w:rsid w:val="001551CC"/>
    <w:rsid w:val="00155276"/>
    <w:rsid w:val="001558D3"/>
    <w:rsid w:val="00155F24"/>
    <w:rsid w:val="00156C69"/>
    <w:rsid w:val="00156CB8"/>
    <w:rsid w:val="00157287"/>
    <w:rsid w:val="00157AED"/>
    <w:rsid w:val="00157FE6"/>
    <w:rsid w:val="00160347"/>
    <w:rsid w:val="00160A86"/>
    <w:rsid w:val="00160F21"/>
    <w:rsid w:val="0016143D"/>
    <w:rsid w:val="00161B03"/>
    <w:rsid w:val="00161F52"/>
    <w:rsid w:val="00162153"/>
    <w:rsid w:val="00162754"/>
    <w:rsid w:val="00162D51"/>
    <w:rsid w:val="001632B9"/>
    <w:rsid w:val="00163C18"/>
    <w:rsid w:val="001640F2"/>
    <w:rsid w:val="00164203"/>
    <w:rsid w:val="00164258"/>
    <w:rsid w:val="001646E2"/>
    <w:rsid w:val="00165606"/>
    <w:rsid w:val="00165EB1"/>
    <w:rsid w:val="00166213"/>
    <w:rsid w:val="00167109"/>
    <w:rsid w:val="0016767D"/>
    <w:rsid w:val="00167DDC"/>
    <w:rsid w:val="00170089"/>
    <w:rsid w:val="001705D8"/>
    <w:rsid w:val="00170A84"/>
    <w:rsid w:val="00170B28"/>
    <w:rsid w:val="00170C86"/>
    <w:rsid w:val="001710AD"/>
    <w:rsid w:val="00171240"/>
    <w:rsid w:val="001714DB"/>
    <w:rsid w:val="00171D49"/>
    <w:rsid w:val="00171E1B"/>
    <w:rsid w:val="00171E62"/>
    <w:rsid w:val="001724B1"/>
    <w:rsid w:val="00172575"/>
    <w:rsid w:val="00172690"/>
    <w:rsid w:val="00172D21"/>
    <w:rsid w:val="00172E1C"/>
    <w:rsid w:val="00173F8D"/>
    <w:rsid w:val="0017408E"/>
    <w:rsid w:val="00174642"/>
    <w:rsid w:val="0017469D"/>
    <w:rsid w:val="00174C9F"/>
    <w:rsid w:val="00174E38"/>
    <w:rsid w:val="00175178"/>
    <w:rsid w:val="001752C4"/>
    <w:rsid w:val="001754A5"/>
    <w:rsid w:val="00175766"/>
    <w:rsid w:val="001757D1"/>
    <w:rsid w:val="00175D15"/>
    <w:rsid w:val="00175F34"/>
    <w:rsid w:val="001762CA"/>
    <w:rsid w:val="00176884"/>
    <w:rsid w:val="00176B6F"/>
    <w:rsid w:val="00176E8A"/>
    <w:rsid w:val="00177785"/>
    <w:rsid w:val="00177BF6"/>
    <w:rsid w:val="00180804"/>
    <w:rsid w:val="001809B6"/>
    <w:rsid w:val="0018159C"/>
    <w:rsid w:val="001815B0"/>
    <w:rsid w:val="0018330D"/>
    <w:rsid w:val="00183643"/>
    <w:rsid w:val="001843B4"/>
    <w:rsid w:val="001843FB"/>
    <w:rsid w:val="00184471"/>
    <w:rsid w:val="001845F3"/>
    <w:rsid w:val="0018479B"/>
    <w:rsid w:val="00184ABE"/>
    <w:rsid w:val="00184D94"/>
    <w:rsid w:val="00184F3D"/>
    <w:rsid w:val="00185219"/>
    <w:rsid w:val="001856C0"/>
    <w:rsid w:val="001858B5"/>
    <w:rsid w:val="00185DBA"/>
    <w:rsid w:val="00185F02"/>
    <w:rsid w:val="001860F0"/>
    <w:rsid w:val="0018612A"/>
    <w:rsid w:val="0018631E"/>
    <w:rsid w:val="001869DB"/>
    <w:rsid w:val="00186ABD"/>
    <w:rsid w:val="00187341"/>
    <w:rsid w:val="001876CA"/>
    <w:rsid w:val="0019000A"/>
    <w:rsid w:val="00190AEA"/>
    <w:rsid w:val="00190C72"/>
    <w:rsid w:val="00190E69"/>
    <w:rsid w:val="001917D8"/>
    <w:rsid w:val="00191E1F"/>
    <w:rsid w:val="001923E9"/>
    <w:rsid w:val="001924F8"/>
    <w:rsid w:val="001953C8"/>
    <w:rsid w:val="001958AE"/>
    <w:rsid w:val="00195B73"/>
    <w:rsid w:val="00195EF7"/>
    <w:rsid w:val="00196072"/>
    <w:rsid w:val="00196C0B"/>
    <w:rsid w:val="00196D0D"/>
    <w:rsid w:val="00197913"/>
    <w:rsid w:val="00197F88"/>
    <w:rsid w:val="001A0014"/>
    <w:rsid w:val="001A0016"/>
    <w:rsid w:val="001A07E8"/>
    <w:rsid w:val="001A0B65"/>
    <w:rsid w:val="001A0CB3"/>
    <w:rsid w:val="001A0F38"/>
    <w:rsid w:val="001A104F"/>
    <w:rsid w:val="001A1CF2"/>
    <w:rsid w:val="001A2D7E"/>
    <w:rsid w:val="001A2F5A"/>
    <w:rsid w:val="001A38A7"/>
    <w:rsid w:val="001A4109"/>
    <w:rsid w:val="001A4540"/>
    <w:rsid w:val="001A4EEB"/>
    <w:rsid w:val="001A557D"/>
    <w:rsid w:val="001A5AA4"/>
    <w:rsid w:val="001A5BAB"/>
    <w:rsid w:val="001A5F91"/>
    <w:rsid w:val="001A627D"/>
    <w:rsid w:val="001A785E"/>
    <w:rsid w:val="001A7D63"/>
    <w:rsid w:val="001B054F"/>
    <w:rsid w:val="001B11BC"/>
    <w:rsid w:val="001B1B7F"/>
    <w:rsid w:val="001B1D74"/>
    <w:rsid w:val="001B25C9"/>
    <w:rsid w:val="001B2692"/>
    <w:rsid w:val="001B26D9"/>
    <w:rsid w:val="001B2E93"/>
    <w:rsid w:val="001B3911"/>
    <w:rsid w:val="001B3B93"/>
    <w:rsid w:val="001B3D91"/>
    <w:rsid w:val="001B3F52"/>
    <w:rsid w:val="001B4135"/>
    <w:rsid w:val="001B421A"/>
    <w:rsid w:val="001B4334"/>
    <w:rsid w:val="001B452B"/>
    <w:rsid w:val="001B45F6"/>
    <w:rsid w:val="001B4864"/>
    <w:rsid w:val="001B49C9"/>
    <w:rsid w:val="001B4B62"/>
    <w:rsid w:val="001B529F"/>
    <w:rsid w:val="001B563E"/>
    <w:rsid w:val="001B5FD7"/>
    <w:rsid w:val="001B6187"/>
    <w:rsid w:val="001B6539"/>
    <w:rsid w:val="001B6727"/>
    <w:rsid w:val="001B7633"/>
    <w:rsid w:val="001B79E4"/>
    <w:rsid w:val="001B7E36"/>
    <w:rsid w:val="001C011E"/>
    <w:rsid w:val="001C0120"/>
    <w:rsid w:val="001C064C"/>
    <w:rsid w:val="001C09BB"/>
    <w:rsid w:val="001C0D06"/>
    <w:rsid w:val="001C19DB"/>
    <w:rsid w:val="001C1FB2"/>
    <w:rsid w:val="001C24BF"/>
    <w:rsid w:val="001C278D"/>
    <w:rsid w:val="001C3523"/>
    <w:rsid w:val="001C3BD9"/>
    <w:rsid w:val="001C4242"/>
    <w:rsid w:val="001C46F7"/>
    <w:rsid w:val="001C51A0"/>
    <w:rsid w:val="001C555B"/>
    <w:rsid w:val="001C5B54"/>
    <w:rsid w:val="001C6605"/>
    <w:rsid w:val="001C7F37"/>
    <w:rsid w:val="001D0107"/>
    <w:rsid w:val="001D05C0"/>
    <w:rsid w:val="001D137C"/>
    <w:rsid w:val="001D1C2B"/>
    <w:rsid w:val="001D214F"/>
    <w:rsid w:val="001D229C"/>
    <w:rsid w:val="001D2924"/>
    <w:rsid w:val="001D29C1"/>
    <w:rsid w:val="001D334F"/>
    <w:rsid w:val="001D37A2"/>
    <w:rsid w:val="001D428D"/>
    <w:rsid w:val="001D5081"/>
    <w:rsid w:val="001D50D1"/>
    <w:rsid w:val="001D5A1C"/>
    <w:rsid w:val="001D5B3A"/>
    <w:rsid w:val="001D5CDD"/>
    <w:rsid w:val="001D69DF"/>
    <w:rsid w:val="001D6B60"/>
    <w:rsid w:val="001D76C2"/>
    <w:rsid w:val="001D7724"/>
    <w:rsid w:val="001D7AF8"/>
    <w:rsid w:val="001D7CDB"/>
    <w:rsid w:val="001E06AF"/>
    <w:rsid w:val="001E0E19"/>
    <w:rsid w:val="001E17C0"/>
    <w:rsid w:val="001E2481"/>
    <w:rsid w:val="001E325C"/>
    <w:rsid w:val="001E3480"/>
    <w:rsid w:val="001E37FD"/>
    <w:rsid w:val="001E4F4F"/>
    <w:rsid w:val="001E631B"/>
    <w:rsid w:val="001E6860"/>
    <w:rsid w:val="001E6A94"/>
    <w:rsid w:val="001E6C90"/>
    <w:rsid w:val="001E71BD"/>
    <w:rsid w:val="001E726F"/>
    <w:rsid w:val="001E7E34"/>
    <w:rsid w:val="001E7ED8"/>
    <w:rsid w:val="001F01BA"/>
    <w:rsid w:val="001F0E8D"/>
    <w:rsid w:val="001F101F"/>
    <w:rsid w:val="001F1BA1"/>
    <w:rsid w:val="001F25F4"/>
    <w:rsid w:val="001F2999"/>
    <w:rsid w:val="001F2A5E"/>
    <w:rsid w:val="001F2EB5"/>
    <w:rsid w:val="001F3209"/>
    <w:rsid w:val="001F3873"/>
    <w:rsid w:val="001F3C8C"/>
    <w:rsid w:val="001F4502"/>
    <w:rsid w:val="001F459F"/>
    <w:rsid w:val="001F4B87"/>
    <w:rsid w:val="001F569B"/>
    <w:rsid w:val="001F735E"/>
    <w:rsid w:val="001F79C0"/>
    <w:rsid w:val="002003A0"/>
    <w:rsid w:val="00200F1C"/>
    <w:rsid w:val="002012EE"/>
    <w:rsid w:val="0020178D"/>
    <w:rsid w:val="0020230F"/>
    <w:rsid w:val="0020274E"/>
    <w:rsid w:val="002033E1"/>
    <w:rsid w:val="00205A37"/>
    <w:rsid w:val="00205C39"/>
    <w:rsid w:val="00205C3E"/>
    <w:rsid w:val="00206142"/>
    <w:rsid w:val="00206461"/>
    <w:rsid w:val="00206E3C"/>
    <w:rsid w:val="00207178"/>
    <w:rsid w:val="00207222"/>
    <w:rsid w:val="00207CEB"/>
    <w:rsid w:val="00210509"/>
    <w:rsid w:val="002106C2"/>
    <w:rsid w:val="00210C00"/>
    <w:rsid w:val="00210F56"/>
    <w:rsid w:val="002114D2"/>
    <w:rsid w:val="00211BF4"/>
    <w:rsid w:val="002120B7"/>
    <w:rsid w:val="0021245A"/>
    <w:rsid w:val="002124E5"/>
    <w:rsid w:val="00213BF2"/>
    <w:rsid w:val="00214199"/>
    <w:rsid w:val="0021448C"/>
    <w:rsid w:val="002148AA"/>
    <w:rsid w:val="00215314"/>
    <w:rsid w:val="002153C0"/>
    <w:rsid w:val="002159A7"/>
    <w:rsid w:val="002163F9"/>
    <w:rsid w:val="002166D3"/>
    <w:rsid w:val="002169EF"/>
    <w:rsid w:val="00216B4E"/>
    <w:rsid w:val="00216C3B"/>
    <w:rsid w:val="00216F0A"/>
    <w:rsid w:val="00217637"/>
    <w:rsid w:val="0021791D"/>
    <w:rsid w:val="002179EC"/>
    <w:rsid w:val="00217C19"/>
    <w:rsid w:val="00217EE4"/>
    <w:rsid w:val="0022001F"/>
    <w:rsid w:val="00220424"/>
    <w:rsid w:val="00220440"/>
    <w:rsid w:val="00220505"/>
    <w:rsid w:val="002213B9"/>
    <w:rsid w:val="002217FB"/>
    <w:rsid w:val="00221D60"/>
    <w:rsid w:val="002223C1"/>
    <w:rsid w:val="00222DA3"/>
    <w:rsid w:val="00222E5E"/>
    <w:rsid w:val="00222F1E"/>
    <w:rsid w:val="00222F9A"/>
    <w:rsid w:val="00223EC8"/>
    <w:rsid w:val="002247C0"/>
    <w:rsid w:val="00224C72"/>
    <w:rsid w:val="00224F0C"/>
    <w:rsid w:val="00225D3D"/>
    <w:rsid w:val="00226926"/>
    <w:rsid w:val="00226A3A"/>
    <w:rsid w:val="00226B75"/>
    <w:rsid w:val="00227869"/>
    <w:rsid w:val="00227E18"/>
    <w:rsid w:val="002300CC"/>
    <w:rsid w:val="002305CC"/>
    <w:rsid w:val="002308E2"/>
    <w:rsid w:val="00230DB5"/>
    <w:rsid w:val="00230F5D"/>
    <w:rsid w:val="00231206"/>
    <w:rsid w:val="002320F3"/>
    <w:rsid w:val="0023212E"/>
    <w:rsid w:val="00232D24"/>
    <w:rsid w:val="00232D2B"/>
    <w:rsid w:val="00232F10"/>
    <w:rsid w:val="002331D0"/>
    <w:rsid w:val="0023326C"/>
    <w:rsid w:val="002333AB"/>
    <w:rsid w:val="002339FA"/>
    <w:rsid w:val="00234458"/>
    <w:rsid w:val="002352A4"/>
    <w:rsid w:val="002364F5"/>
    <w:rsid w:val="00236799"/>
    <w:rsid w:val="00236F9F"/>
    <w:rsid w:val="00237324"/>
    <w:rsid w:val="002377F0"/>
    <w:rsid w:val="00241054"/>
    <w:rsid w:val="00242235"/>
    <w:rsid w:val="00242485"/>
    <w:rsid w:val="002426BC"/>
    <w:rsid w:val="00242B32"/>
    <w:rsid w:val="00242EAB"/>
    <w:rsid w:val="00244CFD"/>
    <w:rsid w:val="00245374"/>
    <w:rsid w:val="002453BB"/>
    <w:rsid w:val="00245663"/>
    <w:rsid w:val="00246196"/>
    <w:rsid w:val="00246326"/>
    <w:rsid w:val="002477A5"/>
    <w:rsid w:val="00250259"/>
    <w:rsid w:val="00250C6F"/>
    <w:rsid w:val="00250D78"/>
    <w:rsid w:val="00251991"/>
    <w:rsid w:val="00252A4D"/>
    <w:rsid w:val="00252E90"/>
    <w:rsid w:val="0025305C"/>
    <w:rsid w:val="00253121"/>
    <w:rsid w:val="002539CD"/>
    <w:rsid w:val="00253D05"/>
    <w:rsid w:val="00253FDA"/>
    <w:rsid w:val="00254B09"/>
    <w:rsid w:val="00255316"/>
    <w:rsid w:val="00255F5A"/>
    <w:rsid w:val="002570BD"/>
    <w:rsid w:val="002576C0"/>
    <w:rsid w:val="00257BA3"/>
    <w:rsid w:val="00257E17"/>
    <w:rsid w:val="00260A17"/>
    <w:rsid w:val="00260C16"/>
    <w:rsid w:val="002622AA"/>
    <w:rsid w:val="00263FC5"/>
    <w:rsid w:val="002640B7"/>
    <w:rsid w:val="0026429C"/>
    <w:rsid w:val="0026439B"/>
    <w:rsid w:val="00264516"/>
    <w:rsid w:val="002648B1"/>
    <w:rsid w:val="00264997"/>
    <w:rsid w:val="00264EA5"/>
    <w:rsid w:val="00264ECD"/>
    <w:rsid w:val="00265CF6"/>
    <w:rsid w:val="00265D03"/>
    <w:rsid w:val="00265D7E"/>
    <w:rsid w:val="00266867"/>
    <w:rsid w:val="00266C4D"/>
    <w:rsid w:val="002670FE"/>
    <w:rsid w:val="002673E2"/>
    <w:rsid w:val="00267624"/>
    <w:rsid w:val="00267A6C"/>
    <w:rsid w:val="00267D4B"/>
    <w:rsid w:val="002702DF"/>
    <w:rsid w:val="00270769"/>
    <w:rsid w:val="00270887"/>
    <w:rsid w:val="00270901"/>
    <w:rsid w:val="00270AA1"/>
    <w:rsid w:val="00270E01"/>
    <w:rsid w:val="00270E35"/>
    <w:rsid w:val="00270E8A"/>
    <w:rsid w:val="0027136C"/>
    <w:rsid w:val="00271FB8"/>
    <w:rsid w:val="002721EA"/>
    <w:rsid w:val="0027246C"/>
    <w:rsid w:val="002726F7"/>
    <w:rsid w:val="00272B79"/>
    <w:rsid w:val="00273CDC"/>
    <w:rsid w:val="00274630"/>
    <w:rsid w:val="00275453"/>
    <w:rsid w:val="00275479"/>
    <w:rsid w:val="002757F8"/>
    <w:rsid w:val="00275F33"/>
    <w:rsid w:val="002760D5"/>
    <w:rsid w:val="002761AB"/>
    <w:rsid w:val="00276264"/>
    <w:rsid w:val="002766E8"/>
    <w:rsid w:val="0027690C"/>
    <w:rsid w:val="00276996"/>
    <w:rsid w:val="00277170"/>
    <w:rsid w:val="00277A31"/>
    <w:rsid w:val="002802FD"/>
    <w:rsid w:val="00281550"/>
    <w:rsid w:val="00281E18"/>
    <w:rsid w:val="00283602"/>
    <w:rsid w:val="00283A5D"/>
    <w:rsid w:val="00283C02"/>
    <w:rsid w:val="00284150"/>
    <w:rsid w:val="00284B4C"/>
    <w:rsid w:val="00284DE0"/>
    <w:rsid w:val="00285556"/>
    <w:rsid w:val="00285924"/>
    <w:rsid w:val="0028645E"/>
    <w:rsid w:val="002865F2"/>
    <w:rsid w:val="0028688D"/>
    <w:rsid w:val="002868B0"/>
    <w:rsid w:val="00286D1D"/>
    <w:rsid w:val="0028780E"/>
    <w:rsid w:val="00287996"/>
    <w:rsid w:val="00287DB8"/>
    <w:rsid w:val="002904C3"/>
    <w:rsid w:val="0029069D"/>
    <w:rsid w:val="002907FD"/>
    <w:rsid w:val="00291082"/>
    <w:rsid w:val="0029153E"/>
    <w:rsid w:val="00291608"/>
    <w:rsid w:val="00292253"/>
    <w:rsid w:val="002922C5"/>
    <w:rsid w:val="002923D5"/>
    <w:rsid w:val="0029241E"/>
    <w:rsid w:val="00292556"/>
    <w:rsid w:val="00292785"/>
    <w:rsid w:val="002929B1"/>
    <w:rsid w:val="00292D6E"/>
    <w:rsid w:val="00293F71"/>
    <w:rsid w:val="0029438C"/>
    <w:rsid w:val="002943B0"/>
    <w:rsid w:val="0029499F"/>
    <w:rsid w:val="002950C7"/>
    <w:rsid w:val="002952EF"/>
    <w:rsid w:val="00295561"/>
    <w:rsid w:val="00295C23"/>
    <w:rsid w:val="00295F8F"/>
    <w:rsid w:val="002A0032"/>
    <w:rsid w:val="002A010B"/>
    <w:rsid w:val="002A0764"/>
    <w:rsid w:val="002A0E04"/>
    <w:rsid w:val="002A11D7"/>
    <w:rsid w:val="002A129C"/>
    <w:rsid w:val="002A1322"/>
    <w:rsid w:val="002A245E"/>
    <w:rsid w:val="002A259E"/>
    <w:rsid w:val="002A264F"/>
    <w:rsid w:val="002A296C"/>
    <w:rsid w:val="002A2C59"/>
    <w:rsid w:val="002A2D01"/>
    <w:rsid w:val="002A30F5"/>
    <w:rsid w:val="002A38A4"/>
    <w:rsid w:val="002A38DF"/>
    <w:rsid w:val="002A3A18"/>
    <w:rsid w:val="002A47FB"/>
    <w:rsid w:val="002A4FDA"/>
    <w:rsid w:val="002A531F"/>
    <w:rsid w:val="002A6002"/>
    <w:rsid w:val="002A6AB5"/>
    <w:rsid w:val="002B0651"/>
    <w:rsid w:val="002B06BF"/>
    <w:rsid w:val="002B0B23"/>
    <w:rsid w:val="002B112D"/>
    <w:rsid w:val="002B11EF"/>
    <w:rsid w:val="002B1325"/>
    <w:rsid w:val="002B147D"/>
    <w:rsid w:val="002B16FB"/>
    <w:rsid w:val="002B1EB5"/>
    <w:rsid w:val="002B2A1F"/>
    <w:rsid w:val="002B3A79"/>
    <w:rsid w:val="002B3C54"/>
    <w:rsid w:val="002B3CB6"/>
    <w:rsid w:val="002B422F"/>
    <w:rsid w:val="002B4255"/>
    <w:rsid w:val="002B42D9"/>
    <w:rsid w:val="002B42DF"/>
    <w:rsid w:val="002B43E9"/>
    <w:rsid w:val="002B49E3"/>
    <w:rsid w:val="002B4FBA"/>
    <w:rsid w:val="002B591C"/>
    <w:rsid w:val="002B62CC"/>
    <w:rsid w:val="002B63A5"/>
    <w:rsid w:val="002B6DDE"/>
    <w:rsid w:val="002B7058"/>
    <w:rsid w:val="002B7308"/>
    <w:rsid w:val="002B7607"/>
    <w:rsid w:val="002B7EDB"/>
    <w:rsid w:val="002BCE0D"/>
    <w:rsid w:val="002C09E7"/>
    <w:rsid w:val="002C1066"/>
    <w:rsid w:val="002C147B"/>
    <w:rsid w:val="002C1745"/>
    <w:rsid w:val="002C198A"/>
    <w:rsid w:val="002C1E09"/>
    <w:rsid w:val="002C20DD"/>
    <w:rsid w:val="002C229A"/>
    <w:rsid w:val="002C254C"/>
    <w:rsid w:val="002C2662"/>
    <w:rsid w:val="002C3597"/>
    <w:rsid w:val="002C3B7D"/>
    <w:rsid w:val="002C4D1E"/>
    <w:rsid w:val="002C4DD6"/>
    <w:rsid w:val="002C5858"/>
    <w:rsid w:val="002C5C99"/>
    <w:rsid w:val="002C6F43"/>
    <w:rsid w:val="002C78B2"/>
    <w:rsid w:val="002D0709"/>
    <w:rsid w:val="002D11E8"/>
    <w:rsid w:val="002D1403"/>
    <w:rsid w:val="002D170B"/>
    <w:rsid w:val="002D1C82"/>
    <w:rsid w:val="002D1F5B"/>
    <w:rsid w:val="002D2281"/>
    <w:rsid w:val="002D2D7E"/>
    <w:rsid w:val="002D3D81"/>
    <w:rsid w:val="002D48A2"/>
    <w:rsid w:val="002D49B9"/>
    <w:rsid w:val="002D5B3B"/>
    <w:rsid w:val="002D5DAB"/>
    <w:rsid w:val="002D602A"/>
    <w:rsid w:val="002D6C16"/>
    <w:rsid w:val="002D6C7F"/>
    <w:rsid w:val="002D6D8A"/>
    <w:rsid w:val="002D70E7"/>
    <w:rsid w:val="002D721A"/>
    <w:rsid w:val="002D7EAD"/>
    <w:rsid w:val="002D7FCA"/>
    <w:rsid w:val="002E062C"/>
    <w:rsid w:val="002E07AD"/>
    <w:rsid w:val="002E0B98"/>
    <w:rsid w:val="002E0DE2"/>
    <w:rsid w:val="002E21DF"/>
    <w:rsid w:val="002E2C83"/>
    <w:rsid w:val="002E2F3D"/>
    <w:rsid w:val="002E3191"/>
    <w:rsid w:val="002E321E"/>
    <w:rsid w:val="002E3AC1"/>
    <w:rsid w:val="002E3B27"/>
    <w:rsid w:val="002E3CB5"/>
    <w:rsid w:val="002E43F0"/>
    <w:rsid w:val="002E493E"/>
    <w:rsid w:val="002E5A51"/>
    <w:rsid w:val="002E6C9C"/>
    <w:rsid w:val="002E6DFB"/>
    <w:rsid w:val="002E77F0"/>
    <w:rsid w:val="002E7999"/>
    <w:rsid w:val="002E7CB9"/>
    <w:rsid w:val="002E7D86"/>
    <w:rsid w:val="002F0028"/>
    <w:rsid w:val="002F0A03"/>
    <w:rsid w:val="002F1A44"/>
    <w:rsid w:val="002F1D00"/>
    <w:rsid w:val="002F217C"/>
    <w:rsid w:val="002F227A"/>
    <w:rsid w:val="002F2B57"/>
    <w:rsid w:val="002F3748"/>
    <w:rsid w:val="002F3BBD"/>
    <w:rsid w:val="002F4043"/>
    <w:rsid w:val="002F42B4"/>
    <w:rsid w:val="002F4955"/>
    <w:rsid w:val="002F4DD9"/>
    <w:rsid w:val="002F5419"/>
    <w:rsid w:val="002F5C5E"/>
    <w:rsid w:val="002F5C8B"/>
    <w:rsid w:val="002F6045"/>
    <w:rsid w:val="002F6856"/>
    <w:rsid w:val="00300C97"/>
    <w:rsid w:val="00301058"/>
    <w:rsid w:val="00301119"/>
    <w:rsid w:val="0030187B"/>
    <w:rsid w:val="00301C7E"/>
    <w:rsid w:val="00302018"/>
    <w:rsid w:val="003028CB"/>
    <w:rsid w:val="00302B34"/>
    <w:rsid w:val="00303319"/>
    <w:rsid w:val="003036D9"/>
    <w:rsid w:val="00303709"/>
    <w:rsid w:val="0030371D"/>
    <w:rsid w:val="003064E1"/>
    <w:rsid w:val="00307E11"/>
    <w:rsid w:val="003100DD"/>
    <w:rsid w:val="00310138"/>
    <w:rsid w:val="00311293"/>
    <w:rsid w:val="00311571"/>
    <w:rsid w:val="003120B6"/>
    <w:rsid w:val="0031297D"/>
    <w:rsid w:val="00313035"/>
    <w:rsid w:val="00313958"/>
    <w:rsid w:val="003146FC"/>
    <w:rsid w:val="00314B2A"/>
    <w:rsid w:val="00315E9B"/>
    <w:rsid w:val="00316579"/>
    <w:rsid w:val="0031677F"/>
    <w:rsid w:val="0031707A"/>
    <w:rsid w:val="0031779A"/>
    <w:rsid w:val="003178D6"/>
    <w:rsid w:val="00317A14"/>
    <w:rsid w:val="00322844"/>
    <w:rsid w:val="003228AA"/>
    <w:rsid w:val="00323DBD"/>
    <w:rsid w:val="00324A1E"/>
    <w:rsid w:val="00325A03"/>
    <w:rsid w:val="00325C23"/>
    <w:rsid w:val="00325EE5"/>
    <w:rsid w:val="0032673F"/>
    <w:rsid w:val="00326A10"/>
    <w:rsid w:val="00326EAE"/>
    <w:rsid w:val="00327064"/>
    <w:rsid w:val="00327649"/>
    <w:rsid w:val="0032794F"/>
    <w:rsid w:val="00327E78"/>
    <w:rsid w:val="0033039B"/>
    <w:rsid w:val="003310E1"/>
    <w:rsid w:val="00331115"/>
    <w:rsid w:val="003317D6"/>
    <w:rsid w:val="003327B0"/>
    <w:rsid w:val="0033291A"/>
    <w:rsid w:val="0033461D"/>
    <w:rsid w:val="00335DC5"/>
    <w:rsid w:val="003362CE"/>
    <w:rsid w:val="00337A4E"/>
    <w:rsid w:val="00337E7A"/>
    <w:rsid w:val="0034013B"/>
    <w:rsid w:val="003403CD"/>
    <w:rsid w:val="0034065A"/>
    <w:rsid w:val="00340FDE"/>
    <w:rsid w:val="003410A4"/>
    <w:rsid w:val="0034147B"/>
    <w:rsid w:val="003415D8"/>
    <w:rsid w:val="00341C9C"/>
    <w:rsid w:val="00342368"/>
    <w:rsid w:val="0034273D"/>
    <w:rsid w:val="00342F59"/>
    <w:rsid w:val="00343546"/>
    <w:rsid w:val="00343BA4"/>
    <w:rsid w:val="0034470D"/>
    <w:rsid w:val="00344E96"/>
    <w:rsid w:val="00344FC6"/>
    <w:rsid w:val="003452BA"/>
    <w:rsid w:val="003454BC"/>
    <w:rsid w:val="00346292"/>
    <w:rsid w:val="003465FC"/>
    <w:rsid w:val="0034668D"/>
    <w:rsid w:val="003466F5"/>
    <w:rsid w:val="00346702"/>
    <w:rsid w:val="00346837"/>
    <w:rsid w:val="00346E6A"/>
    <w:rsid w:val="0034709A"/>
    <w:rsid w:val="003475E9"/>
    <w:rsid w:val="00347645"/>
    <w:rsid w:val="00347BD1"/>
    <w:rsid w:val="003504D4"/>
    <w:rsid w:val="0035081C"/>
    <w:rsid w:val="0035082A"/>
    <w:rsid w:val="00350B08"/>
    <w:rsid w:val="00351255"/>
    <w:rsid w:val="00351A44"/>
    <w:rsid w:val="00352002"/>
    <w:rsid w:val="003520D2"/>
    <w:rsid w:val="0035235B"/>
    <w:rsid w:val="00352551"/>
    <w:rsid w:val="00352C2D"/>
    <w:rsid w:val="00352D35"/>
    <w:rsid w:val="00352F48"/>
    <w:rsid w:val="003531EA"/>
    <w:rsid w:val="0035335C"/>
    <w:rsid w:val="00353951"/>
    <w:rsid w:val="00353955"/>
    <w:rsid w:val="00353C2E"/>
    <w:rsid w:val="003551D3"/>
    <w:rsid w:val="0035530B"/>
    <w:rsid w:val="00355946"/>
    <w:rsid w:val="00355E28"/>
    <w:rsid w:val="00356608"/>
    <w:rsid w:val="00356B9A"/>
    <w:rsid w:val="003575D6"/>
    <w:rsid w:val="0035766F"/>
    <w:rsid w:val="00357EED"/>
    <w:rsid w:val="00357F04"/>
    <w:rsid w:val="00360317"/>
    <w:rsid w:val="003606A5"/>
    <w:rsid w:val="003609B0"/>
    <w:rsid w:val="00360C6E"/>
    <w:rsid w:val="003611A2"/>
    <w:rsid w:val="003619E2"/>
    <w:rsid w:val="00361D2A"/>
    <w:rsid w:val="00361DD8"/>
    <w:rsid w:val="0036229B"/>
    <w:rsid w:val="00362401"/>
    <w:rsid w:val="0036256A"/>
    <w:rsid w:val="003632CD"/>
    <w:rsid w:val="00363634"/>
    <w:rsid w:val="00363A8A"/>
    <w:rsid w:val="003641E5"/>
    <w:rsid w:val="00365BE0"/>
    <w:rsid w:val="00365EEC"/>
    <w:rsid w:val="00366068"/>
    <w:rsid w:val="00366830"/>
    <w:rsid w:val="00366B46"/>
    <w:rsid w:val="00366D6D"/>
    <w:rsid w:val="003676A9"/>
    <w:rsid w:val="003677E1"/>
    <w:rsid w:val="00367EE2"/>
    <w:rsid w:val="003703B4"/>
    <w:rsid w:val="0037042A"/>
    <w:rsid w:val="003725BA"/>
    <w:rsid w:val="0037278E"/>
    <w:rsid w:val="00372EA2"/>
    <w:rsid w:val="003732A7"/>
    <w:rsid w:val="00373C7F"/>
    <w:rsid w:val="00374363"/>
    <w:rsid w:val="00374783"/>
    <w:rsid w:val="0037504E"/>
    <w:rsid w:val="0037548C"/>
    <w:rsid w:val="00375AF6"/>
    <w:rsid w:val="00375DFE"/>
    <w:rsid w:val="00376884"/>
    <w:rsid w:val="00376BDA"/>
    <w:rsid w:val="00376CA3"/>
    <w:rsid w:val="003773CA"/>
    <w:rsid w:val="00377759"/>
    <w:rsid w:val="00380321"/>
    <w:rsid w:val="00380C0C"/>
    <w:rsid w:val="00380CA8"/>
    <w:rsid w:val="00381207"/>
    <w:rsid w:val="00381723"/>
    <w:rsid w:val="0038207E"/>
    <w:rsid w:val="0038244A"/>
    <w:rsid w:val="00382510"/>
    <w:rsid w:val="003829CB"/>
    <w:rsid w:val="0038332C"/>
    <w:rsid w:val="00384ACE"/>
    <w:rsid w:val="003851E5"/>
    <w:rsid w:val="003852C0"/>
    <w:rsid w:val="00385501"/>
    <w:rsid w:val="003857C2"/>
    <w:rsid w:val="00385AFF"/>
    <w:rsid w:val="00385F69"/>
    <w:rsid w:val="00386814"/>
    <w:rsid w:val="00386E8A"/>
    <w:rsid w:val="003870E2"/>
    <w:rsid w:val="0038725F"/>
    <w:rsid w:val="003872E3"/>
    <w:rsid w:val="00387441"/>
    <w:rsid w:val="003877D0"/>
    <w:rsid w:val="00387E07"/>
    <w:rsid w:val="00390103"/>
    <w:rsid w:val="00390C90"/>
    <w:rsid w:val="003919A5"/>
    <w:rsid w:val="00391B34"/>
    <w:rsid w:val="003925C7"/>
    <w:rsid w:val="00392DD6"/>
    <w:rsid w:val="003934B2"/>
    <w:rsid w:val="0039356E"/>
    <w:rsid w:val="003936A0"/>
    <w:rsid w:val="003938AB"/>
    <w:rsid w:val="00393B7A"/>
    <w:rsid w:val="00396D27"/>
    <w:rsid w:val="00396F47"/>
    <w:rsid w:val="0039712B"/>
    <w:rsid w:val="00397A91"/>
    <w:rsid w:val="003A06C6"/>
    <w:rsid w:val="003A10D7"/>
    <w:rsid w:val="003A16E2"/>
    <w:rsid w:val="003A1CC8"/>
    <w:rsid w:val="003A223D"/>
    <w:rsid w:val="003A27E3"/>
    <w:rsid w:val="003A363D"/>
    <w:rsid w:val="003A3800"/>
    <w:rsid w:val="003A39E0"/>
    <w:rsid w:val="003A3BEF"/>
    <w:rsid w:val="003A41C7"/>
    <w:rsid w:val="003A4470"/>
    <w:rsid w:val="003A50DA"/>
    <w:rsid w:val="003A523D"/>
    <w:rsid w:val="003A6569"/>
    <w:rsid w:val="003A66D5"/>
    <w:rsid w:val="003A707B"/>
    <w:rsid w:val="003A7B4C"/>
    <w:rsid w:val="003B0302"/>
    <w:rsid w:val="003B0AE6"/>
    <w:rsid w:val="003B140A"/>
    <w:rsid w:val="003B168C"/>
    <w:rsid w:val="003B2AEE"/>
    <w:rsid w:val="003B31DE"/>
    <w:rsid w:val="003B33BA"/>
    <w:rsid w:val="003B358F"/>
    <w:rsid w:val="003B4196"/>
    <w:rsid w:val="003B4A90"/>
    <w:rsid w:val="003B4E0E"/>
    <w:rsid w:val="003B50FF"/>
    <w:rsid w:val="003B532B"/>
    <w:rsid w:val="003B5664"/>
    <w:rsid w:val="003B5F7F"/>
    <w:rsid w:val="003B68F0"/>
    <w:rsid w:val="003B6B27"/>
    <w:rsid w:val="003B7828"/>
    <w:rsid w:val="003B7A2C"/>
    <w:rsid w:val="003B7ECA"/>
    <w:rsid w:val="003C0E2C"/>
    <w:rsid w:val="003C0EAA"/>
    <w:rsid w:val="003C1EBF"/>
    <w:rsid w:val="003C2A8E"/>
    <w:rsid w:val="003C2E7B"/>
    <w:rsid w:val="003C332F"/>
    <w:rsid w:val="003C3363"/>
    <w:rsid w:val="003C3963"/>
    <w:rsid w:val="003C3D47"/>
    <w:rsid w:val="003C5D98"/>
    <w:rsid w:val="003C6352"/>
    <w:rsid w:val="003C6596"/>
    <w:rsid w:val="003C6792"/>
    <w:rsid w:val="003C699A"/>
    <w:rsid w:val="003C6C14"/>
    <w:rsid w:val="003C7420"/>
    <w:rsid w:val="003C7502"/>
    <w:rsid w:val="003C7695"/>
    <w:rsid w:val="003C7D6F"/>
    <w:rsid w:val="003C7E98"/>
    <w:rsid w:val="003C7F52"/>
    <w:rsid w:val="003D03B7"/>
    <w:rsid w:val="003D0B61"/>
    <w:rsid w:val="003D0F94"/>
    <w:rsid w:val="003D15D7"/>
    <w:rsid w:val="003D165B"/>
    <w:rsid w:val="003D171F"/>
    <w:rsid w:val="003D3216"/>
    <w:rsid w:val="003D3A1D"/>
    <w:rsid w:val="003D4600"/>
    <w:rsid w:val="003D4ADD"/>
    <w:rsid w:val="003D5BA9"/>
    <w:rsid w:val="003D5F26"/>
    <w:rsid w:val="003D69A2"/>
    <w:rsid w:val="003D6CFF"/>
    <w:rsid w:val="003D7614"/>
    <w:rsid w:val="003D7A45"/>
    <w:rsid w:val="003D7BDE"/>
    <w:rsid w:val="003E1531"/>
    <w:rsid w:val="003E1565"/>
    <w:rsid w:val="003E2BBE"/>
    <w:rsid w:val="003E2C2E"/>
    <w:rsid w:val="003E309F"/>
    <w:rsid w:val="003E3E93"/>
    <w:rsid w:val="003E50A2"/>
    <w:rsid w:val="003E5729"/>
    <w:rsid w:val="003E5B22"/>
    <w:rsid w:val="003E63E7"/>
    <w:rsid w:val="003E681A"/>
    <w:rsid w:val="003E6986"/>
    <w:rsid w:val="003E6D0B"/>
    <w:rsid w:val="003E7AFA"/>
    <w:rsid w:val="003F018A"/>
    <w:rsid w:val="003F09FE"/>
    <w:rsid w:val="003F0AD4"/>
    <w:rsid w:val="003F1084"/>
    <w:rsid w:val="003F227F"/>
    <w:rsid w:val="003F55DD"/>
    <w:rsid w:val="003F5A23"/>
    <w:rsid w:val="003F5C2A"/>
    <w:rsid w:val="003F6DC1"/>
    <w:rsid w:val="0040098B"/>
    <w:rsid w:val="00400C4F"/>
    <w:rsid w:val="00400D26"/>
    <w:rsid w:val="00400E66"/>
    <w:rsid w:val="00401CB7"/>
    <w:rsid w:val="00401EDF"/>
    <w:rsid w:val="0040257C"/>
    <w:rsid w:val="00402B2D"/>
    <w:rsid w:val="00404343"/>
    <w:rsid w:val="00404B3C"/>
    <w:rsid w:val="00404DBD"/>
    <w:rsid w:val="00405094"/>
    <w:rsid w:val="004059BE"/>
    <w:rsid w:val="00405F79"/>
    <w:rsid w:val="00406A21"/>
    <w:rsid w:val="00407735"/>
    <w:rsid w:val="0041003A"/>
    <w:rsid w:val="00410158"/>
    <w:rsid w:val="00410B13"/>
    <w:rsid w:val="00410E3F"/>
    <w:rsid w:val="0041106F"/>
    <w:rsid w:val="004113A1"/>
    <w:rsid w:val="004114B6"/>
    <w:rsid w:val="004121FD"/>
    <w:rsid w:val="00413149"/>
    <w:rsid w:val="00413684"/>
    <w:rsid w:val="00413A55"/>
    <w:rsid w:val="0041446A"/>
    <w:rsid w:val="0041454B"/>
    <w:rsid w:val="00414A00"/>
    <w:rsid w:val="00414A09"/>
    <w:rsid w:val="00414CD8"/>
    <w:rsid w:val="00414D66"/>
    <w:rsid w:val="00415007"/>
    <w:rsid w:val="00416251"/>
    <w:rsid w:val="00416808"/>
    <w:rsid w:val="00416A0A"/>
    <w:rsid w:val="00416AA0"/>
    <w:rsid w:val="00417068"/>
    <w:rsid w:val="004170FD"/>
    <w:rsid w:val="0041768B"/>
    <w:rsid w:val="004176CB"/>
    <w:rsid w:val="00417F3E"/>
    <w:rsid w:val="0042032B"/>
    <w:rsid w:val="00420699"/>
    <w:rsid w:val="00420BA6"/>
    <w:rsid w:val="00421066"/>
    <w:rsid w:val="004211E0"/>
    <w:rsid w:val="00421DDC"/>
    <w:rsid w:val="00421F81"/>
    <w:rsid w:val="0042244C"/>
    <w:rsid w:val="00422F91"/>
    <w:rsid w:val="0042337B"/>
    <w:rsid w:val="0042338F"/>
    <w:rsid w:val="00424B2B"/>
    <w:rsid w:val="00424B7B"/>
    <w:rsid w:val="00424BE1"/>
    <w:rsid w:val="00425C48"/>
    <w:rsid w:val="00426DEC"/>
    <w:rsid w:val="00427AE8"/>
    <w:rsid w:val="0043039C"/>
    <w:rsid w:val="004308FF"/>
    <w:rsid w:val="00430FFC"/>
    <w:rsid w:val="004311A7"/>
    <w:rsid w:val="004319F1"/>
    <w:rsid w:val="00431E35"/>
    <w:rsid w:val="0043225F"/>
    <w:rsid w:val="0043262F"/>
    <w:rsid w:val="00432711"/>
    <w:rsid w:val="00432B57"/>
    <w:rsid w:val="0043348E"/>
    <w:rsid w:val="00434209"/>
    <w:rsid w:val="00434555"/>
    <w:rsid w:val="00434A1E"/>
    <w:rsid w:val="00435B08"/>
    <w:rsid w:val="00436112"/>
    <w:rsid w:val="004363B9"/>
    <w:rsid w:val="00436431"/>
    <w:rsid w:val="00436E74"/>
    <w:rsid w:val="004371AB"/>
    <w:rsid w:val="00437F08"/>
    <w:rsid w:val="004400BC"/>
    <w:rsid w:val="00440405"/>
    <w:rsid w:val="004405C6"/>
    <w:rsid w:val="00440923"/>
    <w:rsid w:val="00440E79"/>
    <w:rsid w:val="00441D88"/>
    <w:rsid w:val="00441F2E"/>
    <w:rsid w:val="004420D9"/>
    <w:rsid w:val="00442440"/>
    <w:rsid w:val="00442969"/>
    <w:rsid w:val="004429C4"/>
    <w:rsid w:val="00443058"/>
    <w:rsid w:val="00443303"/>
    <w:rsid w:val="00443A5D"/>
    <w:rsid w:val="004441C6"/>
    <w:rsid w:val="004457E3"/>
    <w:rsid w:val="00445A2E"/>
    <w:rsid w:val="00445C36"/>
    <w:rsid w:val="00446415"/>
    <w:rsid w:val="00446B62"/>
    <w:rsid w:val="00447173"/>
    <w:rsid w:val="00447181"/>
    <w:rsid w:val="00447671"/>
    <w:rsid w:val="004476D0"/>
    <w:rsid w:val="00447B5E"/>
    <w:rsid w:val="00447DBA"/>
    <w:rsid w:val="00447EBE"/>
    <w:rsid w:val="0045054C"/>
    <w:rsid w:val="00450AAB"/>
    <w:rsid w:val="00451089"/>
    <w:rsid w:val="00451480"/>
    <w:rsid w:val="00451FDC"/>
    <w:rsid w:val="0045230B"/>
    <w:rsid w:val="00452E73"/>
    <w:rsid w:val="00453A8F"/>
    <w:rsid w:val="004542E3"/>
    <w:rsid w:val="00454887"/>
    <w:rsid w:val="0045556E"/>
    <w:rsid w:val="00456554"/>
    <w:rsid w:val="004567FA"/>
    <w:rsid w:val="00456F23"/>
    <w:rsid w:val="004574D7"/>
    <w:rsid w:val="004578CE"/>
    <w:rsid w:val="0045798B"/>
    <w:rsid w:val="004579DD"/>
    <w:rsid w:val="00457BBC"/>
    <w:rsid w:val="00457F44"/>
    <w:rsid w:val="004606BC"/>
    <w:rsid w:val="00460EC6"/>
    <w:rsid w:val="00460F89"/>
    <w:rsid w:val="00461275"/>
    <w:rsid w:val="004614DF"/>
    <w:rsid w:val="004623E5"/>
    <w:rsid w:val="004635C8"/>
    <w:rsid w:val="0046483F"/>
    <w:rsid w:val="00464DB3"/>
    <w:rsid w:val="00465231"/>
    <w:rsid w:val="00465F22"/>
    <w:rsid w:val="00466D30"/>
    <w:rsid w:val="00466D91"/>
    <w:rsid w:val="00466E43"/>
    <w:rsid w:val="00466FF1"/>
    <w:rsid w:val="00467D4F"/>
    <w:rsid w:val="00467D7A"/>
    <w:rsid w:val="00467DF1"/>
    <w:rsid w:val="00467E58"/>
    <w:rsid w:val="004700F3"/>
    <w:rsid w:val="0047110B"/>
    <w:rsid w:val="004714E7"/>
    <w:rsid w:val="00471B67"/>
    <w:rsid w:val="0047219B"/>
    <w:rsid w:val="00472C43"/>
    <w:rsid w:val="00472C4C"/>
    <w:rsid w:val="00472E89"/>
    <w:rsid w:val="00473AB6"/>
    <w:rsid w:val="00473DAC"/>
    <w:rsid w:val="004742FC"/>
    <w:rsid w:val="0047438A"/>
    <w:rsid w:val="0047452E"/>
    <w:rsid w:val="00474AEC"/>
    <w:rsid w:val="00474B5C"/>
    <w:rsid w:val="00474B7A"/>
    <w:rsid w:val="00475E5B"/>
    <w:rsid w:val="00476AFD"/>
    <w:rsid w:val="00476D1B"/>
    <w:rsid w:val="00480154"/>
    <w:rsid w:val="0048063E"/>
    <w:rsid w:val="0048092D"/>
    <w:rsid w:val="00480DD5"/>
    <w:rsid w:val="00480E34"/>
    <w:rsid w:val="00480E50"/>
    <w:rsid w:val="0048113B"/>
    <w:rsid w:val="0048137E"/>
    <w:rsid w:val="00481396"/>
    <w:rsid w:val="00483190"/>
    <w:rsid w:val="004831F5"/>
    <w:rsid w:val="004832AC"/>
    <w:rsid w:val="004832D1"/>
    <w:rsid w:val="0048393B"/>
    <w:rsid w:val="004844AC"/>
    <w:rsid w:val="00484AC1"/>
    <w:rsid w:val="00484AC4"/>
    <w:rsid w:val="00484F76"/>
    <w:rsid w:val="00485301"/>
    <w:rsid w:val="004862B9"/>
    <w:rsid w:val="004866AF"/>
    <w:rsid w:val="0048751B"/>
    <w:rsid w:val="004876A2"/>
    <w:rsid w:val="00490C9A"/>
    <w:rsid w:val="00490D70"/>
    <w:rsid w:val="0049126C"/>
    <w:rsid w:val="00491362"/>
    <w:rsid w:val="00491513"/>
    <w:rsid w:val="004917BC"/>
    <w:rsid w:val="00491D8B"/>
    <w:rsid w:val="00491DF8"/>
    <w:rsid w:val="0049296C"/>
    <w:rsid w:val="00492BDC"/>
    <w:rsid w:val="00492FD0"/>
    <w:rsid w:val="004941C0"/>
    <w:rsid w:val="00494B26"/>
    <w:rsid w:val="00494B41"/>
    <w:rsid w:val="0049516A"/>
    <w:rsid w:val="00495CF1"/>
    <w:rsid w:val="00496BEB"/>
    <w:rsid w:val="00496DCC"/>
    <w:rsid w:val="004978ED"/>
    <w:rsid w:val="004A017E"/>
    <w:rsid w:val="004A0CAA"/>
    <w:rsid w:val="004A0ED2"/>
    <w:rsid w:val="004A11AC"/>
    <w:rsid w:val="004A14E6"/>
    <w:rsid w:val="004A1533"/>
    <w:rsid w:val="004A1C77"/>
    <w:rsid w:val="004A1E51"/>
    <w:rsid w:val="004A20C2"/>
    <w:rsid w:val="004A2554"/>
    <w:rsid w:val="004A31C2"/>
    <w:rsid w:val="004A39C4"/>
    <w:rsid w:val="004A3C29"/>
    <w:rsid w:val="004A4228"/>
    <w:rsid w:val="004A4344"/>
    <w:rsid w:val="004A45C1"/>
    <w:rsid w:val="004A47E3"/>
    <w:rsid w:val="004A496B"/>
    <w:rsid w:val="004A5262"/>
    <w:rsid w:val="004A5414"/>
    <w:rsid w:val="004A54D3"/>
    <w:rsid w:val="004A57DE"/>
    <w:rsid w:val="004A5975"/>
    <w:rsid w:val="004A59C5"/>
    <w:rsid w:val="004A5D9B"/>
    <w:rsid w:val="004A632A"/>
    <w:rsid w:val="004A637A"/>
    <w:rsid w:val="004A66C6"/>
    <w:rsid w:val="004A70BD"/>
    <w:rsid w:val="004A74C1"/>
    <w:rsid w:val="004A7A8E"/>
    <w:rsid w:val="004B006A"/>
    <w:rsid w:val="004B0275"/>
    <w:rsid w:val="004B03EC"/>
    <w:rsid w:val="004B03ED"/>
    <w:rsid w:val="004B04F7"/>
    <w:rsid w:val="004B0501"/>
    <w:rsid w:val="004B09B5"/>
    <w:rsid w:val="004B206C"/>
    <w:rsid w:val="004B26C5"/>
    <w:rsid w:val="004B2864"/>
    <w:rsid w:val="004B2998"/>
    <w:rsid w:val="004B3204"/>
    <w:rsid w:val="004B42F9"/>
    <w:rsid w:val="004B4629"/>
    <w:rsid w:val="004B4F1A"/>
    <w:rsid w:val="004B552A"/>
    <w:rsid w:val="004B57C7"/>
    <w:rsid w:val="004B6218"/>
    <w:rsid w:val="004B6863"/>
    <w:rsid w:val="004B7131"/>
    <w:rsid w:val="004C003F"/>
    <w:rsid w:val="004C0214"/>
    <w:rsid w:val="004C04FA"/>
    <w:rsid w:val="004C0BFA"/>
    <w:rsid w:val="004C112B"/>
    <w:rsid w:val="004C12B1"/>
    <w:rsid w:val="004C1683"/>
    <w:rsid w:val="004C17CE"/>
    <w:rsid w:val="004C1AF7"/>
    <w:rsid w:val="004C1CAB"/>
    <w:rsid w:val="004C2ED9"/>
    <w:rsid w:val="004C2EFA"/>
    <w:rsid w:val="004C3522"/>
    <w:rsid w:val="004C39B7"/>
    <w:rsid w:val="004C4045"/>
    <w:rsid w:val="004C421B"/>
    <w:rsid w:val="004C53C1"/>
    <w:rsid w:val="004C64A0"/>
    <w:rsid w:val="004C655F"/>
    <w:rsid w:val="004C6984"/>
    <w:rsid w:val="004C7672"/>
    <w:rsid w:val="004C77A7"/>
    <w:rsid w:val="004C7DB3"/>
    <w:rsid w:val="004C7E05"/>
    <w:rsid w:val="004D01AA"/>
    <w:rsid w:val="004D0737"/>
    <w:rsid w:val="004D13FD"/>
    <w:rsid w:val="004D146C"/>
    <w:rsid w:val="004D1B64"/>
    <w:rsid w:val="004D1D58"/>
    <w:rsid w:val="004D1E26"/>
    <w:rsid w:val="004D2790"/>
    <w:rsid w:val="004D2A21"/>
    <w:rsid w:val="004D300A"/>
    <w:rsid w:val="004D3A4C"/>
    <w:rsid w:val="004D3D49"/>
    <w:rsid w:val="004D5726"/>
    <w:rsid w:val="004D5DF0"/>
    <w:rsid w:val="004D6514"/>
    <w:rsid w:val="004D6EFE"/>
    <w:rsid w:val="004D6FFD"/>
    <w:rsid w:val="004D7DAA"/>
    <w:rsid w:val="004E0B78"/>
    <w:rsid w:val="004E0DA5"/>
    <w:rsid w:val="004E0E0B"/>
    <w:rsid w:val="004E1269"/>
    <w:rsid w:val="004E15D6"/>
    <w:rsid w:val="004E1735"/>
    <w:rsid w:val="004E2300"/>
    <w:rsid w:val="004E2D8D"/>
    <w:rsid w:val="004E2DD8"/>
    <w:rsid w:val="004E3FE6"/>
    <w:rsid w:val="004E42AA"/>
    <w:rsid w:val="004E4761"/>
    <w:rsid w:val="004E4F01"/>
    <w:rsid w:val="004E4F26"/>
    <w:rsid w:val="004E54B1"/>
    <w:rsid w:val="004E5682"/>
    <w:rsid w:val="004E64EA"/>
    <w:rsid w:val="004E6650"/>
    <w:rsid w:val="004E6F48"/>
    <w:rsid w:val="004E7A1C"/>
    <w:rsid w:val="004E7CB9"/>
    <w:rsid w:val="004F05E4"/>
    <w:rsid w:val="004F0FBA"/>
    <w:rsid w:val="004F1426"/>
    <w:rsid w:val="004F1E20"/>
    <w:rsid w:val="004F2664"/>
    <w:rsid w:val="004F27CE"/>
    <w:rsid w:val="004F34B4"/>
    <w:rsid w:val="004F356B"/>
    <w:rsid w:val="004F3AF8"/>
    <w:rsid w:val="004F4165"/>
    <w:rsid w:val="004F5587"/>
    <w:rsid w:val="004F56B1"/>
    <w:rsid w:val="004F6822"/>
    <w:rsid w:val="004F6D7A"/>
    <w:rsid w:val="004F6E8D"/>
    <w:rsid w:val="004F77E5"/>
    <w:rsid w:val="004F7B5C"/>
    <w:rsid w:val="004F7D7E"/>
    <w:rsid w:val="00501261"/>
    <w:rsid w:val="005019D2"/>
    <w:rsid w:val="00502854"/>
    <w:rsid w:val="005028E2"/>
    <w:rsid w:val="00502CAE"/>
    <w:rsid w:val="005030F1"/>
    <w:rsid w:val="00503120"/>
    <w:rsid w:val="00503A14"/>
    <w:rsid w:val="00503DCF"/>
    <w:rsid w:val="0050562C"/>
    <w:rsid w:val="005059A3"/>
    <w:rsid w:val="00505A45"/>
    <w:rsid w:val="00505B69"/>
    <w:rsid w:val="00505E50"/>
    <w:rsid w:val="00506007"/>
    <w:rsid w:val="0050660F"/>
    <w:rsid w:val="00506749"/>
    <w:rsid w:val="00506944"/>
    <w:rsid w:val="005069DC"/>
    <w:rsid w:val="005072C5"/>
    <w:rsid w:val="0050736C"/>
    <w:rsid w:val="00507C9E"/>
    <w:rsid w:val="0051005E"/>
    <w:rsid w:val="005107D5"/>
    <w:rsid w:val="005113C5"/>
    <w:rsid w:val="005125D6"/>
    <w:rsid w:val="00512605"/>
    <w:rsid w:val="005128EE"/>
    <w:rsid w:val="00513226"/>
    <w:rsid w:val="00513820"/>
    <w:rsid w:val="00513EF6"/>
    <w:rsid w:val="0051580C"/>
    <w:rsid w:val="0051597F"/>
    <w:rsid w:val="00515A3F"/>
    <w:rsid w:val="005163F4"/>
    <w:rsid w:val="005169D2"/>
    <w:rsid w:val="00516EED"/>
    <w:rsid w:val="005174C4"/>
    <w:rsid w:val="00517542"/>
    <w:rsid w:val="00517701"/>
    <w:rsid w:val="0051774B"/>
    <w:rsid w:val="005177B0"/>
    <w:rsid w:val="00517E22"/>
    <w:rsid w:val="00520967"/>
    <w:rsid w:val="00521166"/>
    <w:rsid w:val="00521299"/>
    <w:rsid w:val="005214DA"/>
    <w:rsid w:val="005219B0"/>
    <w:rsid w:val="005220CC"/>
    <w:rsid w:val="00522177"/>
    <w:rsid w:val="00522320"/>
    <w:rsid w:val="00522F38"/>
    <w:rsid w:val="0052323B"/>
    <w:rsid w:val="005234D7"/>
    <w:rsid w:val="005236C8"/>
    <w:rsid w:val="00523790"/>
    <w:rsid w:val="00523997"/>
    <w:rsid w:val="00524118"/>
    <w:rsid w:val="00524435"/>
    <w:rsid w:val="005245BC"/>
    <w:rsid w:val="00524966"/>
    <w:rsid w:val="00524B72"/>
    <w:rsid w:val="005263D4"/>
    <w:rsid w:val="00526634"/>
    <w:rsid w:val="00527158"/>
    <w:rsid w:val="00527633"/>
    <w:rsid w:val="00527769"/>
    <w:rsid w:val="00527A44"/>
    <w:rsid w:val="00527BF8"/>
    <w:rsid w:val="005306BC"/>
    <w:rsid w:val="00531001"/>
    <w:rsid w:val="005312C8"/>
    <w:rsid w:val="0053151D"/>
    <w:rsid w:val="00531588"/>
    <w:rsid w:val="00531D6A"/>
    <w:rsid w:val="00531E82"/>
    <w:rsid w:val="00532546"/>
    <w:rsid w:val="0053265D"/>
    <w:rsid w:val="00532674"/>
    <w:rsid w:val="00532B7E"/>
    <w:rsid w:val="00532E4F"/>
    <w:rsid w:val="00532FE5"/>
    <w:rsid w:val="0053314C"/>
    <w:rsid w:val="00533F3E"/>
    <w:rsid w:val="005345F7"/>
    <w:rsid w:val="005349A8"/>
    <w:rsid w:val="00535564"/>
    <w:rsid w:val="0053594D"/>
    <w:rsid w:val="00536C82"/>
    <w:rsid w:val="00536DB2"/>
    <w:rsid w:val="00536E62"/>
    <w:rsid w:val="00536FE0"/>
    <w:rsid w:val="005370B3"/>
    <w:rsid w:val="005371DB"/>
    <w:rsid w:val="00537660"/>
    <w:rsid w:val="0053772E"/>
    <w:rsid w:val="00537BBB"/>
    <w:rsid w:val="00540C87"/>
    <w:rsid w:val="00540D6E"/>
    <w:rsid w:val="005410E3"/>
    <w:rsid w:val="00541A9E"/>
    <w:rsid w:val="00541F77"/>
    <w:rsid w:val="0054218A"/>
    <w:rsid w:val="0054238B"/>
    <w:rsid w:val="00542B58"/>
    <w:rsid w:val="00542CFB"/>
    <w:rsid w:val="00542F16"/>
    <w:rsid w:val="005431EE"/>
    <w:rsid w:val="0054387B"/>
    <w:rsid w:val="00543CF7"/>
    <w:rsid w:val="005445E3"/>
    <w:rsid w:val="00544E6B"/>
    <w:rsid w:val="0054522A"/>
    <w:rsid w:val="0054560F"/>
    <w:rsid w:val="00545D56"/>
    <w:rsid w:val="00546062"/>
    <w:rsid w:val="005461A8"/>
    <w:rsid w:val="00546F73"/>
    <w:rsid w:val="00547631"/>
    <w:rsid w:val="00547765"/>
    <w:rsid w:val="005501B7"/>
    <w:rsid w:val="0055052E"/>
    <w:rsid w:val="005507ED"/>
    <w:rsid w:val="00550E89"/>
    <w:rsid w:val="00551666"/>
    <w:rsid w:val="005517B0"/>
    <w:rsid w:val="00551D32"/>
    <w:rsid w:val="00553047"/>
    <w:rsid w:val="00553CF4"/>
    <w:rsid w:val="00554635"/>
    <w:rsid w:val="005546B6"/>
    <w:rsid w:val="00554868"/>
    <w:rsid w:val="00554B34"/>
    <w:rsid w:val="00555BAC"/>
    <w:rsid w:val="0055632F"/>
    <w:rsid w:val="0055649B"/>
    <w:rsid w:val="00556CE2"/>
    <w:rsid w:val="00557008"/>
    <w:rsid w:val="005577F7"/>
    <w:rsid w:val="00557BBB"/>
    <w:rsid w:val="00557D9C"/>
    <w:rsid w:val="00557DEB"/>
    <w:rsid w:val="0056066F"/>
    <w:rsid w:val="00560B4A"/>
    <w:rsid w:val="00560E4E"/>
    <w:rsid w:val="00560F84"/>
    <w:rsid w:val="00561713"/>
    <w:rsid w:val="0056202A"/>
    <w:rsid w:val="0056255F"/>
    <w:rsid w:val="00562680"/>
    <w:rsid w:val="00563468"/>
    <w:rsid w:val="00563C9D"/>
    <w:rsid w:val="00564334"/>
    <w:rsid w:val="005644F3"/>
    <w:rsid w:val="005659E7"/>
    <w:rsid w:val="00565C7B"/>
    <w:rsid w:val="0056606D"/>
    <w:rsid w:val="0056676B"/>
    <w:rsid w:val="00567AB5"/>
    <w:rsid w:val="00567F09"/>
    <w:rsid w:val="005709AA"/>
    <w:rsid w:val="005715D1"/>
    <w:rsid w:val="005729ED"/>
    <w:rsid w:val="00572B1F"/>
    <w:rsid w:val="0057300E"/>
    <w:rsid w:val="0057418D"/>
    <w:rsid w:val="00574BA5"/>
    <w:rsid w:val="005750C0"/>
    <w:rsid w:val="005755CF"/>
    <w:rsid w:val="00575A4B"/>
    <w:rsid w:val="00575ED8"/>
    <w:rsid w:val="00575FC9"/>
    <w:rsid w:val="005769CA"/>
    <w:rsid w:val="00577B28"/>
    <w:rsid w:val="00580A25"/>
    <w:rsid w:val="00580DCC"/>
    <w:rsid w:val="00581199"/>
    <w:rsid w:val="00581A49"/>
    <w:rsid w:val="00581D51"/>
    <w:rsid w:val="0058214C"/>
    <w:rsid w:val="005826CC"/>
    <w:rsid w:val="00582ECC"/>
    <w:rsid w:val="00583C83"/>
    <w:rsid w:val="005840A4"/>
    <w:rsid w:val="005843C1"/>
    <w:rsid w:val="0058478A"/>
    <w:rsid w:val="005847BE"/>
    <w:rsid w:val="00585178"/>
    <w:rsid w:val="0058526C"/>
    <w:rsid w:val="00585D87"/>
    <w:rsid w:val="00585E6D"/>
    <w:rsid w:val="0058639A"/>
    <w:rsid w:val="005864EB"/>
    <w:rsid w:val="00586BFB"/>
    <w:rsid w:val="00586EE4"/>
    <w:rsid w:val="0058702E"/>
    <w:rsid w:val="005872A2"/>
    <w:rsid w:val="005877D7"/>
    <w:rsid w:val="005879A5"/>
    <w:rsid w:val="0059038C"/>
    <w:rsid w:val="00590B48"/>
    <w:rsid w:val="00591539"/>
    <w:rsid w:val="0059177A"/>
    <w:rsid w:val="005918DD"/>
    <w:rsid w:val="00592551"/>
    <w:rsid w:val="00592A93"/>
    <w:rsid w:val="00592B27"/>
    <w:rsid w:val="00592E1A"/>
    <w:rsid w:val="00593835"/>
    <w:rsid w:val="0059386F"/>
    <w:rsid w:val="00593B85"/>
    <w:rsid w:val="00593E41"/>
    <w:rsid w:val="00594061"/>
    <w:rsid w:val="005944DD"/>
    <w:rsid w:val="00594534"/>
    <w:rsid w:val="005949F2"/>
    <w:rsid w:val="00594BAD"/>
    <w:rsid w:val="00596302"/>
    <w:rsid w:val="00596F04"/>
    <w:rsid w:val="00596F78"/>
    <w:rsid w:val="00597AA0"/>
    <w:rsid w:val="00597EE9"/>
    <w:rsid w:val="005A0653"/>
    <w:rsid w:val="005A0E36"/>
    <w:rsid w:val="005A1269"/>
    <w:rsid w:val="005A13A6"/>
    <w:rsid w:val="005A1971"/>
    <w:rsid w:val="005A1994"/>
    <w:rsid w:val="005A1EB1"/>
    <w:rsid w:val="005A3346"/>
    <w:rsid w:val="005A3357"/>
    <w:rsid w:val="005A3571"/>
    <w:rsid w:val="005A36D4"/>
    <w:rsid w:val="005A3C6A"/>
    <w:rsid w:val="005A437F"/>
    <w:rsid w:val="005A43F6"/>
    <w:rsid w:val="005A4694"/>
    <w:rsid w:val="005A5415"/>
    <w:rsid w:val="005A597B"/>
    <w:rsid w:val="005A5FDC"/>
    <w:rsid w:val="005A62A9"/>
    <w:rsid w:val="005A6A04"/>
    <w:rsid w:val="005A711F"/>
    <w:rsid w:val="005A7E48"/>
    <w:rsid w:val="005B0FD8"/>
    <w:rsid w:val="005B13FC"/>
    <w:rsid w:val="005B177D"/>
    <w:rsid w:val="005B1D20"/>
    <w:rsid w:val="005B20ED"/>
    <w:rsid w:val="005B24FB"/>
    <w:rsid w:val="005B28F1"/>
    <w:rsid w:val="005B2A89"/>
    <w:rsid w:val="005B2CFB"/>
    <w:rsid w:val="005B3035"/>
    <w:rsid w:val="005B38FE"/>
    <w:rsid w:val="005B3B13"/>
    <w:rsid w:val="005B3DDE"/>
    <w:rsid w:val="005B49FC"/>
    <w:rsid w:val="005B5F5A"/>
    <w:rsid w:val="005B61CC"/>
    <w:rsid w:val="005B6F89"/>
    <w:rsid w:val="005B75E6"/>
    <w:rsid w:val="005B7F1D"/>
    <w:rsid w:val="005BD77C"/>
    <w:rsid w:val="005C016E"/>
    <w:rsid w:val="005C0F7E"/>
    <w:rsid w:val="005C1DA7"/>
    <w:rsid w:val="005C2814"/>
    <w:rsid w:val="005C2A07"/>
    <w:rsid w:val="005C3A87"/>
    <w:rsid w:val="005C3AAA"/>
    <w:rsid w:val="005C41E7"/>
    <w:rsid w:val="005C48CE"/>
    <w:rsid w:val="005C4BD7"/>
    <w:rsid w:val="005C4EF9"/>
    <w:rsid w:val="005C551C"/>
    <w:rsid w:val="005C6BFA"/>
    <w:rsid w:val="005C6E03"/>
    <w:rsid w:val="005C77B0"/>
    <w:rsid w:val="005C7811"/>
    <w:rsid w:val="005C7A7D"/>
    <w:rsid w:val="005D0605"/>
    <w:rsid w:val="005D06AA"/>
    <w:rsid w:val="005D1726"/>
    <w:rsid w:val="005D1C84"/>
    <w:rsid w:val="005D257E"/>
    <w:rsid w:val="005D2BC0"/>
    <w:rsid w:val="005D2ED1"/>
    <w:rsid w:val="005D3741"/>
    <w:rsid w:val="005D3D21"/>
    <w:rsid w:val="005D3F1D"/>
    <w:rsid w:val="005D484C"/>
    <w:rsid w:val="005D62C2"/>
    <w:rsid w:val="005D67D2"/>
    <w:rsid w:val="005D772D"/>
    <w:rsid w:val="005D79A4"/>
    <w:rsid w:val="005D7D6B"/>
    <w:rsid w:val="005D7E45"/>
    <w:rsid w:val="005D7F55"/>
    <w:rsid w:val="005E0182"/>
    <w:rsid w:val="005E03F5"/>
    <w:rsid w:val="005E0472"/>
    <w:rsid w:val="005E05FE"/>
    <w:rsid w:val="005E1839"/>
    <w:rsid w:val="005E19BF"/>
    <w:rsid w:val="005E1C61"/>
    <w:rsid w:val="005E3F0F"/>
    <w:rsid w:val="005E3F32"/>
    <w:rsid w:val="005E4804"/>
    <w:rsid w:val="005E4ACD"/>
    <w:rsid w:val="005E558F"/>
    <w:rsid w:val="005E5593"/>
    <w:rsid w:val="005E588A"/>
    <w:rsid w:val="005E5A9B"/>
    <w:rsid w:val="005E6675"/>
    <w:rsid w:val="005E716A"/>
    <w:rsid w:val="005E7573"/>
    <w:rsid w:val="005E7CDE"/>
    <w:rsid w:val="005E7FFE"/>
    <w:rsid w:val="005F01EF"/>
    <w:rsid w:val="005F028A"/>
    <w:rsid w:val="005F0587"/>
    <w:rsid w:val="005F06CC"/>
    <w:rsid w:val="005F0812"/>
    <w:rsid w:val="005F1546"/>
    <w:rsid w:val="005F1721"/>
    <w:rsid w:val="005F1B9C"/>
    <w:rsid w:val="005F1F40"/>
    <w:rsid w:val="005F208B"/>
    <w:rsid w:val="005F21AF"/>
    <w:rsid w:val="005F3216"/>
    <w:rsid w:val="005F3AC4"/>
    <w:rsid w:val="005F43F9"/>
    <w:rsid w:val="005F459D"/>
    <w:rsid w:val="005F460A"/>
    <w:rsid w:val="005F59C0"/>
    <w:rsid w:val="005F6AE1"/>
    <w:rsid w:val="005F6BB5"/>
    <w:rsid w:val="005F72E3"/>
    <w:rsid w:val="005F7323"/>
    <w:rsid w:val="005F7513"/>
    <w:rsid w:val="005F7B84"/>
    <w:rsid w:val="005F7E59"/>
    <w:rsid w:val="00601993"/>
    <w:rsid w:val="00601BA5"/>
    <w:rsid w:val="0060246E"/>
    <w:rsid w:val="006040EC"/>
    <w:rsid w:val="006059A1"/>
    <w:rsid w:val="0060615B"/>
    <w:rsid w:val="00606760"/>
    <w:rsid w:val="00607342"/>
    <w:rsid w:val="006074F8"/>
    <w:rsid w:val="0060779A"/>
    <w:rsid w:val="0061068D"/>
    <w:rsid w:val="00610AF3"/>
    <w:rsid w:val="00611044"/>
    <w:rsid w:val="00611B81"/>
    <w:rsid w:val="00611F6B"/>
    <w:rsid w:val="00611F74"/>
    <w:rsid w:val="00612461"/>
    <w:rsid w:val="00612A4E"/>
    <w:rsid w:val="00612EFF"/>
    <w:rsid w:val="00613251"/>
    <w:rsid w:val="006132AF"/>
    <w:rsid w:val="00613CC9"/>
    <w:rsid w:val="00614096"/>
    <w:rsid w:val="0061464D"/>
    <w:rsid w:val="00614CA9"/>
    <w:rsid w:val="00615199"/>
    <w:rsid w:val="006157D3"/>
    <w:rsid w:val="006158B8"/>
    <w:rsid w:val="00615C61"/>
    <w:rsid w:val="0061625C"/>
    <w:rsid w:val="00617083"/>
    <w:rsid w:val="006171B3"/>
    <w:rsid w:val="0061770E"/>
    <w:rsid w:val="00617CE9"/>
    <w:rsid w:val="00617E72"/>
    <w:rsid w:val="0062082C"/>
    <w:rsid w:val="00620C99"/>
    <w:rsid w:val="00620CC9"/>
    <w:rsid w:val="00620E3A"/>
    <w:rsid w:val="0062131B"/>
    <w:rsid w:val="00622559"/>
    <w:rsid w:val="00622EF2"/>
    <w:rsid w:val="00623689"/>
    <w:rsid w:val="006244DD"/>
    <w:rsid w:val="00624517"/>
    <w:rsid w:val="00624CE7"/>
    <w:rsid w:val="00625059"/>
    <w:rsid w:val="006253C1"/>
    <w:rsid w:val="006254BF"/>
    <w:rsid w:val="00625830"/>
    <w:rsid w:val="006258FD"/>
    <w:rsid w:val="00625DE2"/>
    <w:rsid w:val="00626503"/>
    <w:rsid w:val="00627AEB"/>
    <w:rsid w:val="00627B9B"/>
    <w:rsid w:val="00627BE3"/>
    <w:rsid w:val="00627DA5"/>
    <w:rsid w:val="006308E7"/>
    <w:rsid w:val="00630C23"/>
    <w:rsid w:val="00631352"/>
    <w:rsid w:val="00631C56"/>
    <w:rsid w:val="00632254"/>
    <w:rsid w:val="00632B23"/>
    <w:rsid w:val="0063365B"/>
    <w:rsid w:val="00633BB1"/>
    <w:rsid w:val="006347D0"/>
    <w:rsid w:val="00634AA1"/>
    <w:rsid w:val="00634BCA"/>
    <w:rsid w:val="00634DBC"/>
    <w:rsid w:val="00635059"/>
    <w:rsid w:val="00635522"/>
    <w:rsid w:val="0063670B"/>
    <w:rsid w:val="00637217"/>
    <w:rsid w:val="00637290"/>
    <w:rsid w:val="00637764"/>
    <w:rsid w:val="00637D19"/>
    <w:rsid w:val="0064028A"/>
    <w:rsid w:val="0064058E"/>
    <w:rsid w:val="00640983"/>
    <w:rsid w:val="00640C4E"/>
    <w:rsid w:val="00640CC0"/>
    <w:rsid w:val="00641B46"/>
    <w:rsid w:val="00642301"/>
    <w:rsid w:val="00643299"/>
    <w:rsid w:val="00643A0D"/>
    <w:rsid w:val="00643D40"/>
    <w:rsid w:val="0064484C"/>
    <w:rsid w:val="00644F70"/>
    <w:rsid w:val="006459B6"/>
    <w:rsid w:val="00645FA3"/>
    <w:rsid w:val="00646335"/>
    <w:rsid w:val="006479C4"/>
    <w:rsid w:val="00647CAF"/>
    <w:rsid w:val="00650136"/>
    <w:rsid w:val="00650196"/>
    <w:rsid w:val="00650CFE"/>
    <w:rsid w:val="00651426"/>
    <w:rsid w:val="006518ED"/>
    <w:rsid w:val="00651F8C"/>
    <w:rsid w:val="00652543"/>
    <w:rsid w:val="0065261C"/>
    <w:rsid w:val="00653411"/>
    <w:rsid w:val="006538ED"/>
    <w:rsid w:val="00653B5F"/>
    <w:rsid w:val="00654572"/>
    <w:rsid w:val="006546A2"/>
    <w:rsid w:val="00654A25"/>
    <w:rsid w:val="00654B20"/>
    <w:rsid w:val="00655378"/>
    <w:rsid w:val="00655CF4"/>
    <w:rsid w:val="00655DA2"/>
    <w:rsid w:val="006563B7"/>
    <w:rsid w:val="00656404"/>
    <w:rsid w:val="006564C7"/>
    <w:rsid w:val="00656644"/>
    <w:rsid w:val="00656998"/>
    <w:rsid w:val="006574E1"/>
    <w:rsid w:val="006575BC"/>
    <w:rsid w:val="00657A5C"/>
    <w:rsid w:val="00657EB3"/>
    <w:rsid w:val="00660213"/>
    <w:rsid w:val="0066024B"/>
    <w:rsid w:val="00660839"/>
    <w:rsid w:val="00660CB3"/>
    <w:rsid w:val="00661961"/>
    <w:rsid w:val="006623E6"/>
    <w:rsid w:val="0066277C"/>
    <w:rsid w:val="00662A7D"/>
    <w:rsid w:val="00663096"/>
    <w:rsid w:val="0066312E"/>
    <w:rsid w:val="0066320B"/>
    <w:rsid w:val="006632B8"/>
    <w:rsid w:val="006636C0"/>
    <w:rsid w:val="006639CA"/>
    <w:rsid w:val="00663CB6"/>
    <w:rsid w:val="006641E7"/>
    <w:rsid w:val="006642B4"/>
    <w:rsid w:val="00664492"/>
    <w:rsid w:val="0066464F"/>
    <w:rsid w:val="006646E3"/>
    <w:rsid w:val="00664EE8"/>
    <w:rsid w:val="006650C0"/>
    <w:rsid w:val="006651F9"/>
    <w:rsid w:val="00666B2A"/>
    <w:rsid w:val="0066734A"/>
    <w:rsid w:val="00667651"/>
    <w:rsid w:val="0067013E"/>
    <w:rsid w:val="00670D2A"/>
    <w:rsid w:val="00670E0D"/>
    <w:rsid w:val="00671161"/>
    <w:rsid w:val="00672BD9"/>
    <w:rsid w:val="00674629"/>
    <w:rsid w:val="00674710"/>
    <w:rsid w:val="006754A5"/>
    <w:rsid w:val="00675572"/>
    <w:rsid w:val="00675F6C"/>
    <w:rsid w:val="00676119"/>
    <w:rsid w:val="0067665D"/>
    <w:rsid w:val="006766DC"/>
    <w:rsid w:val="0067782C"/>
    <w:rsid w:val="00677B44"/>
    <w:rsid w:val="00680123"/>
    <w:rsid w:val="006805B8"/>
    <w:rsid w:val="0068079A"/>
    <w:rsid w:val="00681435"/>
    <w:rsid w:val="00682598"/>
    <w:rsid w:val="00682C32"/>
    <w:rsid w:val="00682D7A"/>
    <w:rsid w:val="00682F58"/>
    <w:rsid w:val="0068367A"/>
    <w:rsid w:val="00684225"/>
    <w:rsid w:val="00684DC1"/>
    <w:rsid w:val="00685485"/>
    <w:rsid w:val="00685B71"/>
    <w:rsid w:val="00685BD3"/>
    <w:rsid w:val="00686160"/>
    <w:rsid w:val="00686B8E"/>
    <w:rsid w:val="00686F2E"/>
    <w:rsid w:val="006876BA"/>
    <w:rsid w:val="0068787C"/>
    <w:rsid w:val="006878DE"/>
    <w:rsid w:val="00690B98"/>
    <w:rsid w:val="00690BDF"/>
    <w:rsid w:val="006924DD"/>
    <w:rsid w:val="006931F0"/>
    <w:rsid w:val="006931F1"/>
    <w:rsid w:val="00694336"/>
    <w:rsid w:val="006950F4"/>
    <w:rsid w:val="00695352"/>
    <w:rsid w:val="0069541F"/>
    <w:rsid w:val="0069581A"/>
    <w:rsid w:val="00696F58"/>
    <w:rsid w:val="00697093"/>
    <w:rsid w:val="006973A3"/>
    <w:rsid w:val="00697717"/>
    <w:rsid w:val="006A0AD7"/>
    <w:rsid w:val="006A0E0A"/>
    <w:rsid w:val="006A12C1"/>
    <w:rsid w:val="006A1E34"/>
    <w:rsid w:val="006A2094"/>
    <w:rsid w:val="006A286C"/>
    <w:rsid w:val="006A2995"/>
    <w:rsid w:val="006A2D84"/>
    <w:rsid w:val="006A4626"/>
    <w:rsid w:val="006A5A10"/>
    <w:rsid w:val="006A6257"/>
    <w:rsid w:val="006A7523"/>
    <w:rsid w:val="006A7860"/>
    <w:rsid w:val="006A7973"/>
    <w:rsid w:val="006B08FC"/>
    <w:rsid w:val="006B1B6F"/>
    <w:rsid w:val="006B1BAD"/>
    <w:rsid w:val="006B2692"/>
    <w:rsid w:val="006B2792"/>
    <w:rsid w:val="006B306A"/>
    <w:rsid w:val="006B39BE"/>
    <w:rsid w:val="006B3BBE"/>
    <w:rsid w:val="006B48B5"/>
    <w:rsid w:val="006B50A4"/>
    <w:rsid w:val="006B5D97"/>
    <w:rsid w:val="006B657B"/>
    <w:rsid w:val="006B6AD7"/>
    <w:rsid w:val="006B77C4"/>
    <w:rsid w:val="006C07C6"/>
    <w:rsid w:val="006C0CFC"/>
    <w:rsid w:val="006C13E7"/>
    <w:rsid w:val="006C1542"/>
    <w:rsid w:val="006C195B"/>
    <w:rsid w:val="006C1F29"/>
    <w:rsid w:val="006C200A"/>
    <w:rsid w:val="006C2712"/>
    <w:rsid w:val="006C2B02"/>
    <w:rsid w:val="006C2CB5"/>
    <w:rsid w:val="006C3DE2"/>
    <w:rsid w:val="006C42EC"/>
    <w:rsid w:val="006C5991"/>
    <w:rsid w:val="006C5E6F"/>
    <w:rsid w:val="006C5F46"/>
    <w:rsid w:val="006C6054"/>
    <w:rsid w:val="006C6405"/>
    <w:rsid w:val="006C6583"/>
    <w:rsid w:val="006C6A6F"/>
    <w:rsid w:val="006C6C27"/>
    <w:rsid w:val="006C71B4"/>
    <w:rsid w:val="006C7398"/>
    <w:rsid w:val="006C7538"/>
    <w:rsid w:val="006C75F2"/>
    <w:rsid w:val="006C7B67"/>
    <w:rsid w:val="006D066F"/>
    <w:rsid w:val="006D0748"/>
    <w:rsid w:val="006D07C8"/>
    <w:rsid w:val="006D0D33"/>
    <w:rsid w:val="006D1CD5"/>
    <w:rsid w:val="006D1CEB"/>
    <w:rsid w:val="006D1E3F"/>
    <w:rsid w:val="006D2836"/>
    <w:rsid w:val="006D29EE"/>
    <w:rsid w:val="006D2CDF"/>
    <w:rsid w:val="006D2EB1"/>
    <w:rsid w:val="006D4326"/>
    <w:rsid w:val="006D435C"/>
    <w:rsid w:val="006D4DB4"/>
    <w:rsid w:val="006D5208"/>
    <w:rsid w:val="006D590C"/>
    <w:rsid w:val="006D5D57"/>
    <w:rsid w:val="006D609B"/>
    <w:rsid w:val="006D60D1"/>
    <w:rsid w:val="006D6602"/>
    <w:rsid w:val="006D6610"/>
    <w:rsid w:val="006D6CB0"/>
    <w:rsid w:val="006E0F77"/>
    <w:rsid w:val="006E118C"/>
    <w:rsid w:val="006E167A"/>
    <w:rsid w:val="006E1A7F"/>
    <w:rsid w:val="006E1B1A"/>
    <w:rsid w:val="006E27CC"/>
    <w:rsid w:val="006E2A88"/>
    <w:rsid w:val="006E2C28"/>
    <w:rsid w:val="006E35A5"/>
    <w:rsid w:val="006E3627"/>
    <w:rsid w:val="006E362D"/>
    <w:rsid w:val="006E3642"/>
    <w:rsid w:val="006E39E5"/>
    <w:rsid w:val="006E3EED"/>
    <w:rsid w:val="006E3FE9"/>
    <w:rsid w:val="006E4600"/>
    <w:rsid w:val="006E4AB8"/>
    <w:rsid w:val="006E5589"/>
    <w:rsid w:val="006E5708"/>
    <w:rsid w:val="006E70BA"/>
    <w:rsid w:val="006E726E"/>
    <w:rsid w:val="006E7275"/>
    <w:rsid w:val="006E744E"/>
    <w:rsid w:val="006F0B9C"/>
    <w:rsid w:val="006F1350"/>
    <w:rsid w:val="006F13A8"/>
    <w:rsid w:val="006F199F"/>
    <w:rsid w:val="006F1B29"/>
    <w:rsid w:val="006F2503"/>
    <w:rsid w:val="006F28E4"/>
    <w:rsid w:val="006F40C8"/>
    <w:rsid w:val="006F41EB"/>
    <w:rsid w:val="006F5249"/>
    <w:rsid w:val="006F5673"/>
    <w:rsid w:val="006F574E"/>
    <w:rsid w:val="006F5FA8"/>
    <w:rsid w:val="006F6FA5"/>
    <w:rsid w:val="006F757C"/>
    <w:rsid w:val="006F7B88"/>
    <w:rsid w:val="006F7DD0"/>
    <w:rsid w:val="006F7E3F"/>
    <w:rsid w:val="007002B4"/>
    <w:rsid w:val="00700477"/>
    <w:rsid w:val="00700588"/>
    <w:rsid w:val="0070084A"/>
    <w:rsid w:val="00700938"/>
    <w:rsid w:val="00701BF2"/>
    <w:rsid w:val="00701EF2"/>
    <w:rsid w:val="007030F4"/>
    <w:rsid w:val="00703606"/>
    <w:rsid w:val="0070382E"/>
    <w:rsid w:val="0070394D"/>
    <w:rsid w:val="007039F8"/>
    <w:rsid w:val="00703C13"/>
    <w:rsid w:val="00703F00"/>
    <w:rsid w:val="0070469A"/>
    <w:rsid w:val="00705E07"/>
    <w:rsid w:val="00706223"/>
    <w:rsid w:val="00706B1A"/>
    <w:rsid w:val="00706C5A"/>
    <w:rsid w:val="00707955"/>
    <w:rsid w:val="007108F1"/>
    <w:rsid w:val="00711340"/>
    <w:rsid w:val="007122AA"/>
    <w:rsid w:val="00712720"/>
    <w:rsid w:val="007136F2"/>
    <w:rsid w:val="00713A20"/>
    <w:rsid w:val="00713BC4"/>
    <w:rsid w:val="00714678"/>
    <w:rsid w:val="00714FB5"/>
    <w:rsid w:val="007161A8"/>
    <w:rsid w:val="007163D2"/>
    <w:rsid w:val="007168CF"/>
    <w:rsid w:val="00717736"/>
    <w:rsid w:val="007205A7"/>
    <w:rsid w:val="007208BF"/>
    <w:rsid w:val="0072155D"/>
    <w:rsid w:val="007218F4"/>
    <w:rsid w:val="00721A08"/>
    <w:rsid w:val="00721A67"/>
    <w:rsid w:val="00721BA9"/>
    <w:rsid w:val="00722160"/>
    <w:rsid w:val="0072313A"/>
    <w:rsid w:val="007232FC"/>
    <w:rsid w:val="0072355F"/>
    <w:rsid w:val="007241D8"/>
    <w:rsid w:val="00724B29"/>
    <w:rsid w:val="00724EC1"/>
    <w:rsid w:val="007252D2"/>
    <w:rsid w:val="007262E6"/>
    <w:rsid w:val="00726536"/>
    <w:rsid w:val="00726D47"/>
    <w:rsid w:val="0072794E"/>
    <w:rsid w:val="00727E31"/>
    <w:rsid w:val="007309BE"/>
    <w:rsid w:val="00730B68"/>
    <w:rsid w:val="00731C1B"/>
    <w:rsid w:val="00731E1E"/>
    <w:rsid w:val="00732096"/>
    <w:rsid w:val="00732104"/>
    <w:rsid w:val="007321AA"/>
    <w:rsid w:val="007322A3"/>
    <w:rsid w:val="007326F6"/>
    <w:rsid w:val="00732780"/>
    <w:rsid w:val="00733A63"/>
    <w:rsid w:val="00733B0B"/>
    <w:rsid w:val="0073433D"/>
    <w:rsid w:val="00734851"/>
    <w:rsid w:val="00734CB0"/>
    <w:rsid w:val="007350A9"/>
    <w:rsid w:val="00735502"/>
    <w:rsid w:val="007358D9"/>
    <w:rsid w:val="00735DE4"/>
    <w:rsid w:val="00737F1F"/>
    <w:rsid w:val="00740142"/>
    <w:rsid w:val="0074022C"/>
    <w:rsid w:val="007402B7"/>
    <w:rsid w:val="00740506"/>
    <w:rsid w:val="007406D5"/>
    <w:rsid w:val="007411C5"/>
    <w:rsid w:val="00741514"/>
    <w:rsid w:val="00741BDE"/>
    <w:rsid w:val="00741C65"/>
    <w:rsid w:val="007423A4"/>
    <w:rsid w:val="00742AC0"/>
    <w:rsid w:val="0074308E"/>
    <w:rsid w:val="0074346B"/>
    <w:rsid w:val="007441CC"/>
    <w:rsid w:val="007450AE"/>
    <w:rsid w:val="00745B55"/>
    <w:rsid w:val="00745DC8"/>
    <w:rsid w:val="007465A6"/>
    <w:rsid w:val="007468FC"/>
    <w:rsid w:val="007470FE"/>
    <w:rsid w:val="0074746E"/>
    <w:rsid w:val="0074760B"/>
    <w:rsid w:val="007502C6"/>
    <w:rsid w:val="007505CC"/>
    <w:rsid w:val="00750DBB"/>
    <w:rsid w:val="00751507"/>
    <w:rsid w:val="00751646"/>
    <w:rsid w:val="007524B8"/>
    <w:rsid w:val="00752637"/>
    <w:rsid w:val="007531B1"/>
    <w:rsid w:val="00754E0B"/>
    <w:rsid w:val="00754EB4"/>
    <w:rsid w:val="007550A1"/>
    <w:rsid w:val="007556CC"/>
    <w:rsid w:val="00756381"/>
    <w:rsid w:val="0075773A"/>
    <w:rsid w:val="00757E00"/>
    <w:rsid w:val="00760817"/>
    <w:rsid w:val="00760E5B"/>
    <w:rsid w:val="00760E9F"/>
    <w:rsid w:val="00760FD9"/>
    <w:rsid w:val="00761613"/>
    <w:rsid w:val="00762941"/>
    <w:rsid w:val="00763685"/>
    <w:rsid w:val="00764290"/>
    <w:rsid w:val="007646BC"/>
    <w:rsid w:val="00764725"/>
    <w:rsid w:val="00766E6B"/>
    <w:rsid w:val="00766E90"/>
    <w:rsid w:val="007677AC"/>
    <w:rsid w:val="007679AD"/>
    <w:rsid w:val="007700F4"/>
    <w:rsid w:val="00773B27"/>
    <w:rsid w:val="00774390"/>
    <w:rsid w:val="007746A5"/>
    <w:rsid w:val="0077493A"/>
    <w:rsid w:val="00774ACF"/>
    <w:rsid w:val="0077516B"/>
    <w:rsid w:val="00775B1E"/>
    <w:rsid w:val="00776219"/>
    <w:rsid w:val="00776515"/>
    <w:rsid w:val="00776F15"/>
    <w:rsid w:val="00777DE2"/>
    <w:rsid w:val="00777DEA"/>
    <w:rsid w:val="00780DD2"/>
    <w:rsid w:val="00780FE3"/>
    <w:rsid w:val="00781826"/>
    <w:rsid w:val="00781B2E"/>
    <w:rsid w:val="00781D5A"/>
    <w:rsid w:val="00782248"/>
    <w:rsid w:val="00782B77"/>
    <w:rsid w:val="007834F3"/>
    <w:rsid w:val="00783E59"/>
    <w:rsid w:val="00784997"/>
    <w:rsid w:val="00785234"/>
    <w:rsid w:val="00785FAB"/>
    <w:rsid w:val="0078695D"/>
    <w:rsid w:val="00786AC1"/>
    <w:rsid w:val="00786FE2"/>
    <w:rsid w:val="0078758F"/>
    <w:rsid w:val="00787D25"/>
    <w:rsid w:val="0079005A"/>
    <w:rsid w:val="00790434"/>
    <w:rsid w:val="00790F6B"/>
    <w:rsid w:val="00791418"/>
    <w:rsid w:val="0079210A"/>
    <w:rsid w:val="0079223E"/>
    <w:rsid w:val="00792386"/>
    <w:rsid w:val="007927EA"/>
    <w:rsid w:val="0079290C"/>
    <w:rsid w:val="007929B5"/>
    <w:rsid w:val="00792C8C"/>
    <w:rsid w:val="00793948"/>
    <w:rsid w:val="00794190"/>
    <w:rsid w:val="00794203"/>
    <w:rsid w:val="007943BB"/>
    <w:rsid w:val="00794D88"/>
    <w:rsid w:val="00795728"/>
    <w:rsid w:val="0079604F"/>
    <w:rsid w:val="00796D62"/>
    <w:rsid w:val="00796E35"/>
    <w:rsid w:val="00796FEA"/>
    <w:rsid w:val="0079728E"/>
    <w:rsid w:val="007973A3"/>
    <w:rsid w:val="00797448"/>
    <w:rsid w:val="00797EA8"/>
    <w:rsid w:val="007A01C2"/>
    <w:rsid w:val="007A04C2"/>
    <w:rsid w:val="007A0768"/>
    <w:rsid w:val="007A095F"/>
    <w:rsid w:val="007A0997"/>
    <w:rsid w:val="007A1D87"/>
    <w:rsid w:val="007A1E27"/>
    <w:rsid w:val="007A2070"/>
    <w:rsid w:val="007A2410"/>
    <w:rsid w:val="007A24F7"/>
    <w:rsid w:val="007A26F6"/>
    <w:rsid w:val="007A27AC"/>
    <w:rsid w:val="007A2F3F"/>
    <w:rsid w:val="007A4016"/>
    <w:rsid w:val="007A451D"/>
    <w:rsid w:val="007A457E"/>
    <w:rsid w:val="007A4B8A"/>
    <w:rsid w:val="007A4CDF"/>
    <w:rsid w:val="007A4F10"/>
    <w:rsid w:val="007A5861"/>
    <w:rsid w:val="007A614A"/>
    <w:rsid w:val="007A65E7"/>
    <w:rsid w:val="007A6EC6"/>
    <w:rsid w:val="007A79BE"/>
    <w:rsid w:val="007A7EBB"/>
    <w:rsid w:val="007B0324"/>
    <w:rsid w:val="007B09A3"/>
    <w:rsid w:val="007B0B5E"/>
    <w:rsid w:val="007B15B8"/>
    <w:rsid w:val="007B1A7E"/>
    <w:rsid w:val="007B2356"/>
    <w:rsid w:val="007B23AB"/>
    <w:rsid w:val="007B3171"/>
    <w:rsid w:val="007B340C"/>
    <w:rsid w:val="007B3796"/>
    <w:rsid w:val="007B3D0A"/>
    <w:rsid w:val="007B449A"/>
    <w:rsid w:val="007B4686"/>
    <w:rsid w:val="007B48AD"/>
    <w:rsid w:val="007B492B"/>
    <w:rsid w:val="007B4D33"/>
    <w:rsid w:val="007B5B9F"/>
    <w:rsid w:val="007B6358"/>
    <w:rsid w:val="007B761D"/>
    <w:rsid w:val="007C076F"/>
    <w:rsid w:val="007C0891"/>
    <w:rsid w:val="007C0ACE"/>
    <w:rsid w:val="007C1BC1"/>
    <w:rsid w:val="007C28EA"/>
    <w:rsid w:val="007C2C5E"/>
    <w:rsid w:val="007C30A3"/>
    <w:rsid w:val="007C362D"/>
    <w:rsid w:val="007C3957"/>
    <w:rsid w:val="007C3A86"/>
    <w:rsid w:val="007C44EE"/>
    <w:rsid w:val="007C464F"/>
    <w:rsid w:val="007C5166"/>
    <w:rsid w:val="007C622A"/>
    <w:rsid w:val="007C6385"/>
    <w:rsid w:val="007C6A37"/>
    <w:rsid w:val="007C724D"/>
    <w:rsid w:val="007C74A7"/>
    <w:rsid w:val="007C77F4"/>
    <w:rsid w:val="007D038D"/>
    <w:rsid w:val="007D0EB4"/>
    <w:rsid w:val="007D0F57"/>
    <w:rsid w:val="007D1093"/>
    <w:rsid w:val="007D15CF"/>
    <w:rsid w:val="007D220F"/>
    <w:rsid w:val="007D23C9"/>
    <w:rsid w:val="007D24E7"/>
    <w:rsid w:val="007D3104"/>
    <w:rsid w:val="007D3371"/>
    <w:rsid w:val="007D3432"/>
    <w:rsid w:val="007D34F9"/>
    <w:rsid w:val="007D378B"/>
    <w:rsid w:val="007D3F21"/>
    <w:rsid w:val="007D474B"/>
    <w:rsid w:val="007D4828"/>
    <w:rsid w:val="007D5744"/>
    <w:rsid w:val="007D5A8A"/>
    <w:rsid w:val="007D5BE6"/>
    <w:rsid w:val="007D6122"/>
    <w:rsid w:val="007D70F3"/>
    <w:rsid w:val="007D744F"/>
    <w:rsid w:val="007D751B"/>
    <w:rsid w:val="007D766C"/>
    <w:rsid w:val="007D7EE5"/>
    <w:rsid w:val="007E0793"/>
    <w:rsid w:val="007E0876"/>
    <w:rsid w:val="007E132E"/>
    <w:rsid w:val="007E16A2"/>
    <w:rsid w:val="007E1C52"/>
    <w:rsid w:val="007E217E"/>
    <w:rsid w:val="007E2455"/>
    <w:rsid w:val="007E2FDD"/>
    <w:rsid w:val="007E34B8"/>
    <w:rsid w:val="007E34D7"/>
    <w:rsid w:val="007E3847"/>
    <w:rsid w:val="007E3A05"/>
    <w:rsid w:val="007E3A91"/>
    <w:rsid w:val="007E43EC"/>
    <w:rsid w:val="007E4C19"/>
    <w:rsid w:val="007E50C9"/>
    <w:rsid w:val="007E590E"/>
    <w:rsid w:val="007E5E52"/>
    <w:rsid w:val="007E6291"/>
    <w:rsid w:val="007E6862"/>
    <w:rsid w:val="007E6BCA"/>
    <w:rsid w:val="007E6C68"/>
    <w:rsid w:val="007E6E7C"/>
    <w:rsid w:val="007E74BD"/>
    <w:rsid w:val="007E7B02"/>
    <w:rsid w:val="007E7D29"/>
    <w:rsid w:val="007E7FC0"/>
    <w:rsid w:val="007F0A11"/>
    <w:rsid w:val="007F0D53"/>
    <w:rsid w:val="007F0E6D"/>
    <w:rsid w:val="007F104B"/>
    <w:rsid w:val="007F1506"/>
    <w:rsid w:val="007F1D9F"/>
    <w:rsid w:val="007F2018"/>
    <w:rsid w:val="007F231A"/>
    <w:rsid w:val="007F3363"/>
    <w:rsid w:val="007F44ED"/>
    <w:rsid w:val="007F4731"/>
    <w:rsid w:val="007F4E33"/>
    <w:rsid w:val="007F551F"/>
    <w:rsid w:val="007F5AF7"/>
    <w:rsid w:val="007F5B54"/>
    <w:rsid w:val="007F5D3A"/>
    <w:rsid w:val="007F67A4"/>
    <w:rsid w:val="007F6CCE"/>
    <w:rsid w:val="007F6F86"/>
    <w:rsid w:val="007F71C3"/>
    <w:rsid w:val="008004FF"/>
    <w:rsid w:val="00800577"/>
    <w:rsid w:val="00801879"/>
    <w:rsid w:val="00801AC8"/>
    <w:rsid w:val="00802163"/>
    <w:rsid w:val="008022BB"/>
    <w:rsid w:val="008023D4"/>
    <w:rsid w:val="008024DB"/>
    <w:rsid w:val="008030C5"/>
    <w:rsid w:val="0080460F"/>
    <w:rsid w:val="0080527E"/>
    <w:rsid w:val="0080576E"/>
    <w:rsid w:val="00806298"/>
    <w:rsid w:val="00806A1A"/>
    <w:rsid w:val="00806C57"/>
    <w:rsid w:val="008070A6"/>
    <w:rsid w:val="00807221"/>
    <w:rsid w:val="0080783C"/>
    <w:rsid w:val="00807BD3"/>
    <w:rsid w:val="00807D0F"/>
    <w:rsid w:val="00810275"/>
    <w:rsid w:val="00810E4B"/>
    <w:rsid w:val="00810F99"/>
    <w:rsid w:val="00811274"/>
    <w:rsid w:val="00811759"/>
    <w:rsid w:val="008121DB"/>
    <w:rsid w:val="00812893"/>
    <w:rsid w:val="00812BD3"/>
    <w:rsid w:val="008136C6"/>
    <w:rsid w:val="00813B73"/>
    <w:rsid w:val="0081428C"/>
    <w:rsid w:val="00815305"/>
    <w:rsid w:val="00815D79"/>
    <w:rsid w:val="00815DF2"/>
    <w:rsid w:val="00816841"/>
    <w:rsid w:val="00816949"/>
    <w:rsid w:val="00817228"/>
    <w:rsid w:val="00817245"/>
    <w:rsid w:val="00817A65"/>
    <w:rsid w:val="00817C63"/>
    <w:rsid w:val="00817EF8"/>
    <w:rsid w:val="00820ACF"/>
    <w:rsid w:val="008216F0"/>
    <w:rsid w:val="0082208D"/>
    <w:rsid w:val="00822278"/>
    <w:rsid w:val="00822895"/>
    <w:rsid w:val="00823068"/>
    <w:rsid w:val="008231A1"/>
    <w:rsid w:val="00823347"/>
    <w:rsid w:val="0082348A"/>
    <w:rsid w:val="008237B8"/>
    <w:rsid w:val="00823F13"/>
    <w:rsid w:val="008255DD"/>
    <w:rsid w:val="00825BBC"/>
    <w:rsid w:val="00826A68"/>
    <w:rsid w:val="00826FFB"/>
    <w:rsid w:val="00831524"/>
    <w:rsid w:val="00831705"/>
    <w:rsid w:val="00831FC4"/>
    <w:rsid w:val="008322F4"/>
    <w:rsid w:val="0083236D"/>
    <w:rsid w:val="00832465"/>
    <w:rsid w:val="008325B4"/>
    <w:rsid w:val="00832A9E"/>
    <w:rsid w:val="00833320"/>
    <w:rsid w:val="00833994"/>
    <w:rsid w:val="00833CA3"/>
    <w:rsid w:val="00834059"/>
    <w:rsid w:val="008345B8"/>
    <w:rsid w:val="00834BF1"/>
    <w:rsid w:val="00834F60"/>
    <w:rsid w:val="008353DA"/>
    <w:rsid w:val="00835BB1"/>
    <w:rsid w:val="00836157"/>
    <w:rsid w:val="00836338"/>
    <w:rsid w:val="00836382"/>
    <w:rsid w:val="0083681E"/>
    <w:rsid w:val="00836A35"/>
    <w:rsid w:val="00836D56"/>
    <w:rsid w:val="008370A6"/>
    <w:rsid w:val="008370DB"/>
    <w:rsid w:val="00840413"/>
    <w:rsid w:val="00841A16"/>
    <w:rsid w:val="00842614"/>
    <w:rsid w:val="00842A02"/>
    <w:rsid w:val="00842ED3"/>
    <w:rsid w:val="00843042"/>
    <w:rsid w:val="00843E52"/>
    <w:rsid w:val="00843EE9"/>
    <w:rsid w:val="008440CA"/>
    <w:rsid w:val="008448C1"/>
    <w:rsid w:val="00844CED"/>
    <w:rsid w:val="00845092"/>
    <w:rsid w:val="00845374"/>
    <w:rsid w:val="00845884"/>
    <w:rsid w:val="00845D3A"/>
    <w:rsid w:val="00846277"/>
    <w:rsid w:val="0084650B"/>
    <w:rsid w:val="008467CD"/>
    <w:rsid w:val="008467F3"/>
    <w:rsid w:val="00846CED"/>
    <w:rsid w:val="00847503"/>
    <w:rsid w:val="00847650"/>
    <w:rsid w:val="008476A8"/>
    <w:rsid w:val="00847CD8"/>
    <w:rsid w:val="00850AA0"/>
    <w:rsid w:val="00850F2C"/>
    <w:rsid w:val="00851189"/>
    <w:rsid w:val="008511A6"/>
    <w:rsid w:val="00852289"/>
    <w:rsid w:val="0085236D"/>
    <w:rsid w:val="00852FDE"/>
    <w:rsid w:val="008530EB"/>
    <w:rsid w:val="00853368"/>
    <w:rsid w:val="008540FB"/>
    <w:rsid w:val="00854FC9"/>
    <w:rsid w:val="0085529E"/>
    <w:rsid w:val="00855C15"/>
    <w:rsid w:val="00855F10"/>
    <w:rsid w:val="00856F61"/>
    <w:rsid w:val="00856FAF"/>
    <w:rsid w:val="0085764B"/>
    <w:rsid w:val="008577C1"/>
    <w:rsid w:val="0086018C"/>
    <w:rsid w:val="00860907"/>
    <w:rsid w:val="00860EA2"/>
    <w:rsid w:val="008617B5"/>
    <w:rsid w:val="0086199C"/>
    <w:rsid w:val="00861A4B"/>
    <w:rsid w:val="00862182"/>
    <w:rsid w:val="00862703"/>
    <w:rsid w:val="00862F3B"/>
    <w:rsid w:val="0086320A"/>
    <w:rsid w:val="00864435"/>
    <w:rsid w:val="00864CAA"/>
    <w:rsid w:val="00865BB0"/>
    <w:rsid w:val="00866513"/>
    <w:rsid w:val="008666E4"/>
    <w:rsid w:val="008667F0"/>
    <w:rsid w:val="00866E5F"/>
    <w:rsid w:val="00867559"/>
    <w:rsid w:val="00870091"/>
    <w:rsid w:val="008704D2"/>
    <w:rsid w:val="0087053D"/>
    <w:rsid w:val="0087086F"/>
    <w:rsid w:val="00871C1D"/>
    <w:rsid w:val="00872306"/>
    <w:rsid w:val="008724AE"/>
    <w:rsid w:val="00872600"/>
    <w:rsid w:val="0087311E"/>
    <w:rsid w:val="00873369"/>
    <w:rsid w:val="0087348A"/>
    <w:rsid w:val="00873511"/>
    <w:rsid w:val="0087511B"/>
    <w:rsid w:val="008752F6"/>
    <w:rsid w:val="00875966"/>
    <w:rsid w:val="008765CA"/>
    <w:rsid w:val="00877CFD"/>
    <w:rsid w:val="00877E76"/>
    <w:rsid w:val="0087A75D"/>
    <w:rsid w:val="0088024B"/>
    <w:rsid w:val="0088031F"/>
    <w:rsid w:val="008811C7"/>
    <w:rsid w:val="00881C81"/>
    <w:rsid w:val="00881DC6"/>
    <w:rsid w:val="00882BE4"/>
    <w:rsid w:val="00883182"/>
    <w:rsid w:val="00883271"/>
    <w:rsid w:val="00883C00"/>
    <w:rsid w:val="00884420"/>
    <w:rsid w:val="008847D5"/>
    <w:rsid w:val="008847EB"/>
    <w:rsid w:val="00884EB4"/>
    <w:rsid w:val="00885E2B"/>
    <w:rsid w:val="008864E4"/>
    <w:rsid w:val="008867CE"/>
    <w:rsid w:val="00887C20"/>
    <w:rsid w:val="008903FB"/>
    <w:rsid w:val="00890471"/>
    <w:rsid w:val="0089066F"/>
    <w:rsid w:val="00890770"/>
    <w:rsid w:val="0089093F"/>
    <w:rsid w:val="00891CE9"/>
    <w:rsid w:val="00892539"/>
    <w:rsid w:val="008929F4"/>
    <w:rsid w:val="00892C32"/>
    <w:rsid w:val="00893830"/>
    <w:rsid w:val="00893E16"/>
    <w:rsid w:val="0089458B"/>
    <w:rsid w:val="008945C8"/>
    <w:rsid w:val="00894EBF"/>
    <w:rsid w:val="008951B1"/>
    <w:rsid w:val="00895ADD"/>
    <w:rsid w:val="00895FC5"/>
    <w:rsid w:val="00896233"/>
    <w:rsid w:val="00896624"/>
    <w:rsid w:val="008970D6"/>
    <w:rsid w:val="0089773B"/>
    <w:rsid w:val="00897C3F"/>
    <w:rsid w:val="00897D25"/>
    <w:rsid w:val="008A0A1E"/>
    <w:rsid w:val="008A0B7B"/>
    <w:rsid w:val="008A0C84"/>
    <w:rsid w:val="008A0F59"/>
    <w:rsid w:val="008A1254"/>
    <w:rsid w:val="008A15E0"/>
    <w:rsid w:val="008A1D1A"/>
    <w:rsid w:val="008A226C"/>
    <w:rsid w:val="008A2582"/>
    <w:rsid w:val="008A2B85"/>
    <w:rsid w:val="008A2BD1"/>
    <w:rsid w:val="008A384C"/>
    <w:rsid w:val="008A3D40"/>
    <w:rsid w:val="008A3D9D"/>
    <w:rsid w:val="008A4697"/>
    <w:rsid w:val="008A4981"/>
    <w:rsid w:val="008A4D3D"/>
    <w:rsid w:val="008A5073"/>
    <w:rsid w:val="008A5E94"/>
    <w:rsid w:val="008A64B6"/>
    <w:rsid w:val="008A671D"/>
    <w:rsid w:val="008A684C"/>
    <w:rsid w:val="008A6956"/>
    <w:rsid w:val="008A7459"/>
    <w:rsid w:val="008A775B"/>
    <w:rsid w:val="008A7BD0"/>
    <w:rsid w:val="008A7D92"/>
    <w:rsid w:val="008A7FA2"/>
    <w:rsid w:val="008B0F8C"/>
    <w:rsid w:val="008B1505"/>
    <w:rsid w:val="008B1BAD"/>
    <w:rsid w:val="008B22B0"/>
    <w:rsid w:val="008B284F"/>
    <w:rsid w:val="008B3932"/>
    <w:rsid w:val="008B393A"/>
    <w:rsid w:val="008B396F"/>
    <w:rsid w:val="008B3F21"/>
    <w:rsid w:val="008B439E"/>
    <w:rsid w:val="008B508D"/>
    <w:rsid w:val="008B5B58"/>
    <w:rsid w:val="008B5D10"/>
    <w:rsid w:val="008B603C"/>
    <w:rsid w:val="008B708F"/>
    <w:rsid w:val="008C01A8"/>
    <w:rsid w:val="008C054E"/>
    <w:rsid w:val="008C0BF1"/>
    <w:rsid w:val="008C2511"/>
    <w:rsid w:val="008C2918"/>
    <w:rsid w:val="008C3275"/>
    <w:rsid w:val="008C3EE8"/>
    <w:rsid w:val="008C46BE"/>
    <w:rsid w:val="008C520F"/>
    <w:rsid w:val="008C5D30"/>
    <w:rsid w:val="008C6041"/>
    <w:rsid w:val="008C61D0"/>
    <w:rsid w:val="008C62DA"/>
    <w:rsid w:val="008C73AC"/>
    <w:rsid w:val="008C73AF"/>
    <w:rsid w:val="008C778F"/>
    <w:rsid w:val="008C7912"/>
    <w:rsid w:val="008C7FE5"/>
    <w:rsid w:val="008D099C"/>
    <w:rsid w:val="008D2B21"/>
    <w:rsid w:val="008D2F6F"/>
    <w:rsid w:val="008D3192"/>
    <w:rsid w:val="008D4B67"/>
    <w:rsid w:val="008D5839"/>
    <w:rsid w:val="008D5C8D"/>
    <w:rsid w:val="008D5DE6"/>
    <w:rsid w:val="008D70DF"/>
    <w:rsid w:val="008E0772"/>
    <w:rsid w:val="008E0CF8"/>
    <w:rsid w:val="008E0E8F"/>
    <w:rsid w:val="008E14B4"/>
    <w:rsid w:val="008E16A0"/>
    <w:rsid w:val="008E2D95"/>
    <w:rsid w:val="008E3217"/>
    <w:rsid w:val="008E3C6A"/>
    <w:rsid w:val="008E48F6"/>
    <w:rsid w:val="008E5900"/>
    <w:rsid w:val="008E5B00"/>
    <w:rsid w:val="008E5DB5"/>
    <w:rsid w:val="008E6B5B"/>
    <w:rsid w:val="008E6B94"/>
    <w:rsid w:val="008E7067"/>
    <w:rsid w:val="008E70FD"/>
    <w:rsid w:val="008E7816"/>
    <w:rsid w:val="008E7C8A"/>
    <w:rsid w:val="008E7CB3"/>
    <w:rsid w:val="008F01DB"/>
    <w:rsid w:val="008F03F7"/>
    <w:rsid w:val="008F0914"/>
    <w:rsid w:val="008F0A60"/>
    <w:rsid w:val="008F0ADC"/>
    <w:rsid w:val="008F0BD2"/>
    <w:rsid w:val="008F1DA0"/>
    <w:rsid w:val="008F1E4A"/>
    <w:rsid w:val="008F2048"/>
    <w:rsid w:val="008F27C7"/>
    <w:rsid w:val="008F2CD6"/>
    <w:rsid w:val="008F3239"/>
    <w:rsid w:val="008F3506"/>
    <w:rsid w:val="008F37A7"/>
    <w:rsid w:val="008F41C0"/>
    <w:rsid w:val="008F4758"/>
    <w:rsid w:val="008F4916"/>
    <w:rsid w:val="008F49AE"/>
    <w:rsid w:val="008F502E"/>
    <w:rsid w:val="008F526B"/>
    <w:rsid w:val="008F57AA"/>
    <w:rsid w:val="008F5B80"/>
    <w:rsid w:val="008F6827"/>
    <w:rsid w:val="008F6BB7"/>
    <w:rsid w:val="008F7173"/>
    <w:rsid w:val="008F7688"/>
    <w:rsid w:val="008F775D"/>
    <w:rsid w:val="008F7E37"/>
    <w:rsid w:val="0090002D"/>
    <w:rsid w:val="0090051E"/>
    <w:rsid w:val="00900682"/>
    <w:rsid w:val="00900F0C"/>
    <w:rsid w:val="0090101D"/>
    <w:rsid w:val="00901215"/>
    <w:rsid w:val="00901487"/>
    <w:rsid w:val="009016F2"/>
    <w:rsid w:val="00901CA6"/>
    <w:rsid w:val="00901E39"/>
    <w:rsid w:val="00901EEE"/>
    <w:rsid w:val="0090233E"/>
    <w:rsid w:val="0090340E"/>
    <w:rsid w:val="009035C2"/>
    <w:rsid w:val="00903FCD"/>
    <w:rsid w:val="0090446F"/>
    <w:rsid w:val="009049D7"/>
    <w:rsid w:val="00905FB7"/>
    <w:rsid w:val="009060F8"/>
    <w:rsid w:val="00906212"/>
    <w:rsid w:val="009065C5"/>
    <w:rsid w:val="00906F95"/>
    <w:rsid w:val="009103FD"/>
    <w:rsid w:val="00910ECD"/>
    <w:rsid w:val="00911FEB"/>
    <w:rsid w:val="00914348"/>
    <w:rsid w:val="009143BE"/>
    <w:rsid w:val="009148F3"/>
    <w:rsid w:val="0091498B"/>
    <w:rsid w:val="00914F89"/>
    <w:rsid w:val="009151EE"/>
    <w:rsid w:val="00915A6C"/>
    <w:rsid w:val="009165EC"/>
    <w:rsid w:val="009167B7"/>
    <w:rsid w:val="009170AB"/>
    <w:rsid w:val="0091754C"/>
    <w:rsid w:val="00917AA2"/>
    <w:rsid w:val="009197DF"/>
    <w:rsid w:val="00920591"/>
    <w:rsid w:val="009205A6"/>
    <w:rsid w:val="0092062D"/>
    <w:rsid w:val="0092087A"/>
    <w:rsid w:val="009209AD"/>
    <w:rsid w:val="00921451"/>
    <w:rsid w:val="009217A8"/>
    <w:rsid w:val="00921922"/>
    <w:rsid w:val="0092198A"/>
    <w:rsid w:val="00921AFF"/>
    <w:rsid w:val="00921D5C"/>
    <w:rsid w:val="00923AE4"/>
    <w:rsid w:val="009241EB"/>
    <w:rsid w:val="00924256"/>
    <w:rsid w:val="00924784"/>
    <w:rsid w:val="009250D2"/>
    <w:rsid w:val="00925443"/>
    <w:rsid w:val="009258AE"/>
    <w:rsid w:val="00925A0D"/>
    <w:rsid w:val="0092645C"/>
    <w:rsid w:val="00927422"/>
    <w:rsid w:val="00927966"/>
    <w:rsid w:val="0093038A"/>
    <w:rsid w:val="00930636"/>
    <w:rsid w:val="009310C7"/>
    <w:rsid w:val="0093146F"/>
    <w:rsid w:val="0093153D"/>
    <w:rsid w:val="00931600"/>
    <w:rsid w:val="00931D29"/>
    <w:rsid w:val="0093255E"/>
    <w:rsid w:val="00932E17"/>
    <w:rsid w:val="0093395C"/>
    <w:rsid w:val="00933E2C"/>
    <w:rsid w:val="00934079"/>
    <w:rsid w:val="00934541"/>
    <w:rsid w:val="00934EBB"/>
    <w:rsid w:val="00935E1E"/>
    <w:rsid w:val="009361A7"/>
    <w:rsid w:val="009361F9"/>
    <w:rsid w:val="00936ABF"/>
    <w:rsid w:val="00937E98"/>
    <w:rsid w:val="00940650"/>
    <w:rsid w:val="00940F1A"/>
    <w:rsid w:val="009412B6"/>
    <w:rsid w:val="00941A58"/>
    <w:rsid w:val="009422E8"/>
    <w:rsid w:val="00942571"/>
    <w:rsid w:val="009426C0"/>
    <w:rsid w:val="009429CC"/>
    <w:rsid w:val="0094338B"/>
    <w:rsid w:val="009433AC"/>
    <w:rsid w:val="009438DD"/>
    <w:rsid w:val="00943B09"/>
    <w:rsid w:val="0094418E"/>
    <w:rsid w:val="0094439C"/>
    <w:rsid w:val="00945257"/>
    <w:rsid w:val="009456FD"/>
    <w:rsid w:val="0094628B"/>
    <w:rsid w:val="00946481"/>
    <w:rsid w:val="00946F0C"/>
    <w:rsid w:val="0094714F"/>
    <w:rsid w:val="009501C1"/>
    <w:rsid w:val="00951D72"/>
    <w:rsid w:val="00952564"/>
    <w:rsid w:val="00952D79"/>
    <w:rsid w:val="00953A51"/>
    <w:rsid w:val="00954C47"/>
    <w:rsid w:val="00954E92"/>
    <w:rsid w:val="00954EBD"/>
    <w:rsid w:val="00954F29"/>
    <w:rsid w:val="00955177"/>
    <w:rsid w:val="0095576D"/>
    <w:rsid w:val="00955B31"/>
    <w:rsid w:val="00955CA5"/>
    <w:rsid w:val="00956E06"/>
    <w:rsid w:val="00957084"/>
    <w:rsid w:val="009570EE"/>
    <w:rsid w:val="00960A27"/>
    <w:rsid w:val="00960B59"/>
    <w:rsid w:val="00960D7C"/>
    <w:rsid w:val="00961235"/>
    <w:rsid w:val="009615DD"/>
    <w:rsid w:val="00961CA4"/>
    <w:rsid w:val="00961E94"/>
    <w:rsid w:val="009623FA"/>
    <w:rsid w:val="009628BB"/>
    <w:rsid w:val="00962CC2"/>
    <w:rsid w:val="0096396F"/>
    <w:rsid w:val="00963B53"/>
    <w:rsid w:val="00963D57"/>
    <w:rsid w:val="0096410D"/>
    <w:rsid w:val="00964408"/>
    <w:rsid w:val="009655E4"/>
    <w:rsid w:val="00965882"/>
    <w:rsid w:val="00966C92"/>
    <w:rsid w:val="00966CA0"/>
    <w:rsid w:val="00966FBA"/>
    <w:rsid w:val="00967711"/>
    <w:rsid w:val="009701C3"/>
    <w:rsid w:val="009708AC"/>
    <w:rsid w:val="00970CDD"/>
    <w:rsid w:val="009719EB"/>
    <w:rsid w:val="00971C6F"/>
    <w:rsid w:val="009722B7"/>
    <w:rsid w:val="009724E3"/>
    <w:rsid w:val="00972A06"/>
    <w:rsid w:val="00972A7F"/>
    <w:rsid w:val="009730E4"/>
    <w:rsid w:val="00973338"/>
    <w:rsid w:val="00973EC1"/>
    <w:rsid w:val="00974277"/>
    <w:rsid w:val="009744C5"/>
    <w:rsid w:val="00974916"/>
    <w:rsid w:val="0097520F"/>
    <w:rsid w:val="0097548B"/>
    <w:rsid w:val="00975FAD"/>
    <w:rsid w:val="00976EB0"/>
    <w:rsid w:val="00977875"/>
    <w:rsid w:val="00980731"/>
    <w:rsid w:val="00980AAA"/>
    <w:rsid w:val="00981554"/>
    <w:rsid w:val="00981959"/>
    <w:rsid w:val="00981E6B"/>
    <w:rsid w:val="00982256"/>
    <w:rsid w:val="009822D9"/>
    <w:rsid w:val="0098288A"/>
    <w:rsid w:val="00982BBF"/>
    <w:rsid w:val="00982D20"/>
    <w:rsid w:val="009830F3"/>
    <w:rsid w:val="00983676"/>
    <w:rsid w:val="00983740"/>
    <w:rsid w:val="00983F8D"/>
    <w:rsid w:val="0098400A"/>
    <w:rsid w:val="009848B4"/>
    <w:rsid w:val="00985A0B"/>
    <w:rsid w:val="0098646E"/>
    <w:rsid w:val="009867C2"/>
    <w:rsid w:val="00986D81"/>
    <w:rsid w:val="00986EC5"/>
    <w:rsid w:val="009870CA"/>
    <w:rsid w:val="00987125"/>
    <w:rsid w:val="00987133"/>
    <w:rsid w:val="009872AA"/>
    <w:rsid w:val="00987416"/>
    <w:rsid w:val="00987726"/>
    <w:rsid w:val="00987929"/>
    <w:rsid w:val="00987B65"/>
    <w:rsid w:val="00987F19"/>
    <w:rsid w:val="00990A32"/>
    <w:rsid w:val="0099138D"/>
    <w:rsid w:val="009914E0"/>
    <w:rsid w:val="00991949"/>
    <w:rsid w:val="00992715"/>
    <w:rsid w:val="00992C21"/>
    <w:rsid w:val="00993CEE"/>
    <w:rsid w:val="00993DE0"/>
    <w:rsid w:val="009945BD"/>
    <w:rsid w:val="00994CA7"/>
    <w:rsid w:val="00994D23"/>
    <w:rsid w:val="00995141"/>
    <w:rsid w:val="0099583A"/>
    <w:rsid w:val="00996A99"/>
    <w:rsid w:val="00996C95"/>
    <w:rsid w:val="00996D09"/>
    <w:rsid w:val="00997F84"/>
    <w:rsid w:val="009A0796"/>
    <w:rsid w:val="009A0BB0"/>
    <w:rsid w:val="009A2728"/>
    <w:rsid w:val="009A2972"/>
    <w:rsid w:val="009A2A2C"/>
    <w:rsid w:val="009A2AB9"/>
    <w:rsid w:val="009A2D61"/>
    <w:rsid w:val="009A2D88"/>
    <w:rsid w:val="009A2E7D"/>
    <w:rsid w:val="009A326A"/>
    <w:rsid w:val="009A37A5"/>
    <w:rsid w:val="009A4041"/>
    <w:rsid w:val="009A42EB"/>
    <w:rsid w:val="009A433D"/>
    <w:rsid w:val="009A44B3"/>
    <w:rsid w:val="009A462A"/>
    <w:rsid w:val="009A508C"/>
    <w:rsid w:val="009A5107"/>
    <w:rsid w:val="009A549E"/>
    <w:rsid w:val="009A5519"/>
    <w:rsid w:val="009A55F6"/>
    <w:rsid w:val="009A5F67"/>
    <w:rsid w:val="009A6070"/>
    <w:rsid w:val="009A6275"/>
    <w:rsid w:val="009A69F4"/>
    <w:rsid w:val="009A7294"/>
    <w:rsid w:val="009A7388"/>
    <w:rsid w:val="009B052B"/>
    <w:rsid w:val="009B13A9"/>
    <w:rsid w:val="009B17AC"/>
    <w:rsid w:val="009B1D37"/>
    <w:rsid w:val="009B2243"/>
    <w:rsid w:val="009B27CC"/>
    <w:rsid w:val="009B30C9"/>
    <w:rsid w:val="009B3123"/>
    <w:rsid w:val="009B38DF"/>
    <w:rsid w:val="009B3AFD"/>
    <w:rsid w:val="009B3B9A"/>
    <w:rsid w:val="009B4710"/>
    <w:rsid w:val="009B4B11"/>
    <w:rsid w:val="009B4B9F"/>
    <w:rsid w:val="009B515A"/>
    <w:rsid w:val="009B5B25"/>
    <w:rsid w:val="009B5F11"/>
    <w:rsid w:val="009B600B"/>
    <w:rsid w:val="009B6417"/>
    <w:rsid w:val="009B6FB6"/>
    <w:rsid w:val="009B70A6"/>
    <w:rsid w:val="009B71AA"/>
    <w:rsid w:val="009B75E2"/>
    <w:rsid w:val="009B76BA"/>
    <w:rsid w:val="009B7888"/>
    <w:rsid w:val="009B7C26"/>
    <w:rsid w:val="009C0126"/>
    <w:rsid w:val="009C04EF"/>
    <w:rsid w:val="009C0A53"/>
    <w:rsid w:val="009C120A"/>
    <w:rsid w:val="009C132B"/>
    <w:rsid w:val="009C1437"/>
    <w:rsid w:val="009C1629"/>
    <w:rsid w:val="009C1C0D"/>
    <w:rsid w:val="009C1DA9"/>
    <w:rsid w:val="009C20D2"/>
    <w:rsid w:val="009C211A"/>
    <w:rsid w:val="009C22B5"/>
    <w:rsid w:val="009C22DC"/>
    <w:rsid w:val="009C2339"/>
    <w:rsid w:val="009C2572"/>
    <w:rsid w:val="009C2720"/>
    <w:rsid w:val="009C27F8"/>
    <w:rsid w:val="009C2A37"/>
    <w:rsid w:val="009C2F5A"/>
    <w:rsid w:val="009C316F"/>
    <w:rsid w:val="009C353C"/>
    <w:rsid w:val="009C3862"/>
    <w:rsid w:val="009C3E4A"/>
    <w:rsid w:val="009C4002"/>
    <w:rsid w:val="009C521D"/>
    <w:rsid w:val="009C5796"/>
    <w:rsid w:val="009C5D61"/>
    <w:rsid w:val="009C5DAD"/>
    <w:rsid w:val="009C68F5"/>
    <w:rsid w:val="009D0A75"/>
    <w:rsid w:val="009D0E1B"/>
    <w:rsid w:val="009D0E31"/>
    <w:rsid w:val="009D1325"/>
    <w:rsid w:val="009D270B"/>
    <w:rsid w:val="009D2B8F"/>
    <w:rsid w:val="009D2BFE"/>
    <w:rsid w:val="009D2C04"/>
    <w:rsid w:val="009D2C0B"/>
    <w:rsid w:val="009D3130"/>
    <w:rsid w:val="009D325A"/>
    <w:rsid w:val="009D3CD6"/>
    <w:rsid w:val="009D402C"/>
    <w:rsid w:val="009D46F0"/>
    <w:rsid w:val="009D57B3"/>
    <w:rsid w:val="009D5F64"/>
    <w:rsid w:val="009D5FFF"/>
    <w:rsid w:val="009D6281"/>
    <w:rsid w:val="009D667B"/>
    <w:rsid w:val="009D67E2"/>
    <w:rsid w:val="009D6C2D"/>
    <w:rsid w:val="009D6EFB"/>
    <w:rsid w:val="009D71AC"/>
    <w:rsid w:val="009D7609"/>
    <w:rsid w:val="009D7ADE"/>
    <w:rsid w:val="009E00E0"/>
    <w:rsid w:val="009E055B"/>
    <w:rsid w:val="009E1592"/>
    <w:rsid w:val="009E279A"/>
    <w:rsid w:val="009E292B"/>
    <w:rsid w:val="009E3FF0"/>
    <w:rsid w:val="009E447C"/>
    <w:rsid w:val="009E4CE0"/>
    <w:rsid w:val="009E4D41"/>
    <w:rsid w:val="009E53D7"/>
    <w:rsid w:val="009E55B5"/>
    <w:rsid w:val="009E58F3"/>
    <w:rsid w:val="009E62C9"/>
    <w:rsid w:val="009E649A"/>
    <w:rsid w:val="009E6E9B"/>
    <w:rsid w:val="009E7181"/>
    <w:rsid w:val="009E7CA1"/>
    <w:rsid w:val="009E7F15"/>
    <w:rsid w:val="009F021C"/>
    <w:rsid w:val="009F14C2"/>
    <w:rsid w:val="009F1718"/>
    <w:rsid w:val="009F1F99"/>
    <w:rsid w:val="009F257F"/>
    <w:rsid w:val="009F262B"/>
    <w:rsid w:val="009F277B"/>
    <w:rsid w:val="009F28BC"/>
    <w:rsid w:val="009F2F33"/>
    <w:rsid w:val="009F342F"/>
    <w:rsid w:val="009F3727"/>
    <w:rsid w:val="009F3E26"/>
    <w:rsid w:val="009F3E94"/>
    <w:rsid w:val="009F45BA"/>
    <w:rsid w:val="009F4E53"/>
    <w:rsid w:val="009F4EBA"/>
    <w:rsid w:val="009F5922"/>
    <w:rsid w:val="009F6162"/>
    <w:rsid w:val="009F64E8"/>
    <w:rsid w:val="009F6517"/>
    <w:rsid w:val="009F746D"/>
    <w:rsid w:val="009F7B88"/>
    <w:rsid w:val="009F7DA2"/>
    <w:rsid w:val="00A0056E"/>
    <w:rsid w:val="00A00CDB"/>
    <w:rsid w:val="00A011CA"/>
    <w:rsid w:val="00A0152C"/>
    <w:rsid w:val="00A01D6E"/>
    <w:rsid w:val="00A0204F"/>
    <w:rsid w:val="00A02462"/>
    <w:rsid w:val="00A025F9"/>
    <w:rsid w:val="00A02750"/>
    <w:rsid w:val="00A02B92"/>
    <w:rsid w:val="00A0316B"/>
    <w:rsid w:val="00A032F8"/>
    <w:rsid w:val="00A033D4"/>
    <w:rsid w:val="00A03452"/>
    <w:rsid w:val="00A038B0"/>
    <w:rsid w:val="00A03BD2"/>
    <w:rsid w:val="00A0415E"/>
    <w:rsid w:val="00A0433B"/>
    <w:rsid w:val="00A04586"/>
    <w:rsid w:val="00A04A26"/>
    <w:rsid w:val="00A05088"/>
    <w:rsid w:val="00A05528"/>
    <w:rsid w:val="00A05F3D"/>
    <w:rsid w:val="00A06EFF"/>
    <w:rsid w:val="00A07290"/>
    <w:rsid w:val="00A07C45"/>
    <w:rsid w:val="00A07E27"/>
    <w:rsid w:val="00A07EA6"/>
    <w:rsid w:val="00A07F14"/>
    <w:rsid w:val="00A117BC"/>
    <w:rsid w:val="00A117F0"/>
    <w:rsid w:val="00A11B63"/>
    <w:rsid w:val="00A12508"/>
    <w:rsid w:val="00A12859"/>
    <w:rsid w:val="00A12B8D"/>
    <w:rsid w:val="00A133E9"/>
    <w:rsid w:val="00A137E9"/>
    <w:rsid w:val="00A14304"/>
    <w:rsid w:val="00A144A5"/>
    <w:rsid w:val="00A14533"/>
    <w:rsid w:val="00A14805"/>
    <w:rsid w:val="00A149E4"/>
    <w:rsid w:val="00A1606C"/>
    <w:rsid w:val="00A165AC"/>
    <w:rsid w:val="00A16D58"/>
    <w:rsid w:val="00A173E4"/>
    <w:rsid w:val="00A177DD"/>
    <w:rsid w:val="00A17EC3"/>
    <w:rsid w:val="00A21CFA"/>
    <w:rsid w:val="00A21E1B"/>
    <w:rsid w:val="00A2230F"/>
    <w:rsid w:val="00A2255A"/>
    <w:rsid w:val="00A22BE6"/>
    <w:rsid w:val="00A22E34"/>
    <w:rsid w:val="00A2339F"/>
    <w:rsid w:val="00A24E35"/>
    <w:rsid w:val="00A26A37"/>
    <w:rsid w:val="00A26E78"/>
    <w:rsid w:val="00A27327"/>
    <w:rsid w:val="00A27992"/>
    <w:rsid w:val="00A27B29"/>
    <w:rsid w:val="00A30E36"/>
    <w:rsid w:val="00A313B2"/>
    <w:rsid w:val="00A31D1D"/>
    <w:rsid w:val="00A31EE3"/>
    <w:rsid w:val="00A32DBC"/>
    <w:rsid w:val="00A33020"/>
    <w:rsid w:val="00A33D7C"/>
    <w:rsid w:val="00A3406D"/>
    <w:rsid w:val="00A34665"/>
    <w:rsid w:val="00A3489A"/>
    <w:rsid w:val="00A351E0"/>
    <w:rsid w:val="00A35648"/>
    <w:rsid w:val="00A361B4"/>
    <w:rsid w:val="00A36A1E"/>
    <w:rsid w:val="00A37AE5"/>
    <w:rsid w:val="00A4001E"/>
    <w:rsid w:val="00A408BC"/>
    <w:rsid w:val="00A40D08"/>
    <w:rsid w:val="00A41059"/>
    <w:rsid w:val="00A41C55"/>
    <w:rsid w:val="00A41D47"/>
    <w:rsid w:val="00A424B2"/>
    <w:rsid w:val="00A4385F"/>
    <w:rsid w:val="00A439F5"/>
    <w:rsid w:val="00A43B97"/>
    <w:rsid w:val="00A45447"/>
    <w:rsid w:val="00A45A7C"/>
    <w:rsid w:val="00A45D12"/>
    <w:rsid w:val="00A4614C"/>
    <w:rsid w:val="00A46716"/>
    <w:rsid w:val="00A46C6E"/>
    <w:rsid w:val="00A47670"/>
    <w:rsid w:val="00A47A79"/>
    <w:rsid w:val="00A50668"/>
    <w:rsid w:val="00A5111D"/>
    <w:rsid w:val="00A515CA"/>
    <w:rsid w:val="00A51AD1"/>
    <w:rsid w:val="00A522FF"/>
    <w:rsid w:val="00A526CB"/>
    <w:rsid w:val="00A528DE"/>
    <w:rsid w:val="00A53334"/>
    <w:rsid w:val="00A535E5"/>
    <w:rsid w:val="00A54771"/>
    <w:rsid w:val="00A54BCE"/>
    <w:rsid w:val="00A54CEC"/>
    <w:rsid w:val="00A54D02"/>
    <w:rsid w:val="00A54D03"/>
    <w:rsid w:val="00A54E6B"/>
    <w:rsid w:val="00A5572B"/>
    <w:rsid w:val="00A55CD9"/>
    <w:rsid w:val="00A55ED3"/>
    <w:rsid w:val="00A56213"/>
    <w:rsid w:val="00A568C8"/>
    <w:rsid w:val="00A57678"/>
    <w:rsid w:val="00A577D6"/>
    <w:rsid w:val="00A57B4B"/>
    <w:rsid w:val="00A60AA3"/>
    <w:rsid w:val="00A60CD4"/>
    <w:rsid w:val="00A61C08"/>
    <w:rsid w:val="00A61CFB"/>
    <w:rsid w:val="00A61DAC"/>
    <w:rsid w:val="00A623FC"/>
    <w:rsid w:val="00A62A14"/>
    <w:rsid w:val="00A62B70"/>
    <w:rsid w:val="00A62C0F"/>
    <w:rsid w:val="00A63116"/>
    <w:rsid w:val="00A63413"/>
    <w:rsid w:val="00A63416"/>
    <w:rsid w:val="00A637CB"/>
    <w:rsid w:val="00A63E05"/>
    <w:rsid w:val="00A649F4"/>
    <w:rsid w:val="00A6518A"/>
    <w:rsid w:val="00A656AD"/>
    <w:rsid w:val="00A658D5"/>
    <w:rsid w:val="00A65CEE"/>
    <w:rsid w:val="00A700A9"/>
    <w:rsid w:val="00A710E4"/>
    <w:rsid w:val="00A71B41"/>
    <w:rsid w:val="00A72A47"/>
    <w:rsid w:val="00A7356F"/>
    <w:rsid w:val="00A73A0E"/>
    <w:rsid w:val="00A73C52"/>
    <w:rsid w:val="00A73CA3"/>
    <w:rsid w:val="00A7412F"/>
    <w:rsid w:val="00A743AC"/>
    <w:rsid w:val="00A74FDE"/>
    <w:rsid w:val="00A753B8"/>
    <w:rsid w:val="00A757DF"/>
    <w:rsid w:val="00A7591D"/>
    <w:rsid w:val="00A75A91"/>
    <w:rsid w:val="00A75AC1"/>
    <w:rsid w:val="00A75DE5"/>
    <w:rsid w:val="00A75FA1"/>
    <w:rsid w:val="00A76320"/>
    <w:rsid w:val="00A76338"/>
    <w:rsid w:val="00A7704A"/>
    <w:rsid w:val="00A77397"/>
    <w:rsid w:val="00A80625"/>
    <w:rsid w:val="00A80C8B"/>
    <w:rsid w:val="00A81036"/>
    <w:rsid w:val="00A812F2"/>
    <w:rsid w:val="00A81ED1"/>
    <w:rsid w:val="00A82A3B"/>
    <w:rsid w:val="00A82B94"/>
    <w:rsid w:val="00A83A18"/>
    <w:rsid w:val="00A83A29"/>
    <w:rsid w:val="00A83D74"/>
    <w:rsid w:val="00A83E04"/>
    <w:rsid w:val="00A83F86"/>
    <w:rsid w:val="00A8448E"/>
    <w:rsid w:val="00A8465D"/>
    <w:rsid w:val="00A857B4"/>
    <w:rsid w:val="00A85B14"/>
    <w:rsid w:val="00A85D03"/>
    <w:rsid w:val="00A85E2C"/>
    <w:rsid w:val="00A862AB"/>
    <w:rsid w:val="00A86DAC"/>
    <w:rsid w:val="00A87E04"/>
    <w:rsid w:val="00A901C6"/>
    <w:rsid w:val="00A902F5"/>
    <w:rsid w:val="00A90553"/>
    <w:rsid w:val="00A90E97"/>
    <w:rsid w:val="00A90ED1"/>
    <w:rsid w:val="00A90F65"/>
    <w:rsid w:val="00A915D0"/>
    <w:rsid w:val="00A91A8A"/>
    <w:rsid w:val="00A91B99"/>
    <w:rsid w:val="00A9248A"/>
    <w:rsid w:val="00A936D2"/>
    <w:rsid w:val="00A936E2"/>
    <w:rsid w:val="00A93BA9"/>
    <w:rsid w:val="00A9408C"/>
    <w:rsid w:val="00A94348"/>
    <w:rsid w:val="00A9456C"/>
    <w:rsid w:val="00A94812"/>
    <w:rsid w:val="00A94B1A"/>
    <w:rsid w:val="00A94F90"/>
    <w:rsid w:val="00A94FD6"/>
    <w:rsid w:val="00A954CA"/>
    <w:rsid w:val="00A95B47"/>
    <w:rsid w:val="00A95F6C"/>
    <w:rsid w:val="00A96136"/>
    <w:rsid w:val="00A96915"/>
    <w:rsid w:val="00A96A40"/>
    <w:rsid w:val="00A96AED"/>
    <w:rsid w:val="00A96D3A"/>
    <w:rsid w:val="00A97758"/>
    <w:rsid w:val="00A97A05"/>
    <w:rsid w:val="00AA06A2"/>
    <w:rsid w:val="00AA0996"/>
    <w:rsid w:val="00AA133E"/>
    <w:rsid w:val="00AA18A4"/>
    <w:rsid w:val="00AA1CC0"/>
    <w:rsid w:val="00AA2660"/>
    <w:rsid w:val="00AA2A27"/>
    <w:rsid w:val="00AA2A88"/>
    <w:rsid w:val="00AA30AC"/>
    <w:rsid w:val="00AA3598"/>
    <w:rsid w:val="00AA584F"/>
    <w:rsid w:val="00AA5CEC"/>
    <w:rsid w:val="00AA6945"/>
    <w:rsid w:val="00AA6ABD"/>
    <w:rsid w:val="00AA7BBB"/>
    <w:rsid w:val="00AB104A"/>
    <w:rsid w:val="00AB14D5"/>
    <w:rsid w:val="00AB22A8"/>
    <w:rsid w:val="00AB24BA"/>
    <w:rsid w:val="00AB3820"/>
    <w:rsid w:val="00AB4D94"/>
    <w:rsid w:val="00AB5136"/>
    <w:rsid w:val="00AB51FA"/>
    <w:rsid w:val="00AB59D4"/>
    <w:rsid w:val="00AB6D6C"/>
    <w:rsid w:val="00AB6E69"/>
    <w:rsid w:val="00AB7157"/>
    <w:rsid w:val="00AB7575"/>
    <w:rsid w:val="00AB76DF"/>
    <w:rsid w:val="00AB7E91"/>
    <w:rsid w:val="00AC0327"/>
    <w:rsid w:val="00AC16FE"/>
    <w:rsid w:val="00AC1DCA"/>
    <w:rsid w:val="00AC261A"/>
    <w:rsid w:val="00AC29CF"/>
    <w:rsid w:val="00AC2AE4"/>
    <w:rsid w:val="00AC3264"/>
    <w:rsid w:val="00AC39CF"/>
    <w:rsid w:val="00AC3A26"/>
    <w:rsid w:val="00AC3C20"/>
    <w:rsid w:val="00AC3C8E"/>
    <w:rsid w:val="00AC404F"/>
    <w:rsid w:val="00AC4B62"/>
    <w:rsid w:val="00AC4CEF"/>
    <w:rsid w:val="00AC5198"/>
    <w:rsid w:val="00AC53FE"/>
    <w:rsid w:val="00AC5BC8"/>
    <w:rsid w:val="00AC5DB8"/>
    <w:rsid w:val="00AC6058"/>
    <w:rsid w:val="00AC65AC"/>
    <w:rsid w:val="00AC6611"/>
    <w:rsid w:val="00AC6996"/>
    <w:rsid w:val="00AC751D"/>
    <w:rsid w:val="00AC76B6"/>
    <w:rsid w:val="00AC79B9"/>
    <w:rsid w:val="00AC7B39"/>
    <w:rsid w:val="00AD05A2"/>
    <w:rsid w:val="00AD0A06"/>
    <w:rsid w:val="00AD0AC8"/>
    <w:rsid w:val="00AD0D7B"/>
    <w:rsid w:val="00AD0E1B"/>
    <w:rsid w:val="00AD115A"/>
    <w:rsid w:val="00AD1415"/>
    <w:rsid w:val="00AD17FC"/>
    <w:rsid w:val="00AD1CB2"/>
    <w:rsid w:val="00AD208B"/>
    <w:rsid w:val="00AD2F20"/>
    <w:rsid w:val="00AD39CB"/>
    <w:rsid w:val="00AD414A"/>
    <w:rsid w:val="00AD419A"/>
    <w:rsid w:val="00AD442F"/>
    <w:rsid w:val="00AD4628"/>
    <w:rsid w:val="00AD5CBC"/>
    <w:rsid w:val="00AD5FDE"/>
    <w:rsid w:val="00AD7064"/>
    <w:rsid w:val="00AE07C1"/>
    <w:rsid w:val="00AE0AB9"/>
    <w:rsid w:val="00AE0C6D"/>
    <w:rsid w:val="00AE0F69"/>
    <w:rsid w:val="00AE1265"/>
    <w:rsid w:val="00AE15BA"/>
    <w:rsid w:val="00AE1A64"/>
    <w:rsid w:val="00AE236F"/>
    <w:rsid w:val="00AE2934"/>
    <w:rsid w:val="00AE343C"/>
    <w:rsid w:val="00AE36B2"/>
    <w:rsid w:val="00AE3B4C"/>
    <w:rsid w:val="00AE3C0D"/>
    <w:rsid w:val="00AE3CAE"/>
    <w:rsid w:val="00AE3D02"/>
    <w:rsid w:val="00AE4234"/>
    <w:rsid w:val="00AE4A76"/>
    <w:rsid w:val="00AE4ACD"/>
    <w:rsid w:val="00AE565A"/>
    <w:rsid w:val="00AE5D3A"/>
    <w:rsid w:val="00AE601F"/>
    <w:rsid w:val="00AE7811"/>
    <w:rsid w:val="00AF03C4"/>
    <w:rsid w:val="00AF0E93"/>
    <w:rsid w:val="00AF2021"/>
    <w:rsid w:val="00AF368D"/>
    <w:rsid w:val="00AF3AEA"/>
    <w:rsid w:val="00AF3F08"/>
    <w:rsid w:val="00AF5069"/>
    <w:rsid w:val="00AF5BE1"/>
    <w:rsid w:val="00AF6090"/>
    <w:rsid w:val="00AF684F"/>
    <w:rsid w:val="00B01370"/>
    <w:rsid w:val="00B01BCD"/>
    <w:rsid w:val="00B01DD1"/>
    <w:rsid w:val="00B01ED5"/>
    <w:rsid w:val="00B023E5"/>
    <w:rsid w:val="00B0248B"/>
    <w:rsid w:val="00B024CB"/>
    <w:rsid w:val="00B02BAE"/>
    <w:rsid w:val="00B030B4"/>
    <w:rsid w:val="00B038AD"/>
    <w:rsid w:val="00B03F27"/>
    <w:rsid w:val="00B05550"/>
    <w:rsid w:val="00B05650"/>
    <w:rsid w:val="00B06500"/>
    <w:rsid w:val="00B068DD"/>
    <w:rsid w:val="00B06BD7"/>
    <w:rsid w:val="00B07505"/>
    <w:rsid w:val="00B0755A"/>
    <w:rsid w:val="00B100A4"/>
    <w:rsid w:val="00B103DC"/>
    <w:rsid w:val="00B10DCC"/>
    <w:rsid w:val="00B11133"/>
    <w:rsid w:val="00B11964"/>
    <w:rsid w:val="00B11A0C"/>
    <w:rsid w:val="00B11B19"/>
    <w:rsid w:val="00B11D74"/>
    <w:rsid w:val="00B121EB"/>
    <w:rsid w:val="00B122EB"/>
    <w:rsid w:val="00B1279F"/>
    <w:rsid w:val="00B129DF"/>
    <w:rsid w:val="00B12FA5"/>
    <w:rsid w:val="00B13ACE"/>
    <w:rsid w:val="00B14BE1"/>
    <w:rsid w:val="00B15982"/>
    <w:rsid w:val="00B16406"/>
    <w:rsid w:val="00B166B0"/>
    <w:rsid w:val="00B17107"/>
    <w:rsid w:val="00B2034F"/>
    <w:rsid w:val="00B21124"/>
    <w:rsid w:val="00B21412"/>
    <w:rsid w:val="00B21FCF"/>
    <w:rsid w:val="00B222C9"/>
    <w:rsid w:val="00B22353"/>
    <w:rsid w:val="00B22506"/>
    <w:rsid w:val="00B22A06"/>
    <w:rsid w:val="00B23C45"/>
    <w:rsid w:val="00B23E74"/>
    <w:rsid w:val="00B24C6F"/>
    <w:rsid w:val="00B25597"/>
    <w:rsid w:val="00B2559C"/>
    <w:rsid w:val="00B26375"/>
    <w:rsid w:val="00B26D29"/>
    <w:rsid w:val="00B26DA1"/>
    <w:rsid w:val="00B2701F"/>
    <w:rsid w:val="00B2712B"/>
    <w:rsid w:val="00B27652"/>
    <w:rsid w:val="00B27C7C"/>
    <w:rsid w:val="00B27DFC"/>
    <w:rsid w:val="00B27F3C"/>
    <w:rsid w:val="00B30A06"/>
    <w:rsid w:val="00B30A9F"/>
    <w:rsid w:val="00B3105A"/>
    <w:rsid w:val="00B311F5"/>
    <w:rsid w:val="00B31381"/>
    <w:rsid w:val="00B31621"/>
    <w:rsid w:val="00B31FAD"/>
    <w:rsid w:val="00B32086"/>
    <w:rsid w:val="00B32C12"/>
    <w:rsid w:val="00B32CF2"/>
    <w:rsid w:val="00B32DE2"/>
    <w:rsid w:val="00B33264"/>
    <w:rsid w:val="00B335EF"/>
    <w:rsid w:val="00B33BD2"/>
    <w:rsid w:val="00B34843"/>
    <w:rsid w:val="00B348E5"/>
    <w:rsid w:val="00B34B19"/>
    <w:rsid w:val="00B35481"/>
    <w:rsid w:val="00B35967"/>
    <w:rsid w:val="00B35FD0"/>
    <w:rsid w:val="00B3625B"/>
    <w:rsid w:val="00B364A5"/>
    <w:rsid w:val="00B36537"/>
    <w:rsid w:val="00B3663A"/>
    <w:rsid w:val="00B369BE"/>
    <w:rsid w:val="00B36E7F"/>
    <w:rsid w:val="00B37663"/>
    <w:rsid w:val="00B40C55"/>
    <w:rsid w:val="00B40F48"/>
    <w:rsid w:val="00B41A73"/>
    <w:rsid w:val="00B41F4C"/>
    <w:rsid w:val="00B42C32"/>
    <w:rsid w:val="00B42CE9"/>
    <w:rsid w:val="00B434C8"/>
    <w:rsid w:val="00B4399A"/>
    <w:rsid w:val="00B439FF"/>
    <w:rsid w:val="00B44422"/>
    <w:rsid w:val="00B44749"/>
    <w:rsid w:val="00B45766"/>
    <w:rsid w:val="00B457EB"/>
    <w:rsid w:val="00B463DA"/>
    <w:rsid w:val="00B4689F"/>
    <w:rsid w:val="00B468EF"/>
    <w:rsid w:val="00B4710E"/>
    <w:rsid w:val="00B4749C"/>
    <w:rsid w:val="00B47711"/>
    <w:rsid w:val="00B47EBE"/>
    <w:rsid w:val="00B50D6A"/>
    <w:rsid w:val="00B515D9"/>
    <w:rsid w:val="00B51A53"/>
    <w:rsid w:val="00B52036"/>
    <w:rsid w:val="00B52209"/>
    <w:rsid w:val="00B52ADB"/>
    <w:rsid w:val="00B53500"/>
    <w:rsid w:val="00B53B4F"/>
    <w:rsid w:val="00B53DCB"/>
    <w:rsid w:val="00B53F71"/>
    <w:rsid w:val="00B5438D"/>
    <w:rsid w:val="00B54C30"/>
    <w:rsid w:val="00B55D40"/>
    <w:rsid w:val="00B562FE"/>
    <w:rsid w:val="00B5633A"/>
    <w:rsid w:val="00B56BB4"/>
    <w:rsid w:val="00B57055"/>
    <w:rsid w:val="00B572D4"/>
    <w:rsid w:val="00B57E36"/>
    <w:rsid w:val="00B6022B"/>
    <w:rsid w:val="00B61C27"/>
    <w:rsid w:val="00B621E1"/>
    <w:rsid w:val="00B62A7D"/>
    <w:rsid w:val="00B62ED8"/>
    <w:rsid w:val="00B63510"/>
    <w:rsid w:val="00B63B50"/>
    <w:rsid w:val="00B6438A"/>
    <w:rsid w:val="00B652E7"/>
    <w:rsid w:val="00B662C5"/>
    <w:rsid w:val="00B662D7"/>
    <w:rsid w:val="00B66304"/>
    <w:rsid w:val="00B663B4"/>
    <w:rsid w:val="00B66A72"/>
    <w:rsid w:val="00B67301"/>
    <w:rsid w:val="00B70066"/>
    <w:rsid w:val="00B7043D"/>
    <w:rsid w:val="00B7084E"/>
    <w:rsid w:val="00B71012"/>
    <w:rsid w:val="00B71737"/>
    <w:rsid w:val="00B71831"/>
    <w:rsid w:val="00B71860"/>
    <w:rsid w:val="00B71B08"/>
    <w:rsid w:val="00B723A8"/>
    <w:rsid w:val="00B727AF"/>
    <w:rsid w:val="00B731F8"/>
    <w:rsid w:val="00B73726"/>
    <w:rsid w:val="00B7375D"/>
    <w:rsid w:val="00B74230"/>
    <w:rsid w:val="00B74345"/>
    <w:rsid w:val="00B74F04"/>
    <w:rsid w:val="00B758D0"/>
    <w:rsid w:val="00B75A00"/>
    <w:rsid w:val="00B761BA"/>
    <w:rsid w:val="00B76258"/>
    <w:rsid w:val="00B7677C"/>
    <w:rsid w:val="00B76B7D"/>
    <w:rsid w:val="00B7721B"/>
    <w:rsid w:val="00B77A23"/>
    <w:rsid w:val="00B77C71"/>
    <w:rsid w:val="00B80122"/>
    <w:rsid w:val="00B80922"/>
    <w:rsid w:val="00B80E55"/>
    <w:rsid w:val="00B80E9C"/>
    <w:rsid w:val="00B81992"/>
    <w:rsid w:val="00B81A62"/>
    <w:rsid w:val="00B81C3D"/>
    <w:rsid w:val="00B81C8E"/>
    <w:rsid w:val="00B829A8"/>
    <w:rsid w:val="00B82B28"/>
    <w:rsid w:val="00B82E22"/>
    <w:rsid w:val="00B82F6E"/>
    <w:rsid w:val="00B83684"/>
    <w:rsid w:val="00B83A1A"/>
    <w:rsid w:val="00B846B5"/>
    <w:rsid w:val="00B85690"/>
    <w:rsid w:val="00B8622E"/>
    <w:rsid w:val="00B8626B"/>
    <w:rsid w:val="00B865B3"/>
    <w:rsid w:val="00B87212"/>
    <w:rsid w:val="00B87E95"/>
    <w:rsid w:val="00B90286"/>
    <w:rsid w:val="00B906FA"/>
    <w:rsid w:val="00B91F0E"/>
    <w:rsid w:val="00B91F43"/>
    <w:rsid w:val="00B93694"/>
    <w:rsid w:val="00B9392B"/>
    <w:rsid w:val="00B93C88"/>
    <w:rsid w:val="00B94551"/>
    <w:rsid w:val="00B94A62"/>
    <w:rsid w:val="00B9501C"/>
    <w:rsid w:val="00B955F2"/>
    <w:rsid w:val="00B96C77"/>
    <w:rsid w:val="00B97E6D"/>
    <w:rsid w:val="00B9F6AA"/>
    <w:rsid w:val="00BA0266"/>
    <w:rsid w:val="00BA041F"/>
    <w:rsid w:val="00BA0A2C"/>
    <w:rsid w:val="00BA18F1"/>
    <w:rsid w:val="00BA19E8"/>
    <w:rsid w:val="00BA1FA3"/>
    <w:rsid w:val="00BA25D2"/>
    <w:rsid w:val="00BA33D2"/>
    <w:rsid w:val="00BA34B2"/>
    <w:rsid w:val="00BA362E"/>
    <w:rsid w:val="00BA3CF6"/>
    <w:rsid w:val="00BA4323"/>
    <w:rsid w:val="00BA45F7"/>
    <w:rsid w:val="00BA4853"/>
    <w:rsid w:val="00BA53B6"/>
    <w:rsid w:val="00BA5B37"/>
    <w:rsid w:val="00BA5C0C"/>
    <w:rsid w:val="00BA5C4E"/>
    <w:rsid w:val="00BA6A7C"/>
    <w:rsid w:val="00BA739F"/>
    <w:rsid w:val="00BA750B"/>
    <w:rsid w:val="00BA7530"/>
    <w:rsid w:val="00BAFBD3"/>
    <w:rsid w:val="00BB0B31"/>
    <w:rsid w:val="00BB158C"/>
    <w:rsid w:val="00BB19CD"/>
    <w:rsid w:val="00BB1B1D"/>
    <w:rsid w:val="00BB22F9"/>
    <w:rsid w:val="00BB282A"/>
    <w:rsid w:val="00BB2C5E"/>
    <w:rsid w:val="00BB2DA8"/>
    <w:rsid w:val="00BB2DC0"/>
    <w:rsid w:val="00BB2EDA"/>
    <w:rsid w:val="00BB32AD"/>
    <w:rsid w:val="00BB3BD9"/>
    <w:rsid w:val="00BB4BF4"/>
    <w:rsid w:val="00BB4D2B"/>
    <w:rsid w:val="00BB717F"/>
    <w:rsid w:val="00BB7767"/>
    <w:rsid w:val="00BB7CDD"/>
    <w:rsid w:val="00BB7D2C"/>
    <w:rsid w:val="00BB7FD6"/>
    <w:rsid w:val="00BC03B9"/>
    <w:rsid w:val="00BC07A3"/>
    <w:rsid w:val="00BC09D3"/>
    <w:rsid w:val="00BC1626"/>
    <w:rsid w:val="00BC181C"/>
    <w:rsid w:val="00BC1AE0"/>
    <w:rsid w:val="00BC1D05"/>
    <w:rsid w:val="00BC2F34"/>
    <w:rsid w:val="00BC30F3"/>
    <w:rsid w:val="00BC3D43"/>
    <w:rsid w:val="00BC44AF"/>
    <w:rsid w:val="00BC4820"/>
    <w:rsid w:val="00BC523F"/>
    <w:rsid w:val="00BC5498"/>
    <w:rsid w:val="00BC595A"/>
    <w:rsid w:val="00BC5B76"/>
    <w:rsid w:val="00BC6080"/>
    <w:rsid w:val="00BC63C9"/>
    <w:rsid w:val="00BC69D5"/>
    <w:rsid w:val="00BC6B42"/>
    <w:rsid w:val="00BC6FC4"/>
    <w:rsid w:val="00BC739C"/>
    <w:rsid w:val="00BC773D"/>
    <w:rsid w:val="00BC7E4F"/>
    <w:rsid w:val="00BD0C38"/>
    <w:rsid w:val="00BD0E46"/>
    <w:rsid w:val="00BD1726"/>
    <w:rsid w:val="00BD1916"/>
    <w:rsid w:val="00BD21D8"/>
    <w:rsid w:val="00BD22E2"/>
    <w:rsid w:val="00BD265A"/>
    <w:rsid w:val="00BD28C2"/>
    <w:rsid w:val="00BD334A"/>
    <w:rsid w:val="00BD33B3"/>
    <w:rsid w:val="00BD385C"/>
    <w:rsid w:val="00BD534C"/>
    <w:rsid w:val="00BD5953"/>
    <w:rsid w:val="00BD59AD"/>
    <w:rsid w:val="00BD5E18"/>
    <w:rsid w:val="00BD6155"/>
    <w:rsid w:val="00BD65DD"/>
    <w:rsid w:val="00BD6DC0"/>
    <w:rsid w:val="00BD6F4E"/>
    <w:rsid w:val="00BD73A2"/>
    <w:rsid w:val="00BD7724"/>
    <w:rsid w:val="00BD77B3"/>
    <w:rsid w:val="00BD77C8"/>
    <w:rsid w:val="00BD796E"/>
    <w:rsid w:val="00BE0168"/>
    <w:rsid w:val="00BE0545"/>
    <w:rsid w:val="00BE0A40"/>
    <w:rsid w:val="00BE0F39"/>
    <w:rsid w:val="00BE1947"/>
    <w:rsid w:val="00BE1DEC"/>
    <w:rsid w:val="00BE27CB"/>
    <w:rsid w:val="00BE3A55"/>
    <w:rsid w:val="00BE5FE7"/>
    <w:rsid w:val="00BE6036"/>
    <w:rsid w:val="00BE63E9"/>
    <w:rsid w:val="00BE729E"/>
    <w:rsid w:val="00BE7339"/>
    <w:rsid w:val="00BE79A0"/>
    <w:rsid w:val="00BF0218"/>
    <w:rsid w:val="00BF05E8"/>
    <w:rsid w:val="00BF10BD"/>
    <w:rsid w:val="00BF1326"/>
    <w:rsid w:val="00BF2C8F"/>
    <w:rsid w:val="00BF30A5"/>
    <w:rsid w:val="00BF311B"/>
    <w:rsid w:val="00BF3EBA"/>
    <w:rsid w:val="00BF41B5"/>
    <w:rsid w:val="00BF44B9"/>
    <w:rsid w:val="00BF47B2"/>
    <w:rsid w:val="00BF4822"/>
    <w:rsid w:val="00BF4AC2"/>
    <w:rsid w:val="00BF58FF"/>
    <w:rsid w:val="00BF68D0"/>
    <w:rsid w:val="00BF7A3F"/>
    <w:rsid w:val="00C0052E"/>
    <w:rsid w:val="00C01218"/>
    <w:rsid w:val="00C01BE0"/>
    <w:rsid w:val="00C020DC"/>
    <w:rsid w:val="00C02B9F"/>
    <w:rsid w:val="00C02D76"/>
    <w:rsid w:val="00C02DDF"/>
    <w:rsid w:val="00C02E96"/>
    <w:rsid w:val="00C03101"/>
    <w:rsid w:val="00C03226"/>
    <w:rsid w:val="00C034BB"/>
    <w:rsid w:val="00C041D9"/>
    <w:rsid w:val="00C04547"/>
    <w:rsid w:val="00C046CC"/>
    <w:rsid w:val="00C04A9F"/>
    <w:rsid w:val="00C04E28"/>
    <w:rsid w:val="00C06943"/>
    <w:rsid w:val="00C074D5"/>
    <w:rsid w:val="00C076B5"/>
    <w:rsid w:val="00C1009F"/>
    <w:rsid w:val="00C10200"/>
    <w:rsid w:val="00C10451"/>
    <w:rsid w:val="00C10AF1"/>
    <w:rsid w:val="00C10AFF"/>
    <w:rsid w:val="00C10C2C"/>
    <w:rsid w:val="00C1116A"/>
    <w:rsid w:val="00C113FB"/>
    <w:rsid w:val="00C11882"/>
    <w:rsid w:val="00C11FE3"/>
    <w:rsid w:val="00C12304"/>
    <w:rsid w:val="00C12EED"/>
    <w:rsid w:val="00C13AAB"/>
    <w:rsid w:val="00C14322"/>
    <w:rsid w:val="00C14616"/>
    <w:rsid w:val="00C14D12"/>
    <w:rsid w:val="00C14E14"/>
    <w:rsid w:val="00C154F8"/>
    <w:rsid w:val="00C15D6E"/>
    <w:rsid w:val="00C167B7"/>
    <w:rsid w:val="00C16B08"/>
    <w:rsid w:val="00C20015"/>
    <w:rsid w:val="00C207D9"/>
    <w:rsid w:val="00C209A3"/>
    <w:rsid w:val="00C2108E"/>
    <w:rsid w:val="00C21501"/>
    <w:rsid w:val="00C21543"/>
    <w:rsid w:val="00C21B60"/>
    <w:rsid w:val="00C21C3C"/>
    <w:rsid w:val="00C2211F"/>
    <w:rsid w:val="00C22E6E"/>
    <w:rsid w:val="00C23421"/>
    <w:rsid w:val="00C23FDB"/>
    <w:rsid w:val="00C24894"/>
    <w:rsid w:val="00C24F00"/>
    <w:rsid w:val="00C253B2"/>
    <w:rsid w:val="00C2582B"/>
    <w:rsid w:val="00C25E13"/>
    <w:rsid w:val="00C268C5"/>
    <w:rsid w:val="00C27490"/>
    <w:rsid w:val="00C274BD"/>
    <w:rsid w:val="00C279C5"/>
    <w:rsid w:val="00C3009D"/>
    <w:rsid w:val="00C30111"/>
    <w:rsid w:val="00C30679"/>
    <w:rsid w:val="00C32B0B"/>
    <w:rsid w:val="00C32C88"/>
    <w:rsid w:val="00C32E0A"/>
    <w:rsid w:val="00C32F8D"/>
    <w:rsid w:val="00C337FC"/>
    <w:rsid w:val="00C338A4"/>
    <w:rsid w:val="00C33B26"/>
    <w:rsid w:val="00C33C17"/>
    <w:rsid w:val="00C33D5D"/>
    <w:rsid w:val="00C346E3"/>
    <w:rsid w:val="00C347FD"/>
    <w:rsid w:val="00C34CE7"/>
    <w:rsid w:val="00C3524E"/>
    <w:rsid w:val="00C35DC4"/>
    <w:rsid w:val="00C364D7"/>
    <w:rsid w:val="00C37315"/>
    <w:rsid w:val="00C376EA"/>
    <w:rsid w:val="00C37F86"/>
    <w:rsid w:val="00C40195"/>
    <w:rsid w:val="00C40320"/>
    <w:rsid w:val="00C406C4"/>
    <w:rsid w:val="00C40744"/>
    <w:rsid w:val="00C40760"/>
    <w:rsid w:val="00C40C72"/>
    <w:rsid w:val="00C4164C"/>
    <w:rsid w:val="00C419E4"/>
    <w:rsid w:val="00C42251"/>
    <w:rsid w:val="00C42588"/>
    <w:rsid w:val="00C42D59"/>
    <w:rsid w:val="00C43F4E"/>
    <w:rsid w:val="00C443F5"/>
    <w:rsid w:val="00C44BB1"/>
    <w:rsid w:val="00C459A8"/>
    <w:rsid w:val="00C464CB"/>
    <w:rsid w:val="00C464F6"/>
    <w:rsid w:val="00C4653B"/>
    <w:rsid w:val="00C46C49"/>
    <w:rsid w:val="00C478A6"/>
    <w:rsid w:val="00C479CB"/>
    <w:rsid w:val="00C50476"/>
    <w:rsid w:val="00C504AB"/>
    <w:rsid w:val="00C519EA"/>
    <w:rsid w:val="00C51D50"/>
    <w:rsid w:val="00C52100"/>
    <w:rsid w:val="00C5218C"/>
    <w:rsid w:val="00C534FB"/>
    <w:rsid w:val="00C5350F"/>
    <w:rsid w:val="00C537A1"/>
    <w:rsid w:val="00C538E8"/>
    <w:rsid w:val="00C54157"/>
    <w:rsid w:val="00C541B5"/>
    <w:rsid w:val="00C5490B"/>
    <w:rsid w:val="00C552CD"/>
    <w:rsid w:val="00C557C0"/>
    <w:rsid w:val="00C566A8"/>
    <w:rsid w:val="00C5753D"/>
    <w:rsid w:val="00C57A88"/>
    <w:rsid w:val="00C57CD5"/>
    <w:rsid w:val="00C57CEA"/>
    <w:rsid w:val="00C60C8A"/>
    <w:rsid w:val="00C60E3E"/>
    <w:rsid w:val="00C60E8C"/>
    <w:rsid w:val="00C60EBF"/>
    <w:rsid w:val="00C61135"/>
    <w:rsid w:val="00C61237"/>
    <w:rsid w:val="00C612BA"/>
    <w:rsid w:val="00C6154C"/>
    <w:rsid w:val="00C616D2"/>
    <w:rsid w:val="00C629A8"/>
    <w:rsid w:val="00C62D9B"/>
    <w:rsid w:val="00C63135"/>
    <w:rsid w:val="00C63835"/>
    <w:rsid w:val="00C63BD5"/>
    <w:rsid w:val="00C63EB6"/>
    <w:rsid w:val="00C643E3"/>
    <w:rsid w:val="00C65585"/>
    <w:rsid w:val="00C65616"/>
    <w:rsid w:val="00C65AD0"/>
    <w:rsid w:val="00C65C38"/>
    <w:rsid w:val="00C65C3E"/>
    <w:rsid w:val="00C65DA4"/>
    <w:rsid w:val="00C66302"/>
    <w:rsid w:val="00C669D0"/>
    <w:rsid w:val="00C66B4C"/>
    <w:rsid w:val="00C67EAE"/>
    <w:rsid w:val="00C70A53"/>
    <w:rsid w:val="00C71081"/>
    <w:rsid w:val="00C71273"/>
    <w:rsid w:val="00C71428"/>
    <w:rsid w:val="00C71B67"/>
    <w:rsid w:val="00C71FEB"/>
    <w:rsid w:val="00C72976"/>
    <w:rsid w:val="00C72DEF"/>
    <w:rsid w:val="00C72F9A"/>
    <w:rsid w:val="00C72FB7"/>
    <w:rsid w:val="00C742D6"/>
    <w:rsid w:val="00C74983"/>
    <w:rsid w:val="00C74BD2"/>
    <w:rsid w:val="00C74FD6"/>
    <w:rsid w:val="00C761B1"/>
    <w:rsid w:val="00C76D97"/>
    <w:rsid w:val="00C7726F"/>
    <w:rsid w:val="00C80499"/>
    <w:rsid w:val="00C807C5"/>
    <w:rsid w:val="00C80B69"/>
    <w:rsid w:val="00C80D1D"/>
    <w:rsid w:val="00C81B71"/>
    <w:rsid w:val="00C824FD"/>
    <w:rsid w:val="00C828A2"/>
    <w:rsid w:val="00C8370C"/>
    <w:rsid w:val="00C83A21"/>
    <w:rsid w:val="00C83ACB"/>
    <w:rsid w:val="00C83C18"/>
    <w:rsid w:val="00C84046"/>
    <w:rsid w:val="00C84425"/>
    <w:rsid w:val="00C8443B"/>
    <w:rsid w:val="00C84803"/>
    <w:rsid w:val="00C85188"/>
    <w:rsid w:val="00C85369"/>
    <w:rsid w:val="00C853E2"/>
    <w:rsid w:val="00C85853"/>
    <w:rsid w:val="00C85B7E"/>
    <w:rsid w:val="00C8745A"/>
    <w:rsid w:val="00C8779C"/>
    <w:rsid w:val="00C87D6B"/>
    <w:rsid w:val="00C90168"/>
    <w:rsid w:val="00C9203C"/>
    <w:rsid w:val="00C92D58"/>
    <w:rsid w:val="00C92D59"/>
    <w:rsid w:val="00C93906"/>
    <w:rsid w:val="00C93E4E"/>
    <w:rsid w:val="00C945DE"/>
    <w:rsid w:val="00C95B21"/>
    <w:rsid w:val="00C968DE"/>
    <w:rsid w:val="00C96E6E"/>
    <w:rsid w:val="00C976F6"/>
    <w:rsid w:val="00CA0194"/>
    <w:rsid w:val="00CA0BF4"/>
    <w:rsid w:val="00CA0CCF"/>
    <w:rsid w:val="00CA0D55"/>
    <w:rsid w:val="00CA10D9"/>
    <w:rsid w:val="00CA1D1E"/>
    <w:rsid w:val="00CA1DFA"/>
    <w:rsid w:val="00CA22A4"/>
    <w:rsid w:val="00CA3066"/>
    <w:rsid w:val="00CA3176"/>
    <w:rsid w:val="00CA3865"/>
    <w:rsid w:val="00CA492B"/>
    <w:rsid w:val="00CA4ACE"/>
    <w:rsid w:val="00CA4B9A"/>
    <w:rsid w:val="00CA51D1"/>
    <w:rsid w:val="00CA5281"/>
    <w:rsid w:val="00CA548A"/>
    <w:rsid w:val="00CA5841"/>
    <w:rsid w:val="00CA5918"/>
    <w:rsid w:val="00CA6B91"/>
    <w:rsid w:val="00CA76DF"/>
    <w:rsid w:val="00CB0150"/>
    <w:rsid w:val="00CB0484"/>
    <w:rsid w:val="00CB220B"/>
    <w:rsid w:val="00CB2549"/>
    <w:rsid w:val="00CB262D"/>
    <w:rsid w:val="00CB2B57"/>
    <w:rsid w:val="00CB3082"/>
    <w:rsid w:val="00CB3299"/>
    <w:rsid w:val="00CB34E8"/>
    <w:rsid w:val="00CB3C34"/>
    <w:rsid w:val="00CB3CFC"/>
    <w:rsid w:val="00CB3E27"/>
    <w:rsid w:val="00CB4415"/>
    <w:rsid w:val="00CB4E18"/>
    <w:rsid w:val="00CB5676"/>
    <w:rsid w:val="00CB5899"/>
    <w:rsid w:val="00CB627E"/>
    <w:rsid w:val="00CB65F6"/>
    <w:rsid w:val="00CB6B92"/>
    <w:rsid w:val="00CB6BEE"/>
    <w:rsid w:val="00CB6F08"/>
    <w:rsid w:val="00CB70B6"/>
    <w:rsid w:val="00CB72DA"/>
    <w:rsid w:val="00CB7648"/>
    <w:rsid w:val="00CC0A0C"/>
    <w:rsid w:val="00CC0E42"/>
    <w:rsid w:val="00CC0F36"/>
    <w:rsid w:val="00CC1034"/>
    <w:rsid w:val="00CC1E75"/>
    <w:rsid w:val="00CC2179"/>
    <w:rsid w:val="00CC22B0"/>
    <w:rsid w:val="00CC2532"/>
    <w:rsid w:val="00CC2CC9"/>
    <w:rsid w:val="00CC3C91"/>
    <w:rsid w:val="00CC3E97"/>
    <w:rsid w:val="00CC409E"/>
    <w:rsid w:val="00CC4DC3"/>
    <w:rsid w:val="00CC5A7B"/>
    <w:rsid w:val="00CC5E00"/>
    <w:rsid w:val="00CC6AE0"/>
    <w:rsid w:val="00CD078D"/>
    <w:rsid w:val="00CD13BD"/>
    <w:rsid w:val="00CD1E90"/>
    <w:rsid w:val="00CD2472"/>
    <w:rsid w:val="00CD252A"/>
    <w:rsid w:val="00CD2F20"/>
    <w:rsid w:val="00CD2FA9"/>
    <w:rsid w:val="00CD338D"/>
    <w:rsid w:val="00CD383D"/>
    <w:rsid w:val="00CD3D78"/>
    <w:rsid w:val="00CD3F77"/>
    <w:rsid w:val="00CD4085"/>
    <w:rsid w:val="00CD5035"/>
    <w:rsid w:val="00CD5945"/>
    <w:rsid w:val="00CD66F2"/>
    <w:rsid w:val="00CD7551"/>
    <w:rsid w:val="00CE0E69"/>
    <w:rsid w:val="00CE2106"/>
    <w:rsid w:val="00CE22E0"/>
    <w:rsid w:val="00CE2D45"/>
    <w:rsid w:val="00CE2FD1"/>
    <w:rsid w:val="00CE323B"/>
    <w:rsid w:val="00CE34A9"/>
    <w:rsid w:val="00CE362F"/>
    <w:rsid w:val="00CE42DE"/>
    <w:rsid w:val="00CE4630"/>
    <w:rsid w:val="00CE4B33"/>
    <w:rsid w:val="00CE5187"/>
    <w:rsid w:val="00CE5537"/>
    <w:rsid w:val="00CE5C32"/>
    <w:rsid w:val="00CE6E56"/>
    <w:rsid w:val="00CE6F1D"/>
    <w:rsid w:val="00CE702D"/>
    <w:rsid w:val="00CE7806"/>
    <w:rsid w:val="00CF03FD"/>
    <w:rsid w:val="00CF05FA"/>
    <w:rsid w:val="00CF06DC"/>
    <w:rsid w:val="00CF0A31"/>
    <w:rsid w:val="00CF0B35"/>
    <w:rsid w:val="00CF17C3"/>
    <w:rsid w:val="00CF1CDA"/>
    <w:rsid w:val="00CF2D95"/>
    <w:rsid w:val="00CF46BF"/>
    <w:rsid w:val="00CF5FCC"/>
    <w:rsid w:val="00CF6047"/>
    <w:rsid w:val="00CF6330"/>
    <w:rsid w:val="00CF6999"/>
    <w:rsid w:val="00CF69EF"/>
    <w:rsid w:val="00CF6C65"/>
    <w:rsid w:val="00CF6E23"/>
    <w:rsid w:val="00CF71D9"/>
    <w:rsid w:val="00CF749A"/>
    <w:rsid w:val="00CF753A"/>
    <w:rsid w:val="00CFE4AE"/>
    <w:rsid w:val="00D008FD"/>
    <w:rsid w:val="00D00EF7"/>
    <w:rsid w:val="00D01331"/>
    <w:rsid w:val="00D01FC7"/>
    <w:rsid w:val="00D0266A"/>
    <w:rsid w:val="00D02CEA"/>
    <w:rsid w:val="00D02E65"/>
    <w:rsid w:val="00D03189"/>
    <w:rsid w:val="00D038F2"/>
    <w:rsid w:val="00D0472C"/>
    <w:rsid w:val="00D04C9C"/>
    <w:rsid w:val="00D05251"/>
    <w:rsid w:val="00D05846"/>
    <w:rsid w:val="00D05849"/>
    <w:rsid w:val="00D05986"/>
    <w:rsid w:val="00D05B2B"/>
    <w:rsid w:val="00D0637A"/>
    <w:rsid w:val="00D06472"/>
    <w:rsid w:val="00D06F71"/>
    <w:rsid w:val="00D07094"/>
    <w:rsid w:val="00D073A1"/>
    <w:rsid w:val="00D07FAB"/>
    <w:rsid w:val="00D10174"/>
    <w:rsid w:val="00D12056"/>
    <w:rsid w:val="00D12CAD"/>
    <w:rsid w:val="00D12CD7"/>
    <w:rsid w:val="00D13331"/>
    <w:rsid w:val="00D13739"/>
    <w:rsid w:val="00D1378E"/>
    <w:rsid w:val="00D15789"/>
    <w:rsid w:val="00D158CA"/>
    <w:rsid w:val="00D17418"/>
    <w:rsid w:val="00D17AAB"/>
    <w:rsid w:val="00D17B0E"/>
    <w:rsid w:val="00D17EA5"/>
    <w:rsid w:val="00D207DB"/>
    <w:rsid w:val="00D2118A"/>
    <w:rsid w:val="00D2153C"/>
    <w:rsid w:val="00D228AD"/>
    <w:rsid w:val="00D229C0"/>
    <w:rsid w:val="00D23BDB"/>
    <w:rsid w:val="00D23EFD"/>
    <w:rsid w:val="00D2451B"/>
    <w:rsid w:val="00D247D5"/>
    <w:rsid w:val="00D25370"/>
    <w:rsid w:val="00D26A65"/>
    <w:rsid w:val="00D27709"/>
    <w:rsid w:val="00D27A69"/>
    <w:rsid w:val="00D27F95"/>
    <w:rsid w:val="00D30510"/>
    <w:rsid w:val="00D30801"/>
    <w:rsid w:val="00D30F59"/>
    <w:rsid w:val="00D313B0"/>
    <w:rsid w:val="00D31902"/>
    <w:rsid w:val="00D31B8E"/>
    <w:rsid w:val="00D31F81"/>
    <w:rsid w:val="00D32887"/>
    <w:rsid w:val="00D32B1A"/>
    <w:rsid w:val="00D334BF"/>
    <w:rsid w:val="00D3359F"/>
    <w:rsid w:val="00D3380B"/>
    <w:rsid w:val="00D33A1D"/>
    <w:rsid w:val="00D33A51"/>
    <w:rsid w:val="00D34574"/>
    <w:rsid w:val="00D34D0C"/>
    <w:rsid w:val="00D34D1C"/>
    <w:rsid w:val="00D35F83"/>
    <w:rsid w:val="00D362BF"/>
    <w:rsid w:val="00D36D8D"/>
    <w:rsid w:val="00D37ED3"/>
    <w:rsid w:val="00D40DE5"/>
    <w:rsid w:val="00D4153A"/>
    <w:rsid w:val="00D41587"/>
    <w:rsid w:val="00D41FB8"/>
    <w:rsid w:val="00D4240B"/>
    <w:rsid w:val="00D427A4"/>
    <w:rsid w:val="00D4305F"/>
    <w:rsid w:val="00D432AC"/>
    <w:rsid w:val="00D43C53"/>
    <w:rsid w:val="00D44059"/>
    <w:rsid w:val="00D4416C"/>
    <w:rsid w:val="00D44D8D"/>
    <w:rsid w:val="00D45447"/>
    <w:rsid w:val="00D45E34"/>
    <w:rsid w:val="00D46F7F"/>
    <w:rsid w:val="00D47CD1"/>
    <w:rsid w:val="00D500F3"/>
    <w:rsid w:val="00D5017D"/>
    <w:rsid w:val="00D50BA5"/>
    <w:rsid w:val="00D512CD"/>
    <w:rsid w:val="00D5245B"/>
    <w:rsid w:val="00D529A7"/>
    <w:rsid w:val="00D5333B"/>
    <w:rsid w:val="00D537AA"/>
    <w:rsid w:val="00D5388B"/>
    <w:rsid w:val="00D54D4D"/>
    <w:rsid w:val="00D55250"/>
    <w:rsid w:val="00D554F1"/>
    <w:rsid w:val="00D55645"/>
    <w:rsid w:val="00D55982"/>
    <w:rsid w:val="00D55D59"/>
    <w:rsid w:val="00D56062"/>
    <w:rsid w:val="00D560BE"/>
    <w:rsid w:val="00D571DA"/>
    <w:rsid w:val="00D573D9"/>
    <w:rsid w:val="00D60408"/>
    <w:rsid w:val="00D62098"/>
    <w:rsid w:val="00D62170"/>
    <w:rsid w:val="00D64144"/>
    <w:rsid w:val="00D64532"/>
    <w:rsid w:val="00D647BF"/>
    <w:rsid w:val="00D652F7"/>
    <w:rsid w:val="00D653FE"/>
    <w:rsid w:val="00D66AC5"/>
    <w:rsid w:val="00D676CF"/>
    <w:rsid w:val="00D67E5D"/>
    <w:rsid w:val="00D700C8"/>
    <w:rsid w:val="00D70C6A"/>
    <w:rsid w:val="00D71305"/>
    <w:rsid w:val="00D715BC"/>
    <w:rsid w:val="00D71B2C"/>
    <w:rsid w:val="00D725C8"/>
    <w:rsid w:val="00D7273D"/>
    <w:rsid w:val="00D7297D"/>
    <w:rsid w:val="00D72C3C"/>
    <w:rsid w:val="00D73044"/>
    <w:rsid w:val="00D7305D"/>
    <w:rsid w:val="00D748DC"/>
    <w:rsid w:val="00D74A6E"/>
    <w:rsid w:val="00D755D8"/>
    <w:rsid w:val="00D75603"/>
    <w:rsid w:val="00D763E6"/>
    <w:rsid w:val="00D765BB"/>
    <w:rsid w:val="00D766F9"/>
    <w:rsid w:val="00D76813"/>
    <w:rsid w:val="00D776C2"/>
    <w:rsid w:val="00D77703"/>
    <w:rsid w:val="00D77B80"/>
    <w:rsid w:val="00D77BD3"/>
    <w:rsid w:val="00D808B0"/>
    <w:rsid w:val="00D80E8D"/>
    <w:rsid w:val="00D81142"/>
    <w:rsid w:val="00D81143"/>
    <w:rsid w:val="00D81EA8"/>
    <w:rsid w:val="00D8279F"/>
    <w:rsid w:val="00D83016"/>
    <w:rsid w:val="00D83718"/>
    <w:rsid w:val="00D83C72"/>
    <w:rsid w:val="00D83D0D"/>
    <w:rsid w:val="00D8439B"/>
    <w:rsid w:val="00D84B09"/>
    <w:rsid w:val="00D85B2B"/>
    <w:rsid w:val="00D86246"/>
    <w:rsid w:val="00D86493"/>
    <w:rsid w:val="00D86783"/>
    <w:rsid w:val="00D87349"/>
    <w:rsid w:val="00D90082"/>
    <w:rsid w:val="00D9114F"/>
    <w:rsid w:val="00D9365A"/>
    <w:rsid w:val="00D93925"/>
    <w:rsid w:val="00D93F0E"/>
    <w:rsid w:val="00D94C9E"/>
    <w:rsid w:val="00D950B9"/>
    <w:rsid w:val="00D95178"/>
    <w:rsid w:val="00D951BD"/>
    <w:rsid w:val="00D95442"/>
    <w:rsid w:val="00D95C09"/>
    <w:rsid w:val="00D95E39"/>
    <w:rsid w:val="00D968B4"/>
    <w:rsid w:val="00D96B54"/>
    <w:rsid w:val="00D976AE"/>
    <w:rsid w:val="00DA0551"/>
    <w:rsid w:val="00DA0564"/>
    <w:rsid w:val="00DA0BFF"/>
    <w:rsid w:val="00DA0D02"/>
    <w:rsid w:val="00DA0D41"/>
    <w:rsid w:val="00DA0DF9"/>
    <w:rsid w:val="00DA0FDC"/>
    <w:rsid w:val="00DA1028"/>
    <w:rsid w:val="00DA115A"/>
    <w:rsid w:val="00DA2005"/>
    <w:rsid w:val="00DA213C"/>
    <w:rsid w:val="00DA2CE9"/>
    <w:rsid w:val="00DA2E11"/>
    <w:rsid w:val="00DA4242"/>
    <w:rsid w:val="00DA4601"/>
    <w:rsid w:val="00DA4BAE"/>
    <w:rsid w:val="00DA50DB"/>
    <w:rsid w:val="00DA553A"/>
    <w:rsid w:val="00DA5745"/>
    <w:rsid w:val="00DA5873"/>
    <w:rsid w:val="00DA5EB9"/>
    <w:rsid w:val="00DA6024"/>
    <w:rsid w:val="00DA61F5"/>
    <w:rsid w:val="00DA77F1"/>
    <w:rsid w:val="00DA7FE4"/>
    <w:rsid w:val="00DB0184"/>
    <w:rsid w:val="00DB08EB"/>
    <w:rsid w:val="00DB1378"/>
    <w:rsid w:val="00DB13E9"/>
    <w:rsid w:val="00DB1A2F"/>
    <w:rsid w:val="00DB1A41"/>
    <w:rsid w:val="00DB1FBC"/>
    <w:rsid w:val="00DB1FD8"/>
    <w:rsid w:val="00DB2474"/>
    <w:rsid w:val="00DB2FFE"/>
    <w:rsid w:val="00DB3F61"/>
    <w:rsid w:val="00DB46F4"/>
    <w:rsid w:val="00DB4D2A"/>
    <w:rsid w:val="00DB4FED"/>
    <w:rsid w:val="00DB6096"/>
    <w:rsid w:val="00DB671C"/>
    <w:rsid w:val="00DB69E9"/>
    <w:rsid w:val="00DB6A24"/>
    <w:rsid w:val="00DB6BF8"/>
    <w:rsid w:val="00DB737B"/>
    <w:rsid w:val="00DB760D"/>
    <w:rsid w:val="00DB7BE4"/>
    <w:rsid w:val="00DB7E8D"/>
    <w:rsid w:val="00DC00E3"/>
    <w:rsid w:val="00DC08F0"/>
    <w:rsid w:val="00DC0B59"/>
    <w:rsid w:val="00DC0E1B"/>
    <w:rsid w:val="00DC10AC"/>
    <w:rsid w:val="00DC1655"/>
    <w:rsid w:val="00DC1AFD"/>
    <w:rsid w:val="00DC1BAD"/>
    <w:rsid w:val="00DC2634"/>
    <w:rsid w:val="00DC2AE0"/>
    <w:rsid w:val="00DC316E"/>
    <w:rsid w:val="00DC3BF5"/>
    <w:rsid w:val="00DC3FA2"/>
    <w:rsid w:val="00DC441C"/>
    <w:rsid w:val="00DC4478"/>
    <w:rsid w:val="00DC48C8"/>
    <w:rsid w:val="00DC5C55"/>
    <w:rsid w:val="00DC5CDE"/>
    <w:rsid w:val="00DC7175"/>
    <w:rsid w:val="00DC74DC"/>
    <w:rsid w:val="00DC7B09"/>
    <w:rsid w:val="00DC7C9E"/>
    <w:rsid w:val="00DD07C9"/>
    <w:rsid w:val="00DD13DC"/>
    <w:rsid w:val="00DD14E6"/>
    <w:rsid w:val="00DD1725"/>
    <w:rsid w:val="00DD1C2A"/>
    <w:rsid w:val="00DD1DCD"/>
    <w:rsid w:val="00DD38BF"/>
    <w:rsid w:val="00DD3C61"/>
    <w:rsid w:val="00DD4188"/>
    <w:rsid w:val="00DD4402"/>
    <w:rsid w:val="00DD5B2F"/>
    <w:rsid w:val="00DD647E"/>
    <w:rsid w:val="00DD6792"/>
    <w:rsid w:val="00DD6D3A"/>
    <w:rsid w:val="00DD6D6E"/>
    <w:rsid w:val="00DD6F46"/>
    <w:rsid w:val="00DD7AB0"/>
    <w:rsid w:val="00DE00BF"/>
    <w:rsid w:val="00DE1600"/>
    <w:rsid w:val="00DE1CBA"/>
    <w:rsid w:val="00DE1D90"/>
    <w:rsid w:val="00DE2546"/>
    <w:rsid w:val="00DE260E"/>
    <w:rsid w:val="00DE3186"/>
    <w:rsid w:val="00DE335F"/>
    <w:rsid w:val="00DE441F"/>
    <w:rsid w:val="00DE4D13"/>
    <w:rsid w:val="00DE4FD0"/>
    <w:rsid w:val="00DE5580"/>
    <w:rsid w:val="00DE5FD4"/>
    <w:rsid w:val="00DE606E"/>
    <w:rsid w:val="00DE6409"/>
    <w:rsid w:val="00DE6982"/>
    <w:rsid w:val="00DE6F85"/>
    <w:rsid w:val="00DE746C"/>
    <w:rsid w:val="00DE7C14"/>
    <w:rsid w:val="00DE7CA6"/>
    <w:rsid w:val="00DF0B01"/>
    <w:rsid w:val="00DF0B19"/>
    <w:rsid w:val="00DF0CB2"/>
    <w:rsid w:val="00DF17A0"/>
    <w:rsid w:val="00DF192C"/>
    <w:rsid w:val="00DF1BFA"/>
    <w:rsid w:val="00DF2118"/>
    <w:rsid w:val="00DF22E6"/>
    <w:rsid w:val="00DF2E24"/>
    <w:rsid w:val="00DF3012"/>
    <w:rsid w:val="00DF3684"/>
    <w:rsid w:val="00DF3C0A"/>
    <w:rsid w:val="00DF439E"/>
    <w:rsid w:val="00DF4569"/>
    <w:rsid w:val="00DF46B5"/>
    <w:rsid w:val="00DF4FF9"/>
    <w:rsid w:val="00DF502C"/>
    <w:rsid w:val="00DF5CAC"/>
    <w:rsid w:val="00DF60D1"/>
    <w:rsid w:val="00DF6330"/>
    <w:rsid w:val="00DF69A7"/>
    <w:rsid w:val="00DF6C37"/>
    <w:rsid w:val="00DF74E8"/>
    <w:rsid w:val="00DF78AB"/>
    <w:rsid w:val="00DF79EE"/>
    <w:rsid w:val="00DF7B95"/>
    <w:rsid w:val="00E000DE"/>
    <w:rsid w:val="00E00687"/>
    <w:rsid w:val="00E007EF"/>
    <w:rsid w:val="00E00F30"/>
    <w:rsid w:val="00E0107F"/>
    <w:rsid w:val="00E017C9"/>
    <w:rsid w:val="00E0198F"/>
    <w:rsid w:val="00E02977"/>
    <w:rsid w:val="00E02C46"/>
    <w:rsid w:val="00E039CE"/>
    <w:rsid w:val="00E039F4"/>
    <w:rsid w:val="00E03ACE"/>
    <w:rsid w:val="00E03C6F"/>
    <w:rsid w:val="00E0465C"/>
    <w:rsid w:val="00E05EE6"/>
    <w:rsid w:val="00E065BC"/>
    <w:rsid w:val="00E06C10"/>
    <w:rsid w:val="00E07384"/>
    <w:rsid w:val="00E0738F"/>
    <w:rsid w:val="00E07871"/>
    <w:rsid w:val="00E107F5"/>
    <w:rsid w:val="00E11317"/>
    <w:rsid w:val="00E1236B"/>
    <w:rsid w:val="00E12E11"/>
    <w:rsid w:val="00E1355C"/>
    <w:rsid w:val="00E1429E"/>
    <w:rsid w:val="00E143BE"/>
    <w:rsid w:val="00E1460F"/>
    <w:rsid w:val="00E14796"/>
    <w:rsid w:val="00E14B48"/>
    <w:rsid w:val="00E14E80"/>
    <w:rsid w:val="00E15120"/>
    <w:rsid w:val="00E16178"/>
    <w:rsid w:val="00E165C7"/>
    <w:rsid w:val="00E16869"/>
    <w:rsid w:val="00E173B1"/>
    <w:rsid w:val="00E174D0"/>
    <w:rsid w:val="00E17683"/>
    <w:rsid w:val="00E17914"/>
    <w:rsid w:val="00E200AE"/>
    <w:rsid w:val="00E20289"/>
    <w:rsid w:val="00E20988"/>
    <w:rsid w:val="00E20BDD"/>
    <w:rsid w:val="00E210AC"/>
    <w:rsid w:val="00E21A15"/>
    <w:rsid w:val="00E22476"/>
    <w:rsid w:val="00E2280C"/>
    <w:rsid w:val="00E2359A"/>
    <w:rsid w:val="00E240C3"/>
    <w:rsid w:val="00E2439C"/>
    <w:rsid w:val="00E248EA"/>
    <w:rsid w:val="00E24BD5"/>
    <w:rsid w:val="00E251FF"/>
    <w:rsid w:val="00E25769"/>
    <w:rsid w:val="00E259B8"/>
    <w:rsid w:val="00E2611A"/>
    <w:rsid w:val="00E267C0"/>
    <w:rsid w:val="00E26CAA"/>
    <w:rsid w:val="00E27754"/>
    <w:rsid w:val="00E2775E"/>
    <w:rsid w:val="00E27B33"/>
    <w:rsid w:val="00E301B4"/>
    <w:rsid w:val="00E30FF3"/>
    <w:rsid w:val="00E310BE"/>
    <w:rsid w:val="00E31A38"/>
    <w:rsid w:val="00E31EF6"/>
    <w:rsid w:val="00E331E0"/>
    <w:rsid w:val="00E3362C"/>
    <w:rsid w:val="00E337EC"/>
    <w:rsid w:val="00E33FF1"/>
    <w:rsid w:val="00E347CA"/>
    <w:rsid w:val="00E347DF"/>
    <w:rsid w:val="00E3499C"/>
    <w:rsid w:val="00E34C87"/>
    <w:rsid w:val="00E363E8"/>
    <w:rsid w:val="00E36FFD"/>
    <w:rsid w:val="00E372B2"/>
    <w:rsid w:val="00E37368"/>
    <w:rsid w:val="00E37677"/>
    <w:rsid w:val="00E37E3A"/>
    <w:rsid w:val="00E40C2C"/>
    <w:rsid w:val="00E40CDD"/>
    <w:rsid w:val="00E41439"/>
    <w:rsid w:val="00E4234E"/>
    <w:rsid w:val="00E42596"/>
    <w:rsid w:val="00E42754"/>
    <w:rsid w:val="00E42EB6"/>
    <w:rsid w:val="00E432EF"/>
    <w:rsid w:val="00E437A6"/>
    <w:rsid w:val="00E44011"/>
    <w:rsid w:val="00E445E9"/>
    <w:rsid w:val="00E449EC"/>
    <w:rsid w:val="00E44FB0"/>
    <w:rsid w:val="00E451EA"/>
    <w:rsid w:val="00E459BE"/>
    <w:rsid w:val="00E45CB8"/>
    <w:rsid w:val="00E45DB9"/>
    <w:rsid w:val="00E463FC"/>
    <w:rsid w:val="00E4702D"/>
    <w:rsid w:val="00E4755A"/>
    <w:rsid w:val="00E475D3"/>
    <w:rsid w:val="00E4775E"/>
    <w:rsid w:val="00E47CB3"/>
    <w:rsid w:val="00E5017C"/>
    <w:rsid w:val="00E50258"/>
    <w:rsid w:val="00E504E4"/>
    <w:rsid w:val="00E51059"/>
    <w:rsid w:val="00E5227E"/>
    <w:rsid w:val="00E527B3"/>
    <w:rsid w:val="00E5327A"/>
    <w:rsid w:val="00E5450E"/>
    <w:rsid w:val="00E54C86"/>
    <w:rsid w:val="00E54E4C"/>
    <w:rsid w:val="00E55D43"/>
    <w:rsid w:val="00E565E4"/>
    <w:rsid w:val="00E5735D"/>
    <w:rsid w:val="00E5739E"/>
    <w:rsid w:val="00E5792A"/>
    <w:rsid w:val="00E6056A"/>
    <w:rsid w:val="00E60AF0"/>
    <w:rsid w:val="00E61312"/>
    <w:rsid w:val="00E61785"/>
    <w:rsid w:val="00E61EBE"/>
    <w:rsid w:val="00E61F68"/>
    <w:rsid w:val="00E620A6"/>
    <w:rsid w:val="00E6218E"/>
    <w:rsid w:val="00E6230E"/>
    <w:rsid w:val="00E6265F"/>
    <w:rsid w:val="00E636D4"/>
    <w:rsid w:val="00E637CA"/>
    <w:rsid w:val="00E6486D"/>
    <w:rsid w:val="00E6487E"/>
    <w:rsid w:val="00E64C8F"/>
    <w:rsid w:val="00E64D46"/>
    <w:rsid w:val="00E6625F"/>
    <w:rsid w:val="00E66A04"/>
    <w:rsid w:val="00E66C7A"/>
    <w:rsid w:val="00E673FA"/>
    <w:rsid w:val="00E674B8"/>
    <w:rsid w:val="00E67717"/>
    <w:rsid w:val="00E70116"/>
    <w:rsid w:val="00E70629"/>
    <w:rsid w:val="00E70BCF"/>
    <w:rsid w:val="00E70EFD"/>
    <w:rsid w:val="00E710C3"/>
    <w:rsid w:val="00E711FF"/>
    <w:rsid w:val="00E71731"/>
    <w:rsid w:val="00E71BDD"/>
    <w:rsid w:val="00E71C5D"/>
    <w:rsid w:val="00E71D94"/>
    <w:rsid w:val="00E725F5"/>
    <w:rsid w:val="00E72C7F"/>
    <w:rsid w:val="00E7317A"/>
    <w:rsid w:val="00E731AA"/>
    <w:rsid w:val="00E7353B"/>
    <w:rsid w:val="00E736B8"/>
    <w:rsid w:val="00E737AF"/>
    <w:rsid w:val="00E738EC"/>
    <w:rsid w:val="00E74DBA"/>
    <w:rsid w:val="00E75157"/>
    <w:rsid w:val="00E755D3"/>
    <w:rsid w:val="00E75D1A"/>
    <w:rsid w:val="00E76584"/>
    <w:rsid w:val="00E76678"/>
    <w:rsid w:val="00E7678B"/>
    <w:rsid w:val="00E76F3F"/>
    <w:rsid w:val="00E776B7"/>
    <w:rsid w:val="00E779B1"/>
    <w:rsid w:val="00E800A5"/>
    <w:rsid w:val="00E80C57"/>
    <w:rsid w:val="00E826D8"/>
    <w:rsid w:val="00E82723"/>
    <w:rsid w:val="00E836EF"/>
    <w:rsid w:val="00E8441F"/>
    <w:rsid w:val="00E84487"/>
    <w:rsid w:val="00E8504B"/>
    <w:rsid w:val="00E8556D"/>
    <w:rsid w:val="00E865E0"/>
    <w:rsid w:val="00E868EE"/>
    <w:rsid w:val="00E87361"/>
    <w:rsid w:val="00E87973"/>
    <w:rsid w:val="00E9007F"/>
    <w:rsid w:val="00E90250"/>
    <w:rsid w:val="00E90B1E"/>
    <w:rsid w:val="00E930CA"/>
    <w:rsid w:val="00E94900"/>
    <w:rsid w:val="00E94BBF"/>
    <w:rsid w:val="00E9514A"/>
    <w:rsid w:val="00E951AD"/>
    <w:rsid w:val="00E9547C"/>
    <w:rsid w:val="00E96ACF"/>
    <w:rsid w:val="00E96C5B"/>
    <w:rsid w:val="00E96F04"/>
    <w:rsid w:val="00E970CC"/>
    <w:rsid w:val="00E973B2"/>
    <w:rsid w:val="00E97AE9"/>
    <w:rsid w:val="00E97C03"/>
    <w:rsid w:val="00EA02BD"/>
    <w:rsid w:val="00EA0805"/>
    <w:rsid w:val="00EA08C5"/>
    <w:rsid w:val="00EA0AB2"/>
    <w:rsid w:val="00EA189C"/>
    <w:rsid w:val="00EA1909"/>
    <w:rsid w:val="00EA1A39"/>
    <w:rsid w:val="00EA1A40"/>
    <w:rsid w:val="00EA1B15"/>
    <w:rsid w:val="00EA1B29"/>
    <w:rsid w:val="00EA1DD7"/>
    <w:rsid w:val="00EA1E45"/>
    <w:rsid w:val="00EA2147"/>
    <w:rsid w:val="00EA2255"/>
    <w:rsid w:val="00EA23D3"/>
    <w:rsid w:val="00EA2D60"/>
    <w:rsid w:val="00EA2EBE"/>
    <w:rsid w:val="00EA3362"/>
    <w:rsid w:val="00EA3992"/>
    <w:rsid w:val="00EA46B2"/>
    <w:rsid w:val="00EA5420"/>
    <w:rsid w:val="00EA5AB7"/>
    <w:rsid w:val="00EA648B"/>
    <w:rsid w:val="00EA6E18"/>
    <w:rsid w:val="00EA728A"/>
    <w:rsid w:val="00EA75B1"/>
    <w:rsid w:val="00EA7B0E"/>
    <w:rsid w:val="00EA7DC9"/>
    <w:rsid w:val="00EA7FB0"/>
    <w:rsid w:val="00EB07CF"/>
    <w:rsid w:val="00EB09FB"/>
    <w:rsid w:val="00EB1176"/>
    <w:rsid w:val="00EB1AFD"/>
    <w:rsid w:val="00EB1B80"/>
    <w:rsid w:val="00EB1E2A"/>
    <w:rsid w:val="00EB2567"/>
    <w:rsid w:val="00EB25A5"/>
    <w:rsid w:val="00EB27AC"/>
    <w:rsid w:val="00EB3230"/>
    <w:rsid w:val="00EB352B"/>
    <w:rsid w:val="00EB3703"/>
    <w:rsid w:val="00EB416C"/>
    <w:rsid w:val="00EB429C"/>
    <w:rsid w:val="00EB45A6"/>
    <w:rsid w:val="00EB5059"/>
    <w:rsid w:val="00EB5115"/>
    <w:rsid w:val="00EB6635"/>
    <w:rsid w:val="00EB68E1"/>
    <w:rsid w:val="00EB6C88"/>
    <w:rsid w:val="00EB6E98"/>
    <w:rsid w:val="00EB71F3"/>
    <w:rsid w:val="00EB7911"/>
    <w:rsid w:val="00EC08C8"/>
    <w:rsid w:val="00EC106C"/>
    <w:rsid w:val="00EC1229"/>
    <w:rsid w:val="00EC1FC8"/>
    <w:rsid w:val="00EC21FF"/>
    <w:rsid w:val="00EC22AF"/>
    <w:rsid w:val="00EC23DD"/>
    <w:rsid w:val="00EC26FA"/>
    <w:rsid w:val="00EC2E4A"/>
    <w:rsid w:val="00EC2ED9"/>
    <w:rsid w:val="00EC3755"/>
    <w:rsid w:val="00EC3C2B"/>
    <w:rsid w:val="00EC3DE2"/>
    <w:rsid w:val="00EC4963"/>
    <w:rsid w:val="00EC49F4"/>
    <w:rsid w:val="00EC4D45"/>
    <w:rsid w:val="00EC505F"/>
    <w:rsid w:val="00EC5DA4"/>
    <w:rsid w:val="00EC6678"/>
    <w:rsid w:val="00EC6EC0"/>
    <w:rsid w:val="00EC76EB"/>
    <w:rsid w:val="00EC7926"/>
    <w:rsid w:val="00EC7F1F"/>
    <w:rsid w:val="00ED010D"/>
    <w:rsid w:val="00ED064F"/>
    <w:rsid w:val="00ED074C"/>
    <w:rsid w:val="00ED0CCC"/>
    <w:rsid w:val="00ED0ED1"/>
    <w:rsid w:val="00ED10EF"/>
    <w:rsid w:val="00ED150B"/>
    <w:rsid w:val="00ED17E6"/>
    <w:rsid w:val="00ED1BC3"/>
    <w:rsid w:val="00ED1D16"/>
    <w:rsid w:val="00ED1DB9"/>
    <w:rsid w:val="00ED2366"/>
    <w:rsid w:val="00ED2823"/>
    <w:rsid w:val="00ED28D7"/>
    <w:rsid w:val="00ED2D30"/>
    <w:rsid w:val="00ED2FD3"/>
    <w:rsid w:val="00ED3085"/>
    <w:rsid w:val="00ED4716"/>
    <w:rsid w:val="00ED5CF1"/>
    <w:rsid w:val="00ED61A0"/>
    <w:rsid w:val="00ED642F"/>
    <w:rsid w:val="00ED79D0"/>
    <w:rsid w:val="00EE094F"/>
    <w:rsid w:val="00EE1B2E"/>
    <w:rsid w:val="00EE1B75"/>
    <w:rsid w:val="00EE1D8E"/>
    <w:rsid w:val="00EE22CB"/>
    <w:rsid w:val="00EE275A"/>
    <w:rsid w:val="00EE32FE"/>
    <w:rsid w:val="00EE3393"/>
    <w:rsid w:val="00EE35E1"/>
    <w:rsid w:val="00EE38CC"/>
    <w:rsid w:val="00EE40FB"/>
    <w:rsid w:val="00EE435B"/>
    <w:rsid w:val="00EE4D77"/>
    <w:rsid w:val="00EE583B"/>
    <w:rsid w:val="00EE597B"/>
    <w:rsid w:val="00EE59DB"/>
    <w:rsid w:val="00EE6235"/>
    <w:rsid w:val="00EE6A24"/>
    <w:rsid w:val="00EE7437"/>
    <w:rsid w:val="00EE74ED"/>
    <w:rsid w:val="00EE78F1"/>
    <w:rsid w:val="00EE7B42"/>
    <w:rsid w:val="00EE7DF6"/>
    <w:rsid w:val="00EF09F6"/>
    <w:rsid w:val="00EF1299"/>
    <w:rsid w:val="00EF1BB8"/>
    <w:rsid w:val="00EF1D25"/>
    <w:rsid w:val="00EF2746"/>
    <w:rsid w:val="00EF36B8"/>
    <w:rsid w:val="00EF3A30"/>
    <w:rsid w:val="00EF4CA3"/>
    <w:rsid w:val="00EF4D76"/>
    <w:rsid w:val="00EF4E13"/>
    <w:rsid w:val="00EF510A"/>
    <w:rsid w:val="00EF5417"/>
    <w:rsid w:val="00EF578A"/>
    <w:rsid w:val="00EF67D2"/>
    <w:rsid w:val="00EF6E4D"/>
    <w:rsid w:val="00EF7368"/>
    <w:rsid w:val="00F00661"/>
    <w:rsid w:val="00F00AD4"/>
    <w:rsid w:val="00F0109B"/>
    <w:rsid w:val="00F01499"/>
    <w:rsid w:val="00F015D7"/>
    <w:rsid w:val="00F0178D"/>
    <w:rsid w:val="00F022D8"/>
    <w:rsid w:val="00F02446"/>
    <w:rsid w:val="00F02727"/>
    <w:rsid w:val="00F03A4C"/>
    <w:rsid w:val="00F03A5D"/>
    <w:rsid w:val="00F03AA7"/>
    <w:rsid w:val="00F0403F"/>
    <w:rsid w:val="00F040B4"/>
    <w:rsid w:val="00F04486"/>
    <w:rsid w:val="00F0545E"/>
    <w:rsid w:val="00F05D1B"/>
    <w:rsid w:val="00F06038"/>
    <w:rsid w:val="00F0625B"/>
    <w:rsid w:val="00F063CA"/>
    <w:rsid w:val="00F06F70"/>
    <w:rsid w:val="00F07990"/>
    <w:rsid w:val="00F1001F"/>
    <w:rsid w:val="00F10A80"/>
    <w:rsid w:val="00F10C19"/>
    <w:rsid w:val="00F114F0"/>
    <w:rsid w:val="00F119EF"/>
    <w:rsid w:val="00F11EF5"/>
    <w:rsid w:val="00F12066"/>
    <w:rsid w:val="00F121D4"/>
    <w:rsid w:val="00F146B7"/>
    <w:rsid w:val="00F14980"/>
    <w:rsid w:val="00F14A22"/>
    <w:rsid w:val="00F1522F"/>
    <w:rsid w:val="00F1557E"/>
    <w:rsid w:val="00F156E9"/>
    <w:rsid w:val="00F1570A"/>
    <w:rsid w:val="00F15978"/>
    <w:rsid w:val="00F1601F"/>
    <w:rsid w:val="00F165C9"/>
    <w:rsid w:val="00F171A6"/>
    <w:rsid w:val="00F17711"/>
    <w:rsid w:val="00F178EC"/>
    <w:rsid w:val="00F179D4"/>
    <w:rsid w:val="00F17D58"/>
    <w:rsid w:val="00F203C7"/>
    <w:rsid w:val="00F203F1"/>
    <w:rsid w:val="00F205AE"/>
    <w:rsid w:val="00F20769"/>
    <w:rsid w:val="00F20D31"/>
    <w:rsid w:val="00F214F3"/>
    <w:rsid w:val="00F220FA"/>
    <w:rsid w:val="00F22203"/>
    <w:rsid w:val="00F22365"/>
    <w:rsid w:val="00F225B8"/>
    <w:rsid w:val="00F23A06"/>
    <w:rsid w:val="00F24643"/>
    <w:rsid w:val="00F24909"/>
    <w:rsid w:val="00F24E3F"/>
    <w:rsid w:val="00F251B5"/>
    <w:rsid w:val="00F25C83"/>
    <w:rsid w:val="00F26692"/>
    <w:rsid w:val="00F26907"/>
    <w:rsid w:val="00F26EB0"/>
    <w:rsid w:val="00F2719C"/>
    <w:rsid w:val="00F272D4"/>
    <w:rsid w:val="00F30A44"/>
    <w:rsid w:val="00F31000"/>
    <w:rsid w:val="00F31BFD"/>
    <w:rsid w:val="00F3270A"/>
    <w:rsid w:val="00F327AE"/>
    <w:rsid w:val="00F33204"/>
    <w:rsid w:val="00F33A4D"/>
    <w:rsid w:val="00F33D54"/>
    <w:rsid w:val="00F34551"/>
    <w:rsid w:val="00F34B2E"/>
    <w:rsid w:val="00F35626"/>
    <w:rsid w:val="00F36198"/>
    <w:rsid w:val="00F3681E"/>
    <w:rsid w:val="00F3774D"/>
    <w:rsid w:val="00F37EDF"/>
    <w:rsid w:val="00F410BF"/>
    <w:rsid w:val="00F41123"/>
    <w:rsid w:val="00F41535"/>
    <w:rsid w:val="00F415C1"/>
    <w:rsid w:val="00F419E8"/>
    <w:rsid w:val="00F42415"/>
    <w:rsid w:val="00F42C80"/>
    <w:rsid w:val="00F43358"/>
    <w:rsid w:val="00F43968"/>
    <w:rsid w:val="00F44044"/>
    <w:rsid w:val="00F455DF"/>
    <w:rsid w:val="00F4578F"/>
    <w:rsid w:val="00F45D0E"/>
    <w:rsid w:val="00F45EC4"/>
    <w:rsid w:val="00F5048B"/>
    <w:rsid w:val="00F5137A"/>
    <w:rsid w:val="00F5163F"/>
    <w:rsid w:val="00F516EE"/>
    <w:rsid w:val="00F51B2D"/>
    <w:rsid w:val="00F51B2E"/>
    <w:rsid w:val="00F52661"/>
    <w:rsid w:val="00F52674"/>
    <w:rsid w:val="00F5277A"/>
    <w:rsid w:val="00F527C9"/>
    <w:rsid w:val="00F52B19"/>
    <w:rsid w:val="00F52FA3"/>
    <w:rsid w:val="00F5354B"/>
    <w:rsid w:val="00F53774"/>
    <w:rsid w:val="00F53EE9"/>
    <w:rsid w:val="00F54069"/>
    <w:rsid w:val="00F5470E"/>
    <w:rsid w:val="00F54D7B"/>
    <w:rsid w:val="00F54F79"/>
    <w:rsid w:val="00F560C3"/>
    <w:rsid w:val="00F561C9"/>
    <w:rsid w:val="00F56714"/>
    <w:rsid w:val="00F570C3"/>
    <w:rsid w:val="00F57EBF"/>
    <w:rsid w:val="00F60131"/>
    <w:rsid w:val="00F60C25"/>
    <w:rsid w:val="00F61391"/>
    <w:rsid w:val="00F61F87"/>
    <w:rsid w:val="00F62074"/>
    <w:rsid w:val="00F62CAC"/>
    <w:rsid w:val="00F62E74"/>
    <w:rsid w:val="00F63238"/>
    <w:rsid w:val="00F63247"/>
    <w:rsid w:val="00F63549"/>
    <w:rsid w:val="00F6362D"/>
    <w:rsid w:val="00F63948"/>
    <w:rsid w:val="00F63B03"/>
    <w:rsid w:val="00F6402D"/>
    <w:rsid w:val="00F642EE"/>
    <w:rsid w:val="00F647FC"/>
    <w:rsid w:val="00F64A13"/>
    <w:rsid w:val="00F654D1"/>
    <w:rsid w:val="00F65AF3"/>
    <w:rsid w:val="00F65FE4"/>
    <w:rsid w:val="00F66F68"/>
    <w:rsid w:val="00F6770E"/>
    <w:rsid w:val="00F67AFC"/>
    <w:rsid w:val="00F70754"/>
    <w:rsid w:val="00F7097B"/>
    <w:rsid w:val="00F70D2B"/>
    <w:rsid w:val="00F7177E"/>
    <w:rsid w:val="00F7234B"/>
    <w:rsid w:val="00F7273A"/>
    <w:rsid w:val="00F72AC8"/>
    <w:rsid w:val="00F72F1E"/>
    <w:rsid w:val="00F72F74"/>
    <w:rsid w:val="00F76538"/>
    <w:rsid w:val="00F76F15"/>
    <w:rsid w:val="00F772EE"/>
    <w:rsid w:val="00F778C2"/>
    <w:rsid w:val="00F77F05"/>
    <w:rsid w:val="00F80017"/>
    <w:rsid w:val="00F80D7C"/>
    <w:rsid w:val="00F81610"/>
    <w:rsid w:val="00F816A4"/>
    <w:rsid w:val="00F81F08"/>
    <w:rsid w:val="00F829EC"/>
    <w:rsid w:val="00F82B7F"/>
    <w:rsid w:val="00F832BB"/>
    <w:rsid w:val="00F849EF"/>
    <w:rsid w:val="00F8586E"/>
    <w:rsid w:val="00F860FA"/>
    <w:rsid w:val="00F865A0"/>
    <w:rsid w:val="00F87088"/>
    <w:rsid w:val="00F87ECE"/>
    <w:rsid w:val="00F91176"/>
    <w:rsid w:val="00F91A32"/>
    <w:rsid w:val="00F931AC"/>
    <w:rsid w:val="00F93A1C"/>
    <w:rsid w:val="00F95382"/>
    <w:rsid w:val="00F9794E"/>
    <w:rsid w:val="00FA0393"/>
    <w:rsid w:val="00FA0B12"/>
    <w:rsid w:val="00FA0E61"/>
    <w:rsid w:val="00FA28D8"/>
    <w:rsid w:val="00FA2BFE"/>
    <w:rsid w:val="00FA33FF"/>
    <w:rsid w:val="00FA36F0"/>
    <w:rsid w:val="00FA3C54"/>
    <w:rsid w:val="00FA41D1"/>
    <w:rsid w:val="00FA49E6"/>
    <w:rsid w:val="00FA6D27"/>
    <w:rsid w:val="00FA6F7A"/>
    <w:rsid w:val="00FA7427"/>
    <w:rsid w:val="00FA7502"/>
    <w:rsid w:val="00FA762B"/>
    <w:rsid w:val="00FA771F"/>
    <w:rsid w:val="00FA7721"/>
    <w:rsid w:val="00FA7E50"/>
    <w:rsid w:val="00FB0470"/>
    <w:rsid w:val="00FB12A6"/>
    <w:rsid w:val="00FB14C1"/>
    <w:rsid w:val="00FB1684"/>
    <w:rsid w:val="00FB1834"/>
    <w:rsid w:val="00FB19ED"/>
    <w:rsid w:val="00FB1E04"/>
    <w:rsid w:val="00FB1EED"/>
    <w:rsid w:val="00FB203B"/>
    <w:rsid w:val="00FB2ED7"/>
    <w:rsid w:val="00FB3055"/>
    <w:rsid w:val="00FB36CC"/>
    <w:rsid w:val="00FB3A67"/>
    <w:rsid w:val="00FB3D48"/>
    <w:rsid w:val="00FB4B13"/>
    <w:rsid w:val="00FB4BA1"/>
    <w:rsid w:val="00FB4C47"/>
    <w:rsid w:val="00FB4C63"/>
    <w:rsid w:val="00FB51D6"/>
    <w:rsid w:val="00FB5730"/>
    <w:rsid w:val="00FB579D"/>
    <w:rsid w:val="00FB62C0"/>
    <w:rsid w:val="00FB6888"/>
    <w:rsid w:val="00FB6E87"/>
    <w:rsid w:val="00FB7E0C"/>
    <w:rsid w:val="00FC0200"/>
    <w:rsid w:val="00FC072D"/>
    <w:rsid w:val="00FC0AE0"/>
    <w:rsid w:val="00FC183C"/>
    <w:rsid w:val="00FC1CC2"/>
    <w:rsid w:val="00FC200B"/>
    <w:rsid w:val="00FC2276"/>
    <w:rsid w:val="00FC3E46"/>
    <w:rsid w:val="00FC4C65"/>
    <w:rsid w:val="00FC57CF"/>
    <w:rsid w:val="00FC6C44"/>
    <w:rsid w:val="00FC76C9"/>
    <w:rsid w:val="00FC78D1"/>
    <w:rsid w:val="00FC7FE0"/>
    <w:rsid w:val="00FD167E"/>
    <w:rsid w:val="00FD292B"/>
    <w:rsid w:val="00FD340F"/>
    <w:rsid w:val="00FD38A8"/>
    <w:rsid w:val="00FD396C"/>
    <w:rsid w:val="00FD3984"/>
    <w:rsid w:val="00FD39E1"/>
    <w:rsid w:val="00FD3E18"/>
    <w:rsid w:val="00FD3E54"/>
    <w:rsid w:val="00FD3E76"/>
    <w:rsid w:val="00FD4292"/>
    <w:rsid w:val="00FD4352"/>
    <w:rsid w:val="00FD52D5"/>
    <w:rsid w:val="00FD5C94"/>
    <w:rsid w:val="00FD64C3"/>
    <w:rsid w:val="00FD7271"/>
    <w:rsid w:val="00FD750F"/>
    <w:rsid w:val="00FD7C6D"/>
    <w:rsid w:val="00FE111B"/>
    <w:rsid w:val="00FE187B"/>
    <w:rsid w:val="00FE1D04"/>
    <w:rsid w:val="00FE24D8"/>
    <w:rsid w:val="00FE277B"/>
    <w:rsid w:val="00FE2C13"/>
    <w:rsid w:val="00FE3201"/>
    <w:rsid w:val="00FE42E5"/>
    <w:rsid w:val="00FE4354"/>
    <w:rsid w:val="00FE51BF"/>
    <w:rsid w:val="00FE521C"/>
    <w:rsid w:val="00FE5790"/>
    <w:rsid w:val="00FE6698"/>
    <w:rsid w:val="00FE6E2E"/>
    <w:rsid w:val="00FE725F"/>
    <w:rsid w:val="00FE7559"/>
    <w:rsid w:val="00FF08FC"/>
    <w:rsid w:val="00FF12B9"/>
    <w:rsid w:val="00FF2250"/>
    <w:rsid w:val="00FF2E82"/>
    <w:rsid w:val="00FF375E"/>
    <w:rsid w:val="00FF4817"/>
    <w:rsid w:val="00FF4863"/>
    <w:rsid w:val="00FF49FE"/>
    <w:rsid w:val="00FF4BA7"/>
    <w:rsid w:val="00FF4C1B"/>
    <w:rsid w:val="00FF5AE3"/>
    <w:rsid w:val="00FF60BB"/>
    <w:rsid w:val="00FF622C"/>
    <w:rsid w:val="00FF62E7"/>
    <w:rsid w:val="00FF64EF"/>
    <w:rsid w:val="00FF6C1A"/>
    <w:rsid w:val="00FF6F1E"/>
    <w:rsid w:val="00FF715C"/>
    <w:rsid w:val="00FF7380"/>
    <w:rsid w:val="00FF78F6"/>
    <w:rsid w:val="00FF7B86"/>
    <w:rsid w:val="00FF7C4B"/>
    <w:rsid w:val="0102DF29"/>
    <w:rsid w:val="01051527"/>
    <w:rsid w:val="0116F32C"/>
    <w:rsid w:val="01171EAD"/>
    <w:rsid w:val="011EDD8D"/>
    <w:rsid w:val="01240174"/>
    <w:rsid w:val="01387D73"/>
    <w:rsid w:val="013FD4DD"/>
    <w:rsid w:val="01489EE8"/>
    <w:rsid w:val="01557C58"/>
    <w:rsid w:val="01598F14"/>
    <w:rsid w:val="015FB50B"/>
    <w:rsid w:val="015FE305"/>
    <w:rsid w:val="017215FD"/>
    <w:rsid w:val="0192C6E6"/>
    <w:rsid w:val="019A017F"/>
    <w:rsid w:val="01B3CC80"/>
    <w:rsid w:val="01B70030"/>
    <w:rsid w:val="01B7EF60"/>
    <w:rsid w:val="01BA3468"/>
    <w:rsid w:val="01E0D814"/>
    <w:rsid w:val="01E62E7B"/>
    <w:rsid w:val="01EC0A49"/>
    <w:rsid w:val="01EE31FE"/>
    <w:rsid w:val="01F697A8"/>
    <w:rsid w:val="01F77CA0"/>
    <w:rsid w:val="020D938D"/>
    <w:rsid w:val="020FA1F5"/>
    <w:rsid w:val="0215AF09"/>
    <w:rsid w:val="02182CA7"/>
    <w:rsid w:val="022C2F45"/>
    <w:rsid w:val="022F433D"/>
    <w:rsid w:val="023032F8"/>
    <w:rsid w:val="023E88E8"/>
    <w:rsid w:val="024CC034"/>
    <w:rsid w:val="026096F8"/>
    <w:rsid w:val="0279CB15"/>
    <w:rsid w:val="0287B2BF"/>
    <w:rsid w:val="0288B927"/>
    <w:rsid w:val="02935E49"/>
    <w:rsid w:val="02A25268"/>
    <w:rsid w:val="02B21CC4"/>
    <w:rsid w:val="02BF2A31"/>
    <w:rsid w:val="02BFD1D5"/>
    <w:rsid w:val="02C2D536"/>
    <w:rsid w:val="02C56AC5"/>
    <w:rsid w:val="02CF1BC0"/>
    <w:rsid w:val="02D0E5A9"/>
    <w:rsid w:val="02E59025"/>
    <w:rsid w:val="02F110FE"/>
    <w:rsid w:val="03066F74"/>
    <w:rsid w:val="030ECD6D"/>
    <w:rsid w:val="0332667A"/>
    <w:rsid w:val="033C7E3D"/>
    <w:rsid w:val="033F0FC6"/>
    <w:rsid w:val="03518785"/>
    <w:rsid w:val="03556946"/>
    <w:rsid w:val="036D68DA"/>
    <w:rsid w:val="03739BC1"/>
    <w:rsid w:val="03849A5F"/>
    <w:rsid w:val="0394907A"/>
    <w:rsid w:val="03B13843"/>
    <w:rsid w:val="03BF481F"/>
    <w:rsid w:val="03D1C1DB"/>
    <w:rsid w:val="03F1FD42"/>
    <w:rsid w:val="0407CE03"/>
    <w:rsid w:val="042EB1A8"/>
    <w:rsid w:val="0434C8FF"/>
    <w:rsid w:val="0443C277"/>
    <w:rsid w:val="0447FBCD"/>
    <w:rsid w:val="04538082"/>
    <w:rsid w:val="045CA49F"/>
    <w:rsid w:val="04636089"/>
    <w:rsid w:val="047C4283"/>
    <w:rsid w:val="048DECDB"/>
    <w:rsid w:val="04B2C3BF"/>
    <w:rsid w:val="04B343F8"/>
    <w:rsid w:val="04DC051F"/>
    <w:rsid w:val="0518A01B"/>
    <w:rsid w:val="0518E9B6"/>
    <w:rsid w:val="05222C74"/>
    <w:rsid w:val="053D5DA2"/>
    <w:rsid w:val="053F88E3"/>
    <w:rsid w:val="0542C58D"/>
    <w:rsid w:val="05476D47"/>
    <w:rsid w:val="0564EA46"/>
    <w:rsid w:val="0566DB9E"/>
    <w:rsid w:val="05675847"/>
    <w:rsid w:val="05887A88"/>
    <w:rsid w:val="059FB740"/>
    <w:rsid w:val="05B62548"/>
    <w:rsid w:val="05BA3EC2"/>
    <w:rsid w:val="05CF3180"/>
    <w:rsid w:val="05D1D7B9"/>
    <w:rsid w:val="05D3E399"/>
    <w:rsid w:val="05D3F4D9"/>
    <w:rsid w:val="05E5BCCA"/>
    <w:rsid w:val="05E8DD35"/>
    <w:rsid w:val="05ED97A6"/>
    <w:rsid w:val="05F37D7D"/>
    <w:rsid w:val="0606E6FC"/>
    <w:rsid w:val="060E5F98"/>
    <w:rsid w:val="060EF0A6"/>
    <w:rsid w:val="0616CE70"/>
    <w:rsid w:val="06225E9B"/>
    <w:rsid w:val="06338653"/>
    <w:rsid w:val="0633A8AE"/>
    <w:rsid w:val="0635B316"/>
    <w:rsid w:val="0636B9AB"/>
    <w:rsid w:val="0651280F"/>
    <w:rsid w:val="06549C69"/>
    <w:rsid w:val="065723C5"/>
    <w:rsid w:val="066A40B2"/>
    <w:rsid w:val="0698C79C"/>
    <w:rsid w:val="0698EB9C"/>
    <w:rsid w:val="069CC333"/>
    <w:rsid w:val="069E9597"/>
    <w:rsid w:val="069F039C"/>
    <w:rsid w:val="06A06C6A"/>
    <w:rsid w:val="06A09F63"/>
    <w:rsid w:val="06ADF268"/>
    <w:rsid w:val="06BF4818"/>
    <w:rsid w:val="06C270B4"/>
    <w:rsid w:val="06C7E567"/>
    <w:rsid w:val="06F5C6A6"/>
    <w:rsid w:val="06F6D27A"/>
    <w:rsid w:val="06F6EC92"/>
    <w:rsid w:val="06F9C1B3"/>
    <w:rsid w:val="0700B282"/>
    <w:rsid w:val="07114CED"/>
    <w:rsid w:val="07133926"/>
    <w:rsid w:val="07161A85"/>
    <w:rsid w:val="071674EA"/>
    <w:rsid w:val="073B6B00"/>
    <w:rsid w:val="073C7FBC"/>
    <w:rsid w:val="074523AE"/>
    <w:rsid w:val="07573684"/>
    <w:rsid w:val="07624CC3"/>
    <w:rsid w:val="076C7BEA"/>
    <w:rsid w:val="076EEBBC"/>
    <w:rsid w:val="076F3136"/>
    <w:rsid w:val="07734604"/>
    <w:rsid w:val="07825B13"/>
    <w:rsid w:val="0789BDD4"/>
    <w:rsid w:val="07948070"/>
    <w:rsid w:val="07AB1C2D"/>
    <w:rsid w:val="07BAEE98"/>
    <w:rsid w:val="07C35341"/>
    <w:rsid w:val="07C4E9B1"/>
    <w:rsid w:val="07D43267"/>
    <w:rsid w:val="07F25E55"/>
    <w:rsid w:val="080B8F28"/>
    <w:rsid w:val="08146312"/>
    <w:rsid w:val="081C1A70"/>
    <w:rsid w:val="0835EC19"/>
    <w:rsid w:val="083FE98A"/>
    <w:rsid w:val="0841E7DB"/>
    <w:rsid w:val="0856D09F"/>
    <w:rsid w:val="085F7AD1"/>
    <w:rsid w:val="0863DEC9"/>
    <w:rsid w:val="08657CE4"/>
    <w:rsid w:val="0868BF2A"/>
    <w:rsid w:val="08894DEC"/>
    <w:rsid w:val="088C482C"/>
    <w:rsid w:val="08AB6620"/>
    <w:rsid w:val="08B404F6"/>
    <w:rsid w:val="08C0D56A"/>
    <w:rsid w:val="08C79C24"/>
    <w:rsid w:val="08E94F8F"/>
    <w:rsid w:val="09042D3F"/>
    <w:rsid w:val="09069185"/>
    <w:rsid w:val="09107687"/>
    <w:rsid w:val="0922C295"/>
    <w:rsid w:val="092B2B71"/>
    <w:rsid w:val="092EF55C"/>
    <w:rsid w:val="0934F084"/>
    <w:rsid w:val="0938FCB3"/>
    <w:rsid w:val="095484B6"/>
    <w:rsid w:val="0963B947"/>
    <w:rsid w:val="0967D78E"/>
    <w:rsid w:val="097BCF2E"/>
    <w:rsid w:val="098204CD"/>
    <w:rsid w:val="098CA36F"/>
    <w:rsid w:val="09BA520F"/>
    <w:rsid w:val="09C6A98E"/>
    <w:rsid w:val="09CD71ED"/>
    <w:rsid w:val="09E95B59"/>
    <w:rsid w:val="09FD04F5"/>
    <w:rsid w:val="0A04E152"/>
    <w:rsid w:val="0A098D90"/>
    <w:rsid w:val="0A12FF12"/>
    <w:rsid w:val="0A158FB7"/>
    <w:rsid w:val="0A186DEF"/>
    <w:rsid w:val="0A203758"/>
    <w:rsid w:val="0A28F53E"/>
    <w:rsid w:val="0A3F16FB"/>
    <w:rsid w:val="0A42309C"/>
    <w:rsid w:val="0A49CB47"/>
    <w:rsid w:val="0A4FAEE9"/>
    <w:rsid w:val="0A552336"/>
    <w:rsid w:val="0A70B997"/>
    <w:rsid w:val="0A7234A0"/>
    <w:rsid w:val="0A73CF17"/>
    <w:rsid w:val="0A7574E7"/>
    <w:rsid w:val="0A919862"/>
    <w:rsid w:val="0A9C5158"/>
    <w:rsid w:val="0A9CF425"/>
    <w:rsid w:val="0AAB5BDF"/>
    <w:rsid w:val="0ACAE3BA"/>
    <w:rsid w:val="0AE910A5"/>
    <w:rsid w:val="0AEF22CE"/>
    <w:rsid w:val="0B0F3225"/>
    <w:rsid w:val="0B2A9DB6"/>
    <w:rsid w:val="0B2BB6E4"/>
    <w:rsid w:val="0B4DDB53"/>
    <w:rsid w:val="0B8F6393"/>
    <w:rsid w:val="0BA78C5A"/>
    <w:rsid w:val="0BC24E53"/>
    <w:rsid w:val="0BC514D9"/>
    <w:rsid w:val="0BD1D77A"/>
    <w:rsid w:val="0BE59BA8"/>
    <w:rsid w:val="0BF2CF29"/>
    <w:rsid w:val="0BF93DDC"/>
    <w:rsid w:val="0BFB7BE4"/>
    <w:rsid w:val="0BFE0D8B"/>
    <w:rsid w:val="0C08F118"/>
    <w:rsid w:val="0C12C6F9"/>
    <w:rsid w:val="0C2DFB26"/>
    <w:rsid w:val="0C4281F8"/>
    <w:rsid w:val="0C608DAD"/>
    <w:rsid w:val="0C668254"/>
    <w:rsid w:val="0C66B41B"/>
    <w:rsid w:val="0C6EA1A1"/>
    <w:rsid w:val="0C6F41FC"/>
    <w:rsid w:val="0C710127"/>
    <w:rsid w:val="0C7584DB"/>
    <w:rsid w:val="0C7E6A20"/>
    <w:rsid w:val="0C82B649"/>
    <w:rsid w:val="0CA3ACCF"/>
    <w:rsid w:val="0CB0F2C3"/>
    <w:rsid w:val="0CD5087D"/>
    <w:rsid w:val="0CE3D825"/>
    <w:rsid w:val="0CF95007"/>
    <w:rsid w:val="0D1139B1"/>
    <w:rsid w:val="0D1273A1"/>
    <w:rsid w:val="0D316334"/>
    <w:rsid w:val="0D47A51A"/>
    <w:rsid w:val="0D503C9D"/>
    <w:rsid w:val="0D5EAAB1"/>
    <w:rsid w:val="0D703201"/>
    <w:rsid w:val="0D776160"/>
    <w:rsid w:val="0D817F3B"/>
    <w:rsid w:val="0D85E4CE"/>
    <w:rsid w:val="0D94C8C5"/>
    <w:rsid w:val="0DD32855"/>
    <w:rsid w:val="0DDACC95"/>
    <w:rsid w:val="0DEEC520"/>
    <w:rsid w:val="0DEEFAE1"/>
    <w:rsid w:val="0DEFBE30"/>
    <w:rsid w:val="0DF5FE43"/>
    <w:rsid w:val="0DFD0F72"/>
    <w:rsid w:val="0E02847C"/>
    <w:rsid w:val="0E11E169"/>
    <w:rsid w:val="0E2F155B"/>
    <w:rsid w:val="0E2F855D"/>
    <w:rsid w:val="0E3B0104"/>
    <w:rsid w:val="0E4D8F41"/>
    <w:rsid w:val="0E663A87"/>
    <w:rsid w:val="0E7B0A53"/>
    <w:rsid w:val="0E89946B"/>
    <w:rsid w:val="0E8F9F49"/>
    <w:rsid w:val="0EACFA76"/>
    <w:rsid w:val="0EB0D38B"/>
    <w:rsid w:val="0EB8801C"/>
    <w:rsid w:val="0ECEEF3E"/>
    <w:rsid w:val="0EED49F9"/>
    <w:rsid w:val="0EED7FA3"/>
    <w:rsid w:val="0EEE34EB"/>
    <w:rsid w:val="0EFACCC8"/>
    <w:rsid w:val="0F009713"/>
    <w:rsid w:val="0F09CE63"/>
    <w:rsid w:val="0F0EA3F9"/>
    <w:rsid w:val="0F128F92"/>
    <w:rsid w:val="0F17CBA2"/>
    <w:rsid w:val="0F2746C3"/>
    <w:rsid w:val="0F4D5F5B"/>
    <w:rsid w:val="0F6ADF67"/>
    <w:rsid w:val="0F74D800"/>
    <w:rsid w:val="0F9E54DD"/>
    <w:rsid w:val="0FA3AA57"/>
    <w:rsid w:val="0FA4A7EA"/>
    <w:rsid w:val="0FC12E66"/>
    <w:rsid w:val="0FD0533C"/>
    <w:rsid w:val="100DB86C"/>
    <w:rsid w:val="1029E200"/>
    <w:rsid w:val="104A6756"/>
    <w:rsid w:val="105434BB"/>
    <w:rsid w:val="1083BF08"/>
    <w:rsid w:val="1093AA0B"/>
    <w:rsid w:val="1094F735"/>
    <w:rsid w:val="1097D2AF"/>
    <w:rsid w:val="109A50A8"/>
    <w:rsid w:val="10CAECC7"/>
    <w:rsid w:val="10CAFD6A"/>
    <w:rsid w:val="10D8887D"/>
    <w:rsid w:val="10DDDE0C"/>
    <w:rsid w:val="10E21D3B"/>
    <w:rsid w:val="10E25369"/>
    <w:rsid w:val="10F0ADC1"/>
    <w:rsid w:val="1105B4CF"/>
    <w:rsid w:val="110D6D8B"/>
    <w:rsid w:val="11143E11"/>
    <w:rsid w:val="1117EBA4"/>
    <w:rsid w:val="1121DF86"/>
    <w:rsid w:val="1135A03D"/>
    <w:rsid w:val="113ADD9B"/>
    <w:rsid w:val="114E8CC1"/>
    <w:rsid w:val="1165DFDB"/>
    <w:rsid w:val="1176980C"/>
    <w:rsid w:val="117EC43A"/>
    <w:rsid w:val="1184BE39"/>
    <w:rsid w:val="11889642"/>
    <w:rsid w:val="119CF5C1"/>
    <w:rsid w:val="11A35DA1"/>
    <w:rsid w:val="11AD6114"/>
    <w:rsid w:val="11BAF8AF"/>
    <w:rsid w:val="11CC124A"/>
    <w:rsid w:val="11CCD4D5"/>
    <w:rsid w:val="11D020AF"/>
    <w:rsid w:val="11D97785"/>
    <w:rsid w:val="11E2A6DC"/>
    <w:rsid w:val="11FF9114"/>
    <w:rsid w:val="120B8CE1"/>
    <w:rsid w:val="121D0061"/>
    <w:rsid w:val="121E3D74"/>
    <w:rsid w:val="122BE0AE"/>
    <w:rsid w:val="12346C2A"/>
    <w:rsid w:val="123AF8B6"/>
    <w:rsid w:val="12418E8F"/>
    <w:rsid w:val="12436FD4"/>
    <w:rsid w:val="124E7C4E"/>
    <w:rsid w:val="124F0BF9"/>
    <w:rsid w:val="1252B7A4"/>
    <w:rsid w:val="125AF4BB"/>
    <w:rsid w:val="1267FD34"/>
    <w:rsid w:val="12739E2C"/>
    <w:rsid w:val="1280B318"/>
    <w:rsid w:val="129BAEA2"/>
    <w:rsid w:val="12A887D4"/>
    <w:rsid w:val="12B63147"/>
    <w:rsid w:val="12B6FCC2"/>
    <w:rsid w:val="12C38F54"/>
    <w:rsid w:val="12C58EAF"/>
    <w:rsid w:val="12CB0A96"/>
    <w:rsid w:val="12D4FE63"/>
    <w:rsid w:val="12D755EE"/>
    <w:rsid w:val="12F3BCBB"/>
    <w:rsid w:val="12FA1EAB"/>
    <w:rsid w:val="130D5720"/>
    <w:rsid w:val="13126888"/>
    <w:rsid w:val="13149102"/>
    <w:rsid w:val="131491FF"/>
    <w:rsid w:val="13360013"/>
    <w:rsid w:val="133A6DF6"/>
    <w:rsid w:val="134B3BB1"/>
    <w:rsid w:val="1357D253"/>
    <w:rsid w:val="13621D9C"/>
    <w:rsid w:val="13651BE4"/>
    <w:rsid w:val="137832DF"/>
    <w:rsid w:val="137B8668"/>
    <w:rsid w:val="13805004"/>
    <w:rsid w:val="138614E6"/>
    <w:rsid w:val="1394C9BD"/>
    <w:rsid w:val="13A333E3"/>
    <w:rsid w:val="13BFC7E3"/>
    <w:rsid w:val="13DBD6E0"/>
    <w:rsid w:val="13E91949"/>
    <w:rsid w:val="13F3BD28"/>
    <w:rsid w:val="13F9C8DB"/>
    <w:rsid w:val="13FFD99F"/>
    <w:rsid w:val="14011E02"/>
    <w:rsid w:val="140E7C06"/>
    <w:rsid w:val="14138E01"/>
    <w:rsid w:val="141F8796"/>
    <w:rsid w:val="142E6304"/>
    <w:rsid w:val="14315D35"/>
    <w:rsid w:val="14397D11"/>
    <w:rsid w:val="143A00A1"/>
    <w:rsid w:val="143EFE96"/>
    <w:rsid w:val="14537520"/>
    <w:rsid w:val="145FF38F"/>
    <w:rsid w:val="146A0535"/>
    <w:rsid w:val="14726963"/>
    <w:rsid w:val="14819F78"/>
    <w:rsid w:val="14843453"/>
    <w:rsid w:val="148FC103"/>
    <w:rsid w:val="149637CA"/>
    <w:rsid w:val="149E2F0D"/>
    <w:rsid w:val="14B0454D"/>
    <w:rsid w:val="14B18066"/>
    <w:rsid w:val="14C1608F"/>
    <w:rsid w:val="14E66706"/>
    <w:rsid w:val="14E718E8"/>
    <w:rsid w:val="14F4F1F1"/>
    <w:rsid w:val="1507C55A"/>
    <w:rsid w:val="15227879"/>
    <w:rsid w:val="1535EF68"/>
    <w:rsid w:val="153B8B2A"/>
    <w:rsid w:val="154AF7C6"/>
    <w:rsid w:val="154DFD3F"/>
    <w:rsid w:val="15522733"/>
    <w:rsid w:val="15548B6D"/>
    <w:rsid w:val="155BCFBD"/>
    <w:rsid w:val="1560E945"/>
    <w:rsid w:val="15833EB4"/>
    <w:rsid w:val="15890CD4"/>
    <w:rsid w:val="15891064"/>
    <w:rsid w:val="1594B184"/>
    <w:rsid w:val="159539A0"/>
    <w:rsid w:val="15AA46E1"/>
    <w:rsid w:val="15AD2E90"/>
    <w:rsid w:val="15B30DC4"/>
    <w:rsid w:val="15B853DA"/>
    <w:rsid w:val="15C2B2C5"/>
    <w:rsid w:val="15C70E91"/>
    <w:rsid w:val="15D52CF4"/>
    <w:rsid w:val="15E0F896"/>
    <w:rsid w:val="15E3280A"/>
    <w:rsid w:val="15FDE68B"/>
    <w:rsid w:val="15FE5CE5"/>
    <w:rsid w:val="1608A965"/>
    <w:rsid w:val="160A6136"/>
    <w:rsid w:val="161BB1F5"/>
    <w:rsid w:val="161E77F7"/>
    <w:rsid w:val="16208AB4"/>
    <w:rsid w:val="165009D0"/>
    <w:rsid w:val="1657DE17"/>
    <w:rsid w:val="165D912A"/>
    <w:rsid w:val="167D511E"/>
    <w:rsid w:val="1690EA1F"/>
    <w:rsid w:val="16A4DF33"/>
    <w:rsid w:val="16A815A7"/>
    <w:rsid w:val="16BBEFBE"/>
    <w:rsid w:val="16E2C2F8"/>
    <w:rsid w:val="16E90DAF"/>
    <w:rsid w:val="16EC5B8C"/>
    <w:rsid w:val="16ED4BE8"/>
    <w:rsid w:val="16F92CD4"/>
    <w:rsid w:val="16FCBC11"/>
    <w:rsid w:val="1704296F"/>
    <w:rsid w:val="170CF825"/>
    <w:rsid w:val="170F1973"/>
    <w:rsid w:val="1712A992"/>
    <w:rsid w:val="171E321C"/>
    <w:rsid w:val="1736D1F0"/>
    <w:rsid w:val="17418EE0"/>
    <w:rsid w:val="17423E0B"/>
    <w:rsid w:val="17483420"/>
    <w:rsid w:val="1773F922"/>
    <w:rsid w:val="17801860"/>
    <w:rsid w:val="1790DD16"/>
    <w:rsid w:val="17964684"/>
    <w:rsid w:val="1797E28B"/>
    <w:rsid w:val="1797EC3A"/>
    <w:rsid w:val="179A4E4A"/>
    <w:rsid w:val="17A4A29F"/>
    <w:rsid w:val="17A4EB73"/>
    <w:rsid w:val="17AB77A8"/>
    <w:rsid w:val="17AE9C06"/>
    <w:rsid w:val="17B03D64"/>
    <w:rsid w:val="17B291C0"/>
    <w:rsid w:val="17B454B7"/>
    <w:rsid w:val="17B4DD03"/>
    <w:rsid w:val="17B77348"/>
    <w:rsid w:val="17C64AB1"/>
    <w:rsid w:val="17CD79F5"/>
    <w:rsid w:val="17E05820"/>
    <w:rsid w:val="17E178A8"/>
    <w:rsid w:val="17EF0385"/>
    <w:rsid w:val="17EF94C7"/>
    <w:rsid w:val="1807533D"/>
    <w:rsid w:val="180C99BD"/>
    <w:rsid w:val="181AA9C4"/>
    <w:rsid w:val="182BA56D"/>
    <w:rsid w:val="18458FB3"/>
    <w:rsid w:val="18514C4A"/>
    <w:rsid w:val="18537C26"/>
    <w:rsid w:val="185F2DCA"/>
    <w:rsid w:val="188EBBB5"/>
    <w:rsid w:val="18B11DC6"/>
    <w:rsid w:val="18B81A55"/>
    <w:rsid w:val="18C20203"/>
    <w:rsid w:val="18C5BACC"/>
    <w:rsid w:val="18CA612E"/>
    <w:rsid w:val="18D804A0"/>
    <w:rsid w:val="18D91849"/>
    <w:rsid w:val="18E394B1"/>
    <w:rsid w:val="18E424A1"/>
    <w:rsid w:val="18E8EADC"/>
    <w:rsid w:val="18EDB37F"/>
    <w:rsid w:val="18FEA3A0"/>
    <w:rsid w:val="1900DFEC"/>
    <w:rsid w:val="19150593"/>
    <w:rsid w:val="192474EF"/>
    <w:rsid w:val="193216E5"/>
    <w:rsid w:val="1945FF7F"/>
    <w:rsid w:val="194E6221"/>
    <w:rsid w:val="195DEA3E"/>
    <w:rsid w:val="195E6F62"/>
    <w:rsid w:val="1963EFA6"/>
    <w:rsid w:val="198CB8F4"/>
    <w:rsid w:val="19A020FE"/>
    <w:rsid w:val="19A8BA4A"/>
    <w:rsid w:val="19AB0202"/>
    <w:rsid w:val="19BE94B2"/>
    <w:rsid w:val="19CADFF9"/>
    <w:rsid w:val="19E3B78F"/>
    <w:rsid w:val="1A127845"/>
    <w:rsid w:val="1A1AA25A"/>
    <w:rsid w:val="1A2B5682"/>
    <w:rsid w:val="1A32E23B"/>
    <w:rsid w:val="1A3B67A2"/>
    <w:rsid w:val="1A3CAE98"/>
    <w:rsid w:val="1A3E2C5A"/>
    <w:rsid w:val="1A423DC7"/>
    <w:rsid w:val="1A430F0C"/>
    <w:rsid w:val="1A571995"/>
    <w:rsid w:val="1A57BBA9"/>
    <w:rsid w:val="1A609AA1"/>
    <w:rsid w:val="1A65DDE9"/>
    <w:rsid w:val="1A6FDF0E"/>
    <w:rsid w:val="1A884D98"/>
    <w:rsid w:val="1A928BF9"/>
    <w:rsid w:val="1AA179DC"/>
    <w:rsid w:val="1AB84228"/>
    <w:rsid w:val="1AE4702C"/>
    <w:rsid w:val="1AEA95E7"/>
    <w:rsid w:val="1AEEADF0"/>
    <w:rsid w:val="1AF3CF85"/>
    <w:rsid w:val="1AF8C1F0"/>
    <w:rsid w:val="1AF9F6C5"/>
    <w:rsid w:val="1B008F75"/>
    <w:rsid w:val="1B00EDAD"/>
    <w:rsid w:val="1B022CC8"/>
    <w:rsid w:val="1B3E11C0"/>
    <w:rsid w:val="1B4A69AF"/>
    <w:rsid w:val="1B4C0D81"/>
    <w:rsid w:val="1B5EC4A5"/>
    <w:rsid w:val="1B69A9CD"/>
    <w:rsid w:val="1B6BCA9D"/>
    <w:rsid w:val="1B6F3118"/>
    <w:rsid w:val="1B7A3359"/>
    <w:rsid w:val="1B7B85DD"/>
    <w:rsid w:val="1B8AA590"/>
    <w:rsid w:val="1B8CAC33"/>
    <w:rsid w:val="1BB71589"/>
    <w:rsid w:val="1BC7E837"/>
    <w:rsid w:val="1BCEB29C"/>
    <w:rsid w:val="1BDA8460"/>
    <w:rsid w:val="1BE307BB"/>
    <w:rsid w:val="1C1B3573"/>
    <w:rsid w:val="1C324678"/>
    <w:rsid w:val="1C34430E"/>
    <w:rsid w:val="1C3EE251"/>
    <w:rsid w:val="1C49D9DE"/>
    <w:rsid w:val="1C4BDC5D"/>
    <w:rsid w:val="1C4DF73A"/>
    <w:rsid w:val="1C5DC1D4"/>
    <w:rsid w:val="1C6340BD"/>
    <w:rsid w:val="1C6A6A10"/>
    <w:rsid w:val="1C798AF3"/>
    <w:rsid w:val="1C8365C5"/>
    <w:rsid w:val="1C8F1277"/>
    <w:rsid w:val="1C906575"/>
    <w:rsid w:val="1CA6686F"/>
    <w:rsid w:val="1CA9B4C5"/>
    <w:rsid w:val="1CB5FDF2"/>
    <w:rsid w:val="1CC305EA"/>
    <w:rsid w:val="1CCFB02A"/>
    <w:rsid w:val="1CD3E546"/>
    <w:rsid w:val="1CD8D313"/>
    <w:rsid w:val="1CDD6537"/>
    <w:rsid w:val="1CDF2360"/>
    <w:rsid w:val="1D14555D"/>
    <w:rsid w:val="1D2A41FD"/>
    <w:rsid w:val="1D2F24F0"/>
    <w:rsid w:val="1D2FD6B5"/>
    <w:rsid w:val="1D30E365"/>
    <w:rsid w:val="1D5279CF"/>
    <w:rsid w:val="1D6E626A"/>
    <w:rsid w:val="1D78DF2A"/>
    <w:rsid w:val="1D79263E"/>
    <w:rsid w:val="1D889547"/>
    <w:rsid w:val="1D8B4426"/>
    <w:rsid w:val="1D9C4E6A"/>
    <w:rsid w:val="1DA96871"/>
    <w:rsid w:val="1DAB272C"/>
    <w:rsid w:val="1DC136F6"/>
    <w:rsid w:val="1DC57910"/>
    <w:rsid w:val="1DC7C7F5"/>
    <w:rsid w:val="1DCD114E"/>
    <w:rsid w:val="1DD650EB"/>
    <w:rsid w:val="1DE93EE7"/>
    <w:rsid w:val="1DF484ED"/>
    <w:rsid w:val="1E068620"/>
    <w:rsid w:val="1E0C18F4"/>
    <w:rsid w:val="1E165864"/>
    <w:rsid w:val="1E1E3759"/>
    <w:rsid w:val="1E2B24CB"/>
    <w:rsid w:val="1E4C0D69"/>
    <w:rsid w:val="1E68FD55"/>
    <w:rsid w:val="1E722A69"/>
    <w:rsid w:val="1E7AD10D"/>
    <w:rsid w:val="1E9A8541"/>
    <w:rsid w:val="1EA125D0"/>
    <w:rsid w:val="1EAE2645"/>
    <w:rsid w:val="1EB14E74"/>
    <w:rsid w:val="1EBAD86E"/>
    <w:rsid w:val="1EC8A984"/>
    <w:rsid w:val="1ECEBA47"/>
    <w:rsid w:val="1EF25028"/>
    <w:rsid w:val="1F00AB00"/>
    <w:rsid w:val="1F0D4B91"/>
    <w:rsid w:val="1F289FDB"/>
    <w:rsid w:val="1F300F28"/>
    <w:rsid w:val="1F342BCB"/>
    <w:rsid w:val="1F351718"/>
    <w:rsid w:val="1F4303A8"/>
    <w:rsid w:val="1F59EDC3"/>
    <w:rsid w:val="1F5E2B1B"/>
    <w:rsid w:val="1F677650"/>
    <w:rsid w:val="1F6B2CE5"/>
    <w:rsid w:val="1F6FF285"/>
    <w:rsid w:val="1F73D0F9"/>
    <w:rsid w:val="1F857EBA"/>
    <w:rsid w:val="1F88713C"/>
    <w:rsid w:val="1F89292D"/>
    <w:rsid w:val="1F9A7D11"/>
    <w:rsid w:val="1FA482B6"/>
    <w:rsid w:val="1FBDDBB0"/>
    <w:rsid w:val="1FC00EB6"/>
    <w:rsid w:val="1FC452CD"/>
    <w:rsid w:val="1FEED2D6"/>
    <w:rsid w:val="1FEF1265"/>
    <w:rsid w:val="1FF33614"/>
    <w:rsid w:val="1FFAD080"/>
    <w:rsid w:val="201A743C"/>
    <w:rsid w:val="2024F668"/>
    <w:rsid w:val="20279C08"/>
    <w:rsid w:val="202DB9E4"/>
    <w:rsid w:val="203DB4F1"/>
    <w:rsid w:val="204D5B76"/>
    <w:rsid w:val="204F43F7"/>
    <w:rsid w:val="2051B571"/>
    <w:rsid w:val="207B3C5B"/>
    <w:rsid w:val="207BFB11"/>
    <w:rsid w:val="20836D2D"/>
    <w:rsid w:val="209B6F3F"/>
    <w:rsid w:val="209C1A12"/>
    <w:rsid w:val="209E08C2"/>
    <w:rsid w:val="20AA58CC"/>
    <w:rsid w:val="20B12A0B"/>
    <w:rsid w:val="20BE6861"/>
    <w:rsid w:val="20C755EB"/>
    <w:rsid w:val="20F9D037"/>
    <w:rsid w:val="20FBEFAC"/>
    <w:rsid w:val="21015258"/>
    <w:rsid w:val="211A4FC0"/>
    <w:rsid w:val="21215A1F"/>
    <w:rsid w:val="212FF08E"/>
    <w:rsid w:val="2131C04F"/>
    <w:rsid w:val="215D6086"/>
    <w:rsid w:val="2181D48A"/>
    <w:rsid w:val="218A68AA"/>
    <w:rsid w:val="2196770D"/>
    <w:rsid w:val="21A2827C"/>
    <w:rsid w:val="21B2251A"/>
    <w:rsid w:val="21B5A6D8"/>
    <w:rsid w:val="21BE0606"/>
    <w:rsid w:val="21C116AF"/>
    <w:rsid w:val="21C7E6A6"/>
    <w:rsid w:val="21C83FEF"/>
    <w:rsid w:val="21E5D4A2"/>
    <w:rsid w:val="21E7A1CB"/>
    <w:rsid w:val="21E98360"/>
    <w:rsid w:val="21EEC974"/>
    <w:rsid w:val="21F85B58"/>
    <w:rsid w:val="21F8D696"/>
    <w:rsid w:val="220031E2"/>
    <w:rsid w:val="22053259"/>
    <w:rsid w:val="220A7BB2"/>
    <w:rsid w:val="2216791C"/>
    <w:rsid w:val="221A073B"/>
    <w:rsid w:val="221E7394"/>
    <w:rsid w:val="2221E9F1"/>
    <w:rsid w:val="222B176D"/>
    <w:rsid w:val="22405C61"/>
    <w:rsid w:val="22411C11"/>
    <w:rsid w:val="226D85CE"/>
    <w:rsid w:val="226FCCAD"/>
    <w:rsid w:val="2282722D"/>
    <w:rsid w:val="229F16DF"/>
    <w:rsid w:val="22C4DF5E"/>
    <w:rsid w:val="22C5DB63"/>
    <w:rsid w:val="22C84E3B"/>
    <w:rsid w:val="22CE8B11"/>
    <w:rsid w:val="22DB1A0C"/>
    <w:rsid w:val="22E1CCDA"/>
    <w:rsid w:val="22E20226"/>
    <w:rsid w:val="22EB9ECA"/>
    <w:rsid w:val="22EC3CB3"/>
    <w:rsid w:val="22F78F8F"/>
    <w:rsid w:val="22FA6113"/>
    <w:rsid w:val="22FE43F8"/>
    <w:rsid w:val="23063FE7"/>
    <w:rsid w:val="230AE2C0"/>
    <w:rsid w:val="230EB83D"/>
    <w:rsid w:val="23128054"/>
    <w:rsid w:val="2351E3E4"/>
    <w:rsid w:val="23724832"/>
    <w:rsid w:val="237A5448"/>
    <w:rsid w:val="2395BB86"/>
    <w:rsid w:val="23A32CC1"/>
    <w:rsid w:val="23A6759D"/>
    <w:rsid w:val="23B4EA5F"/>
    <w:rsid w:val="23C25354"/>
    <w:rsid w:val="23C83B5F"/>
    <w:rsid w:val="23D2ADA4"/>
    <w:rsid w:val="23E110BB"/>
    <w:rsid w:val="23E5ABA9"/>
    <w:rsid w:val="23F3603F"/>
    <w:rsid w:val="23FD4A09"/>
    <w:rsid w:val="24042CC2"/>
    <w:rsid w:val="24076E68"/>
    <w:rsid w:val="24138D36"/>
    <w:rsid w:val="2417C41A"/>
    <w:rsid w:val="24378F94"/>
    <w:rsid w:val="243E23D0"/>
    <w:rsid w:val="244338F3"/>
    <w:rsid w:val="2456706A"/>
    <w:rsid w:val="246057A4"/>
    <w:rsid w:val="2473687D"/>
    <w:rsid w:val="24786E19"/>
    <w:rsid w:val="247A8B14"/>
    <w:rsid w:val="248CE59F"/>
    <w:rsid w:val="249A31C1"/>
    <w:rsid w:val="249FFB4F"/>
    <w:rsid w:val="24B69949"/>
    <w:rsid w:val="24BB4513"/>
    <w:rsid w:val="24CC2884"/>
    <w:rsid w:val="24DE1606"/>
    <w:rsid w:val="24E85D6F"/>
    <w:rsid w:val="24EFCDDA"/>
    <w:rsid w:val="2501D321"/>
    <w:rsid w:val="250C0E61"/>
    <w:rsid w:val="2510EDF0"/>
    <w:rsid w:val="25169B0C"/>
    <w:rsid w:val="25176DE7"/>
    <w:rsid w:val="251F9BAE"/>
    <w:rsid w:val="2523C14F"/>
    <w:rsid w:val="25299359"/>
    <w:rsid w:val="252E3BF5"/>
    <w:rsid w:val="2550BAC0"/>
    <w:rsid w:val="255C7BB8"/>
    <w:rsid w:val="25622290"/>
    <w:rsid w:val="2568DB9B"/>
    <w:rsid w:val="256AAFB8"/>
    <w:rsid w:val="25813C5B"/>
    <w:rsid w:val="258ED89A"/>
    <w:rsid w:val="259806FF"/>
    <w:rsid w:val="25987D13"/>
    <w:rsid w:val="259A5CC4"/>
    <w:rsid w:val="259F33BC"/>
    <w:rsid w:val="25C357FC"/>
    <w:rsid w:val="25EBDA3F"/>
    <w:rsid w:val="25FE82ED"/>
    <w:rsid w:val="2601544D"/>
    <w:rsid w:val="260C618E"/>
    <w:rsid w:val="2620F763"/>
    <w:rsid w:val="2622F498"/>
    <w:rsid w:val="262A22A2"/>
    <w:rsid w:val="262A999E"/>
    <w:rsid w:val="263A3703"/>
    <w:rsid w:val="264D3F82"/>
    <w:rsid w:val="266A69BE"/>
    <w:rsid w:val="2675B337"/>
    <w:rsid w:val="267C4CF7"/>
    <w:rsid w:val="267D3C4E"/>
    <w:rsid w:val="269A7C99"/>
    <w:rsid w:val="269AAB21"/>
    <w:rsid w:val="269E9D8E"/>
    <w:rsid w:val="26A27CBB"/>
    <w:rsid w:val="26ACA0A5"/>
    <w:rsid w:val="26AEA6C9"/>
    <w:rsid w:val="26AEC04C"/>
    <w:rsid w:val="26B60B12"/>
    <w:rsid w:val="26D55694"/>
    <w:rsid w:val="26E12470"/>
    <w:rsid w:val="26EE9295"/>
    <w:rsid w:val="26F3ACEA"/>
    <w:rsid w:val="2707796A"/>
    <w:rsid w:val="271AA51B"/>
    <w:rsid w:val="271C7E94"/>
    <w:rsid w:val="271F9B3D"/>
    <w:rsid w:val="2726AF60"/>
    <w:rsid w:val="27424BB0"/>
    <w:rsid w:val="2751ABAA"/>
    <w:rsid w:val="2758F4E6"/>
    <w:rsid w:val="27694B97"/>
    <w:rsid w:val="276AED26"/>
    <w:rsid w:val="277A5D5C"/>
    <w:rsid w:val="27818B13"/>
    <w:rsid w:val="27946D7D"/>
    <w:rsid w:val="27BBE971"/>
    <w:rsid w:val="27C0BFA2"/>
    <w:rsid w:val="27C5AE50"/>
    <w:rsid w:val="27CEC750"/>
    <w:rsid w:val="27D77F9A"/>
    <w:rsid w:val="27F43A1E"/>
    <w:rsid w:val="28021C07"/>
    <w:rsid w:val="280D930C"/>
    <w:rsid w:val="28183C23"/>
    <w:rsid w:val="2825648D"/>
    <w:rsid w:val="283750D4"/>
    <w:rsid w:val="283C321C"/>
    <w:rsid w:val="284032ED"/>
    <w:rsid w:val="2850BBB6"/>
    <w:rsid w:val="2859228C"/>
    <w:rsid w:val="285A093C"/>
    <w:rsid w:val="287A2D35"/>
    <w:rsid w:val="288A95E3"/>
    <w:rsid w:val="289397DC"/>
    <w:rsid w:val="28A0B377"/>
    <w:rsid w:val="28A99427"/>
    <w:rsid w:val="28B525E3"/>
    <w:rsid w:val="28C6B608"/>
    <w:rsid w:val="28D0CE84"/>
    <w:rsid w:val="28D7FA93"/>
    <w:rsid w:val="28FB4951"/>
    <w:rsid w:val="28FE3A6A"/>
    <w:rsid w:val="290FAD51"/>
    <w:rsid w:val="2913C181"/>
    <w:rsid w:val="29299B2A"/>
    <w:rsid w:val="2936BF13"/>
    <w:rsid w:val="29586CBC"/>
    <w:rsid w:val="29598E22"/>
    <w:rsid w:val="2968C74C"/>
    <w:rsid w:val="296BAD74"/>
    <w:rsid w:val="297098B2"/>
    <w:rsid w:val="297DBC60"/>
    <w:rsid w:val="29877C93"/>
    <w:rsid w:val="29886095"/>
    <w:rsid w:val="298F3CB3"/>
    <w:rsid w:val="298FB607"/>
    <w:rsid w:val="29AF8B56"/>
    <w:rsid w:val="29C134EE"/>
    <w:rsid w:val="29E2EA6E"/>
    <w:rsid w:val="29E995EC"/>
    <w:rsid w:val="29EADF16"/>
    <w:rsid w:val="29EEE3A7"/>
    <w:rsid w:val="29EF9DC5"/>
    <w:rsid w:val="2A0A0226"/>
    <w:rsid w:val="2A17AF0A"/>
    <w:rsid w:val="2A22DF3F"/>
    <w:rsid w:val="2A2CF431"/>
    <w:rsid w:val="2A3A6C7F"/>
    <w:rsid w:val="2A51E1E3"/>
    <w:rsid w:val="2A5588A7"/>
    <w:rsid w:val="2A66DD80"/>
    <w:rsid w:val="2A6D182F"/>
    <w:rsid w:val="2A73A5A7"/>
    <w:rsid w:val="2A8B2DE6"/>
    <w:rsid w:val="2A8E6DB2"/>
    <w:rsid w:val="2A951742"/>
    <w:rsid w:val="2AA0E608"/>
    <w:rsid w:val="2AA61ECC"/>
    <w:rsid w:val="2AA7C47C"/>
    <w:rsid w:val="2AAD6227"/>
    <w:rsid w:val="2ABC14C9"/>
    <w:rsid w:val="2ACD1976"/>
    <w:rsid w:val="2AE4E3B3"/>
    <w:rsid w:val="2AEE34C9"/>
    <w:rsid w:val="2AF7BF28"/>
    <w:rsid w:val="2B0335CA"/>
    <w:rsid w:val="2B189FEF"/>
    <w:rsid w:val="2B2430F6"/>
    <w:rsid w:val="2B2D4D1F"/>
    <w:rsid w:val="2B3214A5"/>
    <w:rsid w:val="2B3F25C9"/>
    <w:rsid w:val="2B48398C"/>
    <w:rsid w:val="2B54027F"/>
    <w:rsid w:val="2B587BC0"/>
    <w:rsid w:val="2B77C90E"/>
    <w:rsid w:val="2B931459"/>
    <w:rsid w:val="2B933994"/>
    <w:rsid w:val="2B9DE91E"/>
    <w:rsid w:val="2B9E74E9"/>
    <w:rsid w:val="2BAE146B"/>
    <w:rsid w:val="2BAEC357"/>
    <w:rsid w:val="2BBF46FC"/>
    <w:rsid w:val="2BC3C55F"/>
    <w:rsid w:val="2BC897E4"/>
    <w:rsid w:val="2BCD14D6"/>
    <w:rsid w:val="2BD0380E"/>
    <w:rsid w:val="2BDC412C"/>
    <w:rsid w:val="2BDD1B70"/>
    <w:rsid w:val="2BE19248"/>
    <w:rsid w:val="2BEE3A6D"/>
    <w:rsid w:val="2C1FAF81"/>
    <w:rsid w:val="2C27780B"/>
    <w:rsid w:val="2C34ADC6"/>
    <w:rsid w:val="2C3FB514"/>
    <w:rsid w:val="2C477F9F"/>
    <w:rsid w:val="2C507C9A"/>
    <w:rsid w:val="2C5450BB"/>
    <w:rsid w:val="2C741759"/>
    <w:rsid w:val="2C76E211"/>
    <w:rsid w:val="2C83B561"/>
    <w:rsid w:val="2C85D54A"/>
    <w:rsid w:val="2C997F7C"/>
    <w:rsid w:val="2C9AFF70"/>
    <w:rsid w:val="2CABAB68"/>
    <w:rsid w:val="2CB042CD"/>
    <w:rsid w:val="2CD6DCEB"/>
    <w:rsid w:val="2CDEAAFE"/>
    <w:rsid w:val="2CE0B830"/>
    <w:rsid w:val="2CF031CA"/>
    <w:rsid w:val="2CF5A97F"/>
    <w:rsid w:val="2CFCBF32"/>
    <w:rsid w:val="2CFE6128"/>
    <w:rsid w:val="2D0E8357"/>
    <w:rsid w:val="2D240228"/>
    <w:rsid w:val="2D2A5B62"/>
    <w:rsid w:val="2D5300F4"/>
    <w:rsid w:val="2D6B3EC1"/>
    <w:rsid w:val="2D77B393"/>
    <w:rsid w:val="2D80920D"/>
    <w:rsid w:val="2D84AF27"/>
    <w:rsid w:val="2D9B9B53"/>
    <w:rsid w:val="2DA511FA"/>
    <w:rsid w:val="2DBD9131"/>
    <w:rsid w:val="2DD9268C"/>
    <w:rsid w:val="2DE004DD"/>
    <w:rsid w:val="2DE5AAAE"/>
    <w:rsid w:val="2DEBD6E3"/>
    <w:rsid w:val="2E0172FE"/>
    <w:rsid w:val="2E200BE9"/>
    <w:rsid w:val="2E21111D"/>
    <w:rsid w:val="2E25D58B"/>
    <w:rsid w:val="2E4083C3"/>
    <w:rsid w:val="2E4B7842"/>
    <w:rsid w:val="2E5BD1B8"/>
    <w:rsid w:val="2E6946BE"/>
    <w:rsid w:val="2E77A825"/>
    <w:rsid w:val="2E84526A"/>
    <w:rsid w:val="2E94789B"/>
    <w:rsid w:val="2EBE6E8A"/>
    <w:rsid w:val="2ECB7EF7"/>
    <w:rsid w:val="2ECCAD82"/>
    <w:rsid w:val="2ECDEC8A"/>
    <w:rsid w:val="2ED2E96B"/>
    <w:rsid w:val="2EDAD6BF"/>
    <w:rsid w:val="2EE1FBE2"/>
    <w:rsid w:val="2EE5A59F"/>
    <w:rsid w:val="2F005248"/>
    <w:rsid w:val="2F034471"/>
    <w:rsid w:val="2F0E563A"/>
    <w:rsid w:val="2F15CE96"/>
    <w:rsid w:val="2F1EBD85"/>
    <w:rsid w:val="2F37E663"/>
    <w:rsid w:val="2F46C68C"/>
    <w:rsid w:val="2F4DC426"/>
    <w:rsid w:val="2F578122"/>
    <w:rsid w:val="2F588D54"/>
    <w:rsid w:val="2F624643"/>
    <w:rsid w:val="2F6267BF"/>
    <w:rsid w:val="2F67E348"/>
    <w:rsid w:val="2F6E7BA7"/>
    <w:rsid w:val="2F892D9C"/>
    <w:rsid w:val="2F8EF09B"/>
    <w:rsid w:val="2F8F9E04"/>
    <w:rsid w:val="2FA50AAD"/>
    <w:rsid w:val="2FC085A5"/>
    <w:rsid w:val="2FC196B3"/>
    <w:rsid w:val="2FCA38A4"/>
    <w:rsid w:val="2FD917D7"/>
    <w:rsid w:val="2FE84060"/>
    <w:rsid w:val="2FEF8026"/>
    <w:rsid w:val="302C522A"/>
    <w:rsid w:val="302D39E2"/>
    <w:rsid w:val="303E787B"/>
    <w:rsid w:val="30537CEE"/>
    <w:rsid w:val="3053846D"/>
    <w:rsid w:val="305C4ED2"/>
    <w:rsid w:val="3060CBFB"/>
    <w:rsid w:val="3076F828"/>
    <w:rsid w:val="3079DE21"/>
    <w:rsid w:val="308A6E2C"/>
    <w:rsid w:val="309511B0"/>
    <w:rsid w:val="30A6C7B7"/>
    <w:rsid w:val="30BED3CB"/>
    <w:rsid w:val="30BFDD80"/>
    <w:rsid w:val="30EB1D3D"/>
    <w:rsid w:val="30F9C08F"/>
    <w:rsid w:val="31060DFC"/>
    <w:rsid w:val="310DFF8A"/>
    <w:rsid w:val="310F91EA"/>
    <w:rsid w:val="31134EDF"/>
    <w:rsid w:val="31287758"/>
    <w:rsid w:val="313A1641"/>
    <w:rsid w:val="313B4D88"/>
    <w:rsid w:val="31486F3D"/>
    <w:rsid w:val="31574904"/>
    <w:rsid w:val="3160C530"/>
    <w:rsid w:val="316EE70B"/>
    <w:rsid w:val="3186E48D"/>
    <w:rsid w:val="318A6EC6"/>
    <w:rsid w:val="31AD5F2E"/>
    <w:rsid w:val="31CC5564"/>
    <w:rsid w:val="31FF0E22"/>
    <w:rsid w:val="32125AEA"/>
    <w:rsid w:val="321937C1"/>
    <w:rsid w:val="322DC982"/>
    <w:rsid w:val="322ECD6F"/>
    <w:rsid w:val="32427F05"/>
    <w:rsid w:val="32557064"/>
    <w:rsid w:val="325BBF76"/>
    <w:rsid w:val="3262AE93"/>
    <w:rsid w:val="326B6347"/>
    <w:rsid w:val="326E1D00"/>
    <w:rsid w:val="327583F3"/>
    <w:rsid w:val="327D2DCB"/>
    <w:rsid w:val="3281ADF1"/>
    <w:rsid w:val="329BC710"/>
    <w:rsid w:val="32AEF581"/>
    <w:rsid w:val="32CF404B"/>
    <w:rsid w:val="32D6C2C0"/>
    <w:rsid w:val="32DCC54D"/>
    <w:rsid w:val="32EEF917"/>
    <w:rsid w:val="32F92373"/>
    <w:rsid w:val="330877EC"/>
    <w:rsid w:val="331278E2"/>
    <w:rsid w:val="331FF91E"/>
    <w:rsid w:val="332AFBF7"/>
    <w:rsid w:val="333D51E6"/>
    <w:rsid w:val="33452FE5"/>
    <w:rsid w:val="3354194B"/>
    <w:rsid w:val="335C6CB2"/>
    <w:rsid w:val="335E5B58"/>
    <w:rsid w:val="3364BB8A"/>
    <w:rsid w:val="337A68E0"/>
    <w:rsid w:val="3384E355"/>
    <w:rsid w:val="3384E639"/>
    <w:rsid w:val="33AA81C0"/>
    <w:rsid w:val="33BB3372"/>
    <w:rsid w:val="33E0B6B5"/>
    <w:rsid w:val="33E86D2C"/>
    <w:rsid w:val="33E8C148"/>
    <w:rsid w:val="34104CCB"/>
    <w:rsid w:val="34210A96"/>
    <w:rsid w:val="342ED157"/>
    <w:rsid w:val="3433A1C9"/>
    <w:rsid w:val="343821D7"/>
    <w:rsid w:val="343FAE22"/>
    <w:rsid w:val="34444441"/>
    <w:rsid w:val="3456E041"/>
    <w:rsid w:val="346EAAAA"/>
    <w:rsid w:val="347C1C12"/>
    <w:rsid w:val="347F4799"/>
    <w:rsid w:val="3484CDBD"/>
    <w:rsid w:val="348E7011"/>
    <w:rsid w:val="3495170F"/>
    <w:rsid w:val="349D384D"/>
    <w:rsid w:val="34B0A38D"/>
    <w:rsid w:val="34B0CB36"/>
    <w:rsid w:val="3501939F"/>
    <w:rsid w:val="3506B514"/>
    <w:rsid w:val="350C131E"/>
    <w:rsid w:val="3511F65B"/>
    <w:rsid w:val="3521E17C"/>
    <w:rsid w:val="353DA33C"/>
    <w:rsid w:val="353F238D"/>
    <w:rsid w:val="35435CC2"/>
    <w:rsid w:val="3547CD03"/>
    <w:rsid w:val="3567CD99"/>
    <w:rsid w:val="356A99E2"/>
    <w:rsid w:val="357CAA01"/>
    <w:rsid w:val="3584C715"/>
    <w:rsid w:val="35855551"/>
    <w:rsid w:val="35A87C55"/>
    <w:rsid w:val="35B2B3DB"/>
    <w:rsid w:val="35D170D1"/>
    <w:rsid w:val="35EE3908"/>
    <w:rsid w:val="360819C7"/>
    <w:rsid w:val="3627D80B"/>
    <w:rsid w:val="362D7536"/>
    <w:rsid w:val="36A6C6FD"/>
    <w:rsid w:val="36B0B037"/>
    <w:rsid w:val="36B27B9A"/>
    <w:rsid w:val="36C148B1"/>
    <w:rsid w:val="36E43682"/>
    <w:rsid w:val="37005180"/>
    <w:rsid w:val="37087E87"/>
    <w:rsid w:val="370E1209"/>
    <w:rsid w:val="3710A257"/>
    <w:rsid w:val="371780F7"/>
    <w:rsid w:val="371A5108"/>
    <w:rsid w:val="37214028"/>
    <w:rsid w:val="3727C458"/>
    <w:rsid w:val="3735C95D"/>
    <w:rsid w:val="37365A5D"/>
    <w:rsid w:val="37386176"/>
    <w:rsid w:val="373A3244"/>
    <w:rsid w:val="373C28BB"/>
    <w:rsid w:val="3745AFE4"/>
    <w:rsid w:val="3746C31A"/>
    <w:rsid w:val="3751FE5A"/>
    <w:rsid w:val="375590CE"/>
    <w:rsid w:val="37568373"/>
    <w:rsid w:val="3764E431"/>
    <w:rsid w:val="37829822"/>
    <w:rsid w:val="379096AC"/>
    <w:rsid w:val="3790E210"/>
    <w:rsid w:val="379D2BFE"/>
    <w:rsid w:val="37B03670"/>
    <w:rsid w:val="37BE4B33"/>
    <w:rsid w:val="37EA3663"/>
    <w:rsid w:val="37F644D3"/>
    <w:rsid w:val="380B0E35"/>
    <w:rsid w:val="382A7EE4"/>
    <w:rsid w:val="3830B629"/>
    <w:rsid w:val="384E1F05"/>
    <w:rsid w:val="385215FF"/>
    <w:rsid w:val="3856A367"/>
    <w:rsid w:val="385FDC03"/>
    <w:rsid w:val="3863F913"/>
    <w:rsid w:val="387928AC"/>
    <w:rsid w:val="388C9C71"/>
    <w:rsid w:val="38A9EB15"/>
    <w:rsid w:val="38CB0DE5"/>
    <w:rsid w:val="38FD5E50"/>
    <w:rsid w:val="3904212E"/>
    <w:rsid w:val="3918B111"/>
    <w:rsid w:val="391FBCC3"/>
    <w:rsid w:val="3920EEB6"/>
    <w:rsid w:val="392DA61A"/>
    <w:rsid w:val="3930340C"/>
    <w:rsid w:val="394CF874"/>
    <w:rsid w:val="39653CBD"/>
    <w:rsid w:val="39688832"/>
    <w:rsid w:val="396DEA4C"/>
    <w:rsid w:val="39899622"/>
    <w:rsid w:val="398E19F3"/>
    <w:rsid w:val="399083D7"/>
    <w:rsid w:val="399B9561"/>
    <w:rsid w:val="39BF28BC"/>
    <w:rsid w:val="39BFF080"/>
    <w:rsid w:val="39C0128C"/>
    <w:rsid w:val="39CA80AF"/>
    <w:rsid w:val="39E17C66"/>
    <w:rsid w:val="3A0DD43E"/>
    <w:rsid w:val="3A191120"/>
    <w:rsid w:val="3A1A91FD"/>
    <w:rsid w:val="3A1BD53F"/>
    <w:rsid w:val="3A1FD0B2"/>
    <w:rsid w:val="3A287D66"/>
    <w:rsid w:val="3A307556"/>
    <w:rsid w:val="3A39650D"/>
    <w:rsid w:val="3A4B2313"/>
    <w:rsid w:val="3A4E44D5"/>
    <w:rsid w:val="3A53C794"/>
    <w:rsid w:val="3A54B6C2"/>
    <w:rsid w:val="3A5900FF"/>
    <w:rsid w:val="3A7DBF43"/>
    <w:rsid w:val="3A95FAC6"/>
    <w:rsid w:val="3AA41DF9"/>
    <w:rsid w:val="3AAABEC7"/>
    <w:rsid w:val="3AAFC2A7"/>
    <w:rsid w:val="3ABFF80B"/>
    <w:rsid w:val="3AC52D8A"/>
    <w:rsid w:val="3AE19FC4"/>
    <w:rsid w:val="3AE34005"/>
    <w:rsid w:val="3AE5941B"/>
    <w:rsid w:val="3AEE09EC"/>
    <w:rsid w:val="3AF5E06A"/>
    <w:rsid w:val="3AFCBB9C"/>
    <w:rsid w:val="3AFEA7AB"/>
    <w:rsid w:val="3AFFA440"/>
    <w:rsid w:val="3AFFB53B"/>
    <w:rsid w:val="3B1E8BCA"/>
    <w:rsid w:val="3B2ADA81"/>
    <w:rsid w:val="3B41109F"/>
    <w:rsid w:val="3B439095"/>
    <w:rsid w:val="3B44DD1D"/>
    <w:rsid w:val="3B4F1396"/>
    <w:rsid w:val="3B5298BB"/>
    <w:rsid w:val="3B58B114"/>
    <w:rsid w:val="3B720016"/>
    <w:rsid w:val="3B822CA6"/>
    <w:rsid w:val="3B9002C1"/>
    <w:rsid w:val="3BB4B5FC"/>
    <w:rsid w:val="3BD977C7"/>
    <w:rsid w:val="3BDE0D94"/>
    <w:rsid w:val="3BE90A46"/>
    <w:rsid w:val="3C00885C"/>
    <w:rsid w:val="3C3794FD"/>
    <w:rsid w:val="3C3F62B5"/>
    <w:rsid w:val="3C63D2E7"/>
    <w:rsid w:val="3C838763"/>
    <w:rsid w:val="3C889B69"/>
    <w:rsid w:val="3C927794"/>
    <w:rsid w:val="3CA83938"/>
    <w:rsid w:val="3CC3E8D0"/>
    <w:rsid w:val="3CC7B7F2"/>
    <w:rsid w:val="3CD3175F"/>
    <w:rsid w:val="3CDA9CDE"/>
    <w:rsid w:val="3CDE4446"/>
    <w:rsid w:val="3CF3F832"/>
    <w:rsid w:val="3CF99CB8"/>
    <w:rsid w:val="3D1682EF"/>
    <w:rsid w:val="3D23A04A"/>
    <w:rsid w:val="3D2F167E"/>
    <w:rsid w:val="3D3C0AF8"/>
    <w:rsid w:val="3D3EF2D8"/>
    <w:rsid w:val="3D477F07"/>
    <w:rsid w:val="3D47DE76"/>
    <w:rsid w:val="3D4FDA2E"/>
    <w:rsid w:val="3D62953A"/>
    <w:rsid w:val="3D69293D"/>
    <w:rsid w:val="3D6D9E25"/>
    <w:rsid w:val="3D7C63EA"/>
    <w:rsid w:val="3D7CCC44"/>
    <w:rsid w:val="3D95030A"/>
    <w:rsid w:val="3DA58F5D"/>
    <w:rsid w:val="3DD03452"/>
    <w:rsid w:val="3DE1196F"/>
    <w:rsid w:val="3DF1E504"/>
    <w:rsid w:val="3DFA3C6D"/>
    <w:rsid w:val="3DFF4CAC"/>
    <w:rsid w:val="3E135C89"/>
    <w:rsid w:val="3E331F39"/>
    <w:rsid w:val="3E3AED6B"/>
    <w:rsid w:val="3E40DCB8"/>
    <w:rsid w:val="3E421DEE"/>
    <w:rsid w:val="3E42EDA1"/>
    <w:rsid w:val="3E436E76"/>
    <w:rsid w:val="3E4D18F0"/>
    <w:rsid w:val="3E565E1F"/>
    <w:rsid w:val="3E5F51D7"/>
    <w:rsid w:val="3E69C438"/>
    <w:rsid w:val="3E6A6D4D"/>
    <w:rsid w:val="3E6B0E5C"/>
    <w:rsid w:val="3E832C36"/>
    <w:rsid w:val="3E83C26C"/>
    <w:rsid w:val="3E86836E"/>
    <w:rsid w:val="3E8A28B1"/>
    <w:rsid w:val="3E949238"/>
    <w:rsid w:val="3E968095"/>
    <w:rsid w:val="3EA0CD54"/>
    <w:rsid w:val="3EA6F506"/>
    <w:rsid w:val="3EA9B7F4"/>
    <w:rsid w:val="3EAB856E"/>
    <w:rsid w:val="3EBDF2DF"/>
    <w:rsid w:val="3EEEAEE6"/>
    <w:rsid w:val="3EF78C9D"/>
    <w:rsid w:val="3F00767C"/>
    <w:rsid w:val="3F034A67"/>
    <w:rsid w:val="3F169C91"/>
    <w:rsid w:val="3F186B38"/>
    <w:rsid w:val="3F189CA5"/>
    <w:rsid w:val="3F42A52F"/>
    <w:rsid w:val="3F5CDB23"/>
    <w:rsid w:val="3F5E77C6"/>
    <w:rsid w:val="3F6B6C04"/>
    <w:rsid w:val="3F721540"/>
    <w:rsid w:val="3F735EAE"/>
    <w:rsid w:val="3FA09440"/>
    <w:rsid w:val="3FA4E27F"/>
    <w:rsid w:val="3FB3063B"/>
    <w:rsid w:val="3FB4E937"/>
    <w:rsid w:val="3FD4C342"/>
    <w:rsid w:val="3FF4013C"/>
    <w:rsid w:val="3FF4F8CE"/>
    <w:rsid w:val="400655FD"/>
    <w:rsid w:val="400DE6B1"/>
    <w:rsid w:val="401166A3"/>
    <w:rsid w:val="40263EFC"/>
    <w:rsid w:val="402D72F5"/>
    <w:rsid w:val="404EB3BB"/>
    <w:rsid w:val="4052101D"/>
    <w:rsid w:val="406EBE32"/>
    <w:rsid w:val="4077AA96"/>
    <w:rsid w:val="40835F34"/>
    <w:rsid w:val="408D3166"/>
    <w:rsid w:val="40C1C348"/>
    <w:rsid w:val="40CE25EF"/>
    <w:rsid w:val="40D331B6"/>
    <w:rsid w:val="40D37B94"/>
    <w:rsid w:val="40E9F999"/>
    <w:rsid w:val="40EE1AA1"/>
    <w:rsid w:val="40FEE5C3"/>
    <w:rsid w:val="4102B099"/>
    <w:rsid w:val="41068EB8"/>
    <w:rsid w:val="4108D8E4"/>
    <w:rsid w:val="411B3FAA"/>
    <w:rsid w:val="412BD83C"/>
    <w:rsid w:val="413282F0"/>
    <w:rsid w:val="41390885"/>
    <w:rsid w:val="414D7B52"/>
    <w:rsid w:val="4159DB3D"/>
    <w:rsid w:val="4172D96F"/>
    <w:rsid w:val="41B7CC4B"/>
    <w:rsid w:val="41BB7E7C"/>
    <w:rsid w:val="41BE5C13"/>
    <w:rsid w:val="41BEBC26"/>
    <w:rsid w:val="41D036E6"/>
    <w:rsid w:val="41D16627"/>
    <w:rsid w:val="41F21857"/>
    <w:rsid w:val="41F81DE2"/>
    <w:rsid w:val="41F820A2"/>
    <w:rsid w:val="41FE0B38"/>
    <w:rsid w:val="4204A30C"/>
    <w:rsid w:val="420EB927"/>
    <w:rsid w:val="421A685A"/>
    <w:rsid w:val="4225CACE"/>
    <w:rsid w:val="423C4589"/>
    <w:rsid w:val="4243678D"/>
    <w:rsid w:val="42568A88"/>
    <w:rsid w:val="426DB807"/>
    <w:rsid w:val="42771F07"/>
    <w:rsid w:val="428A8204"/>
    <w:rsid w:val="42B0AD55"/>
    <w:rsid w:val="42B59FFD"/>
    <w:rsid w:val="42D8C0DC"/>
    <w:rsid w:val="42E3C32D"/>
    <w:rsid w:val="42EA74B6"/>
    <w:rsid w:val="4314E796"/>
    <w:rsid w:val="431A560A"/>
    <w:rsid w:val="4320949F"/>
    <w:rsid w:val="43254822"/>
    <w:rsid w:val="4329EC5D"/>
    <w:rsid w:val="433DE1C1"/>
    <w:rsid w:val="433EF409"/>
    <w:rsid w:val="434518A8"/>
    <w:rsid w:val="434F7B4F"/>
    <w:rsid w:val="4355F911"/>
    <w:rsid w:val="4357954F"/>
    <w:rsid w:val="435DA084"/>
    <w:rsid w:val="436F6C87"/>
    <w:rsid w:val="4378CDFE"/>
    <w:rsid w:val="4383D75F"/>
    <w:rsid w:val="438D68F3"/>
    <w:rsid w:val="439476E3"/>
    <w:rsid w:val="43A52DE8"/>
    <w:rsid w:val="43A7D372"/>
    <w:rsid w:val="43ACA250"/>
    <w:rsid w:val="43B63052"/>
    <w:rsid w:val="43B758D8"/>
    <w:rsid w:val="43BF5434"/>
    <w:rsid w:val="43BFC2AF"/>
    <w:rsid w:val="43C663B3"/>
    <w:rsid w:val="43D1DEAF"/>
    <w:rsid w:val="43E1B0EE"/>
    <w:rsid w:val="43ED6E50"/>
    <w:rsid w:val="43F3F91A"/>
    <w:rsid w:val="43F60E6E"/>
    <w:rsid w:val="44034C7C"/>
    <w:rsid w:val="441E2BD1"/>
    <w:rsid w:val="442300BA"/>
    <w:rsid w:val="445F3DC1"/>
    <w:rsid w:val="4461A049"/>
    <w:rsid w:val="44808C4E"/>
    <w:rsid w:val="448FBF8A"/>
    <w:rsid w:val="44907F48"/>
    <w:rsid w:val="449DEF4E"/>
    <w:rsid w:val="44BBF313"/>
    <w:rsid w:val="44CB4715"/>
    <w:rsid w:val="44D1E03A"/>
    <w:rsid w:val="4509680F"/>
    <w:rsid w:val="450BB9C9"/>
    <w:rsid w:val="451EC441"/>
    <w:rsid w:val="45278224"/>
    <w:rsid w:val="45332EDA"/>
    <w:rsid w:val="45351708"/>
    <w:rsid w:val="454176F3"/>
    <w:rsid w:val="45572474"/>
    <w:rsid w:val="455C7A71"/>
    <w:rsid w:val="45619C10"/>
    <w:rsid w:val="4561CA15"/>
    <w:rsid w:val="45712FC0"/>
    <w:rsid w:val="45881859"/>
    <w:rsid w:val="4588F50B"/>
    <w:rsid w:val="4592FFF9"/>
    <w:rsid w:val="45BDF1DC"/>
    <w:rsid w:val="45BE7B57"/>
    <w:rsid w:val="45C4168D"/>
    <w:rsid w:val="45D5E0E7"/>
    <w:rsid w:val="45DA8179"/>
    <w:rsid w:val="45DF66CC"/>
    <w:rsid w:val="45F4FD11"/>
    <w:rsid w:val="45FD8B8B"/>
    <w:rsid w:val="46058061"/>
    <w:rsid w:val="4620EBE3"/>
    <w:rsid w:val="462718A1"/>
    <w:rsid w:val="464571AE"/>
    <w:rsid w:val="4660194E"/>
    <w:rsid w:val="466AC166"/>
    <w:rsid w:val="469D405E"/>
    <w:rsid w:val="469ED058"/>
    <w:rsid w:val="46AA3DAA"/>
    <w:rsid w:val="46AE674C"/>
    <w:rsid w:val="46BB4978"/>
    <w:rsid w:val="46DC9DA1"/>
    <w:rsid w:val="46ED4AAE"/>
    <w:rsid w:val="46F22ADD"/>
    <w:rsid w:val="46FFC147"/>
    <w:rsid w:val="4700FD9D"/>
    <w:rsid w:val="470143F2"/>
    <w:rsid w:val="47017B1E"/>
    <w:rsid w:val="471BCF8F"/>
    <w:rsid w:val="4729785C"/>
    <w:rsid w:val="473A49CA"/>
    <w:rsid w:val="475D123D"/>
    <w:rsid w:val="477EBDBB"/>
    <w:rsid w:val="479F7D58"/>
    <w:rsid w:val="47A29563"/>
    <w:rsid w:val="47A5B1B9"/>
    <w:rsid w:val="47B67E9F"/>
    <w:rsid w:val="47BC8AB5"/>
    <w:rsid w:val="47BEEE07"/>
    <w:rsid w:val="47C5733A"/>
    <w:rsid w:val="47DECD54"/>
    <w:rsid w:val="47EAC921"/>
    <w:rsid w:val="48065CEE"/>
    <w:rsid w:val="48134504"/>
    <w:rsid w:val="482527A8"/>
    <w:rsid w:val="4847698C"/>
    <w:rsid w:val="485EA745"/>
    <w:rsid w:val="48650D84"/>
    <w:rsid w:val="4874F729"/>
    <w:rsid w:val="4879360D"/>
    <w:rsid w:val="4886B40F"/>
    <w:rsid w:val="4888866E"/>
    <w:rsid w:val="4893739C"/>
    <w:rsid w:val="48969C01"/>
    <w:rsid w:val="48A426CB"/>
    <w:rsid w:val="48BE014E"/>
    <w:rsid w:val="48BE98E4"/>
    <w:rsid w:val="48CEFC03"/>
    <w:rsid w:val="48DBAF8D"/>
    <w:rsid w:val="48EBF6CA"/>
    <w:rsid w:val="48F2E203"/>
    <w:rsid w:val="48F67527"/>
    <w:rsid w:val="48FF09C9"/>
    <w:rsid w:val="4902AC0C"/>
    <w:rsid w:val="4907D745"/>
    <w:rsid w:val="490B0051"/>
    <w:rsid w:val="493040ED"/>
    <w:rsid w:val="4938E0D4"/>
    <w:rsid w:val="494B9B7D"/>
    <w:rsid w:val="495010FF"/>
    <w:rsid w:val="4970C4A7"/>
    <w:rsid w:val="4992F093"/>
    <w:rsid w:val="49A1F2C5"/>
    <w:rsid w:val="49AD91B3"/>
    <w:rsid w:val="49B9104D"/>
    <w:rsid w:val="49BC95AF"/>
    <w:rsid w:val="49C58E1D"/>
    <w:rsid w:val="49D1C738"/>
    <w:rsid w:val="49D63400"/>
    <w:rsid w:val="49D8E68D"/>
    <w:rsid w:val="49F5F18D"/>
    <w:rsid w:val="4A089230"/>
    <w:rsid w:val="4A0BA568"/>
    <w:rsid w:val="4A0ED468"/>
    <w:rsid w:val="4A1DCE64"/>
    <w:rsid w:val="4A4A94DA"/>
    <w:rsid w:val="4A4B7138"/>
    <w:rsid w:val="4A53FF54"/>
    <w:rsid w:val="4A5623FD"/>
    <w:rsid w:val="4A597E07"/>
    <w:rsid w:val="4A6CB5BE"/>
    <w:rsid w:val="4A844406"/>
    <w:rsid w:val="4AA1B69E"/>
    <w:rsid w:val="4AA9C5FE"/>
    <w:rsid w:val="4AADC558"/>
    <w:rsid w:val="4AB4CD81"/>
    <w:rsid w:val="4AB90EE7"/>
    <w:rsid w:val="4ABF5C98"/>
    <w:rsid w:val="4AC4A688"/>
    <w:rsid w:val="4ACA7FDF"/>
    <w:rsid w:val="4AD737AF"/>
    <w:rsid w:val="4ADE19ED"/>
    <w:rsid w:val="4AE79526"/>
    <w:rsid w:val="4AEC9F72"/>
    <w:rsid w:val="4AF20137"/>
    <w:rsid w:val="4B0B3BEC"/>
    <w:rsid w:val="4B1B8FA9"/>
    <w:rsid w:val="4B1EBAFA"/>
    <w:rsid w:val="4B24881B"/>
    <w:rsid w:val="4B3AD4EB"/>
    <w:rsid w:val="4B4B4511"/>
    <w:rsid w:val="4B5D708C"/>
    <w:rsid w:val="4B6B0841"/>
    <w:rsid w:val="4B95B0AE"/>
    <w:rsid w:val="4BA0EC97"/>
    <w:rsid w:val="4BA4588C"/>
    <w:rsid w:val="4BA5B3F5"/>
    <w:rsid w:val="4BA5C0C5"/>
    <w:rsid w:val="4BBF797A"/>
    <w:rsid w:val="4BC318A8"/>
    <w:rsid w:val="4BC5D4A1"/>
    <w:rsid w:val="4BC62584"/>
    <w:rsid w:val="4BC813D1"/>
    <w:rsid w:val="4BD3D92B"/>
    <w:rsid w:val="4BD954D8"/>
    <w:rsid w:val="4BE49674"/>
    <w:rsid w:val="4BEDBC41"/>
    <w:rsid w:val="4BEE5F8F"/>
    <w:rsid w:val="4BF19448"/>
    <w:rsid w:val="4BF81E5F"/>
    <w:rsid w:val="4BFD4909"/>
    <w:rsid w:val="4C02B69E"/>
    <w:rsid w:val="4C22964E"/>
    <w:rsid w:val="4C2BB27B"/>
    <w:rsid w:val="4C2C2E6F"/>
    <w:rsid w:val="4C41B237"/>
    <w:rsid w:val="4C47EEA2"/>
    <w:rsid w:val="4C6245AD"/>
    <w:rsid w:val="4C79EA4E"/>
    <w:rsid w:val="4C81322E"/>
    <w:rsid w:val="4C94118E"/>
    <w:rsid w:val="4C96ABE2"/>
    <w:rsid w:val="4CA27DF0"/>
    <w:rsid w:val="4CB23E77"/>
    <w:rsid w:val="4CBFB500"/>
    <w:rsid w:val="4CC04589"/>
    <w:rsid w:val="4CE1D30C"/>
    <w:rsid w:val="4CE27E23"/>
    <w:rsid w:val="4CE6088E"/>
    <w:rsid w:val="4CE6D67A"/>
    <w:rsid w:val="4CF43671"/>
    <w:rsid w:val="4D082E55"/>
    <w:rsid w:val="4D0C9BF7"/>
    <w:rsid w:val="4D2B8A18"/>
    <w:rsid w:val="4D3B577B"/>
    <w:rsid w:val="4D3DDE1D"/>
    <w:rsid w:val="4D3F73D9"/>
    <w:rsid w:val="4D4AD089"/>
    <w:rsid w:val="4D64B12A"/>
    <w:rsid w:val="4D77234E"/>
    <w:rsid w:val="4D7963B7"/>
    <w:rsid w:val="4D83D0FA"/>
    <w:rsid w:val="4D9A9CE2"/>
    <w:rsid w:val="4D9F8363"/>
    <w:rsid w:val="4DD0AEBA"/>
    <w:rsid w:val="4DD2E314"/>
    <w:rsid w:val="4DDC6645"/>
    <w:rsid w:val="4DE8A1FC"/>
    <w:rsid w:val="4DEB2B64"/>
    <w:rsid w:val="4DF3A4F7"/>
    <w:rsid w:val="4DF53D7A"/>
    <w:rsid w:val="4E161A7C"/>
    <w:rsid w:val="4E1DF204"/>
    <w:rsid w:val="4E25A487"/>
    <w:rsid w:val="4E27C706"/>
    <w:rsid w:val="4E3B8B48"/>
    <w:rsid w:val="4E426552"/>
    <w:rsid w:val="4E48DEC9"/>
    <w:rsid w:val="4E5AC9B9"/>
    <w:rsid w:val="4E64B7D8"/>
    <w:rsid w:val="4E6A53F6"/>
    <w:rsid w:val="4E6B6A5E"/>
    <w:rsid w:val="4E7A98CC"/>
    <w:rsid w:val="4E84B021"/>
    <w:rsid w:val="4E89D48C"/>
    <w:rsid w:val="4E911C7E"/>
    <w:rsid w:val="4E965A41"/>
    <w:rsid w:val="4E96C0FB"/>
    <w:rsid w:val="4E99F00E"/>
    <w:rsid w:val="4EA2A8E8"/>
    <w:rsid w:val="4EBB6ED4"/>
    <w:rsid w:val="4ED69A38"/>
    <w:rsid w:val="4ED737AD"/>
    <w:rsid w:val="4EDD1901"/>
    <w:rsid w:val="4EF0F04F"/>
    <w:rsid w:val="4F0AB349"/>
    <w:rsid w:val="4F20ECBB"/>
    <w:rsid w:val="4F22C833"/>
    <w:rsid w:val="4F237F86"/>
    <w:rsid w:val="4F2E3F34"/>
    <w:rsid w:val="4F4BF71A"/>
    <w:rsid w:val="4F612F5B"/>
    <w:rsid w:val="4F6AA168"/>
    <w:rsid w:val="4F76E32E"/>
    <w:rsid w:val="4F86AA46"/>
    <w:rsid w:val="4F989E7B"/>
    <w:rsid w:val="4F9BC330"/>
    <w:rsid w:val="4FA1901E"/>
    <w:rsid w:val="4FA95F89"/>
    <w:rsid w:val="4FB4D9A8"/>
    <w:rsid w:val="4FC60D9B"/>
    <w:rsid w:val="4FDFC96F"/>
    <w:rsid w:val="4FFE55CA"/>
    <w:rsid w:val="50003F84"/>
    <w:rsid w:val="5000917E"/>
    <w:rsid w:val="500918B3"/>
    <w:rsid w:val="500FC265"/>
    <w:rsid w:val="502023DC"/>
    <w:rsid w:val="50386920"/>
    <w:rsid w:val="503DC7B4"/>
    <w:rsid w:val="505D0D81"/>
    <w:rsid w:val="506A1360"/>
    <w:rsid w:val="506BA9B0"/>
    <w:rsid w:val="507D3132"/>
    <w:rsid w:val="508389AF"/>
    <w:rsid w:val="50919E56"/>
    <w:rsid w:val="50B9348D"/>
    <w:rsid w:val="50BDADB7"/>
    <w:rsid w:val="50C43B4E"/>
    <w:rsid w:val="50C8621F"/>
    <w:rsid w:val="50D020C7"/>
    <w:rsid w:val="51041766"/>
    <w:rsid w:val="51065529"/>
    <w:rsid w:val="5115C5F5"/>
    <w:rsid w:val="5121ECD3"/>
    <w:rsid w:val="512328EF"/>
    <w:rsid w:val="5129B4FB"/>
    <w:rsid w:val="51436368"/>
    <w:rsid w:val="514A2E12"/>
    <w:rsid w:val="515EC430"/>
    <w:rsid w:val="516170D6"/>
    <w:rsid w:val="517454B0"/>
    <w:rsid w:val="517A3CEB"/>
    <w:rsid w:val="517C92FF"/>
    <w:rsid w:val="51861046"/>
    <w:rsid w:val="5190C142"/>
    <w:rsid w:val="519F9C35"/>
    <w:rsid w:val="51B8D0EB"/>
    <w:rsid w:val="51BBF43D"/>
    <w:rsid w:val="51E41700"/>
    <w:rsid w:val="51E843C9"/>
    <w:rsid w:val="51E94F18"/>
    <w:rsid w:val="51E9C0E3"/>
    <w:rsid w:val="51F8D88B"/>
    <w:rsid w:val="52068F6C"/>
    <w:rsid w:val="5209F43D"/>
    <w:rsid w:val="522EFBB2"/>
    <w:rsid w:val="5233877B"/>
    <w:rsid w:val="523F4CB6"/>
    <w:rsid w:val="524CBE55"/>
    <w:rsid w:val="526553E9"/>
    <w:rsid w:val="5267649C"/>
    <w:rsid w:val="5272DA9C"/>
    <w:rsid w:val="527B688F"/>
    <w:rsid w:val="5287333F"/>
    <w:rsid w:val="52916187"/>
    <w:rsid w:val="5297834B"/>
    <w:rsid w:val="52AD935B"/>
    <w:rsid w:val="52C03D5E"/>
    <w:rsid w:val="52CC70A5"/>
    <w:rsid w:val="52F96F40"/>
    <w:rsid w:val="5307A2B4"/>
    <w:rsid w:val="530F848E"/>
    <w:rsid w:val="531AF6B1"/>
    <w:rsid w:val="5349F2D6"/>
    <w:rsid w:val="536A33D4"/>
    <w:rsid w:val="536B7267"/>
    <w:rsid w:val="53712553"/>
    <w:rsid w:val="53754398"/>
    <w:rsid w:val="537CE2C0"/>
    <w:rsid w:val="537D26B4"/>
    <w:rsid w:val="53819CF3"/>
    <w:rsid w:val="5382A65F"/>
    <w:rsid w:val="53879653"/>
    <w:rsid w:val="53B5B333"/>
    <w:rsid w:val="53B985A3"/>
    <w:rsid w:val="53D22C42"/>
    <w:rsid w:val="53D2AE06"/>
    <w:rsid w:val="53D5BED0"/>
    <w:rsid w:val="53D8FB62"/>
    <w:rsid w:val="53DA72F3"/>
    <w:rsid w:val="53DCC608"/>
    <w:rsid w:val="53F0B469"/>
    <w:rsid w:val="53FB8E26"/>
    <w:rsid w:val="53FBAF55"/>
    <w:rsid w:val="53FF3CC2"/>
    <w:rsid w:val="542FE428"/>
    <w:rsid w:val="543270BC"/>
    <w:rsid w:val="54362505"/>
    <w:rsid w:val="54436E0B"/>
    <w:rsid w:val="5443ECBF"/>
    <w:rsid w:val="54489104"/>
    <w:rsid w:val="544D8DEE"/>
    <w:rsid w:val="545D800B"/>
    <w:rsid w:val="5463EF62"/>
    <w:rsid w:val="5465CF30"/>
    <w:rsid w:val="5468B5B0"/>
    <w:rsid w:val="5469561B"/>
    <w:rsid w:val="546C336A"/>
    <w:rsid w:val="548A018C"/>
    <w:rsid w:val="548DF59A"/>
    <w:rsid w:val="54924F87"/>
    <w:rsid w:val="54980670"/>
    <w:rsid w:val="549DF5EE"/>
    <w:rsid w:val="54A7976D"/>
    <w:rsid w:val="54EB7D15"/>
    <w:rsid w:val="54F05E4F"/>
    <w:rsid w:val="54F394FF"/>
    <w:rsid w:val="5501E4C1"/>
    <w:rsid w:val="551F37B4"/>
    <w:rsid w:val="55210866"/>
    <w:rsid w:val="55249D96"/>
    <w:rsid w:val="5532D853"/>
    <w:rsid w:val="5537E236"/>
    <w:rsid w:val="553ACDA4"/>
    <w:rsid w:val="5545AB40"/>
    <w:rsid w:val="554C24FA"/>
    <w:rsid w:val="5554E5DC"/>
    <w:rsid w:val="555880EA"/>
    <w:rsid w:val="555D6A68"/>
    <w:rsid w:val="5593E795"/>
    <w:rsid w:val="559C22B4"/>
    <w:rsid w:val="55A936E6"/>
    <w:rsid w:val="55B047ED"/>
    <w:rsid w:val="55B42BC2"/>
    <w:rsid w:val="55C5DC75"/>
    <w:rsid w:val="55D9F0DB"/>
    <w:rsid w:val="55E1A7D1"/>
    <w:rsid w:val="55E975F9"/>
    <w:rsid w:val="55F0C90F"/>
    <w:rsid w:val="55FC3566"/>
    <w:rsid w:val="560200E3"/>
    <w:rsid w:val="5604B3EA"/>
    <w:rsid w:val="5608297E"/>
    <w:rsid w:val="561167C5"/>
    <w:rsid w:val="5611C941"/>
    <w:rsid w:val="561F6C08"/>
    <w:rsid w:val="562F72CC"/>
    <w:rsid w:val="563B1875"/>
    <w:rsid w:val="5646CBB4"/>
    <w:rsid w:val="564BCAB4"/>
    <w:rsid w:val="56562363"/>
    <w:rsid w:val="566A7139"/>
    <w:rsid w:val="566C57EC"/>
    <w:rsid w:val="5678B8F9"/>
    <w:rsid w:val="56815FFF"/>
    <w:rsid w:val="568D2BBB"/>
    <w:rsid w:val="568F6560"/>
    <w:rsid w:val="56990EF1"/>
    <w:rsid w:val="56A0E69C"/>
    <w:rsid w:val="56AA428D"/>
    <w:rsid w:val="56B36218"/>
    <w:rsid w:val="56B3DD87"/>
    <w:rsid w:val="56D09D75"/>
    <w:rsid w:val="56E3BA0B"/>
    <w:rsid w:val="56EAC673"/>
    <w:rsid w:val="56EEF1A9"/>
    <w:rsid w:val="56F103A9"/>
    <w:rsid w:val="56F7B799"/>
    <w:rsid w:val="56FE3B4F"/>
    <w:rsid w:val="57034026"/>
    <w:rsid w:val="5707AA2F"/>
    <w:rsid w:val="57154BC5"/>
    <w:rsid w:val="5738B046"/>
    <w:rsid w:val="573CE13E"/>
    <w:rsid w:val="5741BFDA"/>
    <w:rsid w:val="574D9018"/>
    <w:rsid w:val="5758D829"/>
    <w:rsid w:val="576DC5C7"/>
    <w:rsid w:val="576FC4AB"/>
    <w:rsid w:val="579A00F2"/>
    <w:rsid w:val="57A7D7FF"/>
    <w:rsid w:val="57B1652A"/>
    <w:rsid w:val="57C2182B"/>
    <w:rsid w:val="57C3947C"/>
    <w:rsid w:val="57C82E42"/>
    <w:rsid w:val="57D0E745"/>
    <w:rsid w:val="57D4F442"/>
    <w:rsid w:val="57D8501F"/>
    <w:rsid w:val="57D9E4FD"/>
    <w:rsid w:val="57F0A6E0"/>
    <w:rsid w:val="57F93A53"/>
    <w:rsid w:val="57FE831B"/>
    <w:rsid w:val="580FD999"/>
    <w:rsid w:val="58183368"/>
    <w:rsid w:val="581A1C6F"/>
    <w:rsid w:val="581E3323"/>
    <w:rsid w:val="581E871B"/>
    <w:rsid w:val="58221046"/>
    <w:rsid w:val="5856C6F7"/>
    <w:rsid w:val="585F7B6B"/>
    <w:rsid w:val="5863C5E3"/>
    <w:rsid w:val="587263B7"/>
    <w:rsid w:val="587EDAC3"/>
    <w:rsid w:val="588F3CFE"/>
    <w:rsid w:val="58A02FA2"/>
    <w:rsid w:val="58AE11B4"/>
    <w:rsid w:val="58B4CA33"/>
    <w:rsid w:val="58B635EB"/>
    <w:rsid w:val="58B65F5A"/>
    <w:rsid w:val="58C0826F"/>
    <w:rsid w:val="58D41F05"/>
    <w:rsid w:val="58D7FB29"/>
    <w:rsid w:val="58DAE882"/>
    <w:rsid w:val="58DB4EFB"/>
    <w:rsid w:val="58E44E3E"/>
    <w:rsid w:val="58FAD571"/>
    <w:rsid w:val="59099628"/>
    <w:rsid w:val="590FD28F"/>
    <w:rsid w:val="59156F77"/>
    <w:rsid w:val="591AFE72"/>
    <w:rsid w:val="591C65BD"/>
    <w:rsid w:val="5922CD25"/>
    <w:rsid w:val="5924D7CC"/>
    <w:rsid w:val="594E2DEF"/>
    <w:rsid w:val="59557A82"/>
    <w:rsid w:val="595F2EB4"/>
    <w:rsid w:val="59742080"/>
    <w:rsid w:val="598A2AB3"/>
    <w:rsid w:val="599000B3"/>
    <w:rsid w:val="5993B7BD"/>
    <w:rsid w:val="59ABD3C7"/>
    <w:rsid w:val="59AF26BB"/>
    <w:rsid w:val="59E05A95"/>
    <w:rsid w:val="59E890B0"/>
    <w:rsid w:val="59F3F04F"/>
    <w:rsid w:val="59F761FC"/>
    <w:rsid w:val="5A1340CF"/>
    <w:rsid w:val="5A1D6448"/>
    <w:rsid w:val="5A28576F"/>
    <w:rsid w:val="5A43B471"/>
    <w:rsid w:val="5A4BF599"/>
    <w:rsid w:val="5A515FBC"/>
    <w:rsid w:val="5A59AF8A"/>
    <w:rsid w:val="5A5BFABA"/>
    <w:rsid w:val="5A6993E7"/>
    <w:rsid w:val="5A78CC77"/>
    <w:rsid w:val="5AA56689"/>
    <w:rsid w:val="5AAA046F"/>
    <w:rsid w:val="5AB30B94"/>
    <w:rsid w:val="5AB44399"/>
    <w:rsid w:val="5ABBBD14"/>
    <w:rsid w:val="5ACDD545"/>
    <w:rsid w:val="5ADEF2BD"/>
    <w:rsid w:val="5AE027EF"/>
    <w:rsid w:val="5AF9468B"/>
    <w:rsid w:val="5B1711F3"/>
    <w:rsid w:val="5B258DC8"/>
    <w:rsid w:val="5B5497C2"/>
    <w:rsid w:val="5B71E096"/>
    <w:rsid w:val="5B782B6F"/>
    <w:rsid w:val="5B7BE767"/>
    <w:rsid w:val="5B804219"/>
    <w:rsid w:val="5B9685D5"/>
    <w:rsid w:val="5B9CA877"/>
    <w:rsid w:val="5BA0B7E4"/>
    <w:rsid w:val="5BA8FF6E"/>
    <w:rsid w:val="5BBA4315"/>
    <w:rsid w:val="5BBA5B25"/>
    <w:rsid w:val="5BBB0EC2"/>
    <w:rsid w:val="5BC2217C"/>
    <w:rsid w:val="5BC4F7B8"/>
    <w:rsid w:val="5BD38BB9"/>
    <w:rsid w:val="5BD3A351"/>
    <w:rsid w:val="5BD7D1F8"/>
    <w:rsid w:val="5C07678E"/>
    <w:rsid w:val="5C11F828"/>
    <w:rsid w:val="5C4821DA"/>
    <w:rsid w:val="5C725AD3"/>
    <w:rsid w:val="5C7619CC"/>
    <w:rsid w:val="5C7E4BBB"/>
    <w:rsid w:val="5C805829"/>
    <w:rsid w:val="5CAF849B"/>
    <w:rsid w:val="5CBFBE65"/>
    <w:rsid w:val="5CEC07D5"/>
    <w:rsid w:val="5CF7E84C"/>
    <w:rsid w:val="5D03B61A"/>
    <w:rsid w:val="5D0D089E"/>
    <w:rsid w:val="5D0DB954"/>
    <w:rsid w:val="5D10E140"/>
    <w:rsid w:val="5D153943"/>
    <w:rsid w:val="5D1862EA"/>
    <w:rsid w:val="5D344CB6"/>
    <w:rsid w:val="5D3BB000"/>
    <w:rsid w:val="5D48B75A"/>
    <w:rsid w:val="5D4972AF"/>
    <w:rsid w:val="5D505C73"/>
    <w:rsid w:val="5D59E2D1"/>
    <w:rsid w:val="5D61EC71"/>
    <w:rsid w:val="5D65DC8B"/>
    <w:rsid w:val="5D6CA114"/>
    <w:rsid w:val="5D811BAC"/>
    <w:rsid w:val="5D8B9EC1"/>
    <w:rsid w:val="5D972D1F"/>
    <w:rsid w:val="5DC119C9"/>
    <w:rsid w:val="5DD8949B"/>
    <w:rsid w:val="5DDEAE49"/>
    <w:rsid w:val="5DE29B93"/>
    <w:rsid w:val="5DE40B49"/>
    <w:rsid w:val="5DE4F4D1"/>
    <w:rsid w:val="5DECE4DA"/>
    <w:rsid w:val="5DF17A07"/>
    <w:rsid w:val="5DF8698E"/>
    <w:rsid w:val="5E04ECB8"/>
    <w:rsid w:val="5E05C27E"/>
    <w:rsid w:val="5E11EA2D"/>
    <w:rsid w:val="5E17D5E4"/>
    <w:rsid w:val="5E29B36A"/>
    <w:rsid w:val="5E2B7F76"/>
    <w:rsid w:val="5E317F87"/>
    <w:rsid w:val="5E33A366"/>
    <w:rsid w:val="5E3AB594"/>
    <w:rsid w:val="5E42A579"/>
    <w:rsid w:val="5E4967E7"/>
    <w:rsid w:val="5E49EAB4"/>
    <w:rsid w:val="5E5746D3"/>
    <w:rsid w:val="5E5A07AC"/>
    <w:rsid w:val="5E6B9C57"/>
    <w:rsid w:val="5E84BF40"/>
    <w:rsid w:val="5E8ADD50"/>
    <w:rsid w:val="5E9A30D3"/>
    <w:rsid w:val="5E9EDCB5"/>
    <w:rsid w:val="5EA971AB"/>
    <w:rsid w:val="5EA9B9CE"/>
    <w:rsid w:val="5EB83091"/>
    <w:rsid w:val="5EBB5732"/>
    <w:rsid w:val="5EBBF279"/>
    <w:rsid w:val="5ECD7420"/>
    <w:rsid w:val="5EE385F7"/>
    <w:rsid w:val="5EEC1FA8"/>
    <w:rsid w:val="5EF09C68"/>
    <w:rsid w:val="5EFA52F2"/>
    <w:rsid w:val="5EFBF2D2"/>
    <w:rsid w:val="5EFC6DED"/>
    <w:rsid w:val="5F02CD40"/>
    <w:rsid w:val="5F0A3136"/>
    <w:rsid w:val="5F11D4E5"/>
    <w:rsid w:val="5F1E5CF3"/>
    <w:rsid w:val="5F206AB5"/>
    <w:rsid w:val="5F28CB87"/>
    <w:rsid w:val="5F4353BC"/>
    <w:rsid w:val="5F4AC905"/>
    <w:rsid w:val="5F69BB1F"/>
    <w:rsid w:val="5F7E5C84"/>
    <w:rsid w:val="5F87FA20"/>
    <w:rsid w:val="5F8E5D4E"/>
    <w:rsid w:val="5F98A5C9"/>
    <w:rsid w:val="5F9C40A2"/>
    <w:rsid w:val="5F9EAE9B"/>
    <w:rsid w:val="5F9F3FBE"/>
    <w:rsid w:val="5FAADEA7"/>
    <w:rsid w:val="5FAE869A"/>
    <w:rsid w:val="5FCA39A7"/>
    <w:rsid w:val="5FDDF924"/>
    <w:rsid w:val="5FDE74E8"/>
    <w:rsid w:val="5FE3154F"/>
    <w:rsid w:val="5FEEEFB9"/>
    <w:rsid w:val="5FF40E79"/>
    <w:rsid w:val="5FFA1A6C"/>
    <w:rsid w:val="5FFA808F"/>
    <w:rsid w:val="5FFDEA98"/>
    <w:rsid w:val="600AFB8D"/>
    <w:rsid w:val="60176971"/>
    <w:rsid w:val="601A9F94"/>
    <w:rsid w:val="603647A6"/>
    <w:rsid w:val="603E1126"/>
    <w:rsid w:val="60427831"/>
    <w:rsid w:val="60432A65"/>
    <w:rsid w:val="604B6E3F"/>
    <w:rsid w:val="60518D8B"/>
    <w:rsid w:val="6060DA1F"/>
    <w:rsid w:val="606CA1B5"/>
    <w:rsid w:val="60731FC0"/>
    <w:rsid w:val="607D928C"/>
    <w:rsid w:val="6081A06E"/>
    <w:rsid w:val="6085D44D"/>
    <w:rsid w:val="609349C5"/>
    <w:rsid w:val="60A7A2E6"/>
    <w:rsid w:val="60B5927D"/>
    <w:rsid w:val="60C2911E"/>
    <w:rsid w:val="60C92DBD"/>
    <w:rsid w:val="60CE01F1"/>
    <w:rsid w:val="60F333B2"/>
    <w:rsid w:val="6108BC3E"/>
    <w:rsid w:val="6122E35F"/>
    <w:rsid w:val="6140F699"/>
    <w:rsid w:val="6144B121"/>
    <w:rsid w:val="616628F4"/>
    <w:rsid w:val="617E530A"/>
    <w:rsid w:val="6192F7DA"/>
    <w:rsid w:val="619954E4"/>
    <w:rsid w:val="6199F8F1"/>
    <w:rsid w:val="61A6D167"/>
    <w:rsid w:val="61D21807"/>
    <w:rsid w:val="61D6DF72"/>
    <w:rsid w:val="61DF7EC8"/>
    <w:rsid w:val="62003E85"/>
    <w:rsid w:val="620CC6FF"/>
    <w:rsid w:val="620F8EC9"/>
    <w:rsid w:val="622423AD"/>
    <w:rsid w:val="6234E4F6"/>
    <w:rsid w:val="6247B521"/>
    <w:rsid w:val="62554003"/>
    <w:rsid w:val="6256A06D"/>
    <w:rsid w:val="625FCEB6"/>
    <w:rsid w:val="627792D5"/>
    <w:rsid w:val="627EF657"/>
    <w:rsid w:val="6285417A"/>
    <w:rsid w:val="6285FD26"/>
    <w:rsid w:val="62873CBE"/>
    <w:rsid w:val="6290F00C"/>
    <w:rsid w:val="6297789B"/>
    <w:rsid w:val="62A32F5C"/>
    <w:rsid w:val="62CAB6A7"/>
    <w:rsid w:val="62D3F275"/>
    <w:rsid w:val="62F00CE3"/>
    <w:rsid w:val="62F34582"/>
    <w:rsid w:val="62F75764"/>
    <w:rsid w:val="62FD4693"/>
    <w:rsid w:val="63098239"/>
    <w:rsid w:val="6312CF4D"/>
    <w:rsid w:val="6330EA7B"/>
    <w:rsid w:val="6335C952"/>
    <w:rsid w:val="6348799A"/>
    <w:rsid w:val="63581253"/>
    <w:rsid w:val="63620D23"/>
    <w:rsid w:val="6366D28A"/>
    <w:rsid w:val="636AAA07"/>
    <w:rsid w:val="636DE868"/>
    <w:rsid w:val="63756AF8"/>
    <w:rsid w:val="6386B5BB"/>
    <w:rsid w:val="638BBA55"/>
    <w:rsid w:val="6393008A"/>
    <w:rsid w:val="639A5E52"/>
    <w:rsid w:val="639C425B"/>
    <w:rsid w:val="63BAB91A"/>
    <w:rsid w:val="63BC9A99"/>
    <w:rsid w:val="63C8B7ED"/>
    <w:rsid w:val="63CFB6D9"/>
    <w:rsid w:val="63D001CD"/>
    <w:rsid w:val="63D3BC19"/>
    <w:rsid w:val="63D7F597"/>
    <w:rsid w:val="63DECDB5"/>
    <w:rsid w:val="63E895D0"/>
    <w:rsid w:val="64060561"/>
    <w:rsid w:val="64196868"/>
    <w:rsid w:val="641B3E61"/>
    <w:rsid w:val="64208177"/>
    <w:rsid w:val="64227B03"/>
    <w:rsid w:val="6447E641"/>
    <w:rsid w:val="644F84EF"/>
    <w:rsid w:val="6451FA7A"/>
    <w:rsid w:val="645838C6"/>
    <w:rsid w:val="648904B7"/>
    <w:rsid w:val="64BD9A59"/>
    <w:rsid w:val="64D199B3"/>
    <w:rsid w:val="64E33925"/>
    <w:rsid w:val="64E6FB01"/>
    <w:rsid w:val="64FF7651"/>
    <w:rsid w:val="650193AF"/>
    <w:rsid w:val="6509B8C9"/>
    <w:rsid w:val="651AEB18"/>
    <w:rsid w:val="652ED0EB"/>
    <w:rsid w:val="6531C1A2"/>
    <w:rsid w:val="65383F2D"/>
    <w:rsid w:val="65440F62"/>
    <w:rsid w:val="654A0281"/>
    <w:rsid w:val="65596637"/>
    <w:rsid w:val="6562A042"/>
    <w:rsid w:val="65731A14"/>
    <w:rsid w:val="658EC280"/>
    <w:rsid w:val="65913CE0"/>
    <w:rsid w:val="65966B74"/>
    <w:rsid w:val="65973E68"/>
    <w:rsid w:val="659B0278"/>
    <w:rsid w:val="659F473E"/>
    <w:rsid w:val="65AA8A38"/>
    <w:rsid w:val="65BA0A89"/>
    <w:rsid w:val="65C8984D"/>
    <w:rsid w:val="65D2A2B4"/>
    <w:rsid w:val="65DC257A"/>
    <w:rsid w:val="65E3B4E3"/>
    <w:rsid w:val="65EB4911"/>
    <w:rsid w:val="65F47218"/>
    <w:rsid w:val="65FA4C66"/>
    <w:rsid w:val="6603F420"/>
    <w:rsid w:val="6607AE68"/>
    <w:rsid w:val="661746DB"/>
    <w:rsid w:val="661E1B98"/>
    <w:rsid w:val="66240FCC"/>
    <w:rsid w:val="6624B0C3"/>
    <w:rsid w:val="6645C3E5"/>
    <w:rsid w:val="6649AB91"/>
    <w:rsid w:val="66640778"/>
    <w:rsid w:val="6678E2C2"/>
    <w:rsid w:val="66793D69"/>
    <w:rsid w:val="667A0D9F"/>
    <w:rsid w:val="6683DEA7"/>
    <w:rsid w:val="66877460"/>
    <w:rsid w:val="66BC8336"/>
    <w:rsid w:val="66CAA14C"/>
    <w:rsid w:val="66EE2C93"/>
    <w:rsid w:val="66F0C1FF"/>
    <w:rsid w:val="66F109D8"/>
    <w:rsid w:val="66F52AAF"/>
    <w:rsid w:val="6703C14B"/>
    <w:rsid w:val="670CA2DC"/>
    <w:rsid w:val="67184A47"/>
    <w:rsid w:val="671A587A"/>
    <w:rsid w:val="6723E18A"/>
    <w:rsid w:val="672AA3E8"/>
    <w:rsid w:val="6742274C"/>
    <w:rsid w:val="6744B17A"/>
    <w:rsid w:val="67453F69"/>
    <w:rsid w:val="675E9547"/>
    <w:rsid w:val="6763C13F"/>
    <w:rsid w:val="676AF500"/>
    <w:rsid w:val="6777C66B"/>
    <w:rsid w:val="67812957"/>
    <w:rsid w:val="6783A811"/>
    <w:rsid w:val="678EC09A"/>
    <w:rsid w:val="67958080"/>
    <w:rsid w:val="6798EA86"/>
    <w:rsid w:val="67BE8CE7"/>
    <w:rsid w:val="67D7C993"/>
    <w:rsid w:val="67D9C9FC"/>
    <w:rsid w:val="67E3F57B"/>
    <w:rsid w:val="67FC2DBF"/>
    <w:rsid w:val="67FF88E4"/>
    <w:rsid w:val="68013E66"/>
    <w:rsid w:val="681F3E45"/>
    <w:rsid w:val="68232883"/>
    <w:rsid w:val="68276B94"/>
    <w:rsid w:val="684757D9"/>
    <w:rsid w:val="68499DDD"/>
    <w:rsid w:val="6859C864"/>
    <w:rsid w:val="687B5ADA"/>
    <w:rsid w:val="687C022C"/>
    <w:rsid w:val="688E09DB"/>
    <w:rsid w:val="68A60ED3"/>
    <w:rsid w:val="68AE437D"/>
    <w:rsid w:val="68C07762"/>
    <w:rsid w:val="68D66312"/>
    <w:rsid w:val="68F7569C"/>
    <w:rsid w:val="69078410"/>
    <w:rsid w:val="69118224"/>
    <w:rsid w:val="691B37B2"/>
    <w:rsid w:val="691D6DD5"/>
    <w:rsid w:val="693665E2"/>
    <w:rsid w:val="6937665B"/>
    <w:rsid w:val="6961A0F7"/>
    <w:rsid w:val="6973852A"/>
    <w:rsid w:val="697399F4"/>
    <w:rsid w:val="6980A8B6"/>
    <w:rsid w:val="698CE5EC"/>
    <w:rsid w:val="699B0A11"/>
    <w:rsid w:val="699C841B"/>
    <w:rsid w:val="69A6460F"/>
    <w:rsid w:val="69ABCFBB"/>
    <w:rsid w:val="69BCC8C2"/>
    <w:rsid w:val="69CA1D87"/>
    <w:rsid w:val="69E9A3A6"/>
    <w:rsid w:val="6A10A6A2"/>
    <w:rsid w:val="6A1164A1"/>
    <w:rsid w:val="6A144124"/>
    <w:rsid w:val="6A15DAE6"/>
    <w:rsid w:val="6A1834A3"/>
    <w:rsid w:val="6A20521E"/>
    <w:rsid w:val="6A205888"/>
    <w:rsid w:val="6A561ED7"/>
    <w:rsid w:val="6A5F6D4D"/>
    <w:rsid w:val="6A6E6EAA"/>
    <w:rsid w:val="6A7DA782"/>
    <w:rsid w:val="6A9E1ED2"/>
    <w:rsid w:val="6AC6AD9A"/>
    <w:rsid w:val="6ACC4FAB"/>
    <w:rsid w:val="6ADEB97D"/>
    <w:rsid w:val="6AF09BD1"/>
    <w:rsid w:val="6AF424FE"/>
    <w:rsid w:val="6B01CE2F"/>
    <w:rsid w:val="6B023681"/>
    <w:rsid w:val="6B15E454"/>
    <w:rsid w:val="6B19D43A"/>
    <w:rsid w:val="6B1E84A1"/>
    <w:rsid w:val="6B35B7F4"/>
    <w:rsid w:val="6B3BA4FF"/>
    <w:rsid w:val="6B4DA711"/>
    <w:rsid w:val="6B70A0EC"/>
    <w:rsid w:val="6B7F715C"/>
    <w:rsid w:val="6B8B119F"/>
    <w:rsid w:val="6B8EC461"/>
    <w:rsid w:val="6B993769"/>
    <w:rsid w:val="6B995EF1"/>
    <w:rsid w:val="6B9E126F"/>
    <w:rsid w:val="6BA0AD46"/>
    <w:rsid w:val="6BB47032"/>
    <w:rsid w:val="6BB9581B"/>
    <w:rsid w:val="6BD1D5A9"/>
    <w:rsid w:val="6BD1E1E3"/>
    <w:rsid w:val="6BDA18EB"/>
    <w:rsid w:val="6BE0B15E"/>
    <w:rsid w:val="6BF16054"/>
    <w:rsid w:val="6BFD2B6F"/>
    <w:rsid w:val="6C056376"/>
    <w:rsid w:val="6C0E1A3E"/>
    <w:rsid w:val="6C0EF608"/>
    <w:rsid w:val="6C3CA533"/>
    <w:rsid w:val="6C3F18A2"/>
    <w:rsid w:val="6C454083"/>
    <w:rsid w:val="6C4A392A"/>
    <w:rsid w:val="6C698899"/>
    <w:rsid w:val="6CA14FF0"/>
    <w:rsid w:val="6CCEF565"/>
    <w:rsid w:val="6CD7FF49"/>
    <w:rsid w:val="6CD8504E"/>
    <w:rsid w:val="6CD8B833"/>
    <w:rsid w:val="6CE98CF0"/>
    <w:rsid w:val="6D15969D"/>
    <w:rsid w:val="6D259BC4"/>
    <w:rsid w:val="6D3E4966"/>
    <w:rsid w:val="6D3E9B93"/>
    <w:rsid w:val="6D44D5FB"/>
    <w:rsid w:val="6D614AD9"/>
    <w:rsid w:val="6D6C6F43"/>
    <w:rsid w:val="6D8F72B0"/>
    <w:rsid w:val="6D97A128"/>
    <w:rsid w:val="6DA70962"/>
    <w:rsid w:val="6DA9CE6E"/>
    <w:rsid w:val="6DB21B2F"/>
    <w:rsid w:val="6DD0088F"/>
    <w:rsid w:val="6DD4EC97"/>
    <w:rsid w:val="6DED0822"/>
    <w:rsid w:val="6DEF3CB4"/>
    <w:rsid w:val="6E0B9980"/>
    <w:rsid w:val="6E17809E"/>
    <w:rsid w:val="6E1D21EC"/>
    <w:rsid w:val="6E2229AE"/>
    <w:rsid w:val="6E23E5DA"/>
    <w:rsid w:val="6E242665"/>
    <w:rsid w:val="6E2BDBEF"/>
    <w:rsid w:val="6E49C970"/>
    <w:rsid w:val="6E4EF89D"/>
    <w:rsid w:val="6E5A7E49"/>
    <w:rsid w:val="6E66333E"/>
    <w:rsid w:val="6E739B05"/>
    <w:rsid w:val="6E892D22"/>
    <w:rsid w:val="6EA3B1F4"/>
    <w:rsid w:val="6EB57F74"/>
    <w:rsid w:val="6EC153C7"/>
    <w:rsid w:val="6EC5ED1F"/>
    <w:rsid w:val="6EC67014"/>
    <w:rsid w:val="6EDFC85B"/>
    <w:rsid w:val="6EF3905F"/>
    <w:rsid w:val="6EF92A82"/>
    <w:rsid w:val="6F025A78"/>
    <w:rsid w:val="6F04E0CA"/>
    <w:rsid w:val="6F0BA865"/>
    <w:rsid w:val="6F2E0598"/>
    <w:rsid w:val="6F2E6F98"/>
    <w:rsid w:val="6F319074"/>
    <w:rsid w:val="6F3729DE"/>
    <w:rsid w:val="6F391671"/>
    <w:rsid w:val="6F3B1BB6"/>
    <w:rsid w:val="6F3FF48B"/>
    <w:rsid w:val="6F671FA8"/>
    <w:rsid w:val="6F6BC111"/>
    <w:rsid w:val="6F79C06B"/>
    <w:rsid w:val="6F7CE6DA"/>
    <w:rsid w:val="6F97C3D8"/>
    <w:rsid w:val="6F97F5C4"/>
    <w:rsid w:val="6FAE3E64"/>
    <w:rsid w:val="6FBDE803"/>
    <w:rsid w:val="6FEF3712"/>
    <w:rsid w:val="6FEF60CF"/>
    <w:rsid w:val="700581FA"/>
    <w:rsid w:val="700896E6"/>
    <w:rsid w:val="703DA608"/>
    <w:rsid w:val="703DD38B"/>
    <w:rsid w:val="7040A572"/>
    <w:rsid w:val="7045B7A8"/>
    <w:rsid w:val="704BFE24"/>
    <w:rsid w:val="70517539"/>
    <w:rsid w:val="7056B9BC"/>
    <w:rsid w:val="70617D4C"/>
    <w:rsid w:val="706895F8"/>
    <w:rsid w:val="709579A0"/>
    <w:rsid w:val="709A135C"/>
    <w:rsid w:val="70CB95AC"/>
    <w:rsid w:val="70CC2C39"/>
    <w:rsid w:val="71027B60"/>
    <w:rsid w:val="7102DE92"/>
    <w:rsid w:val="7110F542"/>
    <w:rsid w:val="711900A5"/>
    <w:rsid w:val="711C57E3"/>
    <w:rsid w:val="71238E1B"/>
    <w:rsid w:val="71356060"/>
    <w:rsid w:val="714218B2"/>
    <w:rsid w:val="71542A6F"/>
    <w:rsid w:val="715D58FF"/>
    <w:rsid w:val="7166AD33"/>
    <w:rsid w:val="71676BE5"/>
    <w:rsid w:val="71677D33"/>
    <w:rsid w:val="718F696C"/>
    <w:rsid w:val="71A58D0E"/>
    <w:rsid w:val="71A754E4"/>
    <w:rsid w:val="71AB83DC"/>
    <w:rsid w:val="71BD6F7D"/>
    <w:rsid w:val="71D96080"/>
    <w:rsid w:val="71F8AE9B"/>
    <w:rsid w:val="72156EA2"/>
    <w:rsid w:val="723D3E4C"/>
    <w:rsid w:val="72672A3B"/>
    <w:rsid w:val="7269C543"/>
    <w:rsid w:val="7286EC73"/>
    <w:rsid w:val="72882B5F"/>
    <w:rsid w:val="729E087B"/>
    <w:rsid w:val="72A35A2C"/>
    <w:rsid w:val="72A9B8DB"/>
    <w:rsid w:val="72B08A53"/>
    <w:rsid w:val="72BA2686"/>
    <w:rsid w:val="72C49CFF"/>
    <w:rsid w:val="72D02459"/>
    <w:rsid w:val="72D5A64C"/>
    <w:rsid w:val="72F6D1B5"/>
    <w:rsid w:val="7302FB65"/>
    <w:rsid w:val="73132F6F"/>
    <w:rsid w:val="7319EDD4"/>
    <w:rsid w:val="73456257"/>
    <w:rsid w:val="73464C12"/>
    <w:rsid w:val="7358341A"/>
    <w:rsid w:val="73620470"/>
    <w:rsid w:val="7384D6BA"/>
    <w:rsid w:val="7385B80D"/>
    <w:rsid w:val="738CBEDD"/>
    <w:rsid w:val="739C5C4F"/>
    <w:rsid w:val="73BBFF6B"/>
    <w:rsid w:val="73BC7872"/>
    <w:rsid w:val="73C74ABA"/>
    <w:rsid w:val="73D16A8E"/>
    <w:rsid w:val="73D97731"/>
    <w:rsid w:val="73EAB1FB"/>
    <w:rsid w:val="73F8F33E"/>
    <w:rsid w:val="740D22B5"/>
    <w:rsid w:val="74304FAB"/>
    <w:rsid w:val="74312C69"/>
    <w:rsid w:val="74330A0C"/>
    <w:rsid w:val="744A1A6B"/>
    <w:rsid w:val="74544A9C"/>
    <w:rsid w:val="7459785E"/>
    <w:rsid w:val="745B1015"/>
    <w:rsid w:val="7460CF4D"/>
    <w:rsid w:val="7464045E"/>
    <w:rsid w:val="74779A5C"/>
    <w:rsid w:val="74933E85"/>
    <w:rsid w:val="74A1DF2E"/>
    <w:rsid w:val="74B5DF64"/>
    <w:rsid w:val="74B7BB69"/>
    <w:rsid w:val="74C44FF0"/>
    <w:rsid w:val="74C5B089"/>
    <w:rsid w:val="74E085B6"/>
    <w:rsid w:val="74E64FBF"/>
    <w:rsid w:val="74EA5525"/>
    <w:rsid w:val="74F0FB72"/>
    <w:rsid w:val="750002C1"/>
    <w:rsid w:val="752A49F7"/>
    <w:rsid w:val="7537A11E"/>
    <w:rsid w:val="7549A81F"/>
    <w:rsid w:val="755E14D5"/>
    <w:rsid w:val="756564EF"/>
    <w:rsid w:val="756F9A95"/>
    <w:rsid w:val="7573C54F"/>
    <w:rsid w:val="75908019"/>
    <w:rsid w:val="75A5B835"/>
    <w:rsid w:val="75B346ED"/>
    <w:rsid w:val="75C27751"/>
    <w:rsid w:val="75DDDFEC"/>
    <w:rsid w:val="75EA6EB7"/>
    <w:rsid w:val="75F2FE4E"/>
    <w:rsid w:val="760BFEBD"/>
    <w:rsid w:val="76124D88"/>
    <w:rsid w:val="76127B55"/>
    <w:rsid w:val="76252E56"/>
    <w:rsid w:val="763007B9"/>
    <w:rsid w:val="7646329C"/>
    <w:rsid w:val="764F2EA9"/>
    <w:rsid w:val="76645EDB"/>
    <w:rsid w:val="7666B5B2"/>
    <w:rsid w:val="7681A5CE"/>
    <w:rsid w:val="76906F3D"/>
    <w:rsid w:val="7693ED94"/>
    <w:rsid w:val="76976857"/>
    <w:rsid w:val="76A3EB8D"/>
    <w:rsid w:val="76A4275D"/>
    <w:rsid w:val="76AA9604"/>
    <w:rsid w:val="76AE006A"/>
    <w:rsid w:val="76B9157A"/>
    <w:rsid w:val="76C15147"/>
    <w:rsid w:val="76EB9D27"/>
    <w:rsid w:val="76F5B594"/>
    <w:rsid w:val="76F6BAB9"/>
    <w:rsid w:val="76F70A71"/>
    <w:rsid w:val="76FD889D"/>
    <w:rsid w:val="7706F71C"/>
    <w:rsid w:val="772022FD"/>
    <w:rsid w:val="77286075"/>
    <w:rsid w:val="7736A775"/>
    <w:rsid w:val="77373F4A"/>
    <w:rsid w:val="774A4578"/>
    <w:rsid w:val="775A5A17"/>
    <w:rsid w:val="7767F06D"/>
    <w:rsid w:val="776F8B73"/>
    <w:rsid w:val="779D9853"/>
    <w:rsid w:val="77CD6FED"/>
    <w:rsid w:val="77CEB4CA"/>
    <w:rsid w:val="77D3AF1A"/>
    <w:rsid w:val="77FEC567"/>
    <w:rsid w:val="7801CF1B"/>
    <w:rsid w:val="78056584"/>
    <w:rsid w:val="7807FC31"/>
    <w:rsid w:val="7819C7F7"/>
    <w:rsid w:val="78222B23"/>
    <w:rsid w:val="7830FA98"/>
    <w:rsid w:val="7837122F"/>
    <w:rsid w:val="783C9525"/>
    <w:rsid w:val="783F56D7"/>
    <w:rsid w:val="783F5EC8"/>
    <w:rsid w:val="784604D1"/>
    <w:rsid w:val="788720F0"/>
    <w:rsid w:val="78B37A7C"/>
    <w:rsid w:val="78C6464D"/>
    <w:rsid w:val="78DD122B"/>
    <w:rsid w:val="78FA5FBD"/>
    <w:rsid w:val="7900C561"/>
    <w:rsid w:val="79310238"/>
    <w:rsid w:val="79423DB9"/>
    <w:rsid w:val="79480F1D"/>
    <w:rsid w:val="794A0B48"/>
    <w:rsid w:val="794DC91A"/>
    <w:rsid w:val="7955717E"/>
    <w:rsid w:val="795D52CE"/>
    <w:rsid w:val="795FEAC2"/>
    <w:rsid w:val="796F1F12"/>
    <w:rsid w:val="797EA5E0"/>
    <w:rsid w:val="7995BB47"/>
    <w:rsid w:val="799A6DE6"/>
    <w:rsid w:val="79A15F48"/>
    <w:rsid w:val="79AEE20F"/>
    <w:rsid w:val="79AFAD19"/>
    <w:rsid w:val="79B46E55"/>
    <w:rsid w:val="79BC9D14"/>
    <w:rsid w:val="79D5365E"/>
    <w:rsid w:val="79E3B630"/>
    <w:rsid w:val="79E54ADC"/>
    <w:rsid w:val="79EC4A21"/>
    <w:rsid w:val="79F2B17F"/>
    <w:rsid w:val="7A05CC37"/>
    <w:rsid w:val="7A3453A1"/>
    <w:rsid w:val="7A4EB84A"/>
    <w:rsid w:val="7A6474BF"/>
    <w:rsid w:val="7A6E932B"/>
    <w:rsid w:val="7A7E30AA"/>
    <w:rsid w:val="7A94CEA5"/>
    <w:rsid w:val="7AAD8949"/>
    <w:rsid w:val="7AB25609"/>
    <w:rsid w:val="7ABCD755"/>
    <w:rsid w:val="7ABEE10D"/>
    <w:rsid w:val="7AD2CF91"/>
    <w:rsid w:val="7AD81E88"/>
    <w:rsid w:val="7ADC316A"/>
    <w:rsid w:val="7AE7EB6A"/>
    <w:rsid w:val="7AF5AFCF"/>
    <w:rsid w:val="7B0A89ED"/>
    <w:rsid w:val="7B1AB826"/>
    <w:rsid w:val="7B202E86"/>
    <w:rsid w:val="7B278DF4"/>
    <w:rsid w:val="7B3F4DAA"/>
    <w:rsid w:val="7B556C63"/>
    <w:rsid w:val="7B63BE7A"/>
    <w:rsid w:val="7B6C5564"/>
    <w:rsid w:val="7BAA6A40"/>
    <w:rsid w:val="7BB96FEB"/>
    <w:rsid w:val="7BC60629"/>
    <w:rsid w:val="7BD79D76"/>
    <w:rsid w:val="7BF45BFC"/>
    <w:rsid w:val="7BF7D7B3"/>
    <w:rsid w:val="7BF97D7A"/>
    <w:rsid w:val="7BFCFE06"/>
    <w:rsid w:val="7C226DC7"/>
    <w:rsid w:val="7C45B3D2"/>
    <w:rsid w:val="7C49B7F0"/>
    <w:rsid w:val="7C509050"/>
    <w:rsid w:val="7C5B4241"/>
    <w:rsid w:val="7C802672"/>
    <w:rsid w:val="7C97CF5D"/>
    <w:rsid w:val="7CA0F513"/>
    <w:rsid w:val="7CA16F7F"/>
    <w:rsid w:val="7CACF909"/>
    <w:rsid w:val="7CB64BF0"/>
    <w:rsid w:val="7CC600FB"/>
    <w:rsid w:val="7CCE640A"/>
    <w:rsid w:val="7CD714C4"/>
    <w:rsid w:val="7CD87B17"/>
    <w:rsid w:val="7CE1385A"/>
    <w:rsid w:val="7CF0E776"/>
    <w:rsid w:val="7D059382"/>
    <w:rsid w:val="7D0A9E76"/>
    <w:rsid w:val="7D0CBF71"/>
    <w:rsid w:val="7D0ED1BA"/>
    <w:rsid w:val="7D187D16"/>
    <w:rsid w:val="7D1D32BF"/>
    <w:rsid w:val="7D1DE925"/>
    <w:rsid w:val="7D4CB220"/>
    <w:rsid w:val="7D50069A"/>
    <w:rsid w:val="7D54EBB0"/>
    <w:rsid w:val="7D6FB296"/>
    <w:rsid w:val="7D7226AB"/>
    <w:rsid w:val="7D8CA129"/>
    <w:rsid w:val="7D9C7875"/>
    <w:rsid w:val="7DB1A1F6"/>
    <w:rsid w:val="7DBAA660"/>
    <w:rsid w:val="7DEC60B1"/>
    <w:rsid w:val="7DF03743"/>
    <w:rsid w:val="7DF278DA"/>
    <w:rsid w:val="7E09DAA4"/>
    <w:rsid w:val="7E16EBA9"/>
    <w:rsid w:val="7E1CC7DA"/>
    <w:rsid w:val="7E408B03"/>
    <w:rsid w:val="7E5001DB"/>
    <w:rsid w:val="7E5DAF58"/>
    <w:rsid w:val="7E61FB33"/>
    <w:rsid w:val="7E6729AC"/>
    <w:rsid w:val="7E77582F"/>
    <w:rsid w:val="7EA2BD81"/>
    <w:rsid w:val="7EA63360"/>
    <w:rsid w:val="7EB9E8E8"/>
    <w:rsid w:val="7ED34AF4"/>
    <w:rsid w:val="7EDB3C74"/>
    <w:rsid w:val="7EE55F69"/>
    <w:rsid w:val="7EE5C2E4"/>
    <w:rsid w:val="7EF6F54E"/>
    <w:rsid w:val="7EFD4D73"/>
    <w:rsid w:val="7F13099B"/>
    <w:rsid w:val="7F1F4314"/>
    <w:rsid w:val="7F2FC0D4"/>
    <w:rsid w:val="7F371E26"/>
    <w:rsid w:val="7F49EA70"/>
    <w:rsid w:val="7F58944B"/>
    <w:rsid w:val="7F60C042"/>
    <w:rsid w:val="7F65BD97"/>
    <w:rsid w:val="7F6D234E"/>
    <w:rsid w:val="7F784E88"/>
    <w:rsid w:val="7F80FA17"/>
    <w:rsid w:val="7F883112"/>
    <w:rsid w:val="7F969B55"/>
    <w:rsid w:val="7F9BAD21"/>
    <w:rsid w:val="7FABE86E"/>
    <w:rsid w:val="7FBD2362"/>
    <w:rsid w:val="7FBEA71B"/>
    <w:rsid w:val="7FCEB302"/>
    <w:rsid w:val="7FF152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39E"/>
    <w:pPr>
      <w:spacing w:before="160" w:after="160" w:line="259" w:lineRule="auto"/>
    </w:pPr>
    <w:rPr>
      <w:rFonts w:ascii="Calibri Light" w:hAnsi="Calibri Light"/>
      <w:sz w:val="22"/>
      <w:szCs w:val="22"/>
      <w:lang w:eastAsia="en-US"/>
    </w:rPr>
  </w:style>
  <w:style w:type="paragraph" w:styleId="Heading1">
    <w:name w:val="heading 1"/>
    <w:basedOn w:val="Normal"/>
    <w:next w:val="Normal"/>
    <w:link w:val="Heading1Char"/>
    <w:uiPriority w:val="9"/>
    <w:qFormat/>
    <w:rsid w:val="008B439E"/>
    <w:pPr>
      <w:keepNext/>
      <w:keepLines/>
      <w:spacing w:before="240" w:after="0"/>
      <w:outlineLvl w:val="0"/>
    </w:pPr>
    <w:rPr>
      <w:rFonts w:eastAsiaTheme="majorEastAsia" w:cstheme="majorBidi"/>
      <w:color w:val="2B4152" w:themeColor="accent1" w:themeShade="BF"/>
      <w:sz w:val="32"/>
      <w:szCs w:val="32"/>
    </w:rPr>
  </w:style>
  <w:style w:type="paragraph" w:styleId="Heading2">
    <w:name w:val="heading 2"/>
    <w:basedOn w:val="Normal"/>
    <w:next w:val="Normal"/>
    <w:link w:val="Heading2Char"/>
    <w:uiPriority w:val="9"/>
    <w:unhideWhenUsed/>
    <w:qFormat/>
    <w:rsid w:val="008B439E"/>
    <w:pPr>
      <w:keepNext/>
      <w:keepLines/>
      <w:spacing w:before="40" w:after="0"/>
      <w:outlineLvl w:val="1"/>
    </w:pPr>
    <w:rPr>
      <w:rFonts w:eastAsiaTheme="majorEastAsia" w:cstheme="majorBidi"/>
      <w:color w:val="2B4152" w:themeColor="accent1" w:themeShade="BF"/>
      <w:sz w:val="26"/>
      <w:szCs w:val="26"/>
    </w:rPr>
  </w:style>
  <w:style w:type="paragraph" w:styleId="Heading3">
    <w:name w:val="heading 3"/>
    <w:basedOn w:val="Normal"/>
    <w:next w:val="Normal"/>
    <w:link w:val="Heading3Char"/>
    <w:uiPriority w:val="9"/>
    <w:unhideWhenUsed/>
    <w:qFormat/>
    <w:rsid w:val="008B439E"/>
    <w:pPr>
      <w:keepNext/>
      <w:keepLines/>
      <w:spacing w:before="40" w:after="0"/>
      <w:outlineLvl w:val="2"/>
    </w:pPr>
    <w:rPr>
      <w:rFonts w:eastAsiaTheme="majorEastAsia"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8B439E"/>
    <w:pPr>
      <w:keepNext/>
      <w:keepLines/>
      <w:spacing w:before="40" w:after="0"/>
      <w:outlineLvl w:val="3"/>
    </w:pPr>
    <w:rPr>
      <w:rFonts w:eastAsiaTheme="majorEastAsia"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8B439E"/>
    <w:pPr>
      <w:spacing w:before="0"/>
      <w:ind w:left="1560"/>
    </w:pPr>
    <w:rPr>
      <w:b/>
      <w:bCs/>
      <w:caps/>
      <w:color w:val="313E48"/>
      <w:sz w:val="56"/>
      <w:szCs w:val="56"/>
    </w:rPr>
  </w:style>
  <w:style w:type="paragraph" w:customStyle="1" w:styleId="BodyCopy">
    <w:name w:val="Body Copy"/>
    <w:qFormat/>
    <w:rsid w:val="008B439E"/>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8B439E"/>
    <w:pPr>
      <w:pageBreakBefore/>
      <w:spacing w:before="240" w:after="120"/>
    </w:pPr>
    <w:rPr>
      <w:rFonts w:asciiTheme="minorHAnsi" w:hAnsiTheme="minorHAnsi" w:cstheme="minorHAnsi"/>
      <w:b/>
      <w:bCs/>
      <w:color w:val="313E48"/>
      <w:sz w:val="36"/>
      <w:szCs w:val="32"/>
    </w:rPr>
  </w:style>
  <w:style w:type="paragraph" w:customStyle="1" w:styleId="H4-Heading4">
    <w:name w:val="H4 - Heading 4"/>
    <w:basedOn w:val="Heading4"/>
    <w:next w:val="BodyCopy"/>
    <w:qFormat/>
    <w:rsid w:val="008B439E"/>
    <w:pPr>
      <w:spacing w:before="240" w:after="120"/>
    </w:pPr>
    <w:rPr>
      <w:rFonts w:cstheme="minorHAnsi"/>
      <w:b/>
      <w:bCs/>
      <w:i w:val="0"/>
      <w:color w:val="auto"/>
      <w:sz w:val="24"/>
      <w:szCs w:val="24"/>
    </w:rPr>
  </w:style>
  <w:style w:type="paragraph" w:customStyle="1" w:styleId="H3-Heading3">
    <w:name w:val="H3 - Heading 3"/>
    <w:basedOn w:val="Heading3"/>
    <w:qFormat/>
    <w:rsid w:val="008B439E"/>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B439E"/>
    <w:pPr>
      <w:numPr>
        <w:numId w:val="2"/>
      </w:numPr>
    </w:pPr>
  </w:style>
  <w:style w:type="paragraph" w:customStyle="1" w:styleId="BodyCopyPrebulletsandnumberedbullets">
    <w:name w:val="Body Copy Pre bullets and numbered bullets"/>
    <w:basedOn w:val="BodyCopy"/>
    <w:qFormat/>
    <w:rsid w:val="008B439E"/>
    <w:pPr>
      <w:spacing w:before="240"/>
    </w:pPr>
  </w:style>
  <w:style w:type="paragraph" w:customStyle="1" w:styleId="NormalBullets-L2">
    <w:name w:val="Normal Bullets - L2"/>
    <w:basedOn w:val="BodyCopy"/>
    <w:qFormat/>
    <w:rsid w:val="008B439E"/>
    <w:pPr>
      <w:numPr>
        <w:numId w:val="27"/>
      </w:numPr>
      <w:spacing w:before="0" w:after="0"/>
      <w:ind w:left="993" w:hanging="284"/>
    </w:pPr>
    <w:rPr>
      <w:color w:val="auto"/>
      <w:lang w:eastAsia="en-AU"/>
    </w:rPr>
  </w:style>
  <w:style w:type="table" w:styleId="TableGrid">
    <w:name w:val="Table Grid"/>
    <w:basedOn w:val="TableNormal"/>
    <w:uiPriority w:val="39"/>
    <w:rsid w:val="008B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8B439E"/>
    <w:pPr>
      <w:spacing w:before="240" w:after="240"/>
    </w:pPr>
    <w:rPr>
      <w:rFonts w:asciiTheme="majorHAnsi" w:hAnsiTheme="majorHAnsi" w:cstheme="minorHAnsi"/>
      <w:b/>
      <w:bCs/>
      <w:color w:val="FFFFFF" w:themeColor="background1"/>
      <w:szCs w:val="21"/>
      <w:lang w:eastAsia="en-US"/>
    </w:rPr>
  </w:style>
  <w:style w:type="paragraph" w:customStyle="1" w:styleId="TableBodyCopy">
    <w:name w:val="Table Body Copy"/>
    <w:basedOn w:val="BodyCopy"/>
    <w:qFormat/>
    <w:rsid w:val="008B439E"/>
    <w:pPr>
      <w:spacing w:before="120" w:after="40"/>
    </w:pPr>
    <w:rPr>
      <w:color w:val="auto"/>
      <w:sz w:val="20"/>
    </w:rPr>
  </w:style>
  <w:style w:type="paragraph" w:customStyle="1" w:styleId="PostBulletsBodyCopy">
    <w:name w:val="Post Bullets Body Copy"/>
    <w:basedOn w:val="BodyCopy"/>
    <w:qFormat/>
    <w:rsid w:val="008B439E"/>
    <w:pPr>
      <w:spacing w:before="240" w:after="160"/>
    </w:pPr>
  </w:style>
  <w:style w:type="paragraph" w:styleId="Header">
    <w:name w:val="header"/>
    <w:basedOn w:val="Normal"/>
    <w:link w:val="HeaderChar"/>
    <w:uiPriority w:val="99"/>
    <w:unhideWhenUsed/>
    <w:rsid w:val="008B4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39E"/>
    <w:rPr>
      <w:rFonts w:ascii="Calibri Light" w:hAnsi="Calibri Light"/>
      <w:sz w:val="22"/>
      <w:szCs w:val="22"/>
      <w:lang w:eastAsia="en-US"/>
    </w:rPr>
  </w:style>
  <w:style w:type="paragraph" w:styleId="Footer">
    <w:name w:val="footer"/>
    <w:basedOn w:val="Normal"/>
    <w:link w:val="FooterChar"/>
    <w:uiPriority w:val="99"/>
    <w:unhideWhenUsed/>
    <w:rsid w:val="008B4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39E"/>
    <w:rPr>
      <w:rFonts w:ascii="Calibri Light" w:hAnsi="Calibri Light"/>
      <w:sz w:val="22"/>
      <w:szCs w:val="22"/>
      <w:lang w:eastAsia="en-US"/>
    </w:rPr>
  </w:style>
  <w:style w:type="character" w:customStyle="1" w:styleId="Green">
    <w:name w:val="Green"/>
    <w:basedOn w:val="DefaultParagraphFont"/>
    <w:uiPriority w:val="1"/>
    <w:qFormat/>
    <w:rsid w:val="008B439E"/>
    <w:rPr>
      <w:color w:val="00837C" w:themeColor="accent2"/>
    </w:rPr>
  </w:style>
  <w:style w:type="paragraph" w:customStyle="1" w:styleId="TitleCover">
    <w:name w:val="Title Cover"/>
    <w:basedOn w:val="H1-Heading1"/>
    <w:link w:val="TitleCoverChar"/>
    <w:qFormat/>
    <w:rsid w:val="008B439E"/>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8B439E"/>
    <w:pPr>
      <w:jc w:val="center"/>
    </w:pPr>
    <w:rPr>
      <w:b/>
      <w:caps/>
      <w:noProof/>
      <w:color w:val="FF0000"/>
    </w:rPr>
  </w:style>
  <w:style w:type="character" w:customStyle="1" w:styleId="H1-Heading1Char">
    <w:name w:val="H1 - Heading 1 Char"/>
    <w:basedOn w:val="DefaultParagraphFont"/>
    <w:link w:val="H1-Heading1"/>
    <w:rsid w:val="008B439E"/>
    <w:rPr>
      <w:rFonts w:ascii="Calibri Light" w:eastAsiaTheme="majorEastAsia" w:hAnsi="Calibri Light" w:cstheme="majorBidi"/>
      <w:b/>
      <w:bCs/>
      <w:caps/>
      <w:color w:val="313E48"/>
      <w:sz w:val="56"/>
      <w:szCs w:val="56"/>
      <w:lang w:eastAsia="en-US"/>
    </w:rPr>
  </w:style>
  <w:style w:type="character" w:customStyle="1" w:styleId="TitleCoverChar">
    <w:name w:val="Title Cover Char"/>
    <w:basedOn w:val="H1-Heading1Char"/>
    <w:link w:val="TitleCover"/>
    <w:rsid w:val="008B439E"/>
    <w:rPr>
      <w:rFonts w:asciiTheme="minorHAnsi" w:eastAsiaTheme="majorEastAsia" w:hAnsiTheme="minorHAnsi" w:cstheme="minorHAnsi"/>
      <w:b/>
      <w:bCs/>
      <w:caps/>
      <w:color w:val="FFFFFF" w:themeColor="background1"/>
      <w:sz w:val="48"/>
      <w:szCs w:val="56"/>
      <w:lang w:eastAsia="en-US"/>
    </w:rPr>
  </w:style>
  <w:style w:type="paragraph" w:customStyle="1" w:styleId="Subtitlecover">
    <w:name w:val="Subtitle cover"/>
    <w:basedOn w:val="TitleCover"/>
    <w:link w:val="SubtitlecoverChar"/>
    <w:qFormat/>
    <w:rsid w:val="008B439E"/>
    <w:pPr>
      <w:spacing w:before="360"/>
    </w:pPr>
    <w:rPr>
      <w:sz w:val="36"/>
    </w:rPr>
  </w:style>
  <w:style w:type="character" w:customStyle="1" w:styleId="SubtitlecoverChar">
    <w:name w:val="Subtitle cover Char"/>
    <w:basedOn w:val="TitleCoverChar"/>
    <w:link w:val="Subtitlecover"/>
    <w:rsid w:val="008B439E"/>
    <w:rPr>
      <w:rFonts w:asciiTheme="minorHAnsi" w:eastAsiaTheme="majorEastAsia" w:hAnsiTheme="minorHAnsi" w:cstheme="minorHAnsi"/>
      <w:b/>
      <w:bCs/>
      <w:caps/>
      <w:color w:val="FFFFFF" w:themeColor="background1"/>
      <w:sz w:val="36"/>
      <w:szCs w:val="56"/>
      <w:lang w:eastAsia="en-US"/>
    </w:rPr>
  </w:style>
  <w:style w:type="paragraph" w:styleId="TOC2">
    <w:name w:val="toc 2"/>
    <w:basedOn w:val="Normal"/>
    <w:next w:val="Normal"/>
    <w:autoRedefine/>
    <w:uiPriority w:val="39"/>
    <w:unhideWhenUsed/>
    <w:rsid w:val="008B439E"/>
    <w:pPr>
      <w:spacing w:after="100"/>
      <w:ind w:left="220"/>
    </w:pPr>
  </w:style>
  <w:style w:type="character" w:customStyle="1" w:styleId="Heading2Char">
    <w:name w:val="Heading 2 Char"/>
    <w:basedOn w:val="DefaultParagraphFont"/>
    <w:link w:val="Heading2"/>
    <w:uiPriority w:val="9"/>
    <w:rsid w:val="008B439E"/>
    <w:rPr>
      <w:rFonts w:ascii="Calibri Light" w:eastAsiaTheme="majorEastAsia" w:hAnsi="Calibri Light"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8B439E"/>
    <w:rPr>
      <w:rFonts w:ascii="Calibri Light" w:eastAsiaTheme="majorEastAsia" w:hAnsi="Calibri Light"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rsid w:val="008B439E"/>
    <w:rPr>
      <w:rFonts w:ascii="Calibri Light" w:eastAsiaTheme="majorEastAsia" w:hAnsi="Calibri Light"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8B439E"/>
    <w:rPr>
      <w:rFonts w:ascii="Calibri Light" w:eastAsiaTheme="majorEastAsia" w:hAnsi="Calibri Light"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8B439E"/>
    <w:pPr>
      <w:spacing w:after="100"/>
    </w:pPr>
  </w:style>
  <w:style w:type="paragraph" w:styleId="TOC3">
    <w:name w:val="toc 3"/>
    <w:basedOn w:val="Normal"/>
    <w:next w:val="Normal"/>
    <w:autoRedefine/>
    <w:uiPriority w:val="39"/>
    <w:unhideWhenUsed/>
    <w:rsid w:val="008B439E"/>
    <w:pPr>
      <w:spacing w:after="100"/>
      <w:ind w:left="440"/>
    </w:pPr>
  </w:style>
  <w:style w:type="character" w:styleId="Hyperlink">
    <w:name w:val="Hyperlink"/>
    <w:basedOn w:val="DefaultParagraphFont"/>
    <w:uiPriority w:val="99"/>
    <w:unhideWhenUsed/>
    <w:rsid w:val="008B439E"/>
    <w:rPr>
      <w:color w:val="014429" w:themeColor="hyperlink"/>
      <w:u w:val="single"/>
    </w:rPr>
  </w:style>
  <w:style w:type="paragraph" w:styleId="TOCHeading">
    <w:name w:val="TOC Heading"/>
    <w:basedOn w:val="H2-Heading2"/>
    <w:next w:val="Normal"/>
    <w:uiPriority w:val="39"/>
    <w:unhideWhenUsed/>
    <w:qFormat/>
    <w:rsid w:val="008B439E"/>
  </w:style>
  <w:style w:type="paragraph" w:styleId="ListParagraph">
    <w:name w:val="List Paragraph"/>
    <w:aliases w:val="List Paragraph1,Recommendation,Evidence on Demand bullet points,List Paragraph11,L,CV text,Table text,F5 List Paragraph,Dot pt,Medium Grid 1 - Accent 21,Numbered Paragraph,List Paragraph111,List Paragraph2,Bulleted Para"/>
    <w:basedOn w:val="Normal"/>
    <w:link w:val="ListParagraphChar"/>
    <w:uiPriority w:val="34"/>
    <w:qFormat/>
    <w:rsid w:val="008B439E"/>
    <w:pPr>
      <w:numPr>
        <w:numId w:val="50"/>
      </w:numPr>
      <w:ind w:left="357" w:hanging="357"/>
      <w:contextualSpacing/>
    </w:pPr>
  </w:style>
  <w:style w:type="table" w:styleId="ListTable3-Accent1">
    <w:name w:val="List Table 3 Accent 1"/>
    <w:basedOn w:val="TableNormal"/>
    <w:uiPriority w:val="48"/>
    <w:rsid w:val="008B439E"/>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val="0"/>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8B439E"/>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val="0"/>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Box1Bullet">
    <w:name w:val="Box 1 Bullet"/>
    <w:basedOn w:val="Normal"/>
    <w:qFormat/>
    <w:rsid w:val="008B439E"/>
    <w:pPr>
      <w:numPr>
        <w:numId w:val="11"/>
      </w:numPr>
      <w:pBdr>
        <w:top w:val="single" w:sz="4" w:space="14" w:color="3A586E" w:themeColor="accent1"/>
        <w:left w:val="single" w:sz="4" w:space="14" w:color="3A586E" w:themeColor="accent1"/>
        <w:bottom w:val="single" w:sz="4" w:space="14" w:color="3A586E" w:themeColor="accent1"/>
        <w:right w:val="single" w:sz="4" w:space="14" w:color="3A586E"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313E48" w:themeColor="text2"/>
      <w:sz w:val="20"/>
    </w:rPr>
  </w:style>
  <w:style w:type="table" w:styleId="TableGridLight">
    <w:name w:val="Grid Table Light"/>
    <w:basedOn w:val="TableNormal"/>
    <w:uiPriority w:val="40"/>
    <w:rsid w:val="008B43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B43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B439E"/>
    <w:rPr>
      <w:sz w:val="22"/>
      <w:szCs w:val="22"/>
      <w:lang w:eastAsia="en-US"/>
    </w:rPr>
  </w:style>
  <w:style w:type="character" w:styleId="CommentReference">
    <w:name w:val="annotation reference"/>
    <w:basedOn w:val="DefaultParagraphFont"/>
    <w:uiPriority w:val="99"/>
    <w:semiHidden/>
    <w:unhideWhenUsed/>
    <w:rsid w:val="008B439E"/>
    <w:rPr>
      <w:sz w:val="16"/>
      <w:szCs w:val="16"/>
    </w:rPr>
  </w:style>
  <w:style w:type="paragraph" w:styleId="CommentText">
    <w:name w:val="annotation text"/>
    <w:basedOn w:val="Normal"/>
    <w:link w:val="CommentTextChar"/>
    <w:uiPriority w:val="99"/>
    <w:unhideWhenUsed/>
    <w:rsid w:val="008B439E"/>
    <w:pPr>
      <w:spacing w:line="240" w:lineRule="auto"/>
    </w:pPr>
    <w:rPr>
      <w:sz w:val="20"/>
      <w:szCs w:val="20"/>
    </w:rPr>
  </w:style>
  <w:style w:type="character" w:customStyle="1" w:styleId="CommentTextChar">
    <w:name w:val="Comment Text Char"/>
    <w:basedOn w:val="DefaultParagraphFont"/>
    <w:link w:val="CommentText"/>
    <w:uiPriority w:val="99"/>
    <w:rsid w:val="008B439E"/>
    <w:rPr>
      <w:rFonts w:ascii="Calibri Light" w:hAnsi="Calibri Light"/>
      <w:lang w:eastAsia="en-US"/>
    </w:rPr>
  </w:style>
  <w:style w:type="paragraph" w:styleId="CommentSubject">
    <w:name w:val="annotation subject"/>
    <w:basedOn w:val="CommentText"/>
    <w:next w:val="CommentText"/>
    <w:link w:val="CommentSubjectChar"/>
    <w:uiPriority w:val="99"/>
    <w:semiHidden/>
    <w:unhideWhenUsed/>
    <w:rsid w:val="008B439E"/>
    <w:rPr>
      <w:b/>
      <w:bCs/>
    </w:rPr>
  </w:style>
  <w:style w:type="character" w:customStyle="1" w:styleId="CommentSubjectChar">
    <w:name w:val="Comment Subject Char"/>
    <w:basedOn w:val="CommentTextChar"/>
    <w:link w:val="CommentSubject"/>
    <w:uiPriority w:val="99"/>
    <w:semiHidden/>
    <w:rsid w:val="008B439E"/>
    <w:rPr>
      <w:rFonts w:ascii="Calibri Light" w:hAnsi="Calibri Light"/>
      <w:b/>
      <w:bCs/>
      <w:lang w:eastAsia="en-US"/>
    </w:rPr>
  </w:style>
  <w:style w:type="paragraph" w:styleId="NormalWeb">
    <w:name w:val="Normal (Web)"/>
    <w:basedOn w:val="Normal"/>
    <w:uiPriority w:val="99"/>
    <w:semiHidden/>
    <w:unhideWhenUsed/>
    <w:rsid w:val="008B439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8B439E"/>
  </w:style>
  <w:style w:type="character" w:styleId="FollowedHyperlink">
    <w:name w:val="FollowedHyperlink"/>
    <w:basedOn w:val="DefaultParagraphFont"/>
    <w:uiPriority w:val="99"/>
    <w:semiHidden/>
    <w:unhideWhenUsed/>
    <w:rsid w:val="008B439E"/>
    <w:rPr>
      <w:color w:val="3F0D00" w:themeColor="followedHyperlink"/>
      <w:u w:val="single"/>
    </w:rPr>
  </w:style>
  <w:style w:type="character" w:styleId="UnresolvedMention">
    <w:name w:val="Unresolved Mention"/>
    <w:basedOn w:val="DefaultParagraphFont"/>
    <w:uiPriority w:val="99"/>
    <w:semiHidden/>
    <w:unhideWhenUsed/>
    <w:rsid w:val="008B439E"/>
    <w:rPr>
      <w:color w:val="605E5C"/>
      <w:shd w:val="clear" w:color="auto" w:fill="E1DFDD"/>
    </w:rPr>
  </w:style>
  <w:style w:type="paragraph" w:customStyle="1" w:styleId="NormalBullets-L3">
    <w:name w:val="Normal Bullets - L3"/>
    <w:basedOn w:val="NormalBullets-L2"/>
    <w:qFormat/>
    <w:rsid w:val="008B439E"/>
    <w:pPr>
      <w:numPr>
        <w:numId w:val="26"/>
      </w:numPr>
      <w:ind w:left="1134" w:hanging="357"/>
    </w:pPr>
  </w:style>
  <w:style w:type="paragraph" w:customStyle="1" w:styleId="NormalBullets-L1">
    <w:name w:val="Normal Bullets - L1"/>
    <w:basedOn w:val="Normal"/>
    <w:qFormat/>
    <w:rsid w:val="008B439E"/>
    <w:pPr>
      <w:numPr>
        <w:numId w:val="8"/>
      </w:numPr>
      <w:spacing w:before="120" w:after="120" w:line="240" w:lineRule="auto"/>
      <w:textAlignment w:val="baseline"/>
    </w:pPr>
    <w:rPr>
      <w:rFonts w:cs="Calibri Light"/>
      <w:lang w:eastAsia="en-AU"/>
    </w:rPr>
  </w:style>
  <w:style w:type="table" w:styleId="PlainTable4">
    <w:name w:val="Plain Table 4"/>
    <w:basedOn w:val="TableNormal"/>
    <w:uiPriority w:val="44"/>
    <w:rsid w:val="008B43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NormalBullets-L1"/>
    <w:qFormat/>
    <w:rsid w:val="008B439E"/>
    <w:pPr>
      <w:spacing w:before="0" w:after="0"/>
    </w:pPr>
  </w:style>
  <w:style w:type="paragraph" w:customStyle="1" w:styleId="Tablebullet">
    <w:name w:val="Table bullet"/>
    <w:basedOn w:val="NormalBullets-L1"/>
    <w:qFormat/>
    <w:rsid w:val="008B439E"/>
    <w:pPr>
      <w:spacing w:after="0"/>
      <w:ind w:left="360"/>
    </w:pPr>
    <w:rPr>
      <w:sz w:val="20"/>
    </w:rPr>
  </w:style>
  <w:style w:type="table" w:customStyle="1" w:styleId="DFATPaddock">
    <w:name w:val="DFAT Paddock"/>
    <w:basedOn w:val="TableNormal"/>
    <w:uiPriority w:val="99"/>
    <w:rsid w:val="008B43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D6E8D2" w:themeFill="accent3"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Wattle">
    <w:name w:val="DFAT Wattle"/>
    <w:basedOn w:val="DFATPaddock"/>
    <w:uiPriority w:val="99"/>
    <w:rsid w:val="008B439E"/>
    <w:tblPr/>
    <w:tcPr>
      <w:shd w:val="clear" w:color="auto" w:fill="FBEED2" w:themeFill="accent4"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Ochre">
    <w:name w:val="DFAT Ochre"/>
    <w:basedOn w:val="DFATWattle"/>
    <w:uiPriority w:val="99"/>
    <w:rsid w:val="008B439E"/>
    <w:tblPr/>
    <w:tcPr>
      <w:shd w:val="clear" w:color="auto" w:fill="F0DBD4" w:themeFill="accent5" w:themeFillTint="33"/>
    </w:tcPr>
    <w:tblStylePr w:type="firstRow">
      <w:pPr>
        <w:jc w:val="left"/>
      </w:pPr>
      <w:rPr>
        <w:rFonts w:ascii="Calibri" w:hAnsi="Calibri"/>
        <w:b w:val="0"/>
        <w:color w:val="FFFFFF" w:themeColor="background1"/>
        <w:sz w:val="20"/>
      </w:rPr>
      <w:tblPr/>
      <w:trPr>
        <w:tblHeader/>
      </w:trPr>
      <w:tcPr>
        <w:shd w:val="clear" w:color="auto" w:fill="3A586E" w:themeFill="accent1"/>
      </w:tcPr>
    </w:tblStylePr>
  </w:style>
  <w:style w:type="table" w:customStyle="1" w:styleId="DFATBluegum">
    <w:name w:val="DFAT Bluegum"/>
    <w:basedOn w:val="DFATWattle"/>
    <w:uiPriority w:val="99"/>
    <w:rsid w:val="008B439E"/>
    <w:tblPr/>
    <w:tcPr>
      <w:shd w:val="clear" w:color="auto" w:fill="D2DEE7" w:themeFill="accent1"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paragraph" w:styleId="EndnoteText">
    <w:name w:val="endnote text"/>
    <w:basedOn w:val="Normal"/>
    <w:link w:val="EndnoteTextChar"/>
    <w:uiPriority w:val="99"/>
    <w:semiHidden/>
    <w:unhideWhenUsed/>
    <w:rsid w:val="008B439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B439E"/>
    <w:rPr>
      <w:rFonts w:ascii="Calibri Light" w:hAnsi="Calibri Light"/>
      <w:lang w:eastAsia="en-US"/>
    </w:rPr>
  </w:style>
  <w:style w:type="character" w:styleId="EndnoteReference">
    <w:name w:val="endnote reference"/>
    <w:basedOn w:val="DefaultParagraphFont"/>
    <w:uiPriority w:val="99"/>
    <w:semiHidden/>
    <w:unhideWhenUsed/>
    <w:rsid w:val="008B439E"/>
    <w:rPr>
      <w:vertAlign w:val="superscript"/>
    </w:rPr>
  </w:style>
  <w:style w:type="paragraph" w:customStyle="1" w:styleId="Endnotes">
    <w:name w:val="Endnotes"/>
    <w:basedOn w:val="EndnoteText"/>
    <w:qFormat/>
    <w:rsid w:val="008B439E"/>
  </w:style>
  <w:style w:type="paragraph" w:styleId="FootnoteText">
    <w:name w:val="footnote text"/>
    <w:aliases w:val="single space,footnote text,Footnote text,single spacing,FOOTNOTES,fn,ft,Footnote Text Char2 Char,Footnote Text Char1 Char Char,Footnote Text Char2 Char Char Char,Footnote Text Char1 Char Char Char Char,ALTS FOOTNOTE,f,A,Char,Nbpage Moens"/>
    <w:basedOn w:val="Normal"/>
    <w:link w:val="FootnoteTextChar"/>
    <w:uiPriority w:val="99"/>
    <w:unhideWhenUsed/>
    <w:rsid w:val="008B439E"/>
    <w:pPr>
      <w:spacing w:before="0" w:after="0" w:line="240" w:lineRule="auto"/>
    </w:pPr>
    <w:rPr>
      <w:sz w:val="20"/>
      <w:szCs w:val="20"/>
    </w:rPr>
  </w:style>
  <w:style w:type="character" w:customStyle="1" w:styleId="FootnoteTextChar">
    <w:name w:val="Footnote Text Char"/>
    <w:aliases w:val="single space Char,footnote text Char,Footnote text Char,single spacing Char,FOOTNOTES Char,fn Char,ft Char,Footnote Text Char2 Char Char,Footnote Text Char1 Char Char Char,Footnote Text Char2 Char Char Char Char,ALTS FOOTNOTE Char"/>
    <w:basedOn w:val="DefaultParagraphFont"/>
    <w:link w:val="FootnoteText"/>
    <w:uiPriority w:val="99"/>
    <w:rsid w:val="008B439E"/>
    <w:rPr>
      <w:rFonts w:ascii="Calibri Light" w:hAnsi="Calibri Light"/>
      <w:lang w:eastAsia="en-US"/>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rsid w:val="008B439E"/>
    <w:rPr>
      <w:vertAlign w:val="superscript"/>
    </w:rPr>
  </w:style>
  <w:style w:type="paragraph" w:customStyle="1" w:styleId="Char2">
    <w:name w:val="Char2"/>
    <w:basedOn w:val="Normal"/>
    <w:link w:val="FootnoteReference"/>
    <w:uiPriority w:val="99"/>
    <w:rsid w:val="00C1009F"/>
    <w:pPr>
      <w:spacing w:before="0" w:line="240" w:lineRule="exact"/>
    </w:pPr>
    <w:rPr>
      <w:rFonts w:ascii="Calibri" w:hAnsi="Calibri"/>
      <w:sz w:val="20"/>
      <w:szCs w:val="20"/>
      <w:vertAlign w:val="superscript"/>
      <w:lang w:eastAsia="en-AU"/>
    </w:rPr>
  </w:style>
  <w:style w:type="character" w:customStyle="1" w:styleId="ListParagraphChar">
    <w:name w:val="List Paragraph Char"/>
    <w:aliases w:val="List Paragraph1 Char,Recommendation Char,Evidence on Demand bullet points Char,List Paragraph11 Char,L Char,CV text Char,Table text Char,F5 List Paragraph Char,Dot pt Char,Medium Grid 1 - Accent 21 Char,Numbered Paragraph Char"/>
    <w:basedOn w:val="DefaultParagraphFont"/>
    <w:link w:val="ListParagraph"/>
    <w:uiPriority w:val="34"/>
    <w:locked/>
    <w:rsid w:val="00900F0C"/>
    <w:rPr>
      <w:rFonts w:ascii="Calibri Light" w:hAnsi="Calibri Light"/>
      <w:sz w:val="22"/>
      <w:szCs w:val="22"/>
      <w:lang w:eastAsia="en-US"/>
    </w:rPr>
  </w:style>
  <w:style w:type="character" w:customStyle="1" w:styleId="cf01">
    <w:name w:val="cf01"/>
    <w:basedOn w:val="DefaultParagraphFont"/>
    <w:rsid w:val="0037548C"/>
    <w:rPr>
      <w:rFonts w:ascii="Segoe UI" w:hAnsi="Segoe UI" w:cs="Segoe UI" w:hint="default"/>
      <w:sz w:val="18"/>
      <w:szCs w:val="18"/>
    </w:rPr>
  </w:style>
  <w:style w:type="character" w:customStyle="1" w:styleId="eop">
    <w:name w:val="eop"/>
    <w:basedOn w:val="DefaultParagraphFont"/>
    <w:rsid w:val="00B81A62"/>
  </w:style>
  <w:style w:type="character" w:customStyle="1" w:styleId="findhit">
    <w:name w:val="findhit"/>
    <w:basedOn w:val="DefaultParagraphFont"/>
    <w:rsid w:val="001C555B"/>
  </w:style>
  <w:style w:type="paragraph" w:customStyle="1" w:styleId="paragraph">
    <w:name w:val="paragraph"/>
    <w:basedOn w:val="Normal"/>
    <w:rsid w:val="00224F0C"/>
    <w:pPr>
      <w:spacing w:before="100" w:beforeAutospacing="1" w:after="100" w:afterAutospacing="1" w:line="240" w:lineRule="auto"/>
    </w:pPr>
    <w:rPr>
      <w:rFonts w:ascii="Calibri" w:eastAsiaTheme="minorHAnsi" w:hAnsi="Calibri" w:cs="Calibri"/>
      <w:lang w:eastAsia="en-AU"/>
    </w:rPr>
  </w:style>
  <w:style w:type="character" w:styleId="Mention">
    <w:name w:val="Mention"/>
    <w:basedOn w:val="DefaultParagraphFont"/>
    <w:uiPriority w:val="99"/>
    <w:unhideWhenUsed/>
    <w:rsid w:val="004A632A"/>
    <w:rPr>
      <w:color w:val="2B579A"/>
      <w:shd w:val="clear" w:color="auto" w:fill="E1DFDD"/>
    </w:rPr>
  </w:style>
  <w:style w:type="paragraph" w:customStyle="1" w:styleId="Tabletitle">
    <w:name w:val="Table title"/>
    <w:basedOn w:val="H4-Heading4"/>
    <w:qFormat/>
    <w:rsid w:val="008B439E"/>
    <w:pPr>
      <w:spacing w:line="240" w:lineRule="auto"/>
      <w:outlineLvl w:val="9"/>
    </w:pPr>
    <w:rPr>
      <w:rFonts w:eastAsia="Times New Roman"/>
      <w:lang w:eastAsia="en-AU"/>
    </w:rPr>
  </w:style>
  <w:style w:type="paragraph" w:customStyle="1" w:styleId="Tablenote">
    <w:name w:val="Table note"/>
    <w:basedOn w:val="Normal"/>
    <w:qFormat/>
    <w:rsid w:val="008B439E"/>
    <w:pPr>
      <w:tabs>
        <w:tab w:val="left" w:pos="284"/>
      </w:tabs>
      <w:ind w:left="284" w:hanging="284"/>
    </w:pPr>
    <w:rPr>
      <w:sz w:val="18"/>
      <w:szCs w:val="18"/>
    </w:rPr>
  </w:style>
  <w:style w:type="paragraph" w:customStyle="1" w:styleId="Waysofworkinghead">
    <w:name w:val="Ways of working head"/>
    <w:basedOn w:val="Normal"/>
    <w:qFormat/>
    <w:rsid w:val="008B439E"/>
    <w:rPr>
      <w:b/>
      <w:bCs/>
      <w:lang w:eastAsia="en-AU"/>
    </w:rPr>
  </w:style>
  <w:style w:type="paragraph" w:customStyle="1" w:styleId="Table1goalhead">
    <w:name w:val="Table 1 goal head"/>
    <w:basedOn w:val="Normal"/>
    <w:qFormat/>
    <w:rsid w:val="008B439E"/>
    <w:rPr>
      <w:b/>
      <w:bCs/>
      <w:lang w:eastAsia="en-AU"/>
    </w:rPr>
  </w:style>
  <w:style w:type="paragraph" w:customStyle="1" w:styleId="Table1col1head">
    <w:name w:val="Table 1 col 1 head"/>
    <w:basedOn w:val="TableBodyCopy"/>
    <w:qFormat/>
    <w:rsid w:val="008B439E"/>
    <w:rPr>
      <w:rFonts w:eastAsia="Times New Roman" w:cs="Calibri"/>
      <w:b/>
      <w:bCs/>
      <w:color w:val="FFFFFF" w:themeColor="background1"/>
      <w:lang w:eastAsia="en-AU"/>
    </w:rPr>
  </w:style>
  <w:style w:type="paragraph" w:customStyle="1" w:styleId="TableBodyCopybold">
    <w:name w:val="Table Body Copy bold"/>
    <w:basedOn w:val="TableBodyCopy"/>
    <w:qFormat/>
    <w:rsid w:val="008B439E"/>
    <w:rPr>
      <w:b/>
      <w:bCs/>
    </w:rPr>
  </w:style>
  <w:style w:type="paragraph" w:customStyle="1" w:styleId="PAFobjectivehead">
    <w:name w:val="PAF objective head"/>
    <w:basedOn w:val="Normal"/>
    <w:qFormat/>
    <w:rsid w:val="008B439E"/>
    <w:pPr>
      <w:keepNext/>
    </w:pPr>
    <w:rPr>
      <w:b/>
      <w:bCs/>
      <w:lang w:eastAsia="en-AU"/>
    </w:rPr>
  </w:style>
  <w:style w:type="paragraph" w:customStyle="1" w:styleId="cover-countries">
    <w:name w:val="cover - countries"/>
    <w:basedOn w:val="H1-Heading1"/>
    <w:qFormat/>
    <w:rsid w:val="008B439E"/>
    <w:pPr>
      <w:spacing w:before="10400"/>
      <w:ind w:left="1701"/>
    </w:pPr>
  </w:style>
  <w:style w:type="paragraph" w:customStyle="1" w:styleId="cover-DPPandyears">
    <w:name w:val="cover - DPP and years"/>
    <w:basedOn w:val="H1-Heading1"/>
    <w:qFormat/>
    <w:rsid w:val="008B439E"/>
    <w:pPr>
      <w:keepNext w:val="0"/>
      <w:keepLines w:val="0"/>
      <w:ind w:left="1701"/>
    </w:pPr>
    <w:rPr>
      <w:b w:val="0"/>
      <w:bCs w:val="0"/>
    </w:rPr>
  </w:style>
  <w:style w:type="paragraph" w:customStyle="1" w:styleId="endnotespacer">
    <w:name w:val="endnote spacer"/>
    <w:basedOn w:val="Normal"/>
    <w:qFormat/>
    <w:rsid w:val="008B439E"/>
    <w:pPr>
      <w:spacing w:after="0" w:line="240" w:lineRule="auto"/>
    </w:pPr>
    <w:rPr>
      <w:sz w:val="2"/>
      <w:szCs w:val="2"/>
    </w:rPr>
  </w:style>
  <w:style w:type="paragraph" w:customStyle="1" w:styleId="H3-Heading3inbox">
    <w:name w:val="H3 - Heading 3 in box"/>
    <w:basedOn w:val="H3-Heading3"/>
    <w:qFormat/>
    <w:rsid w:val="008B439E"/>
    <w:pPr>
      <w:pBdr>
        <w:top w:val="single" w:sz="4" w:space="1" w:color="auto"/>
        <w:left w:val="single" w:sz="4" w:space="1" w:color="auto"/>
        <w:bottom w:val="single" w:sz="4" w:space="1" w:color="auto"/>
        <w:right w:val="single" w:sz="4" w:space="1" w:color="auto"/>
      </w:pBdr>
    </w:pPr>
  </w:style>
  <w:style w:type="paragraph" w:customStyle="1" w:styleId="Normalinbox">
    <w:name w:val="Normal in box"/>
    <w:basedOn w:val="Normal"/>
    <w:qFormat/>
    <w:rsid w:val="008B439E"/>
    <w:pPr>
      <w:pBdr>
        <w:top w:val="single" w:sz="4" w:space="1" w:color="auto"/>
        <w:left w:val="single" w:sz="4" w:space="1" w:color="auto"/>
        <w:bottom w:val="single" w:sz="4" w:space="1" w:color="auto"/>
        <w:right w:val="single" w:sz="4" w:space="1" w:color="auto"/>
      </w:pBdr>
    </w:pPr>
  </w:style>
  <w:style w:type="paragraph" w:customStyle="1" w:styleId="Coverphotocreditshead">
    <w:name w:val="Cover photo credits head"/>
    <w:basedOn w:val="H2-Heading2"/>
    <w:qFormat/>
    <w:rsid w:val="008B439E"/>
    <w:pPr>
      <w:pageBreakBefore w:val="0"/>
    </w:pPr>
    <w:rPr>
      <w:lang w:eastAsia="en-AU"/>
    </w:rPr>
  </w:style>
  <w:style w:type="paragraph" w:customStyle="1" w:styleId="blockquote">
    <w:name w:val="block quote"/>
    <w:basedOn w:val="Normal"/>
    <w:qFormat/>
    <w:rsid w:val="008B439E"/>
    <w:pPr>
      <w:ind w:left="720" w:right="720"/>
    </w:pPr>
    <w:rPr>
      <w:lang w:eastAsia="en-AU"/>
    </w:rPr>
  </w:style>
  <w:style w:type="character" w:customStyle="1" w:styleId="tablehyperlink">
    <w:name w:val="table hyperlink"/>
    <w:basedOn w:val="DefaultParagraphFont"/>
    <w:uiPriority w:val="1"/>
    <w:qFormat/>
    <w:rsid w:val="008B439E"/>
    <w:rPr>
      <w:color w:val="auto"/>
      <w:u w:val="single"/>
      <w:vertAlign w:val="superscript"/>
    </w:rPr>
  </w:style>
  <w:style w:type="paragraph" w:customStyle="1" w:styleId="Table1colheads">
    <w:name w:val="Table 1 col heads"/>
    <w:qFormat/>
    <w:rsid w:val="008B439E"/>
    <w:pPr>
      <w:spacing w:before="120" w:after="40"/>
    </w:pPr>
    <w:rPr>
      <w:rFonts w:ascii="Calibri Light" w:hAnsi="Calibri Light" w:cs="Calibri Light"/>
      <w:bCs/>
      <w:color w:val="000000" w:themeColor="text1"/>
      <w:szCs w:val="21"/>
      <w:lang w:eastAsia="en-US"/>
    </w:rPr>
  </w:style>
  <w:style w:type="table" w:customStyle="1" w:styleId="DPPtable1">
    <w:name w:val="DPP table 1"/>
    <w:basedOn w:val="TableNormal"/>
    <w:uiPriority w:val="99"/>
    <w:rsid w:val="008B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FFFFFF" w:themeColor="background1"/>
      </w:rPr>
      <w:tblPr/>
      <w:tcPr>
        <w:shd w:val="clear" w:color="auto" w:fill="3A586E"/>
      </w:tcPr>
    </w:tblStylePr>
  </w:style>
  <w:style w:type="character" w:customStyle="1" w:styleId="scxw113916695">
    <w:name w:val="scxw113916695"/>
    <w:basedOn w:val="DefaultParagraphFont"/>
    <w:rsid w:val="008B603C"/>
  </w:style>
  <w:style w:type="character" w:styleId="Strong">
    <w:name w:val="Strong"/>
    <w:basedOn w:val="DefaultParagraphFont"/>
    <w:uiPriority w:val="22"/>
    <w:qFormat/>
    <w:rsid w:val="00BF2C8F"/>
    <w:rPr>
      <w:b/>
      <w:bCs/>
    </w:rPr>
  </w:style>
  <w:style w:type="character" w:customStyle="1" w:styleId="scxw14497083">
    <w:name w:val="scxw14497083"/>
    <w:basedOn w:val="DefaultParagraphFont"/>
    <w:rsid w:val="0074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0571">
      <w:bodyDiv w:val="1"/>
      <w:marLeft w:val="0"/>
      <w:marRight w:val="0"/>
      <w:marTop w:val="0"/>
      <w:marBottom w:val="0"/>
      <w:divBdr>
        <w:top w:val="none" w:sz="0" w:space="0" w:color="auto"/>
        <w:left w:val="none" w:sz="0" w:space="0" w:color="auto"/>
        <w:bottom w:val="none" w:sz="0" w:space="0" w:color="auto"/>
        <w:right w:val="none" w:sz="0" w:space="0" w:color="auto"/>
      </w:divBdr>
    </w:div>
    <w:div w:id="368383406">
      <w:bodyDiv w:val="1"/>
      <w:marLeft w:val="0"/>
      <w:marRight w:val="0"/>
      <w:marTop w:val="0"/>
      <w:marBottom w:val="0"/>
      <w:divBdr>
        <w:top w:val="none" w:sz="0" w:space="0" w:color="auto"/>
        <w:left w:val="none" w:sz="0" w:space="0" w:color="auto"/>
        <w:bottom w:val="none" w:sz="0" w:space="0" w:color="auto"/>
        <w:right w:val="none" w:sz="0" w:space="0" w:color="auto"/>
      </w:divBdr>
    </w:div>
    <w:div w:id="641934577">
      <w:bodyDiv w:val="1"/>
      <w:marLeft w:val="0"/>
      <w:marRight w:val="0"/>
      <w:marTop w:val="0"/>
      <w:marBottom w:val="0"/>
      <w:divBdr>
        <w:top w:val="none" w:sz="0" w:space="0" w:color="auto"/>
        <w:left w:val="none" w:sz="0" w:space="0" w:color="auto"/>
        <w:bottom w:val="none" w:sz="0" w:space="0" w:color="auto"/>
        <w:right w:val="none" w:sz="0" w:space="0" w:color="auto"/>
      </w:divBdr>
    </w:div>
    <w:div w:id="642123566">
      <w:bodyDiv w:val="1"/>
      <w:marLeft w:val="0"/>
      <w:marRight w:val="0"/>
      <w:marTop w:val="0"/>
      <w:marBottom w:val="0"/>
      <w:divBdr>
        <w:top w:val="none" w:sz="0" w:space="0" w:color="auto"/>
        <w:left w:val="none" w:sz="0" w:space="0" w:color="auto"/>
        <w:bottom w:val="none" w:sz="0" w:space="0" w:color="auto"/>
        <w:right w:val="none" w:sz="0" w:space="0" w:color="auto"/>
      </w:divBdr>
      <w:divsChild>
        <w:div w:id="37823783">
          <w:marLeft w:val="0"/>
          <w:marRight w:val="0"/>
          <w:marTop w:val="0"/>
          <w:marBottom w:val="0"/>
          <w:divBdr>
            <w:top w:val="none" w:sz="0" w:space="0" w:color="auto"/>
            <w:left w:val="none" w:sz="0" w:space="0" w:color="auto"/>
            <w:bottom w:val="none" w:sz="0" w:space="0" w:color="auto"/>
            <w:right w:val="none" w:sz="0" w:space="0" w:color="auto"/>
          </w:divBdr>
        </w:div>
        <w:div w:id="903639709">
          <w:marLeft w:val="0"/>
          <w:marRight w:val="0"/>
          <w:marTop w:val="0"/>
          <w:marBottom w:val="0"/>
          <w:divBdr>
            <w:top w:val="none" w:sz="0" w:space="0" w:color="auto"/>
            <w:left w:val="none" w:sz="0" w:space="0" w:color="auto"/>
            <w:bottom w:val="none" w:sz="0" w:space="0" w:color="auto"/>
            <w:right w:val="none" w:sz="0" w:space="0" w:color="auto"/>
          </w:divBdr>
        </w:div>
        <w:div w:id="1749380040">
          <w:marLeft w:val="0"/>
          <w:marRight w:val="0"/>
          <w:marTop w:val="0"/>
          <w:marBottom w:val="0"/>
          <w:divBdr>
            <w:top w:val="none" w:sz="0" w:space="0" w:color="auto"/>
            <w:left w:val="none" w:sz="0" w:space="0" w:color="auto"/>
            <w:bottom w:val="none" w:sz="0" w:space="0" w:color="auto"/>
            <w:right w:val="none" w:sz="0" w:space="0" w:color="auto"/>
          </w:divBdr>
        </w:div>
        <w:div w:id="2076390358">
          <w:marLeft w:val="0"/>
          <w:marRight w:val="0"/>
          <w:marTop w:val="0"/>
          <w:marBottom w:val="0"/>
          <w:divBdr>
            <w:top w:val="none" w:sz="0" w:space="0" w:color="auto"/>
            <w:left w:val="none" w:sz="0" w:space="0" w:color="auto"/>
            <w:bottom w:val="none" w:sz="0" w:space="0" w:color="auto"/>
            <w:right w:val="none" w:sz="0" w:space="0" w:color="auto"/>
          </w:divBdr>
        </w:div>
      </w:divsChild>
    </w:div>
    <w:div w:id="696656924">
      <w:bodyDiv w:val="1"/>
      <w:marLeft w:val="0"/>
      <w:marRight w:val="0"/>
      <w:marTop w:val="0"/>
      <w:marBottom w:val="0"/>
      <w:divBdr>
        <w:top w:val="none" w:sz="0" w:space="0" w:color="auto"/>
        <w:left w:val="none" w:sz="0" w:space="0" w:color="auto"/>
        <w:bottom w:val="none" w:sz="0" w:space="0" w:color="auto"/>
        <w:right w:val="none" w:sz="0" w:space="0" w:color="auto"/>
      </w:divBdr>
    </w:div>
    <w:div w:id="715743504">
      <w:bodyDiv w:val="1"/>
      <w:marLeft w:val="0"/>
      <w:marRight w:val="0"/>
      <w:marTop w:val="0"/>
      <w:marBottom w:val="0"/>
      <w:divBdr>
        <w:top w:val="none" w:sz="0" w:space="0" w:color="auto"/>
        <w:left w:val="none" w:sz="0" w:space="0" w:color="auto"/>
        <w:bottom w:val="none" w:sz="0" w:space="0" w:color="auto"/>
        <w:right w:val="none" w:sz="0" w:space="0" w:color="auto"/>
      </w:divBdr>
      <w:divsChild>
        <w:div w:id="380980644">
          <w:marLeft w:val="0"/>
          <w:marRight w:val="0"/>
          <w:marTop w:val="0"/>
          <w:marBottom w:val="0"/>
          <w:divBdr>
            <w:top w:val="none" w:sz="0" w:space="0" w:color="auto"/>
            <w:left w:val="none" w:sz="0" w:space="0" w:color="auto"/>
            <w:bottom w:val="none" w:sz="0" w:space="0" w:color="auto"/>
            <w:right w:val="none" w:sz="0" w:space="0" w:color="auto"/>
          </w:divBdr>
        </w:div>
        <w:div w:id="1434670550">
          <w:marLeft w:val="0"/>
          <w:marRight w:val="0"/>
          <w:marTop w:val="0"/>
          <w:marBottom w:val="0"/>
          <w:divBdr>
            <w:top w:val="none" w:sz="0" w:space="0" w:color="auto"/>
            <w:left w:val="none" w:sz="0" w:space="0" w:color="auto"/>
            <w:bottom w:val="none" w:sz="0" w:space="0" w:color="auto"/>
            <w:right w:val="none" w:sz="0" w:space="0" w:color="auto"/>
          </w:divBdr>
        </w:div>
      </w:divsChild>
    </w:div>
    <w:div w:id="752047166">
      <w:bodyDiv w:val="1"/>
      <w:marLeft w:val="0"/>
      <w:marRight w:val="0"/>
      <w:marTop w:val="0"/>
      <w:marBottom w:val="0"/>
      <w:divBdr>
        <w:top w:val="none" w:sz="0" w:space="0" w:color="auto"/>
        <w:left w:val="none" w:sz="0" w:space="0" w:color="auto"/>
        <w:bottom w:val="none" w:sz="0" w:space="0" w:color="auto"/>
        <w:right w:val="none" w:sz="0" w:space="0" w:color="auto"/>
      </w:divBdr>
    </w:div>
    <w:div w:id="815225548">
      <w:bodyDiv w:val="1"/>
      <w:marLeft w:val="0"/>
      <w:marRight w:val="0"/>
      <w:marTop w:val="0"/>
      <w:marBottom w:val="0"/>
      <w:divBdr>
        <w:top w:val="none" w:sz="0" w:space="0" w:color="auto"/>
        <w:left w:val="none" w:sz="0" w:space="0" w:color="auto"/>
        <w:bottom w:val="none" w:sz="0" w:space="0" w:color="auto"/>
        <w:right w:val="none" w:sz="0" w:space="0" w:color="auto"/>
      </w:divBdr>
    </w:div>
    <w:div w:id="865095317">
      <w:bodyDiv w:val="1"/>
      <w:marLeft w:val="0"/>
      <w:marRight w:val="0"/>
      <w:marTop w:val="0"/>
      <w:marBottom w:val="0"/>
      <w:divBdr>
        <w:top w:val="none" w:sz="0" w:space="0" w:color="auto"/>
        <w:left w:val="none" w:sz="0" w:space="0" w:color="auto"/>
        <w:bottom w:val="none" w:sz="0" w:space="0" w:color="auto"/>
        <w:right w:val="none" w:sz="0" w:space="0" w:color="auto"/>
      </w:divBdr>
    </w:div>
    <w:div w:id="897206044">
      <w:bodyDiv w:val="1"/>
      <w:marLeft w:val="0"/>
      <w:marRight w:val="0"/>
      <w:marTop w:val="0"/>
      <w:marBottom w:val="0"/>
      <w:divBdr>
        <w:top w:val="none" w:sz="0" w:space="0" w:color="auto"/>
        <w:left w:val="none" w:sz="0" w:space="0" w:color="auto"/>
        <w:bottom w:val="none" w:sz="0" w:space="0" w:color="auto"/>
        <w:right w:val="none" w:sz="0" w:space="0" w:color="auto"/>
      </w:divBdr>
    </w:div>
    <w:div w:id="966551576">
      <w:bodyDiv w:val="1"/>
      <w:marLeft w:val="0"/>
      <w:marRight w:val="0"/>
      <w:marTop w:val="0"/>
      <w:marBottom w:val="0"/>
      <w:divBdr>
        <w:top w:val="none" w:sz="0" w:space="0" w:color="auto"/>
        <w:left w:val="none" w:sz="0" w:space="0" w:color="auto"/>
        <w:bottom w:val="none" w:sz="0" w:space="0" w:color="auto"/>
        <w:right w:val="none" w:sz="0" w:space="0" w:color="auto"/>
      </w:divBdr>
    </w:div>
    <w:div w:id="973754361">
      <w:bodyDiv w:val="1"/>
      <w:marLeft w:val="0"/>
      <w:marRight w:val="0"/>
      <w:marTop w:val="0"/>
      <w:marBottom w:val="0"/>
      <w:divBdr>
        <w:top w:val="none" w:sz="0" w:space="0" w:color="auto"/>
        <w:left w:val="none" w:sz="0" w:space="0" w:color="auto"/>
        <w:bottom w:val="none" w:sz="0" w:space="0" w:color="auto"/>
        <w:right w:val="none" w:sz="0" w:space="0" w:color="auto"/>
      </w:divBdr>
    </w:div>
    <w:div w:id="1028605579">
      <w:bodyDiv w:val="1"/>
      <w:marLeft w:val="0"/>
      <w:marRight w:val="0"/>
      <w:marTop w:val="0"/>
      <w:marBottom w:val="0"/>
      <w:divBdr>
        <w:top w:val="none" w:sz="0" w:space="0" w:color="auto"/>
        <w:left w:val="none" w:sz="0" w:space="0" w:color="auto"/>
        <w:bottom w:val="none" w:sz="0" w:space="0" w:color="auto"/>
        <w:right w:val="none" w:sz="0" w:space="0" w:color="auto"/>
      </w:divBdr>
    </w:div>
    <w:div w:id="1058892384">
      <w:bodyDiv w:val="1"/>
      <w:marLeft w:val="0"/>
      <w:marRight w:val="0"/>
      <w:marTop w:val="0"/>
      <w:marBottom w:val="0"/>
      <w:divBdr>
        <w:top w:val="none" w:sz="0" w:space="0" w:color="auto"/>
        <w:left w:val="none" w:sz="0" w:space="0" w:color="auto"/>
        <w:bottom w:val="none" w:sz="0" w:space="0" w:color="auto"/>
        <w:right w:val="none" w:sz="0" w:space="0" w:color="auto"/>
      </w:divBdr>
    </w:div>
    <w:div w:id="1114715904">
      <w:bodyDiv w:val="1"/>
      <w:marLeft w:val="0"/>
      <w:marRight w:val="0"/>
      <w:marTop w:val="0"/>
      <w:marBottom w:val="0"/>
      <w:divBdr>
        <w:top w:val="none" w:sz="0" w:space="0" w:color="auto"/>
        <w:left w:val="none" w:sz="0" w:space="0" w:color="auto"/>
        <w:bottom w:val="none" w:sz="0" w:space="0" w:color="auto"/>
        <w:right w:val="none" w:sz="0" w:space="0" w:color="auto"/>
      </w:divBdr>
      <w:divsChild>
        <w:div w:id="189346851">
          <w:marLeft w:val="0"/>
          <w:marRight w:val="0"/>
          <w:marTop w:val="0"/>
          <w:marBottom w:val="0"/>
          <w:divBdr>
            <w:top w:val="none" w:sz="0" w:space="0" w:color="auto"/>
            <w:left w:val="none" w:sz="0" w:space="0" w:color="auto"/>
            <w:bottom w:val="none" w:sz="0" w:space="0" w:color="auto"/>
            <w:right w:val="none" w:sz="0" w:space="0" w:color="auto"/>
          </w:divBdr>
        </w:div>
        <w:div w:id="1064720111">
          <w:marLeft w:val="0"/>
          <w:marRight w:val="0"/>
          <w:marTop w:val="0"/>
          <w:marBottom w:val="0"/>
          <w:divBdr>
            <w:top w:val="none" w:sz="0" w:space="0" w:color="auto"/>
            <w:left w:val="none" w:sz="0" w:space="0" w:color="auto"/>
            <w:bottom w:val="none" w:sz="0" w:space="0" w:color="auto"/>
            <w:right w:val="none" w:sz="0" w:space="0" w:color="auto"/>
          </w:divBdr>
        </w:div>
        <w:div w:id="1149052170">
          <w:marLeft w:val="0"/>
          <w:marRight w:val="0"/>
          <w:marTop w:val="0"/>
          <w:marBottom w:val="0"/>
          <w:divBdr>
            <w:top w:val="none" w:sz="0" w:space="0" w:color="auto"/>
            <w:left w:val="none" w:sz="0" w:space="0" w:color="auto"/>
            <w:bottom w:val="none" w:sz="0" w:space="0" w:color="auto"/>
            <w:right w:val="none" w:sz="0" w:space="0" w:color="auto"/>
          </w:divBdr>
        </w:div>
      </w:divsChild>
    </w:div>
    <w:div w:id="1409576331">
      <w:bodyDiv w:val="1"/>
      <w:marLeft w:val="0"/>
      <w:marRight w:val="0"/>
      <w:marTop w:val="0"/>
      <w:marBottom w:val="0"/>
      <w:divBdr>
        <w:top w:val="none" w:sz="0" w:space="0" w:color="auto"/>
        <w:left w:val="none" w:sz="0" w:space="0" w:color="auto"/>
        <w:bottom w:val="none" w:sz="0" w:space="0" w:color="auto"/>
        <w:right w:val="none" w:sz="0" w:space="0" w:color="auto"/>
      </w:divBdr>
    </w:div>
    <w:div w:id="1503353414">
      <w:bodyDiv w:val="1"/>
      <w:marLeft w:val="0"/>
      <w:marRight w:val="0"/>
      <w:marTop w:val="0"/>
      <w:marBottom w:val="0"/>
      <w:divBdr>
        <w:top w:val="none" w:sz="0" w:space="0" w:color="auto"/>
        <w:left w:val="none" w:sz="0" w:space="0" w:color="auto"/>
        <w:bottom w:val="none" w:sz="0" w:space="0" w:color="auto"/>
        <w:right w:val="none" w:sz="0" w:space="0" w:color="auto"/>
      </w:divBdr>
      <w:divsChild>
        <w:div w:id="1019546963">
          <w:marLeft w:val="0"/>
          <w:marRight w:val="0"/>
          <w:marTop w:val="0"/>
          <w:marBottom w:val="0"/>
          <w:divBdr>
            <w:top w:val="none" w:sz="0" w:space="0" w:color="auto"/>
            <w:left w:val="none" w:sz="0" w:space="0" w:color="auto"/>
            <w:bottom w:val="none" w:sz="0" w:space="0" w:color="auto"/>
            <w:right w:val="none" w:sz="0" w:space="0" w:color="auto"/>
          </w:divBdr>
        </w:div>
        <w:div w:id="1207840080">
          <w:marLeft w:val="0"/>
          <w:marRight w:val="0"/>
          <w:marTop w:val="0"/>
          <w:marBottom w:val="0"/>
          <w:divBdr>
            <w:top w:val="none" w:sz="0" w:space="0" w:color="auto"/>
            <w:left w:val="none" w:sz="0" w:space="0" w:color="auto"/>
            <w:bottom w:val="none" w:sz="0" w:space="0" w:color="auto"/>
            <w:right w:val="none" w:sz="0" w:space="0" w:color="auto"/>
          </w:divBdr>
        </w:div>
        <w:div w:id="2089693753">
          <w:marLeft w:val="0"/>
          <w:marRight w:val="0"/>
          <w:marTop w:val="0"/>
          <w:marBottom w:val="0"/>
          <w:divBdr>
            <w:top w:val="none" w:sz="0" w:space="0" w:color="auto"/>
            <w:left w:val="none" w:sz="0" w:space="0" w:color="auto"/>
            <w:bottom w:val="none" w:sz="0" w:space="0" w:color="auto"/>
            <w:right w:val="none" w:sz="0" w:space="0" w:color="auto"/>
          </w:divBdr>
        </w:div>
      </w:divsChild>
    </w:div>
    <w:div w:id="1609506927">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sChild>
        <w:div w:id="551771052">
          <w:marLeft w:val="0"/>
          <w:marRight w:val="0"/>
          <w:marTop w:val="0"/>
          <w:marBottom w:val="0"/>
          <w:divBdr>
            <w:top w:val="none" w:sz="0" w:space="0" w:color="auto"/>
            <w:left w:val="none" w:sz="0" w:space="0" w:color="auto"/>
            <w:bottom w:val="none" w:sz="0" w:space="0" w:color="auto"/>
            <w:right w:val="none" w:sz="0" w:space="0" w:color="auto"/>
          </w:divBdr>
        </w:div>
        <w:div w:id="578757307">
          <w:marLeft w:val="0"/>
          <w:marRight w:val="0"/>
          <w:marTop w:val="0"/>
          <w:marBottom w:val="0"/>
          <w:divBdr>
            <w:top w:val="none" w:sz="0" w:space="0" w:color="auto"/>
            <w:left w:val="none" w:sz="0" w:space="0" w:color="auto"/>
            <w:bottom w:val="none" w:sz="0" w:space="0" w:color="auto"/>
            <w:right w:val="none" w:sz="0" w:space="0" w:color="auto"/>
          </w:divBdr>
        </w:div>
        <w:div w:id="684408695">
          <w:marLeft w:val="0"/>
          <w:marRight w:val="0"/>
          <w:marTop w:val="0"/>
          <w:marBottom w:val="0"/>
          <w:divBdr>
            <w:top w:val="none" w:sz="0" w:space="0" w:color="auto"/>
            <w:left w:val="none" w:sz="0" w:space="0" w:color="auto"/>
            <w:bottom w:val="none" w:sz="0" w:space="0" w:color="auto"/>
            <w:right w:val="none" w:sz="0" w:space="0" w:color="auto"/>
          </w:divBdr>
        </w:div>
        <w:div w:id="1177693842">
          <w:marLeft w:val="0"/>
          <w:marRight w:val="0"/>
          <w:marTop w:val="0"/>
          <w:marBottom w:val="0"/>
          <w:divBdr>
            <w:top w:val="none" w:sz="0" w:space="0" w:color="auto"/>
            <w:left w:val="none" w:sz="0" w:space="0" w:color="auto"/>
            <w:bottom w:val="none" w:sz="0" w:space="0" w:color="auto"/>
            <w:right w:val="none" w:sz="0" w:space="0" w:color="auto"/>
          </w:divBdr>
        </w:div>
        <w:div w:id="1890873299">
          <w:marLeft w:val="0"/>
          <w:marRight w:val="0"/>
          <w:marTop w:val="0"/>
          <w:marBottom w:val="0"/>
          <w:divBdr>
            <w:top w:val="none" w:sz="0" w:space="0" w:color="auto"/>
            <w:left w:val="none" w:sz="0" w:space="0" w:color="auto"/>
            <w:bottom w:val="none" w:sz="0" w:space="0" w:color="auto"/>
            <w:right w:val="none" w:sz="0" w:space="0" w:color="auto"/>
          </w:divBdr>
        </w:div>
      </w:divsChild>
    </w:div>
    <w:div w:id="1722317619">
      <w:bodyDiv w:val="1"/>
      <w:marLeft w:val="0"/>
      <w:marRight w:val="0"/>
      <w:marTop w:val="0"/>
      <w:marBottom w:val="0"/>
      <w:divBdr>
        <w:top w:val="none" w:sz="0" w:space="0" w:color="auto"/>
        <w:left w:val="none" w:sz="0" w:space="0" w:color="auto"/>
        <w:bottom w:val="none" w:sz="0" w:space="0" w:color="auto"/>
        <w:right w:val="none" w:sz="0" w:space="0" w:color="auto"/>
      </w:divBdr>
    </w:div>
    <w:div w:id="1787432194">
      <w:bodyDiv w:val="1"/>
      <w:marLeft w:val="0"/>
      <w:marRight w:val="0"/>
      <w:marTop w:val="0"/>
      <w:marBottom w:val="0"/>
      <w:divBdr>
        <w:top w:val="none" w:sz="0" w:space="0" w:color="auto"/>
        <w:left w:val="none" w:sz="0" w:space="0" w:color="auto"/>
        <w:bottom w:val="none" w:sz="0" w:space="0" w:color="auto"/>
        <w:right w:val="none" w:sz="0" w:space="0" w:color="auto"/>
      </w:divBdr>
      <w:divsChild>
        <w:div w:id="1056203479">
          <w:marLeft w:val="0"/>
          <w:marRight w:val="0"/>
          <w:marTop w:val="0"/>
          <w:marBottom w:val="0"/>
          <w:divBdr>
            <w:top w:val="none" w:sz="0" w:space="0" w:color="auto"/>
            <w:left w:val="none" w:sz="0" w:space="0" w:color="auto"/>
            <w:bottom w:val="none" w:sz="0" w:space="0" w:color="auto"/>
            <w:right w:val="none" w:sz="0" w:space="0" w:color="auto"/>
          </w:divBdr>
        </w:div>
        <w:div w:id="1423256885">
          <w:marLeft w:val="0"/>
          <w:marRight w:val="0"/>
          <w:marTop w:val="0"/>
          <w:marBottom w:val="0"/>
          <w:divBdr>
            <w:top w:val="none" w:sz="0" w:space="0" w:color="auto"/>
            <w:left w:val="none" w:sz="0" w:space="0" w:color="auto"/>
            <w:bottom w:val="none" w:sz="0" w:space="0" w:color="auto"/>
            <w:right w:val="none" w:sz="0" w:space="0" w:color="auto"/>
          </w:divBdr>
        </w:div>
        <w:div w:id="2043941191">
          <w:marLeft w:val="0"/>
          <w:marRight w:val="0"/>
          <w:marTop w:val="0"/>
          <w:marBottom w:val="0"/>
          <w:divBdr>
            <w:top w:val="none" w:sz="0" w:space="0" w:color="auto"/>
            <w:left w:val="none" w:sz="0" w:space="0" w:color="auto"/>
            <w:bottom w:val="none" w:sz="0" w:space="0" w:color="auto"/>
            <w:right w:val="none" w:sz="0" w:space="0" w:color="auto"/>
          </w:divBdr>
        </w:div>
      </w:divsChild>
    </w:div>
    <w:div w:id="1806579944">
      <w:bodyDiv w:val="1"/>
      <w:marLeft w:val="0"/>
      <w:marRight w:val="0"/>
      <w:marTop w:val="0"/>
      <w:marBottom w:val="0"/>
      <w:divBdr>
        <w:top w:val="none" w:sz="0" w:space="0" w:color="auto"/>
        <w:left w:val="none" w:sz="0" w:space="0" w:color="auto"/>
        <w:bottom w:val="none" w:sz="0" w:space="0" w:color="auto"/>
        <w:right w:val="none" w:sz="0" w:space="0" w:color="auto"/>
      </w:divBdr>
    </w:div>
    <w:div w:id="1808012852">
      <w:bodyDiv w:val="1"/>
      <w:marLeft w:val="0"/>
      <w:marRight w:val="0"/>
      <w:marTop w:val="0"/>
      <w:marBottom w:val="0"/>
      <w:divBdr>
        <w:top w:val="none" w:sz="0" w:space="0" w:color="auto"/>
        <w:left w:val="none" w:sz="0" w:space="0" w:color="auto"/>
        <w:bottom w:val="none" w:sz="0" w:space="0" w:color="auto"/>
        <w:right w:val="none" w:sz="0" w:space="0" w:color="auto"/>
      </w:divBdr>
    </w:div>
    <w:div w:id="1854958396">
      <w:bodyDiv w:val="1"/>
      <w:marLeft w:val="0"/>
      <w:marRight w:val="0"/>
      <w:marTop w:val="0"/>
      <w:marBottom w:val="0"/>
      <w:divBdr>
        <w:top w:val="none" w:sz="0" w:space="0" w:color="auto"/>
        <w:left w:val="none" w:sz="0" w:space="0" w:color="auto"/>
        <w:bottom w:val="none" w:sz="0" w:space="0" w:color="auto"/>
        <w:right w:val="none" w:sz="0" w:space="0" w:color="auto"/>
      </w:divBdr>
    </w:div>
    <w:div w:id="1903833779">
      <w:bodyDiv w:val="1"/>
      <w:marLeft w:val="0"/>
      <w:marRight w:val="0"/>
      <w:marTop w:val="0"/>
      <w:marBottom w:val="0"/>
      <w:divBdr>
        <w:top w:val="none" w:sz="0" w:space="0" w:color="auto"/>
        <w:left w:val="none" w:sz="0" w:space="0" w:color="auto"/>
        <w:bottom w:val="none" w:sz="0" w:space="0" w:color="auto"/>
        <w:right w:val="none" w:sz="0" w:space="0" w:color="auto"/>
      </w:divBdr>
    </w:div>
    <w:div w:id="1945645549">
      <w:bodyDiv w:val="1"/>
      <w:marLeft w:val="0"/>
      <w:marRight w:val="0"/>
      <w:marTop w:val="0"/>
      <w:marBottom w:val="0"/>
      <w:divBdr>
        <w:top w:val="none" w:sz="0" w:space="0" w:color="auto"/>
        <w:left w:val="none" w:sz="0" w:space="0" w:color="auto"/>
        <w:bottom w:val="none" w:sz="0" w:space="0" w:color="auto"/>
        <w:right w:val="none" w:sz="0" w:space="0" w:color="auto"/>
      </w:divBdr>
    </w:div>
    <w:div w:id="1987853798">
      <w:bodyDiv w:val="1"/>
      <w:marLeft w:val="0"/>
      <w:marRight w:val="0"/>
      <w:marTop w:val="0"/>
      <w:marBottom w:val="0"/>
      <w:divBdr>
        <w:top w:val="none" w:sz="0" w:space="0" w:color="auto"/>
        <w:left w:val="none" w:sz="0" w:space="0" w:color="auto"/>
        <w:bottom w:val="none" w:sz="0" w:space="0" w:color="auto"/>
        <w:right w:val="none" w:sz="0" w:space="0" w:color="auto"/>
      </w:divBdr>
    </w:div>
    <w:div w:id="20809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dfat.gov.au/publications/development/australias-international-development-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pacificdata.org/data/dataset?member_countries=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FAT">
      <a:dk1>
        <a:sysClr val="windowText" lastClr="000000"/>
      </a:dk1>
      <a:lt1>
        <a:sysClr val="window" lastClr="FFFFFF"/>
      </a:lt1>
      <a:dk2>
        <a:srgbClr val="313E48"/>
      </a:dk2>
      <a:lt2>
        <a:srgbClr val="CFD3D3"/>
      </a:lt2>
      <a:accent1>
        <a:srgbClr val="3A586E"/>
      </a:accent1>
      <a:accent2>
        <a:srgbClr val="00837C"/>
      </a:accent2>
      <a:accent3>
        <a:srgbClr val="47763B"/>
      </a:accent3>
      <a:accent4>
        <a:srgbClr val="EBAB21"/>
      </a:accent4>
      <a:accent5>
        <a:srgbClr val="AA5739"/>
      </a:accent5>
      <a:accent6>
        <a:srgbClr val="065157"/>
      </a:accent6>
      <a:hlink>
        <a:srgbClr val="014429"/>
      </a:hlink>
      <a:folHlink>
        <a:srgbClr val="3F0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12580</Words>
  <Characters>78783</Characters>
  <Application>Microsoft Office Word</Application>
  <DocSecurity>0</DocSecurity>
  <Lines>2003</Lines>
  <Paragraphs>761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Solomon Islands Development Partnership Plan 2024–2029</dc:title>
  <dc:subject/>
  <dc:creator/>
  <cp:keywords>[SEC=OFFICIAL]</cp:keywords>
  <dc:description/>
  <cp:lastModifiedBy/>
  <cp:revision>1</cp:revision>
  <dcterms:created xsi:type="dcterms:W3CDTF">2025-06-19T03:59:00Z</dcterms:created>
  <dcterms:modified xsi:type="dcterms:W3CDTF">2025-06-19T03:59:00Z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v=2022.1;a=SHA256;h=CDAAB23D7C75764EBB667D2C8EB3B05547DCCE97B302FDE083C2B4D241B8D294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2024-06-21T08:55:13Z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57C4CDB39F66493F916F061CA946A661</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F59775F3EF5AD86977E594DA178F2466</vt:lpwstr>
  </property>
  <property fmtid="{D5CDD505-2E9C-101B-9397-08002B2CF9AE}" pid="26" name="PM_Hash_Salt">
    <vt:lpwstr>C7A96FC949E4B535BEA761FC230E6FEF</vt:lpwstr>
  </property>
  <property fmtid="{D5CDD505-2E9C-101B-9397-08002B2CF9AE}" pid="27" name="PM_Hash_SHA1">
    <vt:lpwstr>CB4242915425C2FB78979B5B87018ECDAC6C5EF3</vt:lpwstr>
  </property>
  <property fmtid="{D5CDD505-2E9C-101B-9397-08002B2CF9AE}" pid="28" name="PM_Caveats_Count">
    <vt:lpwstr>0</vt:lpwstr>
  </property>
</Properties>
</file>