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6B1" w:rsidRPr="00636B5E" w:rsidRDefault="00AF1794" w:rsidP="002006B1">
      <w:pPr>
        <w:pStyle w:val="DotDashColon"/>
        <w:numPr>
          <w:ilvl w:val="0"/>
          <w:numId w:val="0"/>
        </w:numPr>
        <w:spacing w:after="120"/>
        <w:jc w:val="center"/>
        <w:rPr>
          <w:rFonts w:ascii="Times New Roman" w:hAnsi="Times New Roman"/>
          <w:b/>
        </w:rPr>
      </w:pPr>
      <w:bookmarkStart w:id="0" w:name="_GoBack"/>
      <w:bookmarkEnd w:id="0"/>
      <w:r w:rsidRPr="00636B5E">
        <w:rPr>
          <w:rFonts w:ascii="Times New Roman" w:hAnsi="Times New Roman"/>
          <w:b/>
        </w:rPr>
        <w:t>Solomon Islands-Australia</w:t>
      </w:r>
      <w:r w:rsidR="00516243" w:rsidRPr="00636B5E">
        <w:rPr>
          <w:rFonts w:ascii="Times New Roman" w:hAnsi="Times New Roman"/>
        </w:rPr>
        <w:t xml:space="preserve"> </w:t>
      </w:r>
      <w:r w:rsidR="002006B1" w:rsidRPr="00636B5E">
        <w:rPr>
          <w:rFonts w:ascii="Times New Roman" w:hAnsi="Times New Roman"/>
          <w:b/>
        </w:rPr>
        <w:t>Aid</w:t>
      </w:r>
      <w:r w:rsidR="000E6E33" w:rsidRPr="00636B5E">
        <w:rPr>
          <w:rFonts w:ascii="Times New Roman" w:hAnsi="Times New Roman"/>
          <w:b/>
        </w:rPr>
        <w:t xml:space="preserve"> Partnership Arrangement</w:t>
      </w:r>
    </w:p>
    <w:p w:rsidR="00FE6581" w:rsidRPr="00636B5E" w:rsidRDefault="00FE6581" w:rsidP="00FE6581">
      <w:pPr>
        <w:jc w:val="both"/>
        <w:rPr>
          <w:b/>
        </w:rPr>
      </w:pPr>
      <w:r w:rsidRPr="00636B5E">
        <w:t>__________________________________________________________________________</w:t>
      </w:r>
    </w:p>
    <w:p w:rsidR="00FE6581" w:rsidRPr="00636B5E" w:rsidRDefault="00FE6581" w:rsidP="00732638">
      <w:pPr>
        <w:pStyle w:val="ListParagraph"/>
        <w:numPr>
          <w:ilvl w:val="0"/>
          <w:numId w:val="3"/>
        </w:numPr>
        <w:spacing w:before="60" w:line="360" w:lineRule="auto"/>
        <w:ind w:left="426" w:hanging="426"/>
        <w:jc w:val="both"/>
        <w:rPr>
          <w:b/>
        </w:rPr>
      </w:pPr>
      <w:r w:rsidRPr="00636B5E">
        <w:rPr>
          <w:b/>
        </w:rPr>
        <w:t>The Arrangement</w:t>
      </w:r>
    </w:p>
    <w:p w:rsidR="00012F0D" w:rsidRPr="00636B5E" w:rsidRDefault="00FE6581" w:rsidP="00946946">
      <w:pPr>
        <w:pStyle w:val="DotDashColon"/>
        <w:numPr>
          <w:ilvl w:val="1"/>
          <w:numId w:val="2"/>
        </w:numPr>
        <w:tabs>
          <w:tab w:val="left" w:pos="1134"/>
        </w:tabs>
        <w:spacing w:after="120"/>
        <w:ind w:left="1134" w:hanging="709"/>
        <w:jc w:val="both"/>
        <w:rPr>
          <w:rFonts w:ascii="Times New Roman" w:hAnsi="Times New Roman"/>
          <w:i/>
        </w:rPr>
      </w:pPr>
      <w:r w:rsidRPr="00636B5E">
        <w:rPr>
          <w:rFonts w:ascii="Times New Roman" w:hAnsi="Times New Roman"/>
        </w:rPr>
        <w:t xml:space="preserve">This Arrangement </w:t>
      </w:r>
      <w:r w:rsidR="008D2AA7" w:rsidRPr="00636B5E">
        <w:rPr>
          <w:rFonts w:ascii="Times New Roman" w:hAnsi="Times New Roman"/>
        </w:rPr>
        <w:t>between</w:t>
      </w:r>
      <w:r w:rsidRPr="00636B5E">
        <w:rPr>
          <w:rFonts w:ascii="Times New Roman" w:hAnsi="Times New Roman"/>
        </w:rPr>
        <w:t xml:space="preserve"> the </w:t>
      </w:r>
      <w:r w:rsidRPr="00885312">
        <w:rPr>
          <w:rFonts w:ascii="Times New Roman" w:hAnsi="Times New Roman"/>
        </w:rPr>
        <w:t>G</w:t>
      </w:r>
      <w:r w:rsidR="008F2C61" w:rsidRPr="00885312">
        <w:rPr>
          <w:rFonts w:ascii="Times New Roman" w:hAnsi="Times New Roman"/>
        </w:rPr>
        <w:t>overnment of Australia</w:t>
      </w:r>
      <w:r w:rsidR="008F2C61" w:rsidRPr="00636B5E">
        <w:rPr>
          <w:rFonts w:ascii="Times New Roman" w:hAnsi="Times New Roman"/>
        </w:rPr>
        <w:t xml:space="preserve"> </w:t>
      </w:r>
      <w:r w:rsidR="00750D86">
        <w:rPr>
          <w:rFonts w:ascii="Times New Roman" w:hAnsi="Times New Roman"/>
        </w:rPr>
        <w:t xml:space="preserve">(“GOA”) </w:t>
      </w:r>
      <w:r w:rsidR="008F2C61" w:rsidRPr="00636B5E">
        <w:rPr>
          <w:rFonts w:ascii="Times New Roman" w:hAnsi="Times New Roman"/>
        </w:rPr>
        <w:t xml:space="preserve">and the </w:t>
      </w:r>
      <w:r w:rsidR="0027661E">
        <w:rPr>
          <w:rFonts w:ascii="Times New Roman" w:hAnsi="Times New Roman"/>
        </w:rPr>
        <w:t>Solomon Islands Government</w:t>
      </w:r>
      <w:r w:rsidR="00750D86">
        <w:rPr>
          <w:rFonts w:ascii="Times New Roman" w:hAnsi="Times New Roman"/>
        </w:rPr>
        <w:t xml:space="preserve"> (“</w:t>
      </w:r>
      <w:r w:rsidR="0027661E">
        <w:rPr>
          <w:rFonts w:ascii="Times New Roman" w:hAnsi="Times New Roman"/>
        </w:rPr>
        <w:t>SIG</w:t>
      </w:r>
      <w:r w:rsidR="00750D86">
        <w:rPr>
          <w:rFonts w:ascii="Times New Roman" w:hAnsi="Times New Roman"/>
        </w:rPr>
        <w:t>”)</w:t>
      </w:r>
      <w:r w:rsidR="003F252C" w:rsidRPr="00636B5E">
        <w:rPr>
          <w:rFonts w:ascii="Times New Roman" w:hAnsi="Times New Roman"/>
        </w:rPr>
        <w:t xml:space="preserve"> (</w:t>
      </w:r>
      <w:r w:rsidR="00750D86">
        <w:rPr>
          <w:rFonts w:ascii="Times New Roman" w:hAnsi="Times New Roman"/>
        </w:rPr>
        <w:t>“</w:t>
      </w:r>
      <w:r w:rsidRPr="00636B5E">
        <w:rPr>
          <w:rFonts w:ascii="Times New Roman" w:hAnsi="Times New Roman"/>
        </w:rPr>
        <w:t>the Partners</w:t>
      </w:r>
      <w:r w:rsidR="00750D86">
        <w:rPr>
          <w:rFonts w:ascii="Times New Roman" w:hAnsi="Times New Roman"/>
        </w:rPr>
        <w:t>”</w:t>
      </w:r>
      <w:r w:rsidRPr="00636B5E">
        <w:rPr>
          <w:rFonts w:ascii="Times New Roman" w:hAnsi="Times New Roman"/>
        </w:rPr>
        <w:t xml:space="preserve">) </w:t>
      </w:r>
      <w:r w:rsidR="008D2AA7" w:rsidRPr="00636B5E">
        <w:rPr>
          <w:rFonts w:ascii="Times New Roman" w:hAnsi="Times New Roman"/>
        </w:rPr>
        <w:t xml:space="preserve">establishes </w:t>
      </w:r>
      <w:r w:rsidR="00750D86">
        <w:rPr>
          <w:rFonts w:ascii="Times New Roman" w:hAnsi="Times New Roman"/>
        </w:rPr>
        <w:t>the Partners</w:t>
      </w:r>
      <w:r w:rsidR="00022EA7">
        <w:rPr>
          <w:rFonts w:ascii="Times New Roman" w:hAnsi="Times New Roman"/>
        </w:rPr>
        <w:t>’</w:t>
      </w:r>
      <w:r w:rsidR="008D2AA7" w:rsidRPr="00636B5E">
        <w:rPr>
          <w:rFonts w:ascii="Times New Roman" w:hAnsi="Times New Roman"/>
        </w:rPr>
        <w:t xml:space="preserve"> shared vision to ensure </w:t>
      </w:r>
      <w:r w:rsidRPr="00636B5E">
        <w:rPr>
          <w:rFonts w:ascii="Times New Roman" w:hAnsi="Times New Roman"/>
        </w:rPr>
        <w:t xml:space="preserve">development cooperation </w:t>
      </w:r>
      <w:r w:rsidR="008D2AA7" w:rsidRPr="00636B5E">
        <w:rPr>
          <w:rFonts w:ascii="Times New Roman" w:hAnsi="Times New Roman"/>
        </w:rPr>
        <w:t>contributes effectively and efficiently to sustained inclusive economic growth and to</w:t>
      </w:r>
      <w:r w:rsidR="00DB7C5A">
        <w:rPr>
          <w:rFonts w:ascii="Times New Roman" w:hAnsi="Times New Roman"/>
        </w:rPr>
        <w:t xml:space="preserve"> </w:t>
      </w:r>
      <w:r w:rsidR="00FA53E8" w:rsidRPr="00636B5E">
        <w:rPr>
          <w:rFonts w:ascii="Times New Roman" w:hAnsi="Times New Roman"/>
        </w:rPr>
        <w:t>poverty reduction</w:t>
      </w:r>
      <w:r w:rsidR="008D2AA7" w:rsidRPr="00636B5E">
        <w:rPr>
          <w:rFonts w:ascii="Times New Roman" w:hAnsi="Times New Roman"/>
        </w:rPr>
        <w:t xml:space="preserve"> </w:t>
      </w:r>
      <w:r w:rsidRPr="00636B5E">
        <w:rPr>
          <w:rFonts w:ascii="Times New Roman" w:hAnsi="Times New Roman"/>
        </w:rPr>
        <w:t xml:space="preserve">in </w:t>
      </w:r>
      <w:r w:rsidR="00711443" w:rsidRPr="00636B5E">
        <w:rPr>
          <w:rFonts w:ascii="Times New Roman" w:hAnsi="Times New Roman"/>
        </w:rPr>
        <w:t>Solomon Islands</w:t>
      </w:r>
      <w:r w:rsidRPr="00636B5E">
        <w:rPr>
          <w:rFonts w:ascii="Times New Roman" w:hAnsi="Times New Roman"/>
          <w:i/>
        </w:rPr>
        <w:t xml:space="preserve">. </w:t>
      </w:r>
    </w:p>
    <w:p w:rsidR="001647A7" w:rsidRPr="00636B5E" w:rsidRDefault="003F252C" w:rsidP="00801D8E">
      <w:pPr>
        <w:pStyle w:val="DotDashColon"/>
        <w:numPr>
          <w:ilvl w:val="1"/>
          <w:numId w:val="2"/>
        </w:numPr>
        <w:tabs>
          <w:tab w:val="left" w:pos="1134"/>
        </w:tabs>
        <w:spacing w:after="120"/>
        <w:ind w:left="1134" w:hanging="708"/>
        <w:rPr>
          <w:rFonts w:ascii="Times New Roman" w:hAnsi="Times New Roman"/>
        </w:rPr>
      </w:pPr>
      <w:r w:rsidRPr="00636B5E">
        <w:rPr>
          <w:rFonts w:ascii="Times New Roman" w:hAnsi="Times New Roman"/>
        </w:rPr>
        <w:t xml:space="preserve">This </w:t>
      </w:r>
      <w:r w:rsidR="00F31C84" w:rsidRPr="00636B5E">
        <w:rPr>
          <w:rFonts w:ascii="Times New Roman" w:hAnsi="Times New Roman"/>
        </w:rPr>
        <w:t xml:space="preserve">Arrangement </w:t>
      </w:r>
      <w:r w:rsidR="00750D86">
        <w:rPr>
          <w:rFonts w:ascii="Times New Roman" w:hAnsi="Times New Roman"/>
        </w:rPr>
        <w:t xml:space="preserve">builds on </w:t>
      </w:r>
      <w:r w:rsidR="00F03923">
        <w:rPr>
          <w:rFonts w:ascii="Times New Roman" w:hAnsi="Times New Roman"/>
        </w:rPr>
        <w:t xml:space="preserve">the </w:t>
      </w:r>
      <w:r w:rsidR="00F03923" w:rsidRPr="00F03923">
        <w:rPr>
          <w:rFonts w:ascii="Times New Roman" w:hAnsi="Times New Roman"/>
          <w:i/>
        </w:rPr>
        <w:t>Memorandum of Understanding on Development Co-Operation</w:t>
      </w:r>
      <w:r w:rsidR="00F03923">
        <w:rPr>
          <w:rFonts w:ascii="Times New Roman" w:hAnsi="Times New Roman"/>
        </w:rPr>
        <w:t xml:space="preserve"> signed by the Partners in April 1994,</w:t>
      </w:r>
      <w:r w:rsidR="00750D86">
        <w:rPr>
          <w:rFonts w:ascii="Times New Roman" w:hAnsi="Times New Roman"/>
        </w:rPr>
        <w:t xml:space="preserve"> </w:t>
      </w:r>
      <w:r w:rsidR="00801D8E" w:rsidRPr="00636B5E">
        <w:rPr>
          <w:rFonts w:ascii="Times New Roman" w:hAnsi="Times New Roman"/>
        </w:rPr>
        <w:t>replaces</w:t>
      </w:r>
      <w:r w:rsidRPr="00636B5E">
        <w:rPr>
          <w:rFonts w:ascii="Times New Roman" w:hAnsi="Times New Roman"/>
        </w:rPr>
        <w:t xml:space="preserve"> </w:t>
      </w:r>
      <w:r w:rsidR="00C25C13" w:rsidRPr="00636B5E">
        <w:rPr>
          <w:rFonts w:ascii="Times New Roman" w:hAnsi="Times New Roman"/>
        </w:rPr>
        <w:t xml:space="preserve">the previous </w:t>
      </w:r>
      <w:r w:rsidR="00C25C13" w:rsidRPr="00636B5E">
        <w:rPr>
          <w:rFonts w:ascii="Times New Roman" w:hAnsi="Times New Roman"/>
          <w:i/>
        </w:rPr>
        <w:t>Solomon Islands-Australia Partnership for Development</w:t>
      </w:r>
      <w:r w:rsidR="00C25C13" w:rsidRPr="00636B5E">
        <w:rPr>
          <w:rFonts w:ascii="Times New Roman" w:hAnsi="Times New Roman"/>
        </w:rPr>
        <w:t xml:space="preserve">, </w:t>
      </w:r>
      <w:r w:rsidR="00801D8E" w:rsidRPr="00636B5E">
        <w:rPr>
          <w:rFonts w:ascii="Times New Roman" w:hAnsi="Times New Roman"/>
        </w:rPr>
        <w:t xml:space="preserve">and aligns with </w:t>
      </w:r>
      <w:r w:rsidR="00B219D5">
        <w:rPr>
          <w:rFonts w:ascii="Times New Roman" w:hAnsi="Times New Roman"/>
        </w:rPr>
        <w:t xml:space="preserve">SIG’s </w:t>
      </w:r>
      <w:r w:rsidR="00946946" w:rsidRPr="00636B5E">
        <w:rPr>
          <w:rFonts w:ascii="Times New Roman" w:hAnsi="Times New Roman"/>
          <w:i/>
        </w:rPr>
        <w:t xml:space="preserve">National Development Strategy 2016-2035, </w:t>
      </w:r>
      <w:r w:rsidR="00946946" w:rsidRPr="00636B5E">
        <w:rPr>
          <w:rFonts w:ascii="Times New Roman" w:hAnsi="Times New Roman"/>
        </w:rPr>
        <w:t xml:space="preserve">and </w:t>
      </w:r>
      <w:r w:rsidR="00750D86">
        <w:rPr>
          <w:rFonts w:ascii="Times New Roman" w:hAnsi="Times New Roman"/>
        </w:rPr>
        <w:t>GOA</w:t>
      </w:r>
      <w:r w:rsidR="00C25C13" w:rsidRPr="00636B5E">
        <w:rPr>
          <w:rFonts w:ascii="Times New Roman" w:hAnsi="Times New Roman"/>
        </w:rPr>
        <w:t xml:space="preserve">’s </w:t>
      </w:r>
      <w:r w:rsidR="00C25C13" w:rsidRPr="00636B5E">
        <w:rPr>
          <w:rFonts w:ascii="Times New Roman" w:hAnsi="Times New Roman"/>
          <w:i/>
        </w:rPr>
        <w:t>Aid Investment Plan</w:t>
      </w:r>
      <w:r w:rsidR="00A30ECE" w:rsidRPr="00636B5E">
        <w:rPr>
          <w:rFonts w:ascii="Times New Roman" w:hAnsi="Times New Roman"/>
          <w:i/>
        </w:rPr>
        <w:t xml:space="preserve"> – Solomon Islands</w:t>
      </w:r>
      <w:r w:rsidR="00C25C13" w:rsidRPr="00636B5E">
        <w:rPr>
          <w:rFonts w:ascii="Times New Roman" w:hAnsi="Times New Roman"/>
          <w:i/>
        </w:rPr>
        <w:t xml:space="preserve"> 2015-16 to 2018-19</w:t>
      </w:r>
      <w:r w:rsidR="002F0526" w:rsidRPr="00636B5E">
        <w:rPr>
          <w:rFonts w:ascii="Times New Roman" w:hAnsi="Times New Roman"/>
        </w:rPr>
        <w:t>.</w:t>
      </w:r>
      <w:r w:rsidR="0067079C" w:rsidRPr="00636B5E">
        <w:rPr>
          <w:rFonts w:ascii="Times New Roman" w:hAnsi="Times New Roman"/>
        </w:rPr>
        <w:t xml:space="preserve"> </w:t>
      </w:r>
    </w:p>
    <w:p w:rsidR="00FE6581" w:rsidRPr="00DD5C3E" w:rsidRDefault="00FE6581" w:rsidP="006C6896">
      <w:pPr>
        <w:pStyle w:val="DotDashColon"/>
        <w:numPr>
          <w:ilvl w:val="1"/>
          <w:numId w:val="2"/>
        </w:numPr>
        <w:tabs>
          <w:tab w:val="left" w:pos="1134"/>
        </w:tabs>
        <w:spacing w:after="120"/>
        <w:ind w:left="1134" w:hanging="708"/>
        <w:jc w:val="both"/>
        <w:rPr>
          <w:rFonts w:ascii="Times New Roman" w:hAnsi="Times New Roman"/>
        </w:rPr>
      </w:pPr>
      <w:r w:rsidRPr="00636B5E">
        <w:rPr>
          <w:rFonts w:ascii="Times New Roman" w:hAnsi="Times New Roman"/>
        </w:rPr>
        <w:t xml:space="preserve">The </w:t>
      </w:r>
      <w:r w:rsidR="00731334" w:rsidRPr="00636B5E">
        <w:rPr>
          <w:rFonts w:ascii="Times New Roman" w:hAnsi="Times New Roman"/>
        </w:rPr>
        <w:t xml:space="preserve">initial </w:t>
      </w:r>
      <w:r w:rsidRPr="00636B5E">
        <w:rPr>
          <w:rFonts w:ascii="Times New Roman" w:hAnsi="Times New Roman"/>
        </w:rPr>
        <w:t>period of this Arrangement is from</w:t>
      </w:r>
      <w:r w:rsidR="00711443" w:rsidRPr="00636B5E">
        <w:rPr>
          <w:rFonts w:ascii="Times New Roman" w:hAnsi="Times New Roman"/>
        </w:rPr>
        <w:t xml:space="preserve"> </w:t>
      </w:r>
      <w:r w:rsidR="004437BD">
        <w:rPr>
          <w:rFonts w:ascii="Times New Roman" w:hAnsi="Times New Roman"/>
          <w:lang w:val="en-AU"/>
        </w:rPr>
        <w:t>June</w:t>
      </w:r>
      <w:r w:rsidR="005C0CAF" w:rsidRPr="00636B5E">
        <w:rPr>
          <w:rFonts w:ascii="Times New Roman" w:hAnsi="Times New Roman"/>
        </w:rPr>
        <w:t xml:space="preserve"> 201</w:t>
      </w:r>
      <w:r w:rsidR="00FC68C9">
        <w:rPr>
          <w:rFonts w:ascii="Times New Roman" w:hAnsi="Times New Roman"/>
          <w:lang w:val="en-AU"/>
        </w:rPr>
        <w:t>7</w:t>
      </w:r>
      <w:r w:rsidR="005C0CAF" w:rsidRPr="00636B5E">
        <w:rPr>
          <w:rFonts w:ascii="Times New Roman" w:hAnsi="Times New Roman"/>
        </w:rPr>
        <w:t xml:space="preserve"> until </w:t>
      </w:r>
      <w:r w:rsidR="00F950B2">
        <w:rPr>
          <w:rFonts w:ascii="Times New Roman" w:hAnsi="Times New Roman"/>
          <w:lang w:val="en-AU"/>
        </w:rPr>
        <w:t>June</w:t>
      </w:r>
      <w:r w:rsidR="00FC68C9" w:rsidRPr="00636B5E">
        <w:rPr>
          <w:rFonts w:ascii="Times New Roman" w:hAnsi="Times New Roman"/>
        </w:rPr>
        <w:t xml:space="preserve"> </w:t>
      </w:r>
      <w:r w:rsidR="00FC68C9">
        <w:rPr>
          <w:rFonts w:ascii="Times New Roman" w:hAnsi="Times New Roman"/>
          <w:lang w:val="en-AU"/>
        </w:rPr>
        <w:t>2020</w:t>
      </w:r>
      <w:r w:rsidR="003C02F3">
        <w:rPr>
          <w:rFonts w:ascii="Times New Roman" w:hAnsi="Times New Roman"/>
          <w:lang w:val="en-AU"/>
        </w:rPr>
        <w:t xml:space="preserve">. The Partners may mutually determine in writing an extension to the Arrangement before December 2019. Subsequent extensions will be mutually determined by the Partners in writing. </w:t>
      </w:r>
      <w:r w:rsidR="00BF1386" w:rsidRPr="00DD5C3E">
        <w:rPr>
          <w:rFonts w:ascii="Times New Roman" w:hAnsi="Times New Roman"/>
        </w:rPr>
        <w:t xml:space="preserve"> </w:t>
      </w:r>
    </w:p>
    <w:p w:rsidR="00101B85" w:rsidRPr="00636B5E" w:rsidRDefault="00BC332E" w:rsidP="001D5D2F">
      <w:pPr>
        <w:pStyle w:val="DotDashColon"/>
        <w:numPr>
          <w:ilvl w:val="1"/>
          <w:numId w:val="2"/>
        </w:numPr>
        <w:tabs>
          <w:tab w:val="left" w:pos="1134"/>
        </w:tabs>
        <w:spacing w:after="120"/>
        <w:ind w:left="1134" w:hanging="708"/>
        <w:jc w:val="both"/>
        <w:rPr>
          <w:rFonts w:ascii="Times New Roman" w:hAnsi="Times New Roman"/>
        </w:rPr>
      </w:pPr>
      <w:r w:rsidRPr="00CF2C6C">
        <w:rPr>
          <w:rFonts w:ascii="Times New Roman" w:hAnsi="Times New Roman"/>
        </w:rPr>
        <w:t xml:space="preserve">The relationship between the Partners will be built on </w:t>
      </w:r>
      <w:r w:rsidR="001D5D2F" w:rsidRPr="00CF2C6C">
        <w:rPr>
          <w:rFonts w:ascii="Times New Roman" w:hAnsi="Times New Roman"/>
        </w:rPr>
        <w:t>shared principles</w:t>
      </w:r>
      <w:r w:rsidR="00CF1A89" w:rsidRPr="00636B5E">
        <w:rPr>
          <w:rFonts w:ascii="Times New Roman" w:hAnsi="Times New Roman"/>
        </w:rPr>
        <w:t xml:space="preserve"> </w:t>
      </w:r>
      <w:r w:rsidR="00101B85" w:rsidRPr="00636B5E">
        <w:rPr>
          <w:rFonts w:ascii="Times New Roman" w:hAnsi="Times New Roman"/>
        </w:rPr>
        <w:t>of mutual respect, mutual</w:t>
      </w:r>
      <w:r w:rsidR="000C40C6">
        <w:rPr>
          <w:rFonts w:ascii="Times New Roman" w:hAnsi="Times New Roman"/>
        </w:rPr>
        <w:t xml:space="preserve"> </w:t>
      </w:r>
      <w:r w:rsidR="00101B85" w:rsidRPr="00636B5E">
        <w:rPr>
          <w:rFonts w:ascii="Times New Roman" w:hAnsi="Times New Roman"/>
        </w:rPr>
        <w:t xml:space="preserve">responsibility for improved development and a commitment to ownership, alignment, harmonisation, mutual accountability and managing for </w:t>
      </w:r>
      <w:r w:rsidR="00A77BB3" w:rsidRPr="00636B5E">
        <w:rPr>
          <w:rFonts w:ascii="Times New Roman" w:hAnsi="Times New Roman"/>
        </w:rPr>
        <w:t>development results</w:t>
      </w:r>
      <w:r w:rsidR="00101B85" w:rsidRPr="00636B5E">
        <w:rPr>
          <w:rFonts w:ascii="Times New Roman" w:hAnsi="Times New Roman"/>
        </w:rPr>
        <w:t>.</w:t>
      </w:r>
    </w:p>
    <w:p w:rsidR="001D5D2F" w:rsidRPr="00636B5E" w:rsidRDefault="00101B85" w:rsidP="001D5D2F">
      <w:pPr>
        <w:pStyle w:val="DotDashColon"/>
        <w:numPr>
          <w:ilvl w:val="1"/>
          <w:numId w:val="2"/>
        </w:numPr>
        <w:tabs>
          <w:tab w:val="left" w:pos="1134"/>
        </w:tabs>
        <w:spacing w:after="120"/>
        <w:ind w:left="1134" w:hanging="708"/>
        <w:jc w:val="both"/>
        <w:rPr>
          <w:rFonts w:ascii="Times New Roman" w:hAnsi="Times New Roman"/>
        </w:rPr>
      </w:pPr>
      <w:r w:rsidRPr="00636B5E">
        <w:rPr>
          <w:rFonts w:ascii="Times New Roman" w:hAnsi="Times New Roman"/>
        </w:rPr>
        <w:t>These principles bring into effect</w:t>
      </w:r>
      <w:r w:rsidR="00CF1A89" w:rsidRPr="00636B5E">
        <w:rPr>
          <w:rFonts w:ascii="Times New Roman" w:hAnsi="Times New Roman"/>
        </w:rPr>
        <w:t xml:space="preserve"> global and regional commitments such as the Paris Declaration on Aid Effectiveness, Accra Agenda for Action, the Busan Partnership for Effective Development Cooperation, the New Deal for Engagement in Fragile States, the Framework for Pacific Regionalism and the Forum Compact on Strengthening Development Coordination</w:t>
      </w:r>
      <w:r w:rsidR="002D1633" w:rsidRPr="00636B5E">
        <w:rPr>
          <w:rFonts w:ascii="Times New Roman" w:hAnsi="Times New Roman"/>
        </w:rPr>
        <w:t xml:space="preserve">. In Solomon Islands, these are reflected in the </w:t>
      </w:r>
      <w:r w:rsidR="000C40C6">
        <w:rPr>
          <w:rFonts w:ascii="Times New Roman" w:hAnsi="Times New Roman"/>
        </w:rPr>
        <w:t>SIG’s</w:t>
      </w:r>
      <w:r w:rsidR="000C40C6" w:rsidRPr="00636B5E">
        <w:rPr>
          <w:rFonts w:ascii="Times New Roman" w:hAnsi="Times New Roman"/>
        </w:rPr>
        <w:t xml:space="preserve"> </w:t>
      </w:r>
      <w:r w:rsidR="0088620A" w:rsidRPr="00636B5E">
        <w:rPr>
          <w:rFonts w:ascii="Times New Roman" w:hAnsi="Times New Roman"/>
        </w:rPr>
        <w:t>Aid Management and Development Cooperation Policy, and the Partnership Framework for Effective Development Cooperation</w:t>
      </w:r>
      <w:r w:rsidR="00CF1A89" w:rsidRPr="00636B5E">
        <w:rPr>
          <w:rFonts w:ascii="Times New Roman" w:hAnsi="Times New Roman"/>
        </w:rPr>
        <w:t xml:space="preserve">. </w:t>
      </w:r>
      <w:r w:rsidR="001D5D2F" w:rsidRPr="00636B5E">
        <w:rPr>
          <w:rFonts w:ascii="Times New Roman" w:hAnsi="Times New Roman"/>
        </w:rPr>
        <w:t xml:space="preserve"> </w:t>
      </w:r>
    </w:p>
    <w:p w:rsidR="00012F0D" w:rsidRPr="00636B5E" w:rsidRDefault="00C22C74" w:rsidP="006C6896">
      <w:pPr>
        <w:pStyle w:val="DotDashColon"/>
        <w:numPr>
          <w:ilvl w:val="1"/>
          <w:numId w:val="2"/>
        </w:numPr>
        <w:tabs>
          <w:tab w:val="left" w:pos="1134"/>
        </w:tabs>
        <w:spacing w:after="120"/>
        <w:ind w:left="1134" w:hanging="708"/>
        <w:jc w:val="both"/>
        <w:rPr>
          <w:rFonts w:ascii="Times New Roman" w:hAnsi="Times New Roman"/>
        </w:rPr>
      </w:pPr>
      <w:r w:rsidRPr="00636B5E">
        <w:rPr>
          <w:rFonts w:ascii="Times New Roman" w:hAnsi="Times New Roman"/>
        </w:rPr>
        <w:t xml:space="preserve">Reflecting these principles, </w:t>
      </w:r>
      <w:r w:rsidR="00E540B6" w:rsidRPr="00636B5E">
        <w:rPr>
          <w:rFonts w:ascii="Times New Roman" w:hAnsi="Times New Roman"/>
        </w:rPr>
        <w:t xml:space="preserve">the </w:t>
      </w:r>
      <w:r w:rsidR="00750D86">
        <w:rPr>
          <w:rFonts w:ascii="Times New Roman" w:hAnsi="Times New Roman"/>
        </w:rPr>
        <w:t>Partners</w:t>
      </w:r>
      <w:r w:rsidRPr="00636B5E">
        <w:rPr>
          <w:rFonts w:ascii="Times New Roman" w:hAnsi="Times New Roman"/>
        </w:rPr>
        <w:t xml:space="preserve"> acknowledge</w:t>
      </w:r>
      <w:r w:rsidR="00012F0D" w:rsidRPr="00636B5E">
        <w:rPr>
          <w:rFonts w:ascii="Times New Roman" w:hAnsi="Times New Roman"/>
        </w:rPr>
        <w:t xml:space="preserve">: </w:t>
      </w:r>
    </w:p>
    <w:p w:rsidR="00173257" w:rsidRPr="00636B5E" w:rsidRDefault="00E540B6" w:rsidP="0088620A">
      <w:pPr>
        <w:pStyle w:val="DotDashColon"/>
        <w:numPr>
          <w:ilvl w:val="0"/>
          <w:numId w:val="4"/>
        </w:numPr>
        <w:tabs>
          <w:tab w:val="left" w:pos="1418"/>
        </w:tabs>
        <w:spacing w:after="120"/>
        <w:ind w:left="1418"/>
        <w:jc w:val="both"/>
        <w:rPr>
          <w:rFonts w:ascii="Times New Roman" w:hAnsi="Times New Roman"/>
        </w:rPr>
      </w:pPr>
      <w:r w:rsidRPr="00636B5E">
        <w:rPr>
          <w:rFonts w:ascii="Times New Roman" w:hAnsi="Times New Roman"/>
        </w:rPr>
        <w:t>Solomon Islands</w:t>
      </w:r>
      <w:r w:rsidR="00173257" w:rsidRPr="00636B5E">
        <w:rPr>
          <w:rFonts w:ascii="Times New Roman" w:hAnsi="Times New Roman"/>
        </w:rPr>
        <w:t xml:space="preserve">’ ownership and leadership of </w:t>
      </w:r>
      <w:r w:rsidR="001647A7" w:rsidRPr="00636B5E">
        <w:rPr>
          <w:rFonts w:ascii="Times New Roman" w:hAnsi="Times New Roman"/>
        </w:rPr>
        <w:t xml:space="preserve">its own policies for </w:t>
      </w:r>
      <w:r w:rsidR="002A6874" w:rsidRPr="00636B5E">
        <w:rPr>
          <w:rFonts w:ascii="Times New Roman" w:hAnsi="Times New Roman"/>
        </w:rPr>
        <w:t>development</w:t>
      </w:r>
      <w:r w:rsidR="001647A7" w:rsidRPr="00636B5E">
        <w:rPr>
          <w:rFonts w:ascii="Times New Roman" w:hAnsi="Times New Roman"/>
        </w:rPr>
        <w:t xml:space="preserve"> and growth</w:t>
      </w:r>
      <w:r w:rsidR="002A6874" w:rsidRPr="00636B5E">
        <w:rPr>
          <w:rFonts w:ascii="Times New Roman" w:hAnsi="Times New Roman"/>
        </w:rPr>
        <w:t xml:space="preserve">, including the </w:t>
      </w:r>
      <w:r w:rsidR="002A6874" w:rsidRPr="00636B5E">
        <w:rPr>
          <w:rFonts w:ascii="Times New Roman" w:hAnsi="Times New Roman"/>
          <w:i/>
        </w:rPr>
        <w:t>National Development Strategy 201</w:t>
      </w:r>
      <w:r w:rsidR="00946946" w:rsidRPr="00636B5E">
        <w:rPr>
          <w:rFonts w:ascii="Times New Roman" w:hAnsi="Times New Roman"/>
          <w:i/>
        </w:rPr>
        <w:t>6</w:t>
      </w:r>
      <w:r w:rsidR="0049457C" w:rsidRPr="00636B5E">
        <w:rPr>
          <w:rFonts w:ascii="Times New Roman" w:hAnsi="Times New Roman"/>
          <w:i/>
        </w:rPr>
        <w:noBreakHyphen/>
      </w:r>
      <w:r w:rsidR="002A6874" w:rsidRPr="00636B5E">
        <w:rPr>
          <w:rFonts w:ascii="Times New Roman" w:hAnsi="Times New Roman"/>
          <w:i/>
        </w:rPr>
        <w:t>203</w:t>
      </w:r>
      <w:r w:rsidR="00946946" w:rsidRPr="00636B5E">
        <w:rPr>
          <w:rFonts w:ascii="Times New Roman" w:hAnsi="Times New Roman"/>
          <w:i/>
        </w:rPr>
        <w:t>5</w:t>
      </w:r>
      <w:r w:rsidR="002A6874" w:rsidRPr="00636B5E">
        <w:rPr>
          <w:rFonts w:ascii="Times New Roman" w:hAnsi="Times New Roman"/>
        </w:rPr>
        <w:t xml:space="preserve">; </w:t>
      </w:r>
      <w:r w:rsidR="009F71F0" w:rsidRPr="00636B5E">
        <w:rPr>
          <w:rFonts w:ascii="Times New Roman" w:hAnsi="Times New Roman"/>
        </w:rPr>
        <w:t xml:space="preserve">and </w:t>
      </w:r>
      <w:r w:rsidR="002A6874" w:rsidRPr="00636B5E">
        <w:rPr>
          <w:rFonts w:ascii="Times New Roman" w:hAnsi="Times New Roman"/>
        </w:rPr>
        <w:t xml:space="preserve">the </w:t>
      </w:r>
      <w:r w:rsidR="0014191F">
        <w:rPr>
          <w:rFonts w:ascii="Times New Roman" w:hAnsi="Times New Roman"/>
          <w:lang w:val="en-AU"/>
        </w:rPr>
        <w:t xml:space="preserve">five-year annual rolling </w:t>
      </w:r>
      <w:r w:rsidR="002A6874" w:rsidRPr="00636B5E">
        <w:rPr>
          <w:rFonts w:ascii="Times New Roman" w:hAnsi="Times New Roman"/>
          <w:i/>
        </w:rPr>
        <w:t>M</w:t>
      </w:r>
      <w:r w:rsidR="008327BC" w:rsidRPr="00636B5E">
        <w:rPr>
          <w:rFonts w:ascii="Times New Roman" w:hAnsi="Times New Roman"/>
          <w:i/>
        </w:rPr>
        <w:t>edium</w:t>
      </w:r>
      <w:r w:rsidR="009F71F0" w:rsidRPr="00636B5E">
        <w:rPr>
          <w:rFonts w:ascii="Times New Roman" w:hAnsi="Times New Roman"/>
          <w:i/>
        </w:rPr>
        <w:t xml:space="preserve"> </w:t>
      </w:r>
      <w:r w:rsidR="002A6874" w:rsidRPr="00636B5E">
        <w:rPr>
          <w:rFonts w:ascii="Times New Roman" w:hAnsi="Times New Roman"/>
          <w:i/>
        </w:rPr>
        <w:t>Term Development Plan</w:t>
      </w:r>
      <w:r w:rsidR="002A6874" w:rsidRPr="00636B5E">
        <w:rPr>
          <w:rFonts w:ascii="Times New Roman" w:hAnsi="Times New Roman"/>
        </w:rPr>
        <w:t xml:space="preserve">; </w:t>
      </w:r>
    </w:p>
    <w:p w:rsidR="00801D8E" w:rsidRPr="00636B5E" w:rsidRDefault="00801D8E" w:rsidP="0088620A">
      <w:pPr>
        <w:pStyle w:val="DotDashColon"/>
        <w:numPr>
          <w:ilvl w:val="0"/>
          <w:numId w:val="4"/>
        </w:numPr>
        <w:tabs>
          <w:tab w:val="left" w:pos="1418"/>
        </w:tabs>
        <w:spacing w:after="120"/>
        <w:ind w:left="1418"/>
        <w:jc w:val="both"/>
        <w:rPr>
          <w:rFonts w:ascii="Times New Roman" w:hAnsi="Times New Roman"/>
        </w:rPr>
      </w:pPr>
      <w:r w:rsidRPr="00636B5E">
        <w:rPr>
          <w:rFonts w:ascii="Times New Roman" w:hAnsi="Times New Roman"/>
        </w:rPr>
        <w:t>That th</w:t>
      </w:r>
      <w:r w:rsidR="001D5D2F" w:rsidRPr="00636B5E">
        <w:rPr>
          <w:rFonts w:ascii="Times New Roman" w:hAnsi="Times New Roman"/>
        </w:rPr>
        <w:t>is</w:t>
      </w:r>
      <w:r w:rsidRPr="00636B5E">
        <w:rPr>
          <w:rFonts w:ascii="Times New Roman" w:hAnsi="Times New Roman"/>
        </w:rPr>
        <w:t xml:space="preserve"> Arrangement will focus Australia’s investments on shared objectives that help to implement the </w:t>
      </w:r>
      <w:r w:rsidRPr="00636B5E">
        <w:rPr>
          <w:rFonts w:ascii="Times New Roman" w:hAnsi="Times New Roman"/>
          <w:i/>
        </w:rPr>
        <w:t>National Development Strategy</w:t>
      </w:r>
      <w:r w:rsidRPr="00636B5E">
        <w:rPr>
          <w:rFonts w:ascii="Times New Roman" w:hAnsi="Times New Roman"/>
        </w:rPr>
        <w:t xml:space="preserve">, and </w:t>
      </w:r>
      <w:r w:rsidR="00101B85" w:rsidRPr="00636B5E">
        <w:rPr>
          <w:rFonts w:ascii="Times New Roman" w:hAnsi="Times New Roman"/>
        </w:rPr>
        <w:t xml:space="preserve">the </w:t>
      </w:r>
      <w:r w:rsidRPr="00636B5E">
        <w:rPr>
          <w:rFonts w:ascii="Times New Roman" w:hAnsi="Times New Roman"/>
          <w:i/>
        </w:rPr>
        <w:t>Aid Investment Plan;</w:t>
      </w:r>
      <w:r w:rsidRPr="00636B5E">
        <w:rPr>
          <w:rFonts w:ascii="Times New Roman" w:hAnsi="Times New Roman"/>
        </w:rPr>
        <w:t xml:space="preserve"> </w:t>
      </w:r>
    </w:p>
    <w:p w:rsidR="00012F0D" w:rsidRPr="00636B5E" w:rsidRDefault="00045C32" w:rsidP="0088620A">
      <w:pPr>
        <w:pStyle w:val="DotDashColon"/>
        <w:numPr>
          <w:ilvl w:val="0"/>
          <w:numId w:val="4"/>
        </w:numPr>
        <w:tabs>
          <w:tab w:val="left" w:pos="1418"/>
        </w:tabs>
        <w:spacing w:after="120"/>
        <w:ind w:left="1418"/>
        <w:jc w:val="both"/>
        <w:rPr>
          <w:rFonts w:ascii="Times New Roman" w:hAnsi="Times New Roman"/>
        </w:rPr>
      </w:pPr>
      <w:r w:rsidRPr="00636B5E">
        <w:rPr>
          <w:rFonts w:ascii="Times New Roman" w:hAnsi="Times New Roman"/>
        </w:rPr>
        <w:t>Their mutual responsibility</w:t>
      </w:r>
      <w:r w:rsidR="00012F0D" w:rsidRPr="00636B5E">
        <w:rPr>
          <w:rFonts w:ascii="Times New Roman" w:hAnsi="Times New Roman"/>
        </w:rPr>
        <w:t xml:space="preserve"> for </w:t>
      </w:r>
      <w:r w:rsidR="00C22C74" w:rsidRPr="00636B5E">
        <w:rPr>
          <w:rFonts w:ascii="Times New Roman" w:hAnsi="Times New Roman"/>
        </w:rPr>
        <w:t>r</w:t>
      </w:r>
      <w:r w:rsidRPr="00636B5E">
        <w:rPr>
          <w:rFonts w:ascii="Times New Roman" w:hAnsi="Times New Roman"/>
        </w:rPr>
        <w:t xml:space="preserve">esults, including through joint, regular and evidence-based review of progress against </w:t>
      </w:r>
      <w:r w:rsidR="00970A17">
        <w:rPr>
          <w:rFonts w:ascii="Times New Roman" w:hAnsi="Times New Roman"/>
        </w:rPr>
        <w:t>determined</w:t>
      </w:r>
      <w:r w:rsidR="00970A17" w:rsidRPr="00636B5E">
        <w:rPr>
          <w:rFonts w:ascii="Times New Roman" w:hAnsi="Times New Roman"/>
        </w:rPr>
        <w:t xml:space="preserve"> </w:t>
      </w:r>
      <w:r w:rsidRPr="00636B5E">
        <w:rPr>
          <w:rFonts w:ascii="Times New Roman" w:hAnsi="Times New Roman"/>
        </w:rPr>
        <w:t xml:space="preserve">objectives and </w:t>
      </w:r>
      <w:r w:rsidR="00F03923">
        <w:rPr>
          <w:rFonts w:ascii="Times New Roman" w:hAnsi="Times New Roman"/>
        </w:rPr>
        <w:t>P</w:t>
      </w:r>
      <w:r w:rsidRPr="00636B5E">
        <w:rPr>
          <w:rFonts w:ascii="Times New Roman" w:hAnsi="Times New Roman"/>
        </w:rPr>
        <w:t xml:space="preserve">erformance </w:t>
      </w:r>
      <w:r w:rsidR="00F03923">
        <w:rPr>
          <w:rFonts w:ascii="Times New Roman" w:hAnsi="Times New Roman"/>
        </w:rPr>
        <w:t>B</w:t>
      </w:r>
      <w:r w:rsidRPr="00636B5E">
        <w:rPr>
          <w:rFonts w:ascii="Times New Roman" w:hAnsi="Times New Roman"/>
        </w:rPr>
        <w:t>enchmarks</w:t>
      </w:r>
      <w:r w:rsidR="00A02419" w:rsidRPr="00636B5E">
        <w:rPr>
          <w:rFonts w:ascii="Times New Roman" w:hAnsi="Times New Roman"/>
        </w:rPr>
        <w:t xml:space="preserve"> </w:t>
      </w:r>
      <w:r w:rsidR="00F03923">
        <w:rPr>
          <w:rFonts w:ascii="Times New Roman" w:hAnsi="Times New Roman"/>
        </w:rPr>
        <w:t>set out in Annexure A</w:t>
      </w:r>
      <w:r w:rsidR="00012F0D" w:rsidRPr="00636B5E">
        <w:rPr>
          <w:rFonts w:ascii="Times New Roman" w:hAnsi="Times New Roman"/>
        </w:rPr>
        <w:t xml:space="preserve">; </w:t>
      </w:r>
    </w:p>
    <w:p w:rsidR="0064161B" w:rsidRPr="00636B5E" w:rsidRDefault="0064161B" w:rsidP="0088620A">
      <w:pPr>
        <w:pStyle w:val="DotDashColon"/>
        <w:numPr>
          <w:ilvl w:val="0"/>
          <w:numId w:val="4"/>
        </w:numPr>
        <w:tabs>
          <w:tab w:val="left" w:pos="1418"/>
        </w:tabs>
        <w:spacing w:after="120"/>
        <w:ind w:left="1418"/>
        <w:jc w:val="both"/>
        <w:rPr>
          <w:rFonts w:ascii="Times New Roman" w:hAnsi="Times New Roman"/>
        </w:rPr>
      </w:pPr>
      <w:r w:rsidRPr="00636B5E">
        <w:rPr>
          <w:rFonts w:ascii="Times New Roman" w:hAnsi="Times New Roman"/>
        </w:rPr>
        <w:t>The importance of clear benefits for women, men, girls and boys through all development programs;</w:t>
      </w:r>
    </w:p>
    <w:p w:rsidR="0049457C" w:rsidRPr="00636B5E" w:rsidRDefault="0049457C" w:rsidP="00413156">
      <w:pPr>
        <w:pStyle w:val="DotDashColon"/>
        <w:numPr>
          <w:ilvl w:val="0"/>
          <w:numId w:val="4"/>
        </w:numPr>
        <w:tabs>
          <w:tab w:val="left" w:pos="1418"/>
        </w:tabs>
        <w:spacing w:after="120"/>
        <w:ind w:left="1418"/>
        <w:jc w:val="both"/>
        <w:rPr>
          <w:rFonts w:ascii="Times New Roman" w:hAnsi="Times New Roman"/>
        </w:rPr>
      </w:pPr>
      <w:r w:rsidRPr="00636B5E">
        <w:rPr>
          <w:rFonts w:ascii="Times New Roman" w:hAnsi="Times New Roman"/>
        </w:rPr>
        <w:lastRenderedPageBreak/>
        <w:t xml:space="preserve">The </w:t>
      </w:r>
      <w:r w:rsidR="008E40D7" w:rsidRPr="00636B5E">
        <w:rPr>
          <w:rFonts w:ascii="Times New Roman" w:hAnsi="Times New Roman"/>
        </w:rPr>
        <w:t xml:space="preserve">significant </w:t>
      </w:r>
      <w:r w:rsidRPr="00636B5E">
        <w:rPr>
          <w:rFonts w:ascii="Times New Roman" w:hAnsi="Times New Roman"/>
        </w:rPr>
        <w:t xml:space="preserve">contribution of </w:t>
      </w:r>
      <w:r w:rsidR="009C66C5">
        <w:rPr>
          <w:rFonts w:ascii="Times New Roman" w:hAnsi="Times New Roman"/>
        </w:rPr>
        <w:t>the Regional Assistance Mission to the Solomon Islands (</w:t>
      </w:r>
      <w:r w:rsidRPr="00636B5E">
        <w:rPr>
          <w:rFonts w:ascii="Times New Roman" w:hAnsi="Times New Roman"/>
        </w:rPr>
        <w:t>RAMSI</w:t>
      </w:r>
      <w:r w:rsidR="009C66C5">
        <w:rPr>
          <w:rFonts w:ascii="Times New Roman" w:hAnsi="Times New Roman"/>
        </w:rPr>
        <w:t>)</w:t>
      </w:r>
      <w:r w:rsidRPr="00636B5E">
        <w:rPr>
          <w:rFonts w:ascii="Times New Roman" w:hAnsi="Times New Roman"/>
        </w:rPr>
        <w:t xml:space="preserve"> </w:t>
      </w:r>
      <w:r w:rsidR="00211BD2" w:rsidRPr="00636B5E">
        <w:rPr>
          <w:rFonts w:ascii="Times New Roman" w:hAnsi="Times New Roman"/>
        </w:rPr>
        <w:t xml:space="preserve">to </w:t>
      </w:r>
      <w:r w:rsidRPr="00636B5E">
        <w:rPr>
          <w:rFonts w:ascii="Times New Roman" w:hAnsi="Times New Roman"/>
        </w:rPr>
        <w:t xml:space="preserve">the </w:t>
      </w:r>
      <w:r w:rsidR="008E40D7" w:rsidRPr="00636B5E">
        <w:rPr>
          <w:rFonts w:ascii="Times New Roman" w:hAnsi="Times New Roman"/>
        </w:rPr>
        <w:t xml:space="preserve">peace and security of Solomon Islands over the past 13 years and the </w:t>
      </w:r>
      <w:r w:rsidRPr="00636B5E">
        <w:rPr>
          <w:rFonts w:ascii="Times New Roman" w:hAnsi="Times New Roman"/>
        </w:rPr>
        <w:t xml:space="preserve">importance of the </w:t>
      </w:r>
      <w:r w:rsidR="001B2C48" w:rsidRPr="00636B5E">
        <w:rPr>
          <w:rFonts w:ascii="Times New Roman" w:hAnsi="Times New Roman"/>
        </w:rPr>
        <w:t xml:space="preserve">successful </w:t>
      </w:r>
      <w:r w:rsidR="008E40D7" w:rsidRPr="00636B5E">
        <w:rPr>
          <w:rFonts w:ascii="Times New Roman" w:hAnsi="Times New Roman"/>
        </w:rPr>
        <w:t xml:space="preserve">transition to a new bilateral policing capacity development program </w:t>
      </w:r>
      <w:r w:rsidRPr="00636B5E">
        <w:rPr>
          <w:rFonts w:ascii="Times New Roman" w:hAnsi="Times New Roman"/>
        </w:rPr>
        <w:t xml:space="preserve">to future stability and </w:t>
      </w:r>
      <w:r w:rsidR="007C2727" w:rsidRPr="00636B5E">
        <w:rPr>
          <w:rFonts w:ascii="Times New Roman" w:hAnsi="Times New Roman"/>
        </w:rPr>
        <w:t>prosperity</w:t>
      </w:r>
      <w:r w:rsidR="00D111EC" w:rsidRPr="00636B5E">
        <w:rPr>
          <w:rFonts w:ascii="Times New Roman" w:hAnsi="Times New Roman"/>
        </w:rPr>
        <w:t>;</w:t>
      </w:r>
      <w:r w:rsidR="004437BD">
        <w:rPr>
          <w:rFonts w:ascii="Times New Roman" w:hAnsi="Times New Roman"/>
          <w:lang w:val="en-AU"/>
        </w:rPr>
        <w:t xml:space="preserve"> and</w:t>
      </w:r>
    </w:p>
    <w:p w:rsidR="00586BDB" w:rsidRPr="00636B5E" w:rsidRDefault="0049457C" w:rsidP="00413156">
      <w:pPr>
        <w:pStyle w:val="DotDashColon"/>
        <w:numPr>
          <w:ilvl w:val="0"/>
          <w:numId w:val="4"/>
        </w:numPr>
        <w:tabs>
          <w:tab w:val="left" w:pos="1418"/>
        </w:tabs>
        <w:spacing w:after="120"/>
        <w:ind w:left="1418"/>
        <w:jc w:val="both"/>
        <w:rPr>
          <w:rFonts w:ascii="Times New Roman" w:hAnsi="Times New Roman"/>
        </w:rPr>
      </w:pPr>
      <w:r w:rsidRPr="00CF2C6C">
        <w:rPr>
          <w:rFonts w:ascii="Times New Roman" w:hAnsi="Times New Roman"/>
        </w:rPr>
        <w:t xml:space="preserve">The value of </w:t>
      </w:r>
      <w:r w:rsidR="00B610B7" w:rsidRPr="00CF2C6C">
        <w:rPr>
          <w:rFonts w:ascii="Times New Roman" w:hAnsi="Times New Roman"/>
        </w:rPr>
        <w:t xml:space="preserve">localising, implementing and monitoring performance against the </w:t>
      </w:r>
      <w:r w:rsidR="00B610B7" w:rsidRPr="00636B5E">
        <w:rPr>
          <w:rFonts w:ascii="Times New Roman" w:hAnsi="Times New Roman"/>
        </w:rPr>
        <w:t xml:space="preserve"> Agenda </w:t>
      </w:r>
      <w:r w:rsidR="0014191F">
        <w:rPr>
          <w:rFonts w:ascii="Times New Roman" w:hAnsi="Times New Roman"/>
          <w:lang w:val="en-AU"/>
        </w:rPr>
        <w:t xml:space="preserve"> 2030</w:t>
      </w:r>
      <w:r w:rsidR="0014191F" w:rsidRPr="00636B5E">
        <w:rPr>
          <w:rFonts w:ascii="Times New Roman" w:hAnsi="Times New Roman"/>
        </w:rPr>
        <w:t xml:space="preserve"> </w:t>
      </w:r>
      <w:r w:rsidR="00B610B7" w:rsidRPr="00636B5E">
        <w:rPr>
          <w:rFonts w:ascii="Times New Roman" w:hAnsi="Times New Roman"/>
        </w:rPr>
        <w:t xml:space="preserve">and </w:t>
      </w:r>
      <w:r w:rsidR="0014191F">
        <w:rPr>
          <w:rFonts w:ascii="Times New Roman" w:hAnsi="Times New Roman"/>
          <w:lang w:val="en-AU"/>
        </w:rPr>
        <w:t>the Istanbul Programme of Action for L</w:t>
      </w:r>
      <w:r w:rsidR="003C02F3">
        <w:rPr>
          <w:rFonts w:ascii="Times New Roman" w:hAnsi="Times New Roman"/>
          <w:lang w:val="en-AU"/>
        </w:rPr>
        <w:t>east Developed Countries</w:t>
      </w:r>
      <w:r w:rsidR="0014191F">
        <w:rPr>
          <w:rFonts w:ascii="Times New Roman" w:hAnsi="Times New Roman"/>
          <w:lang w:val="en-AU"/>
        </w:rPr>
        <w:t>.</w:t>
      </w:r>
      <w:r w:rsidR="00586BDB" w:rsidRPr="00636B5E">
        <w:rPr>
          <w:rFonts w:ascii="Times New Roman" w:hAnsi="Times New Roman"/>
        </w:rPr>
        <w:t xml:space="preserve"> </w:t>
      </w:r>
    </w:p>
    <w:p w:rsidR="003F252C" w:rsidRPr="00636B5E" w:rsidRDefault="00FE6581" w:rsidP="006C6896">
      <w:pPr>
        <w:pStyle w:val="DotDashColon"/>
        <w:numPr>
          <w:ilvl w:val="1"/>
          <w:numId w:val="2"/>
        </w:numPr>
        <w:tabs>
          <w:tab w:val="left" w:pos="1134"/>
        </w:tabs>
        <w:spacing w:after="120"/>
        <w:ind w:left="1134" w:hanging="708"/>
        <w:jc w:val="both"/>
        <w:rPr>
          <w:rFonts w:ascii="Times New Roman" w:hAnsi="Times New Roman"/>
        </w:rPr>
      </w:pPr>
      <w:r w:rsidRPr="00636B5E">
        <w:rPr>
          <w:rFonts w:ascii="Times New Roman" w:hAnsi="Times New Roman"/>
        </w:rPr>
        <w:t>The Partners understand that this Arrangement, whil</w:t>
      </w:r>
      <w:r w:rsidR="00D43904" w:rsidRPr="00636B5E">
        <w:rPr>
          <w:rFonts w:ascii="Times New Roman" w:hAnsi="Times New Roman"/>
        </w:rPr>
        <w:t>e</w:t>
      </w:r>
      <w:r w:rsidRPr="00636B5E">
        <w:rPr>
          <w:rFonts w:ascii="Times New Roman" w:hAnsi="Times New Roman"/>
        </w:rPr>
        <w:t xml:space="preserve"> expressing their goodwill and intention to cooperate and collaborate on issues of mutual interest, does not create any </w:t>
      </w:r>
      <w:r w:rsidR="00C96089" w:rsidRPr="00636B5E">
        <w:rPr>
          <w:rFonts w:ascii="Times New Roman" w:hAnsi="Times New Roman"/>
        </w:rPr>
        <w:t>legally binding or enforceable rights or commitments (expressed or implied)</w:t>
      </w:r>
      <w:r w:rsidRPr="00636B5E">
        <w:rPr>
          <w:rFonts w:ascii="Times New Roman" w:hAnsi="Times New Roman"/>
        </w:rPr>
        <w:t xml:space="preserve">. </w:t>
      </w:r>
    </w:p>
    <w:p w:rsidR="00880AFC" w:rsidRPr="00E610CF" w:rsidRDefault="00880AFC" w:rsidP="00173C05">
      <w:pPr>
        <w:jc w:val="both"/>
      </w:pPr>
    </w:p>
    <w:p w:rsidR="00880AFC" w:rsidRPr="009B5685" w:rsidRDefault="003F252C" w:rsidP="00173C05">
      <w:pPr>
        <w:jc w:val="both"/>
      </w:pPr>
      <w:r w:rsidRPr="00E610CF">
        <w:t>___________________________________________________________________________</w:t>
      </w:r>
    </w:p>
    <w:p w:rsidR="003F252C" w:rsidRPr="00636B5E" w:rsidRDefault="003F252C" w:rsidP="00732638">
      <w:pPr>
        <w:pStyle w:val="ListParagraph"/>
        <w:numPr>
          <w:ilvl w:val="0"/>
          <w:numId w:val="3"/>
        </w:numPr>
        <w:spacing w:before="60" w:line="360" w:lineRule="auto"/>
        <w:ind w:left="426" w:hanging="426"/>
        <w:jc w:val="both"/>
        <w:rPr>
          <w:b/>
        </w:rPr>
      </w:pPr>
      <w:r w:rsidRPr="00636B5E">
        <w:rPr>
          <w:b/>
        </w:rPr>
        <w:t>Objectives and Priorities</w:t>
      </w:r>
    </w:p>
    <w:p w:rsidR="004647F6" w:rsidRPr="00636B5E" w:rsidRDefault="002006B1" w:rsidP="00732638">
      <w:pPr>
        <w:pStyle w:val="DotDashColon"/>
        <w:numPr>
          <w:ilvl w:val="1"/>
          <w:numId w:val="3"/>
        </w:numPr>
        <w:tabs>
          <w:tab w:val="left" w:pos="1134"/>
        </w:tabs>
        <w:spacing w:after="120"/>
        <w:ind w:left="1134" w:hanging="708"/>
        <w:jc w:val="both"/>
        <w:rPr>
          <w:rFonts w:ascii="Times New Roman" w:hAnsi="Times New Roman"/>
        </w:rPr>
      </w:pPr>
      <w:r w:rsidRPr="00636B5E">
        <w:rPr>
          <w:rFonts w:ascii="Times New Roman" w:hAnsi="Times New Roman"/>
        </w:rPr>
        <w:t xml:space="preserve">The overarching objective of this </w:t>
      </w:r>
      <w:r w:rsidR="00F31C84" w:rsidRPr="00636B5E">
        <w:rPr>
          <w:rFonts w:ascii="Times New Roman" w:hAnsi="Times New Roman"/>
        </w:rPr>
        <w:t xml:space="preserve">Arrangement </w:t>
      </w:r>
      <w:r w:rsidRPr="00636B5E">
        <w:rPr>
          <w:rFonts w:ascii="Times New Roman" w:hAnsi="Times New Roman"/>
        </w:rPr>
        <w:t xml:space="preserve">is to facilitate </w:t>
      </w:r>
      <w:r w:rsidR="003717AF" w:rsidRPr="00636B5E">
        <w:rPr>
          <w:rFonts w:ascii="Times New Roman" w:hAnsi="Times New Roman"/>
        </w:rPr>
        <w:t xml:space="preserve">stability, </w:t>
      </w:r>
      <w:r w:rsidR="00F31C84" w:rsidRPr="00636B5E">
        <w:rPr>
          <w:rFonts w:ascii="Times New Roman" w:hAnsi="Times New Roman"/>
        </w:rPr>
        <w:t>sustainable economic growth</w:t>
      </w:r>
      <w:r w:rsidR="00AA31D8" w:rsidRPr="00636B5E">
        <w:rPr>
          <w:rFonts w:ascii="Times New Roman" w:hAnsi="Times New Roman"/>
        </w:rPr>
        <w:t>, human development</w:t>
      </w:r>
      <w:r w:rsidR="00F31C84" w:rsidRPr="00636B5E">
        <w:rPr>
          <w:rFonts w:ascii="Times New Roman" w:hAnsi="Times New Roman"/>
        </w:rPr>
        <w:t xml:space="preserve"> and poverty reduction</w:t>
      </w:r>
      <w:r w:rsidR="00541997" w:rsidRPr="00636B5E">
        <w:rPr>
          <w:rFonts w:ascii="Times New Roman" w:hAnsi="Times New Roman"/>
        </w:rPr>
        <w:t xml:space="preserve"> </w:t>
      </w:r>
      <w:r w:rsidR="001C6ECB" w:rsidRPr="00636B5E">
        <w:rPr>
          <w:rFonts w:ascii="Times New Roman" w:hAnsi="Times New Roman"/>
        </w:rPr>
        <w:t>in Solomon Islands</w:t>
      </w:r>
      <w:r w:rsidR="003971AF" w:rsidRPr="00636B5E">
        <w:rPr>
          <w:rFonts w:ascii="Times New Roman" w:hAnsi="Times New Roman"/>
        </w:rPr>
        <w:t>.</w:t>
      </w:r>
    </w:p>
    <w:p w:rsidR="00E67B1A" w:rsidRPr="00636B5E" w:rsidRDefault="002006B1" w:rsidP="00732638">
      <w:pPr>
        <w:pStyle w:val="DotDashColon"/>
        <w:numPr>
          <w:ilvl w:val="1"/>
          <w:numId w:val="3"/>
        </w:numPr>
        <w:tabs>
          <w:tab w:val="left" w:pos="1134"/>
        </w:tabs>
        <w:spacing w:after="120"/>
        <w:ind w:left="1134" w:hanging="708"/>
        <w:jc w:val="both"/>
        <w:rPr>
          <w:rFonts w:ascii="Times New Roman" w:hAnsi="Times New Roman"/>
          <w:i/>
        </w:rPr>
      </w:pPr>
      <w:r w:rsidRPr="00636B5E">
        <w:rPr>
          <w:rFonts w:ascii="Times New Roman" w:hAnsi="Times New Roman"/>
        </w:rPr>
        <w:t xml:space="preserve">The </w:t>
      </w:r>
      <w:r w:rsidR="00F03923">
        <w:rPr>
          <w:rFonts w:ascii="Times New Roman" w:hAnsi="Times New Roman"/>
        </w:rPr>
        <w:t>Partners</w:t>
      </w:r>
      <w:r w:rsidRPr="00636B5E">
        <w:rPr>
          <w:rFonts w:ascii="Times New Roman" w:hAnsi="Times New Roman"/>
        </w:rPr>
        <w:t xml:space="preserve"> have jointly determined strategic priorities </w:t>
      </w:r>
      <w:r w:rsidR="00551794" w:rsidRPr="00636B5E">
        <w:rPr>
          <w:rFonts w:ascii="Times New Roman" w:hAnsi="Times New Roman"/>
        </w:rPr>
        <w:t>to guide development cooperation under th</w:t>
      </w:r>
      <w:r w:rsidR="00F03923">
        <w:rPr>
          <w:rFonts w:ascii="Times New Roman" w:hAnsi="Times New Roman"/>
        </w:rPr>
        <w:t>e</w:t>
      </w:r>
      <w:r w:rsidR="00551794" w:rsidRPr="00636B5E">
        <w:rPr>
          <w:rFonts w:ascii="Times New Roman" w:hAnsi="Times New Roman"/>
        </w:rPr>
        <w:t xml:space="preserve"> </w:t>
      </w:r>
      <w:r w:rsidR="00A94ECC" w:rsidRPr="00636B5E">
        <w:rPr>
          <w:rFonts w:ascii="Times New Roman" w:hAnsi="Times New Roman"/>
        </w:rPr>
        <w:t>Arrangement</w:t>
      </w:r>
      <w:r w:rsidR="003717AF" w:rsidRPr="00636B5E">
        <w:rPr>
          <w:rFonts w:ascii="Times New Roman" w:hAnsi="Times New Roman"/>
        </w:rPr>
        <w:t>,</w:t>
      </w:r>
      <w:r w:rsidR="00A94ECC" w:rsidRPr="00636B5E">
        <w:rPr>
          <w:rFonts w:ascii="Times New Roman" w:hAnsi="Times New Roman"/>
        </w:rPr>
        <w:t xml:space="preserve"> </w:t>
      </w:r>
      <w:r w:rsidR="00F03923">
        <w:rPr>
          <w:rFonts w:ascii="Times New Roman" w:hAnsi="Times New Roman"/>
        </w:rPr>
        <w:t>consistent</w:t>
      </w:r>
      <w:r w:rsidRPr="00636B5E">
        <w:rPr>
          <w:rFonts w:ascii="Times New Roman" w:hAnsi="Times New Roman"/>
        </w:rPr>
        <w:t xml:space="preserve"> with </w:t>
      </w:r>
      <w:r w:rsidR="00B00612" w:rsidRPr="00636B5E">
        <w:rPr>
          <w:rFonts w:ascii="Times New Roman" w:hAnsi="Times New Roman"/>
        </w:rPr>
        <w:t xml:space="preserve">common priorities </w:t>
      </w:r>
      <w:r w:rsidR="003717AF" w:rsidRPr="00636B5E">
        <w:rPr>
          <w:rFonts w:ascii="Times New Roman" w:hAnsi="Times New Roman"/>
        </w:rPr>
        <w:t xml:space="preserve">set out </w:t>
      </w:r>
      <w:r w:rsidR="00B00612" w:rsidRPr="00636B5E">
        <w:rPr>
          <w:rFonts w:ascii="Times New Roman" w:hAnsi="Times New Roman"/>
        </w:rPr>
        <w:t xml:space="preserve">in Solomon Islands’ development policies including the </w:t>
      </w:r>
      <w:r w:rsidR="00B00612" w:rsidRPr="00636B5E">
        <w:rPr>
          <w:rFonts w:ascii="Times New Roman" w:hAnsi="Times New Roman"/>
          <w:i/>
        </w:rPr>
        <w:t>National Development Strategy 2016-2035</w:t>
      </w:r>
      <w:r w:rsidR="00B00612" w:rsidRPr="00636B5E">
        <w:rPr>
          <w:rFonts w:ascii="Times New Roman" w:hAnsi="Times New Roman"/>
        </w:rPr>
        <w:t xml:space="preserve"> and the </w:t>
      </w:r>
      <w:r w:rsidR="00EB1F78">
        <w:rPr>
          <w:rFonts w:ascii="Times New Roman" w:hAnsi="Times New Roman"/>
          <w:lang w:val="en-AU"/>
        </w:rPr>
        <w:t xml:space="preserve">five-year annual rolling </w:t>
      </w:r>
      <w:r w:rsidR="00B00612" w:rsidRPr="00636B5E">
        <w:rPr>
          <w:rFonts w:ascii="Times New Roman" w:hAnsi="Times New Roman"/>
          <w:i/>
        </w:rPr>
        <w:t>Medium Term Development Plan</w:t>
      </w:r>
      <w:r w:rsidR="003717AF" w:rsidRPr="00636B5E">
        <w:rPr>
          <w:rFonts w:ascii="Times New Roman" w:hAnsi="Times New Roman"/>
          <w:i/>
        </w:rPr>
        <w:t>;</w:t>
      </w:r>
      <w:r w:rsidR="00B00612" w:rsidRPr="00636B5E">
        <w:rPr>
          <w:rFonts w:ascii="Times New Roman" w:hAnsi="Times New Roman"/>
          <w:i/>
        </w:rPr>
        <w:t xml:space="preserve"> </w:t>
      </w:r>
      <w:r w:rsidR="00B00612" w:rsidRPr="00636B5E">
        <w:rPr>
          <w:rFonts w:ascii="Times New Roman" w:hAnsi="Times New Roman"/>
        </w:rPr>
        <w:t>and</w:t>
      </w:r>
      <w:r w:rsidR="00B00612" w:rsidRPr="00636B5E">
        <w:rPr>
          <w:rFonts w:ascii="Times New Roman" w:hAnsi="Times New Roman"/>
          <w:i/>
        </w:rPr>
        <w:t xml:space="preserve"> </w:t>
      </w:r>
      <w:r w:rsidR="00BA1667" w:rsidRPr="00636B5E">
        <w:rPr>
          <w:rFonts w:ascii="Times New Roman" w:hAnsi="Times New Roman"/>
        </w:rPr>
        <w:t xml:space="preserve">Australia’s aid </w:t>
      </w:r>
      <w:r w:rsidRPr="00636B5E">
        <w:rPr>
          <w:rFonts w:ascii="Times New Roman" w:hAnsi="Times New Roman"/>
        </w:rPr>
        <w:t>policy</w:t>
      </w:r>
      <w:r w:rsidR="004E5AAF" w:rsidRPr="00636B5E">
        <w:rPr>
          <w:rFonts w:ascii="Times New Roman" w:hAnsi="Times New Roman"/>
        </w:rPr>
        <w:t>:</w:t>
      </w:r>
      <w:r w:rsidRPr="00636B5E">
        <w:rPr>
          <w:rFonts w:ascii="Times New Roman" w:hAnsi="Times New Roman"/>
        </w:rPr>
        <w:t xml:space="preserve"> </w:t>
      </w:r>
      <w:r w:rsidRPr="00636B5E">
        <w:rPr>
          <w:rFonts w:ascii="Times New Roman" w:hAnsi="Times New Roman"/>
          <w:i/>
        </w:rPr>
        <w:t>Australian aid program: Promoting prosperity, reducing poverty, enhancing stability</w:t>
      </w:r>
      <w:r w:rsidR="003717AF" w:rsidRPr="00636B5E">
        <w:rPr>
          <w:rFonts w:ascii="Times New Roman" w:hAnsi="Times New Roman"/>
          <w:i/>
        </w:rPr>
        <w:t>.</w:t>
      </w:r>
      <w:r w:rsidRPr="00636B5E">
        <w:rPr>
          <w:rFonts w:ascii="Times New Roman" w:hAnsi="Times New Roman"/>
        </w:rPr>
        <w:t xml:space="preserve"> </w:t>
      </w:r>
    </w:p>
    <w:p w:rsidR="004647F6" w:rsidRPr="00636B5E" w:rsidRDefault="002006B1" w:rsidP="00732638">
      <w:pPr>
        <w:pStyle w:val="DotDashColon"/>
        <w:numPr>
          <w:ilvl w:val="1"/>
          <w:numId w:val="3"/>
        </w:numPr>
        <w:tabs>
          <w:tab w:val="left" w:pos="1134"/>
        </w:tabs>
        <w:spacing w:after="120"/>
        <w:ind w:left="1134" w:hanging="708"/>
        <w:jc w:val="both"/>
        <w:rPr>
          <w:rFonts w:ascii="Times New Roman" w:hAnsi="Times New Roman"/>
        </w:rPr>
      </w:pPr>
      <w:r w:rsidRPr="00636B5E">
        <w:rPr>
          <w:rFonts w:ascii="Times New Roman" w:hAnsi="Times New Roman"/>
        </w:rPr>
        <w:t xml:space="preserve">The first priority is </w:t>
      </w:r>
      <w:r w:rsidR="00F25576" w:rsidRPr="00636B5E">
        <w:rPr>
          <w:rFonts w:ascii="Times New Roman" w:hAnsi="Times New Roman"/>
        </w:rPr>
        <w:t xml:space="preserve">a </w:t>
      </w:r>
      <w:r w:rsidR="00BF1386" w:rsidRPr="00636B5E">
        <w:rPr>
          <w:rFonts w:ascii="Times New Roman" w:hAnsi="Times New Roman"/>
          <w:b/>
        </w:rPr>
        <w:t>unified nation with stable and effective governance and public order</w:t>
      </w:r>
      <w:r w:rsidR="000209E7" w:rsidRPr="00995BD1">
        <w:rPr>
          <w:rFonts w:ascii="Times New Roman" w:hAnsi="Times New Roman"/>
        </w:rPr>
        <w:t>.</w:t>
      </w:r>
    </w:p>
    <w:p w:rsidR="004647F6" w:rsidRPr="004F04CF" w:rsidRDefault="004647F6" w:rsidP="00732638">
      <w:pPr>
        <w:pStyle w:val="DotDashColon"/>
        <w:numPr>
          <w:ilvl w:val="1"/>
          <w:numId w:val="3"/>
        </w:numPr>
        <w:tabs>
          <w:tab w:val="left" w:pos="1134"/>
        </w:tabs>
        <w:spacing w:after="120"/>
        <w:ind w:left="1134" w:hanging="708"/>
        <w:jc w:val="both"/>
        <w:rPr>
          <w:rFonts w:ascii="Times New Roman" w:hAnsi="Times New Roman"/>
        </w:rPr>
      </w:pPr>
      <w:r w:rsidRPr="00636B5E">
        <w:rPr>
          <w:rFonts w:ascii="Times New Roman" w:hAnsi="Times New Roman"/>
        </w:rPr>
        <w:t xml:space="preserve">The second priority is </w:t>
      </w:r>
      <w:r w:rsidR="00F25576" w:rsidRPr="005D4B32">
        <w:rPr>
          <w:rFonts w:ascii="Times New Roman" w:hAnsi="Times New Roman"/>
          <w:b/>
        </w:rPr>
        <w:t>s</w:t>
      </w:r>
      <w:r w:rsidR="00BF1386" w:rsidRPr="005D4B32">
        <w:rPr>
          <w:rFonts w:ascii="Times New Roman" w:hAnsi="Times New Roman"/>
          <w:b/>
        </w:rPr>
        <w:t xml:space="preserve">ustained and inclusive </w:t>
      </w:r>
      <w:r w:rsidR="001C6ECB" w:rsidRPr="00636B5E">
        <w:rPr>
          <w:rFonts w:ascii="Times New Roman" w:hAnsi="Times New Roman"/>
          <w:b/>
        </w:rPr>
        <w:t xml:space="preserve">economic </w:t>
      </w:r>
      <w:r w:rsidR="00CF593B" w:rsidRPr="004F04CF">
        <w:rPr>
          <w:rFonts w:ascii="Times New Roman" w:hAnsi="Times New Roman"/>
          <w:b/>
        </w:rPr>
        <w:t>g</w:t>
      </w:r>
      <w:r w:rsidR="001C6ECB" w:rsidRPr="004F04CF">
        <w:rPr>
          <w:rFonts w:ascii="Times New Roman" w:hAnsi="Times New Roman"/>
          <w:b/>
        </w:rPr>
        <w:t>rowth</w:t>
      </w:r>
      <w:r w:rsidR="000209E7" w:rsidRPr="00995BD1">
        <w:rPr>
          <w:rFonts w:ascii="Times New Roman" w:hAnsi="Times New Roman"/>
        </w:rPr>
        <w:t>.</w:t>
      </w:r>
    </w:p>
    <w:p w:rsidR="001C6ECB" w:rsidRPr="004F04CF" w:rsidRDefault="001C6ECB" w:rsidP="00732638">
      <w:pPr>
        <w:pStyle w:val="DotDashColon"/>
        <w:numPr>
          <w:ilvl w:val="1"/>
          <w:numId w:val="3"/>
        </w:numPr>
        <w:tabs>
          <w:tab w:val="left" w:pos="1134"/>
        </w:tabs>
        <w:spacing w:after="120"/>
        <w:ind w:left="1134" w:hanging="708"/>
        <w:jc w:val="both"/>
        <w:rPr>
          <w:rFonts w:ascii="Times New Roman" w:hAnsi="Times New Roman"/>
        </w:rPr>
      </w:pPr>
      <w:r w:rsidRPr="004F04CF">
        <w:rPr>
          <w:rFonts w:ascii="Times New Roman" w:hAnsi="Times New Roman"/>
        </w:rPr>
        <w:t xml:space="preserve">The third priority is to </w:t>
      </w:r>
      <w:r w:rsidR="00BF1386" w:rsidRPr="004F04CF">
        <w:rPr>
          <w:rFonts w:ascii="Times New Roman" w:hAnsi="Times New Roman"/>
        </w:rPr>
        <w:t xml:space="preserve">ensure Solomon Islanders have access to </w:t>
      </w:r>
      <w:r w:rsidR="00BF1386" w:rsidRPr="004F04CF">
        <w:rPr>
          <w:rFonts w:ascii="Times New Roman" w:hAnsi="Times New Roman"/>
          <w:b/>
        </w:rPr>
        <w:t>quality social services, including education and health</w:t>
      </w:r>
      <w:r w:rsidR="000209E7" w:rsidRPr="00995BD1">
        <w:rPr>
          <w:rFonts w:ascii="Times New Roman" w:hAnsi="Times New Roman"/>
        </w:rPr>
        <w:t>.</w:t>
      </w:r>
    </w:p>
    <w:p w:rsidR="001D2BF6" w:rsidRPr="00636B5E" w:rsidRDefault="001D2BF6" w:rsidP="001D2BF6">
      <w:pPr>
        <w:pStyle w:val="DotDashColon"/>
        <w:numPr>
          <w:ilvl w:val="1"/>
          <w:numId w:val="3"/>
        </w:numPr>
        <w:tabs>
          <w:tab w:val="left" w:pos="1134"/>
        </w:tabs>
        <w:spacing w:after="120"/>
        <w:ind w:left="1134" w:hanging="708"/>
        <w:jc w:val="both"/>
        <w:rPr>
          <w:rFonts w:ascii="Times New Roman" w:hAnsi="Times New Roman"/>
        </w:rPr>
      </w:pPr>
      <w:r w:rsidRPr="00CF2C6C">
        <w:rPr>
          <w:rFonts w:ascii="Times New Roman" w:hAnsi="Times New Roman"/>
        </w:rPr>
        <w:t xml:space="preserve">Cross-cutting issues include climate change and disaster resilience, gender equality, empowering women and girls. These issues are critical to addressing the barriers to economic growth and poverty reduction in Solomon Islands. </w:t>
      </w:r>
    </w:p>
    <w:p w:rsidR="006F3AD8" w:rsidRPr="00636B5E" w:rsidRDefault="006F3AD8" w:rsidP="00221CFC">
      <w:pPr>
        <w:pStyle w:val="DotDashColon"/>
        <w:numPr>
          <w:ilvl w:val="1"/>
          <w:numId w:val="3"/>
        </w:numPr>
        <w:tabs>
          <w:tab w:val="left" w:pos="1134"/>
        </w:tabs>
        <w:spacing w:after="120"/>
        <w:ind w:left="1134" w:hanging="708"/>
        <w:jc w:val="both"/>
        <w:rPr>
          <w:rFonts w:ascii="Times New Roman" w:hAnsi="Times New Roman"/>
        </w:rPr>
      </w:pPr>
      <w:r w:rsidRPr="00636B5E">
        <w:rPr>
          <w:rFonts w:ascii="Times New Roman" w:hAnsi="Times New Roman"/>
        </w:rPr>
        <w:t xml:space="preserve">Outcomes and targets to achieve these objectives are </w:t>
      </w:r>
      <w:r w:rsidR="000209E7">
        <w:rPr>
          <w:rFonts w:ascii="Times New Roman" w:hAnsi="Times New Roman"/>
        </w:rPr>
        <w:t>established</w:t>
      </w:r>
      <w:r w:rsidR="000209E7" w:rsidRPr="00636B5E">
        <w:rPr>
          <w:rFonts w:ascii="Times New Roman" w:hAnsi="Times New Roman"/>
        </w:rPr>
        <w:t xml:space="preserve"> </w:t>
      </w:r>
      <w:r w:rsidRPr="00636B5E">
        <w:rPr>
          <w:rFonts w:ascii="Times New Roman" w:hAnsi="Times New Roman"/>
        </w:rPr>
        <w:t xml:space="preserve">at the sector level </w:t>
      </w:r>
      <w:r w:rsidR="00875642" w:rsidRPr="00636B5E">
        <w:rPr>
          <w:rFonts w:ascii="Times New Roman" w:hAnsi="Times New Roman"/>
        </w:rPr>
        <w:t xml:space="preserve">with jointly </w:t>
      </w:r>
      <w:r w:rsidR="000209E7">
        <w:rPr>
          <w:rFonts w:ascii="Times New Roman" w:hAnsi="Times New Roman"/>
        </w:rPr>
        <w:t>determined</w:t>
      </w:r>
      <w:r w:rsidR="000209E7" w:rsidRPr="00636B5E">
        <w:rPr>
          <w:rFonts w:ascii="Times New Roman" w:hAnsi="Times New Roman"/>
        </w:rPr>
        <w:t xml:space="preserve"> </w:t>
      </w:r>
      <w:r w:rsidR="00875642" w:rsidRPr="00636B5E">
        <w:rPr>
          <w:rFonts w:ascii="Times New Roman" w:hAnsi="Times New Roman"/>
        </w:rPr>
        <w:t xml:space="preserve">performance criteria </w:t>
      </w:r>
      <w:r w:rsidRPr="00636B5E">
        <w:rPr>
          <w:rFonts w:ascii="Times New Roman" w:hAnsi="Times New Roman"/>
        </w:rPr>
        <w:t xml:space="preserve">between the </w:t>
      </w:r>
      <w:r w:rsidR="00DC479F">
        <w:rPr>
          <w:rFonts w:ascii="Times New Roman" w:hAnsi="Times New Roman"/>
        </w:rPr>
        <w:t>Partners</w:t>
      </w:r>
      <w:r w:rsidR="00D702F1" w:rsidRPr="00636B5E">
        <w:rPr>
          <w:rFonts w:ascii="Times New Roman" w:hAnsi="Times New Roman"/>
        </w:rPr>
        <w:t>.</w:t>
      </w:r>
    </w:p>
    <w:p w:rsidR="002006B1" w:rsidRPr="00636B5E" w:rsidRDefault="00173257" w:rsidP="00173C05">
      <w:pPr>
        <w:pStyle w:val="DotDashColon"/>
        <w:numPr>
          <w:ilvl w:val="0"/>
          <w:numId w:val="0"/>
        </w:numPr>
        <w:spacing w:after="120"/>
        <w:ind w:left="567" w:hanging="567"/>
        <w:jc w:val="both"/>
        <w:rPr>
          <w:rFonts w:ascii="Times New Roman" w:hAnsi="Times New Roman"/>
          <w:i/>
        </w:rPr>
      </w:pPr>
      <w:r w:rsidRPr="005D4B32">
        <w:rPr>
          <w:rFonts w:ascii="Times New Roman" w:hAnsi="Times New Roman"/>
        </w:rPr>
        <w:t>___________________________________________________________________________</w:t>
      </w:r>
    </w:p>
    <w:p w:rsidR="00A82FBC" w:rsidRPr="004F04CF" w:rsidRDefault="00A82FBC">
      <w:pPr>
        <w:rPr>
          <w:b/>
        </w:rPr>
      </w:pPr>
      <w:r w:rsidRPr="004F04CF">
        <w:rPr>
          <w:b/>
        </w:rPr>
        <w:br w:type="page"/>
      </w:r>
    </w:p>
    <w:p w:rsidR="00D23FED" w:rsidRPr="00636B5E" w:rsidRDefault="002006B1" w:rsidP="00732638">
      <w:pPr>
        <w:pStyle w:val="ListParagraph"/>
        <w:numPr>
          <w:ilvl w:val="0"/>
          <w:numId w:val="3"/>
        </w:numPr>
        <w:spacing w:before="60" w:line="360" w:lineRule="auto"/>
        <w:ind w:left="426" w:hanging="426"/>
        <w:jc w:val="both"/>
        <w:rPr>
          <w:b/>
        </w:rPr>
      </w:pPr>
      <w:r w:rsidRPr="00CF2C6C">
        <w:rPr>
          <w:b/>
        </w:rPr>
        <w:t>Mutual</w:t>
      </w:r>
      <w:r w:rsidR="00C96089" w:rsidRPr="00CF2C6C">
        <w:rPr>
          <w:b/>
        </w:rPr>
        <w:t>ly Reinforcing Commitments</w:t>
      </w:r>
    </w:p>
    <w:p w:rsidR="00020363" w:rsidRPr="00636B5E" w:rsidRDefault="00E85803" w:rsidP="00020363">
      <w:pPr>
        <w:pStyle w:val="DotDashColon"/>
        <w:numPr>
          <w:ilvl w:val="1"/>
          <w:numId w:val="3"/>
        </w:numPr>
        <w:tabs>
          <w:tab w:val="left" w:pos="851"/>
        </w:tabs>
        <w:spacing w:after="120"/>
        <w:ind w:left="851" w:hanging="850"/>
        <w:jc w:val="both"/>
        <w:rPr>
          <w:rFonts w:ascii="Times New Roman" w:hAnsi="Times New Roman"/>
        </w:rPr>
      </w:pPr>
      <w:r>
        <w:rPr>
          <w:rFonts w:ascii="Times New Roman" w:hAnsi="Times New Roman"/>
          <w:lang w:val="en-AU"/>
        </w:rPr>
        <w:t>For all cooperation under the Arrangement</w:t>
      </w:r>
      <w:r w:rsidR="00875642" w:rsidRPr="00636B5E">
        <w:rPr>
          <w:rFonts w:ascii="Times New Roman" w:hAnsi="Times New Roman"/>
          <w:i/>
        </w:rPr>
        <w:t>,</w:t>
      </w:r>
      <w:r w:rsidR="00875642" w:rsidRPr="00636B5E">
        <w:rPr>
          <w:rFonts w:ascii="Times New Roman" w:hAnsi="Times New Roman"/>
        </w:rPr>
        <w:t xml:space="preserve"> the </w:t>
      </w:r>
      <w:r w:rsidR="00F03923">
        <w:rPr>
          <w:rFonts w:ascii="Times New Roman" w:hAnsi="Times New Roman"/>
        </w:rPr>
        <w:t>Partners</w:t>
      </w:r>
      <w:r w:rsidR="00875642" w:rsidRPr="00636B5E">
        <w:rPr>
          <w:rFonts w:ascii="Times New Roman" w:hAnsi="Times New Roman"/>
        </w:rPr>
        <w:t xml:space="preserve"> will pursue mutually reinforcing commitments to achieve these objectives. </w:t>
      </w:r>
    </w:p>
    <w:p w:rsidR="002006B1" w:rsidRPr="00636B5E" w:rsidRDefault="006F2333" w:rsidP="00732638">
      <w:pPr>
        <w:pStyle w:val="DotDashColon"/>
        <w:numPr>
          <w:ilvl w:val="1"/>
          <w:numId w:val="3"/>
        </w:numPr>
        <w:tabs>
          <w:tab w:val="left" w:pos="851"/>
        </w:tabs>
        <w:spacing w:after="120"/>
        <w:ind w:left="851" w:hanging="850"/>
        <w:jc w:val="both"/>
        <w:rPr>
          <w:rFonts w:ascii="Times New Roman" w:hAnsi="Times New Roman"/>
        </w:rPr>
      </w:pPr>
      <w:r>
        <w:rPr>
          <w:rFonts w:ascii="Times New Roman" w:hAnsi="Times New Roman"/>
        </w:rPr>
        <w:t xml:space="preserve">SIG </w:t>
      </w:r>
      <w:r w:rsidR="00875642" w:rsidRPr="00636B5E">
        <w:rPr>
          <w:rFonts w:ascii="Times New Roman" w:hAnsi="Times New Roman"/>
        </w:rPr>
        <w:t>confirms its commitment to</w:t>
      </w:r>
      <w:r w:rsidR="002006B1" w:rsidRPr="00636B5E">
        <w:rPr>
          <w:rFonts w:ascii="Times New Roman" w:hAnsi="Times New Roman"/>
        </w:rPr>
        <w:t>:</w:t>
      </w:r>
    </w:p>
    <w:p w:rsidR="002006B1" w:rsidRPr="006059EF" w:rsidRDefault="006F2333" w:rsidP="00BA59C4">
      <w:pPr>
        <w:pStyle w:val="DotDashColon"/>
        <w:numPr>
          <w:ilvl w:val="0"/>
          <w:numId w:val="5"/>
        </w:numPr>
        <w:tabs>
          <w:tab w:val="left" w:pos="1134"/>
        </w:tabs>
        <w:spacing w:after="120"/>
        <w:ind w:left="1134" w:hanging="425"/>
        <w:jc w:val="both"/>
        <w:rPr>
          <w:rFonts w:ascii="Times New Roman" w:hAnsi="Times New Roman"/>
        </w:rPr>
      </w:pPr>
      <w:r>
        <w:rPr>
          <w:rFonts w:ascii="Times New Roman" w:hAnsi="Times New Roman"/>
        </w:rPr>
        <w:t>I</w:t>
      </w:r>
      <w:r w:rsidR="00045C32" w:rsidRPr="00636B5E">
        <w:rPr>
          <w:rFonts w:ascii="Times New Roman" w:hAnsi="Times New Roman"/>
        </w:rPr>
        <w:t xml:space="preserve">mplement </w:t>
      </w:r>
      <w:r w:rsidR="00E540B6" w:rsidRPr="00636B5E">
        <w:rPr>
          <w:rFonts w:ascii="Times New Roman" w:hAnsi="Times New Roman"/>
        </w:rPr>
        <w:t>Solomon Islands</w:t>
      </w:r>
      <w:r w:rsidR="00F020DB" w:rsidRPr="00636B5E">
        <w:rPr>
          <w:rFonts w:ascii="Times New Roman" w:hAnsi="Times New Roman"/>
        </w:rPr>
        <w:t>’</w:t>
      </w:r>
      <w:r w:rsidR="00024F59" w:rsidRPr="00636B5E">
        <w:rPr>
          <w:rFonts w:ascii="Times New Roman" w:hAnsi="Times New Roman"/>
        </w:rPr>
        <w:t xml:space="preserve"> </w:t>
      </w:r>
      <w:r w:rsidR="00024F59" w:rsidRPr="00636B5E">
        <w:rPr>
          <w:rFonts w:ascii="Times New Roman" w:hAnsi="Times New Roman"/>
          <w:i/>
        </w:rPr>
        <w:t>National Development Strategy 2016-2035</w:t>
      </w:r>
      <w:r w:rsidR="00024F59" w:rsidRPr="00636B5E">
        <w:rPr>
          <w:rFonts w:ascii="Times New Roman" w:hAnsi="Times New Roman"/>
        </w:rPr>
        <w:t xml:space="preserve"> and the </w:t>
      </w:r>
      <w:r w:rsidR="000946D5">
        <w:rPr>
          <w:rFonts w:ascii="Times New Roman" w:hAnsi="Times New Roman"/>
          <w:lang w:val="en-AU"/>
        </w:rPr>
        <w:t xml:space="preserve">five-year annual rolling </w:t>
      </w:r>
      <w:r w:rsidR="00024F59" w:rsidRPr="00636B5E">
        <w:rPr>
          <w:rFonts w:ascii="Times New Roman" w:hAnsi="Times New Roman"/>
          <w:i/>
        </w:rPr>
        <w:t>Medium Term Development Plan</w:t>
      </w:r>
      <w:r>
        <w:rPr>
          <w:rFonts w:ascii="Times New Roman" w:hAnsi="Times New Roman"/>
        </w:rPr>
        <w:t xml:space="preserve"> and other sectoral plans</w:t>
      </w:r>
      <w:r w:rsidR="006059EF">
        <w:rPr>
          <w:rFonts w:ascii="Times New Roman" w:hAnsi="Times New Roman"/>
          <w:lang w:val="en-AU"/>
        </w:rPr>
        <w:t>;</w:t>
      </w:r>
    </w:p>
    <w:p w:rsidR="006059EF" w:rsidRPr="006059EF" w:rsidRDefault="006059EF" w:rsidP="00E91EEA">
      <w:pPr>
        <w:pStyle w:val="DotDashColon"/>
        <w:numPr>
          <w:ilvl w:val="0"/>
          <w:numId w:val="5"/>
        </w:numPr>
        <w:tabs>
          <w:tab w:val="left" w:pos="1134"/>
        </w:tabs>
        <w:spacing w:after="120"/>
        <w:ind w:left="1134" w:hanging="425"/>
        <w:jc w:val="both"/>
        <w:rPr>
          <w:rFonts w:ascii="Times New Roman" w:hAnsi="Times New Roman"/>
        </w:rPr>
      </w:pPr>
      <w:r w:rsidRPr="006059EF">
        <w:rPr>
          <w:rFonts w:ascii="Times New Roman" w:hAnsi="Times New Roman"/>
        </w:rPr>
        <w:t>Increase funding for policing and the Royal Solomon Islands Police Force and justice sector;</w:t>
      </w:r>
    </w:p>
    <w:p w:rsidR="006F5971" w:rsidRPr="004437BD" w:rsidRDefault="000209E7" w:rsidP="004C679B">
      <w:pPr>
        <w:pStyle w:val="DotDashColon"/>
        <w:numPr>
          <w:ilvl w:val="0"/>
          <w:numId w:val="5"/>
        </w:numPr>
        <w:tabs>
          <w:tab w:val="left" w:pos="1134"/>
        </w:tabs>
        <w:spacing w:after="120"/>
        <w:ind w:left="1134" w:hanging="425"/>
        <w:jc w:val="both"/>
        <w:rPr>
          <w:rFonts w:ascii="Times New Roman" w:hAnsi="Times New Roman"/>
        </w:rPr>
      </w:pPr>
      <w:r w:rsidRPr="00B339AB">
        <w:rPr>
          <w:rFonts w:ascii="Times New Roman" w:hAnsi="Times New Roman"/>
        </w:rPr>
        <w:t xml:space="preserve">Commit </w:t>
      </w:r>
      <w:r w:rsidR="006F5971" w:rsidRPr="00B339AB">
        <w:rPr>
          <w:rFonts w:ascii="Times New Roman" w:hAnsi="Times New Roman"/>
        </w:rPr>
        <w:t xml:space="preserve">complementary </w:t>
      </w:r>
      <w:r w:rsidR="0012258E" w:rsidRPr="00B339AB">
        <w:rPr>
          <w:rFonts w:ascii="Times New Roman" w:hAnsi="Times New Roman"/>
        </w:rPr>
        <w:t xml:space="preserve">SIG </w:t>
      </w:r>
      <w:r w:rsidR="006F5971" w:rsidRPr="00B339AB">
        <w:rPr>
          <w:rFonts w:ascii="Times New Roman" w:hAnsi="Times New Roman"/>
        </w:rPr>
        <w:t xml:space="preserve">funding contributions for </w:t>
      </w:r>
      <w:r w:rsidR="00C66807" w:rsidRPr="00B339AB">
        <w:rPr>
          <w:rFonts w:ascii="Times New Roman" w:hAnsi="Times New Roman"/>
        </w:rPr>
        <w:t xml:space="preserve">mutually </w:t>
      </w:r>
      <w:r w:rsidR="005263EB" w:rsidRPr="00B339AB">
        <w:rPr>
          <w:rFonts w:ascii="Times New Roman" w:hAnsi="Times New Roman"/>
        </w:rPr>
        <w:t xml:space="preserve">determined </w:t>
      </w:r>
      <w:r w:rsidR="006F5971" w:rsidRPr="00B339AB">
        <w:rPr>
          <w:rFonts w:ascii="Times New Roman" w:hAnsi="Times New Roman"/>
        </w:rPr>
        <w:t>priorities across the health, education</w:t>
      </w:r>
      <w:r w:rsidR="006F5971" w:rsidRPr="004C679B">
        <w:rPr>
          <w:rFonts w:ascii="Times New Roman" w:hAnsi="Times New Roman"/>
        </w:rPr>
        <w:t xml:space="preserve">, </w:t>
      </w:r>
      <w:r w:rsidR="00FC68C9" w:rsidRPr="004437BD">
        <w:rPr>
          <w:rFonts w:ascii="Times New Roman" w:hAnsi="Times New Roman"/>
        </w:rPr>
        <w:t xml:space="preserve">and </w:t>
      </w:r>
      <w:r w:rsidR="006F5971" w:rsidRPr="004C679B">
        <w:rPr>
          <w:rFonts w:ascii="Times New Roman" w:hAnsi="Times New Roman"/>
        </w:rPr>
        <w:t>transport</w:t>
      </w:r>
      <w:r w:rsidR="00E85803">
        <w:rPr>
          <w:rFonts w:ascii="Times New Roman" w:hAnsi="Times New Roman"/>
          <w:lang w:val="en-AU"/>
        </w:rPr>
        <w:t xml:space="preserve"> sectors</w:t>
      </w:r>
      <w:r w:rsidR="006F5971" w:rsidRPr="004C679B">
        <w:rPr>
          <w:rFonts w:ascii="Times New Roman" w:hAnsi="Times New Roman"/>
        </w:rPr>
        <w:t xml:space="preserve"> </w:t>
      </w:r>
      <w:r w:rsidR="00801D8E" w:rsidRPr="004C679B">
        <w:rPr>
          <w:rFonts w:ascii="Times New Roman" w:hAnsi="Times New Roman"/>
        </w:rPr>
        <w:t xml:space="preserve">and meet the terms of </w:t>
      </w:r>
      <w:r w:rsidR="008B3E87" w:rsidRPr="004C679B">
        <w:rPr>
          <w:rFonts w:ascii="Times New Roman" w:hAnsi="Times New Roman"/>
        </w:rPr>
        <w:t xml:space="preserve">any </w:t>
      </w:r>
      <w:r w:rsidR="00801D8E" w:rsidRPr="004C679B">
        <w:rPr>
          <w:rFonts w:ascii="Times New Roman" w:hAnsi="Times New Roman"/>
        </w:rPr>
        <w:t>performance linked aid a</w:t>
      </w:r>
      <w:r w:rsidR="008B3E87" w:rsidRPr="004C679B">
        <w:rPr>
          <w:rFonts w:ascii="Times New Roman" w:hAnsi="Times New Roman"/>
        </w:rPr>
        <w:t>rrangements</w:t>
      </w:r>
      <w:r w:rsidR="0077354D" w:rsidRPr="004C679B">
        <w:rPr>
          <w:rFonts w:ascii="Times New Roman" w:hAnsi="Times New Roman"/>
        </w:rPr>
        <w:t>;</w:t>
      </w:r>
    </w:p>
    <w:p w:rsidR="00B955A8" w:rsidRPr="00C26FEB" w:rsidRDefault="000209E7" w:rsidP="00BA59C4">
      <w:pPr>
        <w:pStyle w:val="DotDashColon"/>
        <w:numPr>
          <w:ilvl w:val="0"/>
          <w:numId w:val="5"/>
        </w:numPr>
        <w:tabs>
          <w:tab w:val="left" w:pos="1134"/>
        </w:tabs>
        <w:spacing w:after="120"/>
        <w:ind w:left="1134" w:hanging="425"/>
        <w:jc w:val="both"/>
        <w:rPr>
          <w:rFonts w:ascii="Times New Roman" w:hAnsi="Times New Roman"/>
        </w:rPr>
      </w:pPr>
      <w:r w:rsidRPr="00C26FEB">
        <w:rPr>
          <w:rFonts w:ascii="Times New Roman" w:hAnsi="Times New Roman"/>
        </w:rPr>
        <w:t xml:space="preserve">Improved </w:t>
      </w:r>
      <w:r w:rsidR="00875642" w:rsidRPr="00C26FEB">
        <w:rPr>
          <w:rFonts w:ascii="Times New Roman" w:hAnsi="Times New Roman"/>
        </w:rPr>
        <w:t>governance, including the rule of law, sound macroeconomic policy and management of public resources, including strengthened public sector capacity and public financial management</w:t>
      </w:r>
      <w:r w:rsidR="00B955A8" w:rsidRPr="00C26FEB">
        <w:rPr>
          <w:rFonts w:ascii="Times New Roman" w:hAnsi="Times New Roman"/>
        </w:rPr>
        <w:t>. This will include:</w:t>
      </w:r>
    </w:p>
    <w:p w:rsidR="006F5971" w:rsidRPr="00C26FEB" w:rsidRDefault="009C3F3E" w:rsidP="000209E7">
      <w:pPr>
        <w:pStyle w:val="DotDashColon"/>
        <w:numPr>
          <w:ilvl w:val="1"/>
          <w:numId w:val="15"/>
        </w:numPr>
        <w:tabs>
          <w:tab w:val="left" w:pos="1701"/>
        </w:tabs>
        <w:spacing w:after="120"/>
        <w:ind w:left="1701"/>
        <w:jc w:val="both"/>
        <w:rPr>
          <w:rFonts w:ascii="Times New Roman" w:hAnsi="Times New Roman"/>
        </w:rPr>
      </w:pPr>
      <w:r w:rsidRPr="00C26FEB">
        <w:rPr>
          <w:rFonts w:ascii="Times New Roman" w:hAnsi="Times New Roman"/>
        </w:rPr>
        <w:t>Progress</w:t>
      </w:r>
      <w:r w:rsidR="00E85803">
        <w:rPr>
          <w:rFonts w:ascii="Times New Roman" w:hAnsi="Times New Roman"/>
          <w:lang w:val="en-AU"/>
        </w:rPr>
        <w:t>ing</w:t>
      </w:r>
      <w:r w:rsidRPr="00C26FEB">
        <w:rPr>
          <w:rFonts w:ascii="Times New Roman" w:hAnsi="Times New Roman"/>
        </w:rPr>
        <w:t xml:space="preserve"> </w:t>
      </w:r>
      <w:r w:rsidR="00B955A8" w:rsidRPr="00C26FEB">
        <w:rPr>
          <w:rFonts w:ascii="Times New Roman" w:hAnsi="Times New Roman"/>
        </w:rPr>
        <w:t xml:space="preserve">implementation of </w:t>
      </w:r>
      <w:r w:rsidR="00844FD3" w:rsidRPr="00C26FEB">
        <w:rPr>
          <w:rFonts w:ascii="Times New Roman" w:hAnsi="Times New Roman"/>
        </w:rPr>
        <w:t xml:space="preserve">the </w:t>
      </w:r>
      <w:r w:rsidR="00844FD3" w:rsidRPr="00C26FEB">
        <w:rPr>
          <w:rFonts w:ascii="Times New Roman" w:hAnsi="Times New Roman"/>
          <w:i/>
        </w:rPr>
        <w:t>Public Financial Management Act</w:t>
      </w:r>
      <w:r w:rsidR="009C66C5" w:rsidRPr="00C26FEB">
        <w:rPr>
          <w:rFonts w:ascii="Times New Roman" w:hAnsi="Times New Roman"/>
          <w:i/>
        </w:rPr>
        <w:t xml:space="preserve"> 2013</w:t>
      </w:r>
      <w:r w:rsidR="00844FD3" w:rsidRPr="00C26FEB">
        <w:rPr>
          <w:rFonts w:ascii="Times New Roman" w:hAnsi="Times New Roman"/>
        </w:rPr>
        <w:t xml:space="preserve"> </w:t>
      </w:r>
      <w:r w:rsidR="006F5971" w:rsidRPr="00C26FEB">
        <w:rPr>
          <w:rFonts w:ascii="Times New Roman" w:hAnsi="Times New Roman"/>
        </w:rPr>
        <w:t xml:space="preserve">to improve public financial management and quality of </w:t>
      </w:r>
      <w:r w:rsidR="008B3E87" w:rsidRPr="00C26FEB">
        <w:rPr>
          <w:rFonts w:ascii="Times New Roman" w:hAnsi="Times New Roman"/>
        </w:rPr>
        <w:t>expenditure</w:t>
      </w:r>
      <w:r w:rsidR="00E85803">
        <w:rPr>
          <w:rFonts w:ascii="Times New Roman" w:hAnsi="Times New Roman"/>
          <w:lang w:val="en-AU"/>
        </w:rPr>
        <w:t>,</w:t>
      </w:r>
      <w:r w:rsidR="008B3E87" w:rsidRPr="00C26FEB">
        <w:rPr>
          <w:rFonts w:ascii="Times New Roman" w:hAnsi="Times New Roman"/>
        </w:rPr>
        <w:t xml:space="preserve"> </w:t>
      </w:r>
      <w:r w:rsidR="00C66807" w:rsidRPr="00C26FEB">
        <w:rPr>
          <w:rFonts w:ascii="Times New Roman" w:hAnsi="Times New Roman"/>
        </w:rPr>
        <w:t>and manage fiduciary risks</w:t>
      </w:r>
      <w:r w:rsidR="00E85803">
        <w:rPr>
          <w:rFonts w:ascii="Times New Roman" w:hAnsi="Times New Roman"/>
          <w:lang w:val="en-AU"/>
        </w:rPr>
        <w:t>;</w:t>
      </w:r>
      <w:r w:rsidR="00C66807" w:rsidRPr="00C26FEB">
        <w:rPr>
          <w:rFonts w:ascii="Times New Roman" w:hAnsi="Times New Roman"/>
        </w:rPr>
        <w:t xml:space="preserve"> </w:t>
      </w:r>
      <w:r w:rsidR="008B3E87" w:rsidRPr="00C26FEB">
        <w:rPr>
          <w:rFonts w:ascii="Times New Roman" w:hAnsi="Times New Roman"/>
        </w:rPr>
        <w:t>and</w:t>
      </w:r>
      <w:r w:rsidR="006F5971" w:rsidRPr="00C26FEB">
        <w:rPr>
          <w:rFonts w:ascii="Times New Roman" w:hAnsi="Times New Roman"/>
        </w:rPr>
        <w:t xml:space="preserve"> </w:t>
      </w:r>
    </w:p>
    <w:p w:rsidR="00801D8E" w:rsidRPr="00C26FEB" w:rsidRDefault="00B8356C" w:rsidP="000209E7">
      <w:pPr>
        <w:pStyle w:val="DotDashColon"/>
        <w:numPr>
          <w:ilvl w:val="1"/>
          <w:numId w:val="15"/>
        </w:numPr>
        <w:tabs>
          <w:tab w:val="left" w:pos="1701"/>
        </w:tabs>
        <w:spacing w:after="120"/>
        <w:ind w:left="1701"/>
        <w:jc w:val="both"/>
        <w:rPr>
          <w:rFonts w:ascii="Times New Roman" w:hAnsi="Times New Roman"/>
        </w:rPr>
      </w:pPr>
      <w:r w:rsidRPr="00F950B2">
        <w:rPr>
          <w:rFonts w:ascii="Times New Roman" w:hAnsi="Times New Roman"/>
        </w:rPr>
        <w:t>Progress</w:t>
      </w:r>
      <w:r w:rsidR="00E85803">
        <w:rPr>
          <w:rFonts w:ascii="Times New Roman" w:hAnsi="Times New Roman"/>
          <w:lang w:val="en-AU"/>
        </w:rPr>
        <w:t>ing</w:t>
      </w:r>
      <w:r w:rsidRPr="00F950B2">
        <w:rPr>
          <w:rFonts w:ascii="Times New Roman" w:hAnsi="Times New Roman"/>
        </w:rPr>
        <w:t xml:space="preserve"> implementation of the public finance management action plan within the whole of </w:t>
      </w:r>
      <w:r w:rsidR="00E85803">
        <w:rPr>
          <w:rFonts w:ascii="Times New Roman" w:hAnsi="Times New Roman"/>
          <w:lang w:val="en-AU"/>
        </w:rPr>
        <w:t>SIG</w:t>
      </w:r>
      <w:r w:rsidR="00E85803" w:rsidRPr="00F950B2">
        <w:rPr>
          <w:rFonts w:ascii="Times New Roman" w:hAnsi="Times New Roman"/>
        </w:rPr>
        <w:t xml:space="preserve"> </w:t>
      </w:r>
      <w:r w:rsidRPr="00F950B2">
        <w:rPr>
          <w:rFonts w:ascii="Times New Roman" w:hAnsi="Times New Roman"/>
        </w:rPr>
        <w:t xml:space="preserve">including updating of the </w:t>
      </w:r>
      <w:r w:rsidR="00E85803">
        <w:rPr>
          <w:rFonts w:ascii="Times New Roman" w:hAnsi="Times New Roman"/>
          <w:lang w:val="en-AU"/>
        </w:rPr>
        <w:t>Public Finance Management</w:t>
      </w:r>
      <w:r w:rsidR="00E85803" w:rsidRPr="00F950B2">
        <w:rPr>
          <w:rFonts w:ascii="Times New Roman" w:hAnsi="Times New Roman"/>
        </w:rPr>
        <w:t xml:space="preserve"> </w:t>
      </w:r>
      <w:r w:rsidRPr="00F950B2">
        <w:rPr>
          <w:rFonts w:ascii="Times New Roman" w:hAnsi="Times New Roman"/>
        </w:rPr>
        <w:t>Roadmap</w:t>
      </w:r>
      <w:r w:rsidR="00801D8E" w:rsidRPr="00C26FEB">
        <w:rPr>
          <w:rFonts w:ascii="Times New Roman" w:hAnsi="Times New Roman"/>
        </w:rPr>
        <w:t>.</w:t>
      </w:r>
    </w:p>
    <w:p w:rsidR="00FC68C9" w:rsidRPr="0032341B" w:rsidRDefault="000209E7" w:rsidP="00BA59C4">
      <w:pPr>
        <w:pStyle w:val="DotDashColon"/>
        <w:numPr>
          <w:ilvl w:val="0"/>
          <w:numId w:val="5"/>
        </w:numPr>
        <w:tabs>
          <w:tab w:val="left" w:pos="1134"/>
        </w:tabs>
        <w:spacing w:after="120"/>
        <w:ind w:left="1134" w:hanging="425"/>
        <w:jc w:val="both"/>
        <w:rPr>
          <w:rFonts w:ascii="Times New Roman" w:hAnsi="Times New Roman"/>
        </w:rPr>
      </w:pPr>
      <w:r w:rsidRPr="00C26FEB">
        <w:rPr>
          <w:rFonts w:ascii="Times New Roman" w:hAnsi="Times New Roman"/>
        </w:rPr>
        <w:t xml:space="preserve">The </w:t>
      </w:r>
      <w:r w:rsidR="006F5971" w:rsidRPr="00C26FEB">
        <w:rPr>
          <w:rFonts w:ascii="Times New Roman" w:hAnsi="Times New Roman"/>
        </w:rPr>
        <w:t xml:space="preserve">mutually </w:t>
      </w:r>
      <w:r w:rsidRPr="00C26FEB">
        <w:rPr>
          <w:rFonts w:ascii="Times New Roman" w:hAnsi="Times New Roman"/>
        </w:rPr>
        <w:t xml:space="preserve">determined </w:t>
      </w:r>
      <w:r w:rsidR="006F5971" w:rsidRPr="00C26FEB">
        <w:rPr>
          <w:rFonts w:ascii="Times New Roman" w:hAnsi="Times New Roman"/>
          <w:i/>
        </w:rPr>
        <w:t>Joint Statement on Zero Tolerance to Fraud in Solomon Islands</w:t>
      </w:r>
      <w:r w:rsidR="0017713E" w:rsidRPr="00C26FEB">
        <w:rPr>
          <w:rFonts w:ascii="Times New Roman" w:hAnsi="Times New Roman"/>
        </w:rPr>
        <w:t xml:space="preserve"> </w:t>
      </w:r>
      <w:r w:rsidR="009345BC" w:rsidRPr="00C26FEB">
        <w:rPr>
          <w:rFonts w:ascii="Times New Roman" w:hAnsi="Times New Roman"/>
        </w:rPr>
        <w:t>for</w:t>
      </w:r>
      <w:r w:rsidR="0017713E" w:rsidRPr="00C26FEB">
        <w:rPr>
          <w:rFonts w:ascii="Times New Roman" w:hAnsi="Times New Roman"/>
        </w:rPr>
        <w:t xml:space="preserve"> the management and delivery of the Australian aid program in Solomon Islands</w:t>
      </w:r>
      <w:r w:rsidR="00E85803">
        <w:rPr>
          <w:rFonts w:ascii="Times New Roman" w:hAnsi="Times New Roman"/>
          <w:lang w:val="en-AU"/>
        </w:rPr>
        <w:t>,</w:t>
      </w:r>
      <w:r w:rsidRPr="00C26FEB">
        <w:rPr>
          <w:rFonts w:ascii="Times New Roman" w:hAnsi="Times New Roman"/>
        </w:rPr>
        <w:t xml:space="preserve"> </w:t>
      </w:r>
      <w:r w:rsidR="0032341B">
        <w:rPr>
          <w:rFonts w:ascii="Times New Roman" w:hAnsi="Times New Roman"/>
          <w:lang w:val="en-AU"/>
        </w:rPr>
        <w:t xml:space="preserve">noting Australia’s ongoing need to retain oversight of Australian funds </w:t>
      </w:r>
      <w:r w:rsidR="004437BD">
        <w:rPr>
          <w:rFonts w:ascii="Times New Roman" w:hAnsi="Times New Roman"/>
          <w:lang w:val="en-AU"/>
        </w:rPr>
        <w:t>disbursed through SIG’s systems; and</w:t>
      </w:r>
    </w:p>
    <w:p w:rsidR="00C66807" w:rsidRPr="00636B5E" w:rsidRDefault="000209E7" w:rsidP="00BA59C4">
      <w:pPr>
        <w:pStyle w:val="DotDashColon"/>
        <w:numPr>
          <w:ilvl w:val="0"/>
          <w:numId w:val="5"/>
        </w:numPr>
        <w:tabs>
          <w:tab w:val="left" w:pos="1134"/>
        </w:tabs>
        <w:spacing w:after="120"/>
        <w:ind w:left="1134" w:hanging="425"/>
        <w:jc w:val="both"/>
        <w:rPr>
          <w:rFonts w:ascii="Times New Roman" w:hAnsi="Times New Roman"/>
        </w:rPr>
      </w:pPr>
      <w:r w:rsidRPr="00F374E6">
        <w:rPr>
          <w:rFonts w:ascii="Times New Roman" w:hAnsi="Times New Roman"/>
        </w:rPr>
        <w:t xml:space="preserve">Continue </w:t>
      </w:r>
      <w:r w:rsidR="0024518E" w:rsidRPr="00F374E6">
        <w:rPr>
          <w:rFonts w:ascii="Times New Roman" w:hAnsi="Times New Roman"/>
        </w:rPr>
        <w:t>to</w:t>
      </w:r>
      <w:r w:rsidR="00F12A2E" w:rsidRPr="00F374E6">
        <w:rPr>
          <w:rFonts w:ascii="Times New Roman" w:hAnsi="Times New Roman"/>
        </w:rPr>
        <w:t xml:space="preserve"> implement </w:t>
      </w:r>
      <w:r w:rsidR="00C66807" w:rsidRPr="00F374E6">
        <w:rPr>
          <w:rFonts w:ascii="Times New Roman" w:hAnsi="Times New Roman"/>
        </w:rPr>
        <w:t>legislation to help reduce family violence</w:t>
      </w:r>
      <w:r w:rsidR="00F12A2E" w:rsidRPr="00F374E6">
        <w:rPr>
          <w:rFonts w:ascii="Times New Roman" w:hAnsi="Times New Roman"/>
        </w:rPr>
        <w:t>, including funding agencies involved in the implementation of the</w:t>
      </w:r>
      <w:r w:rsidR="00C66807" w:rsidRPr="00F374E6">
        <w:rPr>
          <w:rFonts w:ascii="Times New Roman" w:hAnsi="Times New Roman"/>
          <w:i/>
        </w:rPr>
        <w:t xml:space="preserve"> Family Protection</w:t>
      </w:r>
      <w:r w:rsidR="00C66807" w:rsidRPr="00636B5E">
        <w:rPr>
          <w:rFonts w:ascii="Times New Roman" w:hAnsi="Times New Roman"/>
          <w:i/>
        </w:rPr>
        <w:t xml:space="preserve"> Act</w:t>
      </w:r>
      <w:r w:rsidR="0024518E" w:rsidRPr="00636B5E">
        <w:rPr>
          <w:rFonts w:ascii="Times New Roman" w:hAnsi="Times New Roman"/>
          <w:i/>
        </w:rPr>
        <w:t>.</w:t>
      </w:r>
      <w:r w:rsidR="00C66807" w:rsidRPr="004F04CF">
        <w:rPr>
          <w:rFonts w:ascii="Times New Roman" w:hAnsi="Times New Roman"/>
        </w:rPr>
        <w:t xml:space="preserve"> </w:t>
      </w:r>
    </w:p>
    <w:p w:rsidR="002006B1" w:rsidRPr="004252DC" w:rsidRDefault="002006B1" w:rsidP="00732638">
      <w:pPr>
        <w:pStyle w:val="DotDashColon"/>
        <w:numPr>
          <w:ilvl w:val="1"/>
          <w:numId w:val="3"/>
        </w:numPr>
        <w:tabs>
          <w:tab w:val="left" w:pos="851"/>
        </w:tabs>
        <w:spacing w:after="120"/>
        <w:ind w:left="851" w:hanging="850"/>
        <w:jc w:val="both"/>
        <w:rPr>
          <w:rFonts w:ascii="Times New Roman" w:hAnsi="Times New Roman"/>
        </w:rPr>
      </w:pPr>
      <w:r w:rsidRPr="004F04CF">
        <w:rPr>
          <w:rFonts w:ascii="Times New Roman" w:hAnsi="Times New Roman"/>
        </w:rPr>
        <w:t xml:space="preserve">The </w:t>
      </w:r>
      <w:r w:rsidR="00F03923">
        <w:rPr>
          <w:rFonts w:ascii="Times New Roman" w:hAnsi="Times New Roman"/>
        </w:rPr>
        <w:t>GOA</w:t>
      </w:r>
      <w:r w:rsidRPr="004F04CF">
        <w:rPr>
          <w:rFonts w:ascii="Times New Roman" w:hAnsi="Times New Roman"/>
        </w:rPr>
        <w:t xml:space="preserve"> will:</w:t>
      </w:r>
    </w:p>
    <w:p w:rsidR="0040656A" w:rsidRPr="00636B5E" w:rsidRDefault="000209E7" w:rsidP="00BA59C4">
      <w:pPr>
        <w:pStyle w:val="DotDashColon"/>
        <w:numPr>
          <w:ilvl w:val="0"/>
          <w:numId w:val="6"/>
        </w:numPr>
        <w:tabs>
          <w:tab w:val="left" w:pos="1134"/>
        </w:tabs>
        <w:spacing w:after="120"/>
        <w:jc w:val="both"/>
        <w:rPr>
          <w:rFonts w:ascii="Times New Roman" w:hAnsi="Times New Roman"/>
        </w:rPr>
      </w:pPr>
      <w:r>
        <w:rPr>
          <w:rFonts w:ascii="Times New Roman" w:hAnsi="Times New Roman"/>
        </w:rPr>
        <w:t>D</w:t>
      </w:r>
      <w:r w:rsidRPr="00CF2C6C">
        <w:rPr>
          <w:rFonts w:ascii="Times New Roman" w:hAnsi="Times New Roman"/>
        </w:rPr>
        <w:t xml:space="preserve">eliver </w:t>
      </w:r>
      <w:r w:rsidR="00B15DCE" w:rsidRPr="00CF2C6C">
        <w:rPr>
          <w:rFonts w:ascii="Times New Roman" w:hAnsi="Times New Roman"/>
        </w:rPr>
        <w:t xml:space="preserve">its </w:t>
      </w:r>
      <w:r w:rsidR="002006B1" w:rsidRPr="00E610CF">
        <w:rPr>
          <w:rFonts w:ascii="Times New Roman" w:hAnsi="Times New Roman"/>
        </w:rPr>
        <w:t xml:space="preserve">aid </w:t>
      </w:r>
      <w:r w:rsidRPr="00E610CF">
        <w:rPr>
          <w:rFonts w:ascii="Times New Roman" w:hAnsi="Times New Roman"/>
        </w:rPr>
        <w:t>program</w:t>
      </w:r>
      <w:r w:rsidR="00B15DCE" w:rsidRPr="00E610CF">
        <w:rPr>
          <w:rFonts w:ascii="Times New Roman" w:hAnsi="Times New Roman"/>
        </w:rPr>
        <w:t xml:space="preserve"> </w:t>
      </w:r>
      <w:r w:rsidR="002006B1" w:rsidRPr="00E610CF">
        <w:rPr>
          <w:rFonts w:ascii="Times New Roman" w:hAnsi="Times New Roman"/>
        </w:rPr>
        <w:t>in line with</w:t>
      </w:r>
      <w:r w:rsidR="0040656A" w:rsidRPr="00E610CF">
        <w:rPr>
          <w:rFonts w:ascii="Times New Roman" w:hAnsi="Times New Roman"/>
        </w:rPr>
        <w:t xml:space="preserve"> the strategic </w:t>
      </w:r>
      <w:r w:rsidR="00AD576B" w:rsidRPr="00E610CF">
        <w:rPr>
          <w:rFonts w:ascii="Times New Roman" w:hAnsi="Times New Roman"/>
        </w:rPr>
        <w:t xml:space="preserve">priorities and </w:t>
      </w:r>
      <w:r w:rsidR="0040656A" w:rsidRPr="00E610CF">
        <w:rPr>
          <w:rFonts w:ascii="Times New Roman" w:hAnsi="Times New Roman"/>
        </w:rPr>
        <w:t xml:space="preserve">objectives of this </w:t>
      </w:r>
      <w:r w:rsidR="002E0883" w:rsidRPr="00636B5E">
        <w:rPr>
          <w:rFonts w:ascii="Times New Roman" w:hAnsi="Times New Roman"/>
        </w:rPr>
        <w:t>Arrangement</w:t>
      </w:r>
      <w:r w:rsidR="00E97483" w:rsidRPr="00636B5E">
        <w:rPr>
          <w:rFonts w:ascii="Times New Roman" w:hAnsi="Times New Roman"/>
        </w:rPr>
        <w:t xml:space="preserve">, reinforcing </w:t>
      </w:r>
      <w:r w:rsidR="00E540B6" w:rsidRPr="00636B5E">
        <w:rPr>
          <w:rFonts w:ascii="Times New Roman" w:hAnsi="Times New Roman"/>
        </w:rPr>
        <w:t>Solomon Islands’</w:t>
      </w:r>
      <w:r w:rsidR="00E97483" w:rsidRPr="00636B5E">
        <w:rPr>
          <w:rFonts w:ascii="Times New Roman" w:hAnsi="Times New Roman"/>
        </w:rPr>
        <w:t xml:space="preserve"> leadership of effective development strategies and programs</w:t>
      </w:r>
      <w:r w:rsidR="0040656A" w:rsidRPr="00636B5E">
        <w:rPr>
          <w:rFonts w:ascii="Times New Roman" w:hAnsi="Times New Roman"/>
        </w:rPr>
        <w:t>;</w:t>
      </w:r>
      <w:r w:rsidR="0077354D" w:rsidRPr="00636B5E">
        <w:rPr>
          <w:rFonts w:ascii="Times New Roman" w:hAnsi="Times New Roman"/>
        </w:rPr>
        <w:t xml:space="preserve"> </w:t>
      </w:r>
    </w:p>
    <w:p w:rsidR="00E757CC" w:rsidRPr="00636B5E" w:rsidRDefault="000209E7" w:rsidP="00BA59C4">
      <w:pPr>
        <w:pStyle w:val="DotDashColon"/>
        <w:numPr>
          <w:ilvl w:val="0"/>
          <w:numId w:val="6"/>
        </w:numPr>
        <w:tabs>
          <w:tab w:val="left" w:pos="1134"/>
        </w:tabs>
        <w:spacing w:after="120"/>
        <w:jc w:val="both"/>
        <w:rPr>
          <w:rFonts w:ascii="Times New Roman" w:hAnsi="Times New Roman"/>
        </w:rPr>
      </w:pPr>
      <w:r>
        <w:rPr>
          <w:rFonts w:ascii="Times New Roman" w:hAnsi="Times New Roman"/>
        </w:rPr>
        <w:t>U</w:t>
      </w:r>
      <w:r w:rsidRPr="00636B5E">
        <w:rPr>
          <w:rFonts w:ascii="Times New Roman" w:hAnsi="Times New Roman"/>
        </w:rPr>
        <w:t xml:space="preserve">pdate </w:t>
      </w:r>
      <w:r w:rsidR="007048AF">
        <w:rPr>
          <w:rFonts w:ascii="Times New Roman" w:hAnsi="Times New Roman"/>
        </w:rPr>
        <w:t xml:space="preserve">SIG </w:t>
      </w:r>
      <w:r w:rsidR="00496DF7" w:rsidRPr="00636B5E">
        <w:rPr>
          <w:rFonts w:ascii="Times New Roman" w:hAnsi="Times New Roman"/>
        </w:rPr>
        <w:t>on</w:t>
      </w:r>
      <w:r w:rsidR="0051715F" w:rsidRPr="00636B5E">
        <w:rPr>
          <w:rFonts w:ascii="Times New Roman" w:hAnsi="Times New Roman"/>
        </w:rPr>
        <w:t xml:space="preserve"> domestic policy </w:t>
      </w:r>
      <w:r w:rsidR="00927335" w:rsidRPr="00636B5E">
        <w:rPr>
          <w:rFonts w:ascii="Times New Roman" w:hAnsi="Times New Roman"/>
        </w:rPr>
        <w:t>developments</w:t>
      </w:r>
      <w:r w:rsidR="0040656A" w:rsidRPr="00636B5E">
        <w:rPr>
          <w:rFonts w:ascii="Times New Roman" w:hAnsi="Times New Roman"/>
        </w:rPr>
        <w:t xml:space="preserve"> which may affect the anticipated level of funding</w:t>
      </w:r>
      <w:r w:rsidR="009C66C5">
        <w:rPr>
          <w:rFonts w:ascii="Times New Roman" w:hAnsi="Times New Roman"/>
        </w:rPr>
        <w:t>;</w:t>
      </w:r>
      <w:r w:rsidR="002E0883" w:rsidRPr="00636B5E">
        <w:rPr>
          <w:rFonts w:ascii="Times New Roman" w:hAnsi="Times New Roman"/>
        </w:rPr>
        <w:t xml:space="preserve"> </w:t>
      </w:r>
    </w:p>
    <w:p w:rsidR="003F56E8" w:rsidRPr="00636B5E" w:rsidRDefault="000209E7" w:rsidP="00BA59C4">
      <w:pPr>
        <w:pStyle w:val="DotDashColon"/>
        <w:numPr>
          <w:ilvl w:val="0"/>
          <w:numId w:val="6"/>
        </w:numPr>
        <w:tabs>
          <w:tab w:val="left" w:pos="1134"/>
        </w:tabs>
        <w:spacing w:after="120"/>
        <w:jc w:val="both"/>
        <w:rPr>
          <w:rFonts w:ascii="Times New Roman" w:hAnsi="Times New Roman"/>
        </w:rPr>
      </w:pPr>
      <w:r>
        <w:rPr>
          <w:rFonts w:ascii="Times New Roman" w:hAnsi="Times New Roman"/>
        </w:rPr>
        <w:t>E</w:t>
      </w:r>
      <w:r w:rsidRPr="00636B5E">
        <w:rPr>
          <w:rFonts w:ascii="Times New Roman" w:hAnsi="Times New Roman"/>
        </w:rPr>
        <w:t xml:space="preserve">ngage </w:t>
      </w:r>
      <w:r w:rsidR="007048AF">
        <w:rPr>
          <w:rFonts w:ascii="Times New Roman" w:hAnsi="Times New Roman"/>
        </w:rPr>
        <w:t>SIG</w:t>
      </w:r>
      <w:r w:rsidR="002E0883" w:rsidRPr="00636B5E">
        <w:rPr>
          <w:rFonts w:ascii="Times New Roman" w:hAnsi="Times New Roman"/>
        </w:rPr>
        <w:t xml:space="preserve"> in policy discussions on funding allocations</w:t>
      </w:r>
      <w:r w:rsidR="00CC316A" w:rsidRPr="00636B5E">
        <w:rPr>
          <w:rFonts w:ascii="Times New Roman" w:hAnsi="Times New Roman"/>
        </w:rPr>
        <w:t xml:space="preserve"> with a view to sustainability</w:t>
      </w:r>
      <w:r w:rsidR="001830A5">
        <w:rPr>
          <w:rFonts w:ascii="Times New Roman" w:hAnsi="Times New Roman"/>
          <w:lang w:val="en-AU"/>
        </w:rPr>
        <w:t xml:space="preserve"> </w:t>
      </w:r>
      <w:r w:rsidR="005C5C8A">
        <w:rPr>
          <w:rFonts w:ascii="Times New Roman" w:hAnsi="Times New Roman"/>
          <w:lang w:val="en-AU"/>
        </w:rPr>
        <w:t xml:space="preserve">and </w:t>
      </w:r>
      <w:r w:rsidR="00B655A0">
        <w:rPr>
          <w:rFonts w:ascii="Times New Roman" w:hAnsi="Times New Roman"/>
          <w:lang w:val="en-AU"/>
        </w:rPr>
        <w:t xml:space="preserve">enhancing predictability of </w:t>
      </w:r>
      <w:r w:rsidR="00375E79" w:rsidRPr="00591298">
        <w:rPr>
          <w:rFonts w:ascii="Times New Roman" w:hAnsi="Times New Roman"/>
          <w:lang w:val="en-AU"/>
        </w:rPr>
        <w:t>GOA</w:t>
      </w:r>
      <w:r w:rsidR="00B655A0" w:rsidRPr="00591298">
        <w:rPr>
          <w:rFonts w:ascii="Times New Roman" w:hAnsi="Times New Roman"/>
          <w:lang w:val="en-AU"/>
        </w:rPr>
        <w:t xml:space="preserve"> funding</w:t>
      </w:r>
      <w:r w:rsidR="006059EF" w:rsidRPr="00591298">
        <w:rPr>
          <w:rFonts w:ascii="Times New Roman" w:hAnsi="Times New Roman"/>
          <w:lang w:val="en-AU"/>
        </w:rPr>
        <w:t>;</w:t>
      </w:r>
    </w:p>
    <w:p w:rsidR="00E757CC" w:rsidRPr="00636B5E" w:rsidRDefault="000209E7" w:rsidP="00BA59C4">
      <w:pPr>
        <w:pStyle w:val="DotDashColon"/>
        <w:numPr>
          <w:ilvl w:val="0"/>
          <w:numId w:val="6"/>
        </w:numPr>
        <w:tabs>
          <w:tab w:val="left" w:pos="1134"/>
        </w:tabs>
        <w:spacing w:after="120"/>
        <w:jc w:val="both"/>
        <w:rPr>
          <w:rFonts w:ascii="Times New Roman" w:hAnsi="Times New Roman"/>
        </w:rPr>
      </w:pPr>
      <w:r>
        <w:rPr>
          <w:rFonts w:ascii="Times New Roman" w:hAnsi="Times New Roman"/>
        </w:rPr>
        <w:t>C</w:t>
      </w:r>
      <w:r w:rsidRPr="00636B5E">
        <w:rPr>
          <w:rFonts w:ascii="Times New Roman" w:hAnsi="Times New Roman"/>
        </w:rPr>
        <w:t xml:space="preserve">ontinue </w:t>
      </w:r>
      <w:r w:rsidR="00E757CC" w:rsidRPr="00636B5E">
        <w:rPr>
          <w:rFonts w:ascii="Times New Roman" w:hAnsi="Times New Roman"/>
        </w:rPr>
        <w:t xml:space="preserve">to support </w:t>
      </w:r>
      <w:r w:rsidR="007048AF">
        <w:rPr>
          <w:rFonts w:ascii="Times New Roman" w:hAnsi="Times New Roman"/>
        </w:rPr>
        <w:t>SIG</w:t>
      </w:r>
      <w:r w:rsidR="007048AF" w:rsidRPr="00636B5E">
        <w:rPr>
          <w:rFonts w:ascii="Times New Roman" w:hAnsi="Times New Roman"/>
        </w:rPr>
        <w:t xml:space="preserve"> </w:t>
      </w:r>
      <w:r w:rsidR="00E757CC" w:rsidRPr="00636B5E">
        <w:rPr>
          <w:rFonts w:ascii="Times New Roman" w:hAnsi="Times New Roman"/>
        </w:rPr>
        <w:t>as a bilateral development partner in its development priorities; and</w:t>
      </w:r>
    </w:p>
    <w:p w:rsidR="00E757CC" w:rsidRPr="00636B5E" w:rsidRDefault="000209E7" w:rsidP="00BA59C4">
      <w:pPr>
        <w:pStyle w:val="DotDashColon"/>
        <w:numPr>
          <w:ilvl w:val="0"/>
          <w:numId w:val="6"/>
        </w:numPr>
        <w:tabs>
          <w:tab w:val="left" w:pos="1134"/>
        </w:tabs>
        <w:spacing w:after="120"/>
        <w:jc w:val="both"/>
        <w:rPr>
          <w:rFonts w:ascii="Times New Roman" w:hAnsi="Times New Roman"/>
        </w:rPr>
      </w:pPr>
      <w:r>
        <w:rPr>
          <w:rFonts w:ascii="Times New Roman" w:hAnsi="Times New Roman"/>
        </w:rPr>
        <w:t>S</w:t>
      </w:r>
      <w:r w:rsidRPr="00636B5E">
        <w:rPr>
          <w:rFonts w:ascii="Times New Roman" w:hAnsi="Times New Roman"/>
        </w:rPr>
        <w:t xml:space="preserve">upport </w:t>
      </w:r>
      <w:r w:rsidR="007048AF">
        <w:rPr>
          <w:rFonts w:ascii="Times New Roman" w:hAnsi="Times New Roman"/>
        </w:rPr>
        <w:t>SIG</w:t>
      </w:r>
      <w:r w:rsidR="007048AF" w:rsidRPr="00636B5E">
        <w:rPr>
          <w:rFonts w:ascii="Times New Roman" w:hAnsi="Times New Roman"/>
        </w:rPr>
        <w:t xml:space="preserve"> </w:t>
      </w:r>
      <w:r w:rsidR="00777101" w:rsidRPr="00636B5E">
        <w:rPr>
          <w:rFonts w:ascii="Times New Roman" w:hAnsi="Times New Roman"/>
        </w:rPr>
        <w:t xml:space="preserve">in </w:t>
      </w:r>
      <w:r w:rsidR="00A03262" w:rsidRPr="00636B5E">
        <w:rPr>
          <w:rFonts w:ascii="Times New Roman" w:hAnsi="Times New Roman"/>
        </w:rPr>
        <w:t xml:space="preserve">preparing for RAMSI’s conclusion and transition to a new </w:t>
      </w:r>
      <w:r w:rsidR="00A03262" w:rsidRPr="00636B5E">
        <w:rPr>
          <w:rFonts w:ascii="Times New Roman" w:hAnsi="Times New Roman"/>
        </w:rPr>
        <w:lastRenderedPageBreak/>
        <w:t xml:space="preserve">bilateral policing capacity development program on 30 June </w:t>
      </w:r>
      <w:r w:rsidR="00A03262" w:rsidRPr="006059EF">
        <w:rPr>
          <w:rFonts w:ascii="Times New Roman" w:hAnsi="Times New Roman"/>
        </w:rPr>
        <w:t>2017</w:t>
      </w:r>
      <w:r w:rsidR="00367CF7" w:rsidRPr="006059EF">
        <w:rPr>
          <w:rFonts w:ascii="Times New Roman" w:hAnsi="Times New Roman"/>
          <w:i/>
          <w:lang w:val="en-AU"/>
        </w:rPr>
        <w:t xml:space="preserve"> </w:t>
      </w:r>
      <w:r w:rsidR="00367CF7" w:rsidRPr="006059EF">
        <w:rPr>
          <w:rFonts w:ascii="Times New Roman" w:hAnsi="Times New Roman"/>
          <w:lang w:val="en-AU"/>
        </w:rPr>
        <w:t>including support to SIG national L</w:t>
      </w:r>
      <w:r w:rsidR="00A14DC8" w:rsidRPr="006059EF">
        <w:rPr>
          <w:rFonts w:ascii="Times New Roman" w:hAnsi="Times New Roman"/>
          <w:lang w:val="en-AU"/>
        </w:rPr>
        <w:t>aw Enforcement Agencies</w:t>
      </w:r>
      <w:r w:rsidR="00367CF7" w:rsidRPr="006059EF">
        <w:rPr>
          <w:rFonts w:ascii="Times New Roman" w:hAnsi="Times New Roman"/>
          <w:lang w:val="en-AU"/>
        </w:rPr>
        <w:t xml:space="preserve"> on broader security issues</w:t>
      </w:r>
      <w:r w:rsidR="006059EF">
        <w:rPr>
          <w:rFonts w:ascii="Times New Roman" w:hAnsi="Times New Roman"/>
          <w:lang w:val="en-AU"/>
        </w:rPr>
        <w:t>.</w:t>
      </w:r>
    </w:p>
    <w:p w:rsidR="00717975" w:rsidRPr="00636B5E" w:rsidRDefault="0026594D" w:rsidP="00717975">
      <w:pPr>
        <w:pStyle w:val="DotDashColon"/>
        <w:numPr>
          <w:ilvl w:val="1"/>
          <w:numId w:val="3"/>
        </w:numPr>
        <w:tabs>
          <w:tab w:val="left" w:pos="851"/>
        </w:tabs>
        <w:spacing w:after="120"/>
        <w:ind w:left="851" w:hanging="850"/>
        <w:jc w:val="both"/>
        <w:rPr>
          <w:rFonts w:ascii="Times New Roman" w:hAnsi="Times New Roman"/>
        </w:rPr>
      </w:pPr>
      <w:r w:rsidRPr="004F04CF">
        <w:rPr>
          <w:rFonts w:ascii="Times New Roman" w:hAnsi="Times New Roman"/>
        </w:rPr>
        <w:t xml:space="preserve">The </w:t>
      </w:r>
      <w:r w:rsidR="00F03923">
        <w:rPr>
          <w:rFonts w:ascii="Times New Roman" w:hAnsi="Times New Roman"/>
        </w:rPr>
        <w:t>Partners</w:t>
      </w:r>
      <w:r w:rsidR="00951C71" w:rsidRPr="00CF2C6C">
        <w:rPr>
          <w:rFonts w:ascii="Times New Roman" w:hAnsi="Times New Roman"/>
        </w:rPr>
        <w:t xml:space="preserve"> </w:t>
      </w:r>
      <w:r w:rsidR="00F03923">
        <w:rPr>
          <w:rFonts w:ascii="Times New Roman" w:hAnsi="Times New Roman"/>
        </w:rPr>
        <w:t xml:space="preserve">undertake to </w:t>
      </w:r>
      <w:r w:rsidR="000209E7">
        <w:rPr>
          <w:rFonts w:ascii="Times New Roman" w:hAnsi="Times New Roman"/>
        </w:rPr>
        <w:t>achieve</w:t>
      </w:r>
      <w:r w:rsidRPr="00CF2C6C">
        <w:rPr>
          <w:rFonts w:ascii="Times New Roman" w:hAnsi="Times New Roman"/>
        </w:rPr>
        <w:t xml:space="preserve"> high standards of transparency and accountability</w:t>
      </w:r>
      <w:r w:rsidR="00951C71" w:rsidRPr="00636B5E">
        <w:rPr>
          <w:rFonts w:ascii="Times New Roman" w:hAnsi="Times New Roman"/>
        </w:rPr>
        <w:t>, value-for-money principles and active management of risks in</w:t>
      </w:r>
      <w:r w:rsidRPr="00636B5E">
        <w:rPr>
          <w:rFonts w:ascii="Times New Roman" w:hAnsi="Times New Roman"/>
        </w:rPr>
        <w:t xml:space="preserve"> </w:t>
      </w:r>
      <w:r w:rsidR="00E85803">
        <w:rPr>
          <w:rFonts w:ascii="Times New Roman" w:hAnsi="Times New Roman"/>
          <w:lang w:val="en-AU"/>
        </w:rPr>
        <w:t>all activities implemented under this Arrangement</w:t>
      </w:r>
      <w:r w:rsidR="00951C71" w:rsidRPr="00636B5E">
        <w:rPr>
          <w:rFonts w:ascii="Times New Roman" w:hAnsi="Times New Roman"/>
        </w:rPr>
        <w:t>, including through mitigating adverse environmental and social impacts of the aid program through the application of safeguard policies in environment, resettlement and child protection.</w:t>
      </w:r>
      <w:r w:rsidR="00717975" w:rsidRPr="00636B5E">
        <w:rPr>
          <w:rFonts w:ascii="Times New Roman" w:hAnsi="Times New Roman"/>
        </w:rPr>
        <w:t xml:space="preserve"> </w:t>
      </w:r>
    </w:p>
    <w:p w:rsidR="001D2BF6" w:rsidRPr="00636B5E" w:rsidRDefault="001D2BF6" w:rsidP="001D2BF6">
      <w:pPr>
        <w:pStyle w:val="DotDashColon"/>
        <w:numPr>
          <w:ilvl w:val="1"/>
          <w:numId w:val="3"/>
        </w:numPr>
        <w:tabs>
          <w:tab w:val="left" w:pos="851"/>
        </w:tabs>
        <w:spacing w:after="120"/>
        <w:ind w:left="851" w:hanging="850"/>
        <w:jc w:val="both"/>
        <w:rPr>
          <w:rFonts w:ascii="Times New Roman" w:hAnsi="Times New Roman"/>
        </w:rPr>
      </w:pPr>
      <w:r w:rsidRPr="00636B5E">
        <w:rPr>
          <w:rFonts w:ascii="Times New Roman" w:hAnsi="Times New Roman"/>
        </w:rPr>
        <w:t xml:space="preserve">The </w:t>
      </w:r>
      <w:r w:rsidR="00F03923">
        <w:rPr>
          <w:rFonts w:ascii="Times New Roman" w:hAnsi="Times New Roman"/>
        </w:rPr>
        <w:t>Partners</w:t>
      </w:r>
      <w:r w:rsidR="009C66C5">
        <w:rPr>
          <w:rFonts w:ascii="Times New Roman" w:hAnsi="Times New Roman"/>
        </w:rPr>
        <w:t xml:space="preserve"> will</w:t>
      </w:r>
      <w:r w:rsidRPr="00636B5E">
        <w:rPr>
          <w:rFonts w:ascii="Times New Roman" w:hAnsi="Times New Roman"/>
        </w:rPr>
        <w:t xml:space="preserve"> continue to consider climate and disaster resilience in </w:t>
      </w:r>
      <w:r w:rsidR="009C66C5">
        <w:rPr>
          <w:rFonts w:ascii="Times New Roman" w:hAnsi="Times New Roman"/>
        </w:rPr>
        <w:t>their</w:t>
      </w:r>
      <w:r w:rsidR="009C66C5" w:rsidRPr="00636B5E">
        <w:rPr>
          <w:rFonts w:ascii="Times New Roman" w:hAnsi="Times New Roman"/>
        </w:rPr>
        <w:t xml:space="preserve"> </w:t>
      </w:r>
      <w:r w:rsidRPr="00636B5E">
        <w:rPr>
          <w:rFonts w:ascii="Times New Roman" w:hAnsi="Times New Roman"/>
        </w:rPr>
        <w:t>activities</w:t>
      </w:r>
      <w:r w:rsidR="00E85803">
        <w:rPr>
          <w:rFonts w:ascii="Times New Roman" w:hAnsi="Times New Roman"/>
          <w:lang w:val="en-AU"/>
        </w:rPr>
        <w:t xml:space="preserve"> under this Arrangement</w:t>
      </w:r>
      <w:r w:rsidRPr="00636B5E">
        <w:rPr>
          <w:rFonts w:ascii="Times New Roman" w:hAnsi="Times New Roman"/>
        </w:rPr>
        <w:t xml:space="preserve"> to safeguard longevity, ensure value for money, and help build resilience. </w:t>
      </w:r>
    </w:p>
    <w:p w:rsidR="004952D7" w:rsidRPr="00636B5E" w:rsidRDefault="004952D7" w:rsidP="004952D7">
      <w:pPr>
        <w:pStyle w:val="DotDashColon"/>
        <w:numPr>
          <w:ilvl w:val="0"/>
          <w:numId w:val="0"/>
        </w:numPr>
        <w:tabs>
          <w:tab w:val="left" w:pos="851"/>
        </w:tabs>
        <w:spacing w:after="120"/>
        <w:ind w:left="1"/>
        <w:jc w:val="both"/>
        <w:rPr>
          <w:rFonts w:ascii="Times New Roman" w:hAnsi="Times New Roman"/>
        </w:rPr>
      </w:pPr>
    </w:p>
    <w:p w:rsidR="001C01BB" w:rsidRPr="00636B5E" w:rsidRDefault="00F846F6" w:rsidP="001D2BF6">
      <w:pPr>
        <w:pStyle w:val="ListParagraph"/>
        <w:numPr>
          <w:ilvl w:val="0"/>
          <w:numId w:val="3"/>
        </w:numPr>
        <w:spacing w:before="60" w:line="360" w:lineRule="auto"/>
        <w:ind w:left="142" w:hanging="218"/>
        <w:jc w:val="both"/>
        <w:rPr>
          <w:b/>
        </w:rPr>
      </w:pPr>
      <w:r w:rsidRPr="00636B5E">
        <w:rPr>
          <w:b/>
        </w:rPr>
        <w:t xml:space="preserve">Performance Benchmarks </w:t>
      </w:r>
    </w:p>
    <w:p w:rsidR="00A273E9" w:rsidRPr="00636B5E" w:rsidRDefault="00555785" w:rsidP="00B00C8B">
      <w:pPr>
        <w:pStyle w:val="DotDashColon"/>
        <w:numPr>
          <w:ilvl w:val="1"/>
          <w:numId w:val="3"/>
        </w:numPr>
        <w:tabs>
          <w:tab w:val="left" w:pos="851"/>
        </w:tabs>
        <w:spacing w:after="120"/>
        <w:ind w:left="851" w:hanging="850"/>
        <w:jc w:val="both"/>
        <w:rPr>
          <w:rFonts w:ascii="Times New Roman" w:hAnsi="Times New Roman"/>
        </w:rPr>
      </w:pPr>
      <w:r w:rsidRPr="00636B5E">
        <w:rPr>
          <w:rFonts w:ascii="Times New Roman" w:hAnsi="Times New Roman"/>
        </w:rPr>
        <w:t>Australian aid to</w:t>
      </w:r>
      <w:r w:rsidR="000209E7">
        <w:rPr>
          <w:rFonts w:ascii="Times New Roman" w:hAnsi="Times New Roman"/>
        </w:rPr>
        <w:t xml:space="preserve"> the</w:t>
      </w:r>
      <w:r w:rsidRPr="00636B5E">
        <w:rPr>
          <w:rFonts w:ascii="Times New Roman" w:hAnsi="Times New Roman"/>
        </w:rPr>
        <w:t xml:space="preserve"> Solomon Islands will be linked to performance</w:t>
      </w:r>
      <w:r w:rsidR="001C7760" w:rsidRPr="00636B5E">
        <w:rPr>
          <w:rFonts w:ascii="Times New Roman" w:hAnsi="Times New Roman"/>
        </w:rPr>
        <w:t xml:space="preserve"> </w:t>
      </w:r>
      <w:r w:rsidRPr="00636B5E">
        <w:rPr>
          <w:rFonts w:ascii="Times New Roman" w:hAnsi="Times New Roman"/>
        </w:rPr>
        <w:t xml:space="preserve">in line with </w:t>
      </w:r>
      <w:r w:rsidRPr="00995BD1">
        <w:rPr>
          <w:rFonts w:ascii="Times New Roman" w:hAnsi="Times New Roman"/>
          <w:i/>
        </w:rPr>
        <w:t>Making Performance Count: Enhancing the Accountability and Effectiveness of Australian Aid</w:t>
      </w:r>
      <w:r w:rsidR="00BC780F">
        <w:rPr>
          <w:rFonts w:ascii="Times New Roman" w:hAnsi="Times New Roman"/>
        </w:rPr>
        <w:t xml:space="preserve"> a</w:t>
      </w:r>
      <w:r w:rsidR="00BC780F">
        <w:rPr>
          <w:rFonts w:ascii="Times New Roman" w:hAnsi="Times New Roman"/>
          <w:lang w:val="en-AU"/>
        </w:rPr>
        <w:t>n</w:t>
      </w:r>
      <w:r w:rsidR="00900649">
        <w:rPr>
          <w:rFonts w:ascii="Times New Roman" w:hAnsi="Times New Roman"/>
        </w:rPr>
        <w:t>d the Solomon Islands NDS 2016-2035 Monitoring and Evaluation Performance Framework</w:t>
      </w:r>
      <w:r w:rsidR="004437BD">
        <w:rPr>
          <w:rFonts w:ascii="Times New Roman" w:hAnsi="Times New Roman"/>
          <w:lang w:val="en-AU"/>
        </w:rPr>
        <w:t>.</w:t>
      </w:r>
      <w:r w:rsidR="00A273E9" w:rsidRPr="00636B5E">
        <w:rPr>
          <w:rFonts w:ascii="Times New Roman" w:hAnsi="Times New Roman"/>
        </w:rPr>
        <w:t xml:space="preserve"> </w:t>
      </w:r>
    </w:p>
    <w:p w:rsidR="00B00C8B" w:rsidRPr="00636B5E" w:rsidRDefault="00B00C8B" w:rsidP="00B00C8B">
      <w:pPr>
        <w:pStyle w:val="DotDashColon"/>
        <w:numPr>
          <w:ilvl w:val="1"/>
          <w:numId w:val="3"/>
        </w:numPr>
        <w:tabs>
          <w:tab w:val="left" w:pos="851"/>
        </w:tabs>
        <w:spacing w:after="120"/>
        <w:ind w:left="851" w:hanging="850"/>
        <w:jc w:val="both"/>
        <w:rPr>
          <w:rFonts w:ascii="Times New Roman" w:hAnsi="Times New Roman"/>
        </w:rPr>
      </w:pPr>
      <w:r w:rsidRPr="00636B5E">
        <w:rPr>
          <w:rFonts w:ascii="Times New Roman" w:hAnsi="Times New Roman"/>
        </w:rPr>
        <w:t xml:space="preserve">Consistent with the </w:t>
      </w:r>
      <w:r w:rsidR="007F715D">
        <w:rPr>
          <w:rFonts w:ascii="Times New Roman" w:hAnsi="Times New Roman"/>
        </w:rPr>
        <w:t>SIG’s</w:t>
      </w:r>
      <w:r w:rsidR="007F715D" w:rsidRPr="00636B5E">
        <w:rPr>
          <w:rFonts w:ascii="Times New Roman" w:hAnsi="Times New Roman"/>
        </w:rPr>
        <w:t xml:space="preserve"> </w:t>
      </w:r>
      <w:r w:rsidRPr="00636B5E">
        <w:rPr>
          <w:rFonts w:ascii="Times New Roman" w:hAnsi="Times New Roman"/>
        </w:rPr>
        <w:t xml:space="preserve">commitment to the principle of joint, regular and evidence based review of progress against the objectives and commitments of the Partnership, </w:t>
      </w:r>
      <w:r w:rsidR="00DC479F">
        <w:rPr>
          <w:rFonts w:ascii="Times New Roman" w:hAnsi="Times New Roman"/>
        </w:rPr>
        <w:t>the Partners</w:t>
      </w:r>
      <w:r w:rsidRPr="00636B5E">
        <w:rPr>
          <w:rFonts w:ascii="Times New Roman" w:hAnsi="Times New Roman"/>
        </w:rPr>
        <w:t xml:space="preserve"> commit to measuring performance and progress on the above mutual accountabilities using </w:t>
      </w:r>
      <w:r w:rsidR="000209E7">
        <w:rPr>
          <w:rFonts w:ascii="Times New Roman" w:hAnsi="Times New Roman"/>
        </w:rPr>
        <w:t>the</w:t>
      </w:r>
      <w:r w:rsidRPr="00636B5E">
        <w:rPr>
          <w:rFonts w:ascii="Times New Roman" w:hAnsi="Times New Roman"/>
        </w:rPr>
        <w:t xml:space="preserve"> performance framework at Annex A</w:t>
      </w:r>
      <w:r w:rsidR="000209E7">
        <w:rPr>
          <w:rFonts w:ascii="Times New Roman" w:hAnsi="Times New Roman"/>
        </w:rPr>
        <w:t>.</w:t>
      </w:r>
    </w:p>
    <w:p w:rsidR="00B00C8B" w:rsidRPr="00636B5E" w:rsidRDefault="00B00C8B" w:rsidP="00B00C8B">
      <w:pPr>
        <w:pStyle w:val="DotDashColon"/>
        <w:numPr>
          <w:ilvl w:val="0"/>
          <w:numId w:val="0"/>
        </w:numPr>
        <w:spacing w:after="120"/>
        <w:jc w:val="both"/>
        <w:rPr>
          <w:rFonts w:ascii="Times New Roman" w:hAnsi="Times New Roman"/>
        </w:rPr>
      </w:pPr>
    </w:p>
    <w:p w:rsidR="00173C05" w:rsidRPr="00636B5E" w:rsidRDefault="00173C05" w:rsidP="001D2BF6">
      <w:pPr>
        <w:pStyle w:val="ListParagraph"/>
        <w:numPr>
          <w:ilvl w:val="0"/>
          <w:numId w:val="3"/>
        </w:numPr>
        <w:spacing w:before="60" w:line="360" w:lineRule="auto"/>
        <w:ind w:left="426" w:hanging="426"/>
        <w:jc w:val="both"/>
        <w:rPr>
          <w:b/>
        </w:rPr>
      </w:pPr>
      <w:r w:rsidRPr="00636B5E">
        <w:rPr>
          <w:b/>
        </w:rPr>
        <w:t>Governance and Review</w:t>
      </w:r>
    </w:p>
    <w:p w:rsidR="00173C05" w:rsidRPr="005D4B32" w:rsidRDefault="00173C05" w:rsidP="001D2BF6">
      <w:pPr>
        <w:pStyle w:val="DotDashColon"/>
        <w:numPr>
          <w:ilvl w:val="1"/>
          <w:numId w:val="3"/>
        </w:numPr>
        <w:tabs>
          <w:tab w:val="left" w:pos="1134"/>
        </w:tabs>
        <w:spacing w:after="240"/>
        <w:ind w:left="1134" w:hanging="709"/>
        <w:jc w:val="both"/>
        <w:rPr>
          <w:rFonts w:ascii="Times New Roman" w:hAnsi="Times New Roman"/>
        </w:rPr>
      </w:pPr>
      <w:r w:rsidRPr="00E610CF">
        <w:rPr>
          <w:rFonts w:ascii="Times New Roman" w:hAnsi="Times New Roman"/>
        </w:rPr>
        <w:t xml:space="preserve">Annual partnership dialogues between senior officials of the </w:t>
      </w:r>
      <w:r w:rsidR="005579D4">
        <w:rPr>
          <w:rFonts w:ascii="Times New Roman" w:hAnsi="Times New Roman"/>
        </w:rPr>
        <w:t>Partners</w:t>
      </w:r>
      <w:r w:rsidRPr="00E610CF">
        <w:rPr>
          <w:rFonts w:ascii="Times New Roman" w:hAnsi="Times New Roman"/>
        </w:rPr>
        <w:t xml:space="preserve"> will ensure </w:t>
      </w:r>
      <w:r w:rsidR="005579D4">
        <w:rPr>
          <w:rFonts w:ascii="Times New Roman" w:hAnsi="Times New Roman"/>
        </w:rPr>
        <w:t xml:space="preserve">there is a </w:t>
      </w:r>
      <w:r w:rsidRPr="00E610CF">
        <w:rPr>
          <w:rFonts w:ascii="Times New Roman" w:hAnsi="Times New Roman"/>
        </w:rPr>
        <w:t xml:space="preserve">joint, regular and evidence-based review of progress against the objectives, </w:t>
      </w:r>
      <w:r w:rsidR="005579D4">
        <w:rPr>
          <w:rFonts w:ascii="Times New Roman" w:hAnsi="Times New Roman"/>
        </w:rPr>
        <w:t>P</w:t>
      </w:r>
      <w:r w:rsidRPr="00E610CF">
        <w:rPr>
          <w:rFonts w:ascii="Times New Roman" w:hAnsi="Times New Roman"/>
        </w:rPr>
        <w:t xml:space="preserve">erformance </w:t>
      </w:r>
      <w:r w:rsidR="005579D4">
        <w:rPr>
          <w:rFonts w:ascii="Times New Roman" w:hAnsi="Times New Roman"/>
        </w:rPr>
        <w:t>B</w:t>
      </w:r>
      <w:r w:rsidRPr="00E610CF">
        <w:rPr>
          <w:rFonts w:ascii="Times New Roman" w:hAnsi="Times New Roman"/>
        </w:rPr>
        <w:t>enchmarks and mutual</w:t>
      </w:r>
      <w:r w:rsidR="00C96089" w:rsidRPr="009B5685">
        <w:rPr>
          <w:rFonts w:ascii="Times New Roman" w:hAnsi="Times New Roman"/>
        </w:rPr>
        <w:t xml:space="preserve">ly reinforcing commitments </w:t>
      </w:r>
      <w:r w:rsidR="005579D4">
        <w:rPr>
          <w:rFonts w:ascii="Times New Roman" w:hAnsi="Times New Roman"/>
        </w:rPr>
        <w:t>under</w:t>
      </w:r>
      <w:r w:rsidRPr="005D4B32">
        <w:rPr>
          <w:rFonts w:ascii="Times New Roman" w:hAnsi="Times New Roman"/>
        </w:rPr>
        <w:t xml:space="preserve"> th</w:t>
      </w:r>
      <w:r w:rsidR="00A30ECE" w:rsidRPr="005D4B32">
        <w:rPr>
          <w:rFonts w:ascii="Times New Roman" w:hAnsi="Times New Roman"/>
        </w:rPr>
        <w:t>is</w:t>
      </w:r>
      <w:r w:rsidRPr="005D4B32">
        <w:rPr>
          <w:rFonts w:ascii="Times New Roman" w:hAnsi="Times New Roman"/>
        </w:rPr>
        <w:t xml:space="preserve"> </w:t>
      </w:r>
      <w:r w:rsidR="00A30ECE" w:rsidRPr="005D4B32">
        <w:rPr>
          <w:rFonts w:ascii="Times New Roman" w:hAnsi="Times New Roman"/>
        </w:rPr>
        <w:t>Arrangement</w:t>
      </w:r>
      <w:r w:rsidRPr="005D4B32">
        <w:rPr>
          <w:rFonts w:ascii="Times New Roman" w:hAnsi="Times New Roman"/>
        </w:rPr>
        <w:t xml:space="preserve">. </w:t>
      </w:r>
    </w:p>
    <w:p w:rsidR="00B82DFF" w:rsidRPr="005D4B32" w:rsidRDefault="00B31D4D" w:rsidP="001D2BF6">
      <w:pPr>
        <w:pStyle w:val="DotDashColon"/>
        <w:numPr>
          <w:ilvl w:val="1"/>
          <w:numId w:val="3"/>
        </w:numPr>
        <w:tabs>
          <w:tab w:val="left" w:pos="1134"/>
        </w:tabs>
        <w:spacing w:after="240"/>
        <w:ind w:left="1134" w:hanging="709"/>
        <w:jc w:val="both"/>
        <w:rPr>
          <w:rFonts w:ascii="Times New Roman" w:hAnsi="Times New Roman"/>
        </w:rPr>
      </w:pPr>
      <w:r>
        <w:rPr>
          <w:rFonts w:ascii="Times New Roman" w:hAnsi="Times New Roman"/>
        </w:rPr>
        <w:t>Mid-term</w:t>
      </w:r>
      <w:r w:rsidR="00B82DFF" w:rsidRPr="005D4B32">
        <w:rPr>
          <w:rFonts w:ascii="Times New Roman" w:hAnsi="Times New Roman"/>
        </w:rPr>
        <w:t xml:space="preserve"> independent assessment of performance against the mutual accountabilities will inform partnership dialogues.</w:t>
      </w:r>
    </w:p>
    <w:p w:rsidR="00BB6CDA" w:rsidRPr="005D4B32" w:rsidRDefault="005579D4" w:rsidP="001D2BF6">
      <w:pPr>
        <w:pStyle w:val="DotDashColon"/>
        <w:numPr>
          <w:ilvl w:val="1"/>
          <w:numId w:val="3"/>
        </w:numPr>
        <w:tabs>
          <w:tab w:val="left" w:pos="1134"/>
        </w:tabs>
        <w:spacing w:after="240"/>
        <w:ind w:left="1134" w:hanging="709"/>
        <w:jc w:val="both"/>
        <w:rPr>
          <w:rFonts w:ascii="Times New Roman" w:hAnsi="Times New Roman"/>
        </w:rPr>
      </w:pPr>
      <w:r>
        <w:rPr>
          <w:rFonts w:ascii="Times New Roman" w:hAnsi="Times New Roman"/>
        </w:rPr>
        <w:t>The Partners</w:t>
      </w:r>
      <w:r w:rsidR="00173C05" w:rsidRPr="005D4B32">
        <w:rPr>
          <w:rFonts w:ascii="Times New Roman" w:hAnsi="Times New Roman"/>
        </w:rPr>
        <w:t xml:space="preserve"> </w:t>
      </w:r>
      <w:r>
        <w:rPr>
          <w:rFonts w:ascii="Times New Roman" w:hAnsi="Times New Roman"/>
        </w:rPr>
        <w:t>undertake</w:t>
      </w:r>
      <w:r w:rsidR="00173C05" w:rsidRPr="005D4B32">
        <w:rPr>
          <w:rFonts w:ascii="Times New Roman" w:hAnsi="Times New Roman"/>
        </w:rPr>
        <w:t xml:space="preserve"> to discuss any performance concerns and attempt to resolve issues through dialogue.</w:t>
      </w:r>
      <w:r w:rsidR="00365992" w:rsidRPr="005D4B32">
        <w:rPr>
          <w:rFonts w:ascii="Times New Roman" w:hAnsi="Times New Roman"/>
        </w:rPr>
        <w:t xml:space="preserve"> </w:t>
      </w:r>
    </w:p>
    <w:p w:rsidR="00A273E9" w:rsidRDefault="00A273E9" w:rsidP="001D2BF6">
      <w:pPr>
        <w:pStyle w:val="DotDashColon"/>
        <w:numPr>
          <w:ilvl w:val="1"/>
          <w:numId w:val="3"/>
        </w:numPr>
        <w:tabs>
          <w:tab w:val="left" w:pos="1134"/>
        </w:tabs>
        <w:spacing w:after="120"/>
        <w:ind w:left="1134" w:hanging="774"/>
        <w:jc w:val="both"/>
        <w:rPr>
          <w:rFonts w:ascii="Times New Roman" w:hAnsi="Times New Roman"/>
        </w:rPr>
      </w:pPr>
      <w:r w:rsidRPr="00636B5E">
        <w:rPr>
          <w:rFonts w:ascii="Times New Roman" w:hAnsi="Times New Roman"/>
        </w:rPr>
        <w:t xml:space="preserve">The </w:t>
      </w:r>
      <w:r w:rsidR="005579D4">
        <w:rPr>
          <w:rFonts w:ascii="Times New Roman" w:hAnsi="Times New Roman"/>
        </w:rPr>
        <w:t>GOA</w:t>
      </w:r>
      <w:r w:rsidRPr="00636B5E">
        <w:rPr>
          <w:rFonts w:ascii="Times New Roman" w:hAnsi="Times New Roman"/>
        </w:rPr>
        <w:t xml:space="preserve"> commits to continued regular assessment</w:t>
      </w:r>
      <w:r w:rsidR="004A4F2E">
        <w:rPr>
          <w:rFonts w:ascii="Times New Roman" w:hAnsi="Times New Roman"/>
          <w:lang w:val="en-AU"/>
        </w:rPr>
        <w:t xml:space="preserve"> </w:t>
      </w:r>
      <w:r w:rsidRPr="00636B5E">
        <w:rPr>
          <w:rFonts w:ascii="Times New Roman" w:hAnsi="Times New Roman"/>
        </w:rPr>
        <w:t xml:space="preserve">of the effectiveness, efficiency, sustainability and relevance of its aid program in Solomon Islands through </w:t>
      </w:r>
      <w:r w:rsidR="002E35E1" w:rsidRPr="00636B5E">
        <w:rPr>
          <w:rFonts w:ascii="Times New Roman" w:hAnsi="Times New Roman"/>
        </w:rPr>
        <w:t xml:space="preserve">ongoing </w:t>
      </w:r>
      <w:r w:rsidRPr="00636B5E">
        <w:rPr>
          <w:rFonts w:ascii="Times New Roman" w:hAnsi="Times New Roman"/>
        </w:rPr>
        <w:t>internal and external monitoring and evaluation; and</w:t>
      </w:r>
      <w:r w:rsidR="00900649">
        <w:rPr>
          <w:rFonts w:ascii="Times New Roman" w:hAnsi="Times New Roman"/>
        </w:rPr>
        <w:t xml:space="preserve"> </w:t>
      </w:r>
      <w:r w:rsidRPr="00636B5E">
        <w:rPr>
          <w:rFonts w:ascii="Times New Roman" w:hAnsi="Times New Roman"/>
        </w:rPr>
        <w:t xml:space="preserve">to share the findings of these assessments with </w:t>
      </w:r>
      <w:r w:rsidR="007F715D">
        <w:rPr>
          <w:rFonts w:ascii="Times New Roman" w:hAnsi="Times New Roman"/>
        </w:rPr>
        <w:t>SIG</w:t>
      </w:r>
      <w:r w:rsidRPr="00636B5E">
        <w:rPr>
          <w:rFonts w:ascii="Times New Roman" w:hAnsi="Times New Roman"/>
        </w:rPr>
        <w:t>.</w:t>
      </w:r>
    </w:p>
    <w:p w:rsidR="00EB6AB5" w:rsidRPr="00636B5E" w:rsidRDefault="00EB6AB5" w:rsidP="00EB6AB5">
      <w:pPr>
        <w:pStyle w:val="DotDashColon"/>
        <w:numPr>
          <w:ilvl w:val="0"/>
          <w:numId w:val="0"/>
        </w:numPr>
        <w:tabs>
          <w:tab w:val="left" w:pos="1134"/>
        </w:tabs>
        <w:spacing w:after="120"/>
        <w:ind w:left="360"/>
        <w:jc w:val="both"/>
        <w:rPr>
          <w:rFonts w:ascii="Times New Roman" w:hAnsi="Times New Roman"/>
        </w:rPr>
      </w:pPr>
    </w:p>
    <w:p w:rsidR="003E49FE" w:rsidRPr="004F04CF" w:rsidRDefault="002006B1" w:rsidP="004F069F">
      <w:pPr>
        <w:pStyle w:val="ListParagraph"/>
        <w:numPr>
          <w:ilvl w:val="0"/>
          <w:numId w:val="3"/>
        </w:numPr>
        <w:spacing w:before="60" w:line="360" w:lineRule="auto"/>
        <w:ind w:left="426" w:hanging="426"/>
        <w:jc w:val="both"/>
        <w:rPr>
          <w:b/>
        </w:rPr>
      </w:pPr>
      <w:r w:rsidRPr="00636B5E">
        <w:rPr>
          <w:b/>
        </w:rPr>
        <w:t>Other Development Partners</w:t>
      </w:r>
    </w:p>
    <w:p w:rsidR="003E49FE" w:rsidRPr="00636B5E" w:rsidRDefault="003E49FE" w:rsidP="004F069F">
      <w:pPr>
        <w:pStyle w:val="DotDashColon"/>
        <w:numPr>
          <w:ilvl w:val="1"/>
          <w:numId w:val="3"/>
        </w:numPr>
        <w:tabs>
          <w:tab w:val="left" w:pos="1134"/>
        </w:tabs>
        <w:spacing w:after="240"/>
        <w:ind w:left="1134" w:hanging="709"/>
        <w:jc w:val="both"/>
        <w:rPr>
          <w:rFonts w:ascii="Times New Roman" w:hAnsi="Times New Roman"/>
          <w:b/>
        </w:rPr>
      </w:pPr>
      <w:r w:rsidRPr="004F04CF">
        <w:rPr>
          <w:rFonts w:ascii="Times New Roman" w:hAnsi="Times New Roman"/>
          <w:szCs w:val="23"/>
        </w:rPr>
        <w:t xml:space="preserve">The </w:t>
      </w:r>
      <w:r w:rsidR="00CA6031">
        <w:rPr>
          <w:rFonts w:ascii="Times New Roman" w:hAnsi="Times New Roman"/>
          <w:szCs w:val="23"/>
        </w:rPr>
        <w:t>Partners</w:t>
      </w:r>
      <w:r w:rsidR="003971AF" w:rsidRPr="00636B5E">
        <w:rPr>
          <w:rFonts w:ascii="Times New Roman" w:hAnsi="Times New Roman"/>
        </w:rPr>
        <w:t xml:space="preserve"> </w:t>
      </w:r>
      <w:r w:rsidR="002006B1" w:rsidRPr="00636B5E">
        <w:rPr>
          <w:rFonts w:ascii="Times New Roman" w:hAnsi="Times New Roman"/>
          <w:szCs w:val="23"/>
        </w:rPr>
        <w:t>commit to an effective dialogue with partners and stakeholders</w:t>
      </w:r>
      <w:r w:rsidRPr="00636B5E">
        <w:rPr>
          <w:rFonts w:ascii="Times New Roman" w:hAnsi="Times New Roman"/>
          <w:szCs w:val="23"/>
        </w:rPr>
        <w:t xml:space="preserve"> in fulfilling the objectives of this </w:t>
      </w:r>
      <w:r w:rsidR="00A30ECE" w:rsidRPr="00636B5E">
        <w:rPr>
          <w:rFonts w:ascii="Times New Roman" w:hAnsi="Times New Roman"/>
          <w:szCs w:val="23"/>
        </w:rPr>
        <w:t>Arrangement</w:t>
      </w:r>
      <w:r w:rsidR="002006B1" w:rsidRPr="00636B5E">
        <w:rPr>
          <w:rFonts w:ascii="Times New Roman" w:hAnsi="Times New Roman"/>
          <w:szCs w:val="23"/>
        </w:rPr>
        <w:t xml:space="preserve">. </w:t>
      </w:r>
    </w:p>
    <w:p w:rsidR="003E49FE" w:rsidRPr="00636B5E" w:rsidRDefault="00E85803" w:rsidP="004F069F">
      <w:pPr>
        <w:pStyle w:val="DotDashColon"/>
        <w:numPr>
          <w:ilvl w:val="1"/>
          <w:numId w:val="3"/>
        </w:numPr>
        <w:tabs>
          <w:tab w:val="left" w:pos="1134"/>
        </w:tabs>
        <w:spacing w:after="240"/>
        <w:ind w:left="1134" w:hanging="709"/>
        <w:jc w:val="both"/>
        <w:rPr>
          <w:rFonts w:ascii="Times New Roman" w:hAnsi="Times New Roman"/>
          <w:b/>
        </w:rPr>
      </w:pPr>
      <w:r>
        <w:rPr>
          <w:rFonts w:ascii="Times New Roman" w:hAnsi="Times New Roman"/>
          <w:szCs w:val="23"/>
          <w:lang w:val="en-AU"/>
        </w:rPr>
        <w:lastRenderedPageBreak/>
        <w:t>The Partners will select o</w:t>
      </w:r>
      <w:r w:rsidR="00CA6031">
        <w:rPr>
          <w:rFonts w:ascii="Times New Roman" w:hAnsi="Times New Roman"/>
          <w:szCs w:val="23"/>
        </w:rPr>
        <w:t>ther d</w:t>
      </w:r>
      <w:r w:rsidR="002006B1" w:rsidRPr="00636B5E">
        <w:rPr>
          <w:rFonts w:ascii="Times New Roman" w:hAnsi="Times New Roman"/>
          <w:szCs w:val="23"/>
        </w:rPr>
        <w:t>elivery partners and mechanisms based on an assessment of the most effective way to achieve the objectives</w:t>
      </w:r>
      <w:r w:rsidR="00CA6031">
        <w:rPr>
          <w:rFonts w:ascii="Times New Roman" w:hAnsi="Times New Roman"/>
          <w:szCs w:val="23"/>
        </w:rPr>
        <w:t xml:space="preserve"> and priorities</w:t>
      </w:r>
      <w:r w:rsidR="003E49FE" w:rsidRPr="00636B5E">
        <w:rPr>
          <w:rFonts w:ascii="Times New Roman" w:hAnsi="Times New Roman"/>
          <w:szCs w:val="23"/>
        </w:rPr>
        <w:t xml:space="preserve"> </w:t>
      </w:r>
      <w:r>
        <w:rPr>
          <w:rFonts w:ascii="Times New Roman" w:hAnsi="Times New Roman"/>
          <w:szCs w:val="23"/>
          <w:lang w:val="en-AU"/>
        </w:rPr>
        <w:t>of this Arrangement</w:t>
      </w:r>
      <w:r w:rsidR="003E49FE" w:rsidRPr="00636B5E">
        <w:rPr>
          <w:rFonts w:ascii="Times New Roman" w:hAnsi="Times New Roman"/>
          <w:szCs w:val="23"/>
        </w:rPr>
        <w:t>,</w:t>
      </w:r>
      <w:r w:rsidR="002006B1" w:rsidRPr="00636B5E">
        <w:rPr>
          <w:rFonts w:ascii="Times New Roman" w:hAnsi="Times New Roman"/>
          <w:szCs w:val="23"/>
        </w:rPr>
        <w:t xml:space="preserve"> and the past performance of partners. </w:t>
      </w:r>
      <w:r w:rsidR="00183C72" w:rsidRPr="00636B5E">
        <w:rPr>
          <w:rFonts w:ascii="Times New Roman" w:hAnsi="Times New Roman"/>
          <w:szCs w:val="23"/>
        </w:rPr>
        <w:t xml:space="preserve"> </w:t>
      </w:r>
      <w:r w:rsidR="003E49FE" w:rsidRPr="00636B5E">
        <w:rPr>
          <w:rFonts w:ascii="Times New Roman" w:hAnsi="Times New Roman"/>
          <w:szCs w:val="23"/>
        </w:rPr>
        <w:t xml:space="preserve">This </w:t>
      </w:r>
      <w:r w:rsidR="003946BF" w:rsidRPr="00636B5E">
        <w:rPr>
          <w:rFonts w:ascii="Times New Roman" w:hAnsi="Times New Roman"/>
          <w:szCs w:val="23"/>
        </w:rPr>
        <w:t>may</w:t>
      </w:r>
      <w:r w:rsidR="003E49FE" w:rsidRPr="00636B5E">
        <w:rPr>
          <w:rFonts w:ascii="Times New Roman" w:hAnsi="Times New Roman"/>
          <w:szCs w:val="23"/>
        </w:rPr>
        <w:t xml:space="preserve"> include expanding </w:t>
      </w:r>
      <w:r w:rsidR="002006B1" w:rsidRPr="00636B5E">
        <w:rPr>
          <w:rFonts w:ascii="Times New Roman" w:hAnsi="Times New Roman"/>
          <w:szCs w:val="23"/>
        </w:rPr>
        <w:t>partnerships with the private sector</w:t>
      </w:r>
      <w:r w:rsidR="003E49FE" w:rsidRPr="00636B5E">
        <w:rPr>
          <w:rFonts w:ascii="Times New Roman" w:hAnsi="Times New Roman"/>
          <w:szCs w:val="23"/>
        </w:rPr>
        <w:t xml:space="preserve"> and partnering with </w:t>
      </w:r>
      <w:r w:rsidR="002006B1" w:rsidRPr="00636B5E">
        <w:rPr>
          <w:rFonts w:ascii="Times New Roman" w:hAnsi="Times New Roman"/>
          <w:szCs w:val="23"/>
        </w:rPr>
        <w:t xml:space="preserve">civil society organisations, in recognition of their critical role in achieving economic growth and poverty reduction. </w:t>
      </w:r>
    </w:p>
    <w:p w:rsidR="002006B1" w:rsidRPr="004A4F2E" w:rsidRDefault="002006B1" w:rsidP="004F069F">
      <w:pPr>
        <w:pStyle w:val="DotDashColon"/>
        <w:numPr>
          <w:ilvl w:val="1"/>
          <w:numId w:val="3"/>
        </w:numPr>
        <w:tabs>
          <w:tab w:val="left" w:pos="1134"/>
        </w:tabs>
        <w:spacing w:after="240"/>
        <w:ind w:left="1134" w:hanging="709"/>
        <w:jc w:val="both"/>
        <w:rPr>
          <w:rFonts w:ascii="Times New Roman" w:hAnsi="Times New Roman"/>
          <w:b/>
        </w:rPr>
      </w:pPr>
      <w:r w:rsidRPr="00636B5E">
        <w:rPr>
          <w:rFonts w:ascii="Times New Roman" w:hAnsi="Times New Roman"/>
          <w:szCs w:val="23"/>
        </w:rPr>
        <w:t xml:space="preserve">The </w:t>
      </w:r>
      <w:r w:rsidR="00CA6031">
        <w:rPr>
          <w:rFonts w:ascii="Times New Roman" w:hAnsi="Times New Roman"/>
          <w:szCs w:val="23"/>
        </w:rPr>
        <w:t>GOA</w:t>
      </w:r>
      <w:r w:rsidRPr="00636B5E">
        <w:rPr>
          <w:rFonts w:ascii="Times New Roman" w:hAnsi="Times New Roman"/>
          <w:szCs w:val="23"/>
        </w:rPr>
        <w:t xml:space="preserve"> will seek to support improved coordination among bilateral and regional stakeholders and encourage others to invest in and seek greater coordination of development policies and programs with </w:t>
      </w:r>
      <w:r w:rsidR="00652C19">
        <w:rPr>
          <w:rFonts w:ascii="Times New Roman" w:hAnsi="Times New Roman"/>
          <w:szCs w:val="23"/>
        </w:rPr>
        <w:t>SIG</w:t>
      </w:r>
      <w:r w:rsidRPr="00636B5E">
        <w:rPr>
          <w:rFonts w:ascii="Times New Roman" w:hAnsi="Times New Roman"/>
          <w:szCs w:val="23"/>
        </w:rPr>
        <w:t xml:space="preserve">. </w:t>
      </w:r>
      <w:r w:rsidR="00183C72" w:rsidRPr="00636B5E">
        <w:rPr>
          <w:rFonts w:ascii="Times New Roman" w:hAnsi="Times New Roman"/>
          <w:szCs w:val="23"/>
        </w:rPr>
        <w:t xml:space="preserve"> </w:t>
      </w:r>
      <w:r w:rsidRPr="00636B5E">
        <w:rPr>
          <w:rFonts w:ascii="Times New Roman" w:hAnsi="Times New Roman"/>
          <w:szCs w:val="23"/>
        </w:rPr>
        <w:t xml:space="preserve">The </w:t>
      </w:r>
      <w:r w:rsidR="00CA6031">
        <w:rPr>
          <w:rFonts w:ascii="Times New Roman" w:hAnsi="Times New Roman"/>
          <w:szCs w:val="23"/>
        </w:rPr>
        <w:t>GOA</w:t>
      </w:r>
      <w:r w:rsidRPr="00636B5E">
        <w:rPr>
          <w:rFonts w:ascii="Times New Roman" w:hAnsi="Times New Roman"/>
          <w:szCs w:val="23"/>
        </w:rPr>
        <w:t xml:space="preserve"> will continue to work closely with multilateral partners to encourage their increased and effective presence in </w:t>
      </w:r>
      <w:r w:rsidR="000E7D58" w:rsidRPr="00636B5E">
        <w:rPr>
          <w:rFonts w:ascii="Times New Roman" w:hAnsi="Times New Roman"/>
        </w:rPr>
        <w:t>Solomon Islands</w:t>
      </w:r>
      <w:r w:rsidRPr="00636B5E">
        <w:rPr>
          <w:rFonts w:ascii="Times New Roman" w:hAnsi="Times New Roman"/>
          <w:szCs w:val="23"/>
        </w:rPr>
        <w:t>.</w:t>
      </w:r>
    </w:p>
    <w:p w:rsidR="002006B1" w:rsidRPr="00636B5E" w:rsidRDefault="005047DA" w:rsidP="00173C05">
      <w:pPr>
        <w:pStyle w:val="DotDashColon"/>
        <w:numPr>
          <w:ilvl w:val="0"/>
          <w:numId w:val="0"/>
        </w:numPr>
        <w:spacing w:after="120"/>
        <w:ind w:left="567" w:hanging="567"/>
        <w:jc w:val="both"/>
        <w:rPr>
          <w:rFonts w:ascii="Times New Roman" w:hAnsi="Times New Roman"/>
        </w:rPr>
      </w:pPr>
      <w:r w:rsidRPr="009D73B4">
        <w:rPr>
          <w:rFonts w:ascii="Times New Roman" w:hAnsi="Times New Roman"/>
        </w:rPr>
        <w:t>___________________________________________________________________________</w:t>
      </w:r>
    </w:p>
    <w:p w:rsidR="002006B1" w:rsidRPr="004252DC" w:rsidRDefault="002006B1" w:rsidP="004F069F">
      <w:pPr>
        <w:pStyle w:val="ListParagraph"/>
        <w:numPr>
          <w:ilvl w:val="0"/>
          <w:numId w:val="3"/>
        </w:numPr>
        <w:spacing w:before="60" w:line="360" w:lineRule="auto"/>
        <w:ind w:left="426" w:hanging="426"/>
        <w:jc w:val="both"/>
        <w:rPr>
          <w:b/>
        </w:rPr>
      </w:pPr>
      <w:r w:rsidRPr="004F04CF">
        <w:rPr>
          <w:b/>
        </w:rPr>
        <w:t>Declaration</w:t>
      </w:r>
    </w:p>
    <w:p w:rsidR="002006B1" w:rsidRPr="00CF2C6C" w:rsidRDefault="002006B1" w:rsidP="00173C05">
      <w:pPr>
        <w:pStyle w:val="DotDashColon"/>
        <w:numPr>
          <w:ilvl w:val="0"/>
          <w:numId w:val="0"/>
        </w:numPr>
        <w:spacing w:after="120"/>
        <w:jc w:val="both"/>
        <w:rPr>
          <w:rFonts w:ascii="Times New Roman" w:hAnsi="Times New Roman"/>
        </w:rPr>
      </w:pPr>
    </w:p>
    <w:p w:rsidR="002006B1" w:rsidRPr="00636B5E" w:rsidRDefault="002006B1" w:rsidP="00173C05">
      <w:pPr>
        <w:pStyle w:val="DotDashColon"/>
        <w:numPr>
          <w:ilvl w:val="0"/>
          <w:numId w:val="0"/>
        </w:numPr>
        <w:spacing w:after="120"/>
        <w:jc w:val="both"/>
        <w:rPr>
          <w:rFonts w:ascii="Times New Roman" w:hAnsi="Times New Roman"/>
        </w:rPr>
      </w:pPr>
      <w:r w:rsidRPr="00636B5E">
        <w:rPr>
          <w:rFonts w:ascii="Times New Roman" w:hAnsi="Times New Roman"/>
        </w:rPr>
        <w:t xml:space="preserve">This </w:t>
      </w:r>
      <w:r w:rsidR="00A30ECE" w:rsidRPr="00636B5E">
        <w:rPr>
          <w:rFonts w:ascii="Times New Roman" w:hAnsi="Times New Roman"/>
        </w:rPr>
        <w:t>Arrangement</w:t>
      </w:r>
      <w:r w:rsidRPr="00636B5E">
        <w:rPr>
          <w:rFonts w:ascii="Times New Roman" w:hAnsi="Times New Roman"/>
        </w:rPr>
        <w:t xml:space="preserve"> sets the framework within which the </w:t>
      </w:r>
      <w:r w:rsidR="00CA6031">
        <w:rPr>
          <w:rFonts w:ascii="Times New Roman" w:hAnsi="Times New Roman"/>
        </w:rPr>
        <w:t>Partners</w:t>
      </w:r>
      <w:r w:rsidRPr="00636B5E">
        <w:rPr>
          <w:rFonts w:ascii="Times New Roman" w:hAnsi="Times New Roman"/>
        </w:rPr>
        <w:t xml:space="preserve"> will work together to deliver a series of strategic investments to improve economic growth opportunities and reduce poverty in </w:t>
      </w:r>
      <w:r w:rsidR="00380092" w:rsidRPr="00636B5E">
        <w:rPr>
          <w:rFonts w:ascii="Times New Roman" w:hAnsi="Times New Roman"/>
        </w:rPr>
        <w:t>Solomon Islands</w:t>
      </w:r>
      <w:r w:rsidRPr="00636B5E">
        <w:rPr>
          <w:rFonts w:ascii="Times New Roman" w:hAnsi="Times New Roman"/>
        </w:rPr>
        <w:t>.</w:t>
      </w:r>
    </w:p>
    <w:p w:rsidR="002006B1" w:rsidRPr="00636B5E" w:rsidRDefault="002006B1" w:rsidP="00173C05">
      <w:pPr>
        <w:pStyle w:val="DotDashColon"/>
        <w:numPr>
          <w:ilvl w:val="0"/>
          <w:numId w:val="0"/>
        </w:numPr>
        <w:spacing w:after="120"/>
        <w:ind w:left="360"/>
        <w:jc w:val="both"/>
        <w:rPr>
          <w:rFonts w:ascii="Times New Roman" w:hAnsi="Times New Roman"/>
        </w:rPr>
      </w:pPr>
    </w:p>
    <w:p w:rsidR="002006B1" w:rsidRPr="00DA02F0" w:rsidRDefault="002006B1" w:rsidP="00173C05">
      <w:pPr>
        <w:pStyle w:val="DotDashColon"/>
        <w:numPr>
          <w:ilvl w:val="0"/>
          <w:numId w:val="0"/>
        </w:numPr>
        <w:spacing w:after="120"/>
        <w:ind w:left="360"/>
        <w:jc w:val="both"/>
        <w:rPr>
          <w:rFonts w:ascii="Times New Roman" w:hAnsi="Times New Roman"/>
          <w:lang w:val="en-AU"/>
        </w:rPr>
      </w:pPr>
      <w:r w:rsidRPr="00636B5E">
        <w:rPr>
          <w:rFonts w:ascii="Times New Roman" w:hAnsi="Times New Roman"/>
        </w:rPr>
        <w:t>Signed at</w:t>
      </w:r>
      <w:r w:rsidR="00457B46">
        <w:rPr>
          <w:rFonts w:ascii="Times New Roman" w:hAnsi="Times New Roman"/>
          <w:lang w:val="en-AU"/>
        </w:rPr>
        <w:t xml:space="preserve"> the </w:t>
      </w:r>
      <w:r w:rsidR="004D2E36">
        <w:rPr>
          <w:rFonts w:ascii="Times New Roman" w:hAnsi="Times New Roman"/>
          <w:lang w:val="en-AU"/>
        </w:rPr>
        <w:t xml:space="preserve">Australian High Commission </w:t>
      </w:r>
      <w:r w:rsidR="00610331">
        <w:rPr>
          <w:rFonts w:ascii="Times New Roman" w:hAnsi="Times New Roman"/>
          <w:lang w:val="en-AU"/>
        </w:rPr>
        <w:t xml:space="preserve">Chancery </w:t>
      </w:r>
      <w:r w:rsidR="00457B46">
        <w:rPr>
          <w:rFonts w:ascii="Times New Roman" w:hAnsi="Times New Roman"/>
          <w:lang w:val="en-AU"/>
        </w:rPr>
        <w:t xml:space="preserve">(Honiara) </w:t>
      </w:r>
      <w:r w:rsidRPr="00636B5E">
        <w:rPr>
          <w:rFonts w:ascii="Times New Roman" w:hAnsi="Times New Roman"/>
        </w:rPr>
        <w:t>on</w:t>
      </w:r>
      <w:r w:rsidR="004D2E36">
        <w:rPr>
          <w:rFonts w:ascii="Times New Roman" w:hAnsi="Times New Roman"/>
          <w:lang w:val="en-AU"/>
        </w:rPr>
        <w:t xml:space="preserve"> 29 June 2017</w:t>
      </w:r>
    </w:p>
    <w:p w:rsidR="002006B1" w:rsidRPr="00636B5E" w:rsidRDefault="002006B1" w:rsidP="00173C05">
      <w:pPr>
        <w:pStyle w:val="DotDashColon"/>
        <w:numPr>
          <w:ilvl w:val="0"/>
          <w:numId w:val="0"/>
        </w:numPr>
        <w:spacing w:after="120"/>
        <w:ind w:left="360"/>
        <w:jc w:val="both"/>
        <w:rPr>
          <w:rFonts w:ascii="Times New Roman" w:hAnsi="Times New Roman"/>
        </w:rPr>
      </w:pPr>
    </w:p>
    <w:p w:rsidR="004D2E36" w:rsidRPr="00DA02F0" w:rsidRDefault="002006B1" w:rsidP="00173C05">
      <w:pPr>
        <w:pStyle w:val="DotDashColon"/>
        <w:numPr>
          <w:ilvl w:val="0"/>
          <w:numId w:val="0"/>
        </w:numPr>
        <w:spacing w:after="120"/>
        <w:ind w:left="360"/>
        <w:jc w:val="both"/>
        <w:rPr>
          <w:rFonts w:ascii="Times New Roman" w:hAnsi="Times New Roman"/>
          <w:lang w:val="en-AU"/>
        </w:rPr>
      </w:pPr>
      <w:r w:rsidRPr="00636B5E">
        <w:rPr>
          <w:rFonts w:ascii="Times New Roman" w:hAnsi="Times New Roman"/>
        </w:rPr>
        <w:t xml:space="preserve">For the </w:t>
      </w:r>
      <w:r w:rsidR="004D2E36">
        <w:rPr>
          <w:rFonts w:ascii="Times New Roman" w:hAnsi="Times New Roman"/>
        </w:rPr>
        <w:tab/>
      </w:r>
      <w:r w:rsidR="004D2E36">
        <w:rPr>
          <w:rFonts w:ascii="Times New Roman" w:hAnsi="Times New Roman"/>
        </w:rPr>
        <w:tab/>
      </w:r>
      <w:r w:rsidR="004D2E36">
        <w:rPr>
          <w:rFonts w:ascii="Times New Roman" w:hAnsi="Times New Roman"/>
        </w:rPr>
        <w:tab/>
      </w:r>
      <w:r w:rsidR="004D2E36">
        <w:rPr>
          <w:rFonts w:ascii="Times New Roman" w:hAnsi="Times New Roman"/>
        </w:rPr>
        <w:tab/>
      </w:r>
      <w:r w:rsidR="004D2E36">
        <w:rPr>
          <w:rFonts w:ascii="Times New Roman" w:hAnsi="Times New Roman"/>
        </w:rPr>
        <w:tab/>
      </w:r>
      <w:r w:rsidR="004D2E36">
        <w:rPr>
          <w:rFonts w:ascii="Times New Roman" w:hAnsi="Times New Roman"/>
        </w:rPr>
        <w:tab/>
      </w:r>
      <w:r w:rsidR="004D2E36">
        <w:rPr>
          <w:rFonts w:ascii="Times New Roman" w:hAnsi="Times New Roman"/>
        </w:rPr>
        <w:tab/>
      </w:r>
      <w:r w:rsidR="004D2E36">
        <w:rPr>
          <w:rFonts w:ascii="Times New Roman" w:hAnsi="Times New Roman"/>
          <w:lang w:val="en-AU"/>
        </w:rPr>
        <w:t>For the</w:t>
      </w:r>
    </w:p>
    <w:p w:rsidR="007321F3" w:rsidRPr="00636B5E" w:rsidRDefault="002006B1" w:rsidP="00173C05">
      <w:pPr>
        <w:pStyle w:val="DotDashColon"/>
        <w:numPr>
          <w:ilvl w:val="0"/>
          <w:numId w:val="0"/>
        </w:numPr>
        <w:spacing w:after="120"/>
        <w:ind w:left="360"/>
        <w:jc w:val="both"/>
        <w:rPr>
          <w:rFonts w:ascii="Times New Roman" w:hAnsi="Times New Roman"/>
        </w:rPr>
      </w:pPr>
      <w:r w:rsidRPr="00636B5E">
        <w:rPr>
          <w:rFonts w:ascii="Times New Roman" w:hAnsi="Times New Roman"/>
        </w:rPr>
        <w:t>Government of Australia</w:t>
      </w:r>
      <w:r w:rsidR="004D2E36">
        <w:rPr>
          <w:rFonts w:ascii="Times New Roman" w:hAnsi="Times New Roman"/>
        </w:rPr>
        <w:tab/>
      </w:r>
      <w:r w:rsidR="004D2E36">
        <w:rPr>
          <w:rFonts w:ascii="Times New Roman" w:hAnsi="Times New Roman"/>
        </w:rPr>
        <w:tab/>
      </w:r>
      <w:r w:rsidR="004D2E36">
        <w:rPr>
          <w:rFonts w:ascii="Times New Roman" w:hAnsi="Times New Roman"/>
        </w:rPr>
        <w:tab/>
      </w:r>
      <w:r w:rsidR="004D2E36">
        <w:rPr>
          <w:rFonts w:ascii="Times New Roman" w:hAnsi="Times New Roman"/>
        </w:rPr>
        <w:tab/>
      </w:r>
      <w:r w:rsidR="004D2E36">
        <w:rPr>
          <w:rFonts w:ascii="Times New Roman" w:hAnsi="Times New Roman"/>
        </w:rPr>
        <w:tab/>
        <w:t>Solomon Islands Government</w:t>
      </w:r>
      <w:r w:rsidRPr="00636B5E">
        <w:rPr>
          <w:rFonts w:ascii="Times New Roman" w:hAnsi="Times New Roman"/>
        </w:rPr>
        <w:tab/>
      </w:r>
      <w:r w:rsidRPr="00636B5E">
        <w:rPr>
          <w:rFonts w:ascii="Times New Roman" w:hAnsi="Times New Roman"/>
        </w:rPr>
        <w:tab/>
      </w:r>
      <w:r w:rsidR="00B21BB5" w:rsidRPr="00636B5E">
        <w:rPr>
          <w:rFonts w:ascii="Times New Roman" w:hAnsi="Times New Roman"/>
        </w:rPr>
        <w:tab/>
      </w:r>
      <w:r w:rsidR="00FA18B3">
        <w:rPr>
          <w:rFonts w:ascii="Times New Roman" w:hAnsi="Times New Roman"/>
        </w:rPr>
        <w:tab/>
      </w:r>
      <w:r w:rsidR="004D2E36">
        <w:rPr>
          <w:rFonts w:ascii="Times New Roman" w:hAnsi="Times New Roman"/>
        </w:rPr>
        <w:tab/>
      </w:r>
      <w:r w:rsidR="00652C19">
        <w:rPr>
          <w:rFonts w:ascii="Times New Roman" w:hAnsi="Times New Roman"/>
        </w:rPr>
        <w:t xml:space="preserve">                                                                          </w:t>
      </w:r>
    </w:p>
    <w:p w:rsidR="004D2E36" w:rsidRPr="00636B5E" w:rsidRDefault="004D2E36" w:rsidP="00173C05">
      <w:pPr>
        <w:pStyle w:val="DotDashColon"/>
        <w:numPr>
          <w:ilvl w:val="0"/>
          <w:numId w:val="0"/>
        </w:numPr>
        <w:spacing w:after="120"/>
        <w:ind w:left="360"/>
        <w:jc w:val="both"/>
        <w:rPr>
          <w:rFonts w:ascii="Times New Roman" w:hAnsi="Times New Roman"/>
        </w:rPr>
      </w:pPr>
    </w:p>
    <w:p w:rsidR="002006B1" w:rsidRPr="00636B5E" w:rsidRDefault="007321F3" w:rsidP="00173C05">
      <w:pPr>
        <w:pStyle w:val="DotDashColon"/>
        <w:numPr>
          <w:ilvl w:val="0"/>
          <w:numId w:val="0"/>
        </w:numPr>
        <w:spacing w:after="120"/>
        <w:ind w:left="360"/>
        <w:jc w:val="both"/>
        <w:rPr>
          <w:rFonts w:ascii="Times New Roman" w:hAnsi="Times New Roman"/>
        </w:rPr>
      </w:pPr>
      <w:r w:rsidRPr="00636B5E">
        <w:rPr>
          <w:rFonts w:ascii="Times New Roman" w:hAnsi="Times New Roman"/>
        </w:rPr>
        <w:t>_________________________</w:t>
      </w:r>
      <w:r w:rsidRPr="00636B5E">
        <w:rPr>
          <w:rFonts w:ascii="Times New Roman" w:hAnsi="Times New Roman"/>
        </w:rPr>
        <w:tab/>
      </w:r>
      <w:r w:rsidRPr="00636B5E">
        <w:rPr>
          <w:rFonts w:ascii="Times New Roman" w:hAnsi="Times New Roman"/>
        </w:rPr>
        <w:tab/>
      </w:r>
      <w:r w:rsidRPr="00636B5E">
        <w:rPr>
          <w:rFonts w:ascii="Times New Roman" w:hAnsi="Times New Roman"/>
        </w:rPr>
        <w:tab/>
      </w:r>
      <w:r w:rsidR="00FA18B3">
        <w:rPr>
          <w:rFonts w:ascii="Times New Roman" w:hAnsi="Times New Roman"/>
        </w:rPr>
        <w:tab/>
      </w:r>
      <w:r w:rsidRPr="00636B5E">
        <w:rPr>
          <w:rFonts w:ascii="Times New Roman" w:hAnsi="Times New Roman"/>
        </w:rPr>
        <w:t>________________________</w:t>
      </w:r>
    </w:p>
    <w:p w:rsidR="00FA18B3" w:rsidRDefault="00FA18B3" w:rsidP="00DA02F0">
      <w:pPr>
        <w:pStyle w:val="DotDashColon"/>
        <w:numPr>
          <w:ilvl w:val="0"/>
          <w:numId w:val="0"/>
        </w:numPr>
        <w:spacing w:after="120"/>
        <w:ind w:left="5400" w:hanging="5040"/>
        <w:rPr>
          <w:rFonts w:ascii="Times New Roman" w:hAnsi="Times New Roman"/>
          <w:i/>
          <w:lang w:val="en-AU"/>
        </w:rPr>
      </w:pPr>
      <w:r>
        <w:rPr>
          <w:rFonts w:ascii="Times New Roman" w:hAnsi="Times New Roman"/>
          <w:i/>
          <w:lang w:val="en-AU"/>
        </w:rPr>
        <w:t xml:space="preserve">Minister for International </w:t>
      </w:r>
      <w:r>
        <w:rPr>
          <w:rFonts w:ascii="Times New Roman" w:hAnsi="Times New Roman"/>
          <w:i/>
          <w:lang w:val="en-AU"/>
        </w:rPr>
        <w:tab/>
      </w:r>
      <w:r>
        <w:rPr>
          <w:rFonts w:ascii="Times New Roman" w:hAnsi="Times New Roman"/>
          <w:i/>
          <w:lang w:val="en-AU"/>
        </w:rPr>
        <w:tab/>
        <w:t>Minister for Development</w:t>
      </w:r>
    </w:p>
    <w:p w:rsidR="00FA18B3" w:rsidRDefault="00FA18B3" w:rsidP="00DA02F0">
      <w:pPr>
        <w:pStyle w:val="DotDashColon"/>
        <w:numPr>
          <w:ilvl w:val="0"/>
          <w:numId w:val="0"/>
        </w:numPr>
        <w:spacing w:after="120"/>
        <w:ind w:left="567" w:hanging="207"/>
        <w:rPr>
          <w:rFonts w:ascii="Times New Roman" w:hAnsi="Times New Roman"/>
          <w:i/>
          <w:lang w:val="en-AU"/>
        </w:rPr>
      </w:pPr>
      <w:r>
        <w:rPr>
          <w:rFonts w:ascii="Times New Roman" w:hAnsi="Times New Roman"/>
          <w:i/>
          <w:lang w:val="en-AU"/>
        </w:rPr>
        <w:t xml:space="preserve">Development and the Pacific </w:t>
      </w:r>
      <w:r>
        <w:rPr>
          <w:rFonts w:ascii="Times New Roman" w:hAnsi="Times New Roman"/>
          <w:i/>
          <w:lang w:val="en-AU"/>
        </w:rPr>
        <w:tab/>
      </w:r>
      <w:r>
        <w:rPr>
          <w:rFonts w:ascii="Times New Roman" w:hAnsi="Times New Roman"/>
          <w:i/>
          <w:lang w:val="en-AU"/>
        </w:rPr>
        <w:tab/>
      </w:r>
      <w:r>
        <w:rPr>
          <w:rFonts w:ascii="Times New Roman" w:hAnsi="Times New Roman"/>
          <w:i/>
          <w:lang w:val="en-AU"/>
        </w:rPr>
        <w:tab/>
      </w:r>
      <w:r>
        <w:rPr>
          <w:rFonts w:ascii="Times New Roman" w:hAnsi="Times New Roman"/>
          <w:i/>
          <w:lang w:val="en-AU"/>
        </w:rPr>
        <w:tab/>
        <w:t>Planning and Aid Coordination</w:t>
      </w:r>
    </w:p>
    <w:p w:rsidR="00FA18B3" w:rsidRDefault="00FA18B3" w:rsidP="00DA02F0">
      <w:pPr>
        <w:pStyle w:val="DotDashColon"/>
        <w:numPr>
          <w:ilvl w:val="0"/>
          <w:numId w:val="0"/>
        </w:numPr>
        <w:spacing w:after="120"/>
        <w:ind w:left="5040" w:hanging="4680"/>
        <w:rPr>
          <w:rFonts w:ascii="Times New Roman" w:hAnsi="Times New Roman"/>
          <w:i/>
          <w:lang w:val="en-AU"/>
        </w:rPr>
      </w:pPr>
      <w:r>
        <w:rPr>
          <w:rFonts w:ascii="Times New Roman" w:hAnsi="Times New Roman"/>
          <w:i/>
          <w:lang w:val="en-AU"/>
        </w:rPr>
        <w:t>Senator the</w:t>
      </w:r>
      <w:r w:rsidDel="00FA18B3">
        <w:rPr>
          <w:rFonts w:ascii="Times New Roman" w:hAnsi="Times New Roman"/>
          <w:i/>
          <w:lang w:val="en-AU"/>
        </w:rPr>
        <w:t xml:space="preserve"> </w:t>
      </w:r>
      <w:r>
        <w:rPr>
          <w:rFonts w:ascii="Times New Roman" w:hAnsi="Times New Roman"/>
          <w:i/>
          <w:lang w:val="en-AU"/>
        </w:rPr>
        <w:t>Hon Concetta Fierravanti-Wells</w:t>
      </w:r>
      <w:r>
        <w:rPr>
          <w:rFonts w:ascii="Times New Roman" w:hAnsi="Times New Roman"/>
          <w:i/>
          <w:lang w:val="en-AU"/>
        </w:rPr>
        <w:tab/>
      </w:r>
      <w:r>
        <w:rPr>
          <w:rFonts w:ascii="Times New Roman" w:hAnsi="Times New Roman"/>
          <w:i/>
          <w:lang w:val="en-AU"/>
        </w:rPr>
        <w:tab/>
        <w:t>Hon Danny Philip MP</w:t>
      </w:r>
    </w:p>
    <w:p w:rsidR="00FA18B3" w:rsidRDefault="00FA18B3" w:rsidP="00DA02F0">
      <w:pPr>
        <w:pStyle w:val="DotDashColon"/>
        <w:numPr>
          <w:ilvl w:val="0"/>
          <w:numId w:val="0"/>
        </w:numPr>
        <w:spacing w:after="120"/>
        <w:ind w:left="5040" w:hanging="4680"/>
        <w:rPr>
          <w:rFonts w:ascii="Times New Roman" w:hAnsi="Times New Roman"/>
          <w:i/>
          <w:lang w:val="en-AU"/>
        </w:rPr>
      </w:pPr>
      <w:r>
        <w:rPr>
          <w:rFonts w:ascii="Times New Roman" w:hAnsi="Times New Roman"/>
          <w:i/>
          <w:lang w:val="en-AU"/>
        </w:rPr>
        <w:tab/>
      </w:r>
    </w:p>
    <w:p w:rsidR="00D71143" w:rsidRDefault="00FA18B3" w:rsidP="00D71143">
      <w:pPr>
        <w:jc w:val="right"/>
        <w:rPr>
          <w:i/>
        </w:rPr>
      </w:pPr>
      <w:r>
        <w:rPr>
          <w:i/>
        </w:rPr>
        <w:br w:type="page"/>
      </w:r>
      <w:r w:rsidR="00D71143">
        <w:rPr>
          <w:i/>
        </w:rPr>
        <w:lastRenderedPageBreak/>
        <w:t>Annex A</w:t>
      </w:r>
    </w:p>
    <w:p w:rsidR="00D71143" w:rsidRDefault="00D71143" w:rsidP="00D71143">
      <w:pPr>
        <w:rPr>
          <w:b/>
          <w:i/>
        </w:rPr>
      </w:pPr>
      <w:r>
        <w:rPr>
          <w:b/>
          <w:i/>
        </w:rPr>
        <w:t>Mutual accountability commitments</w:t>
      </w:r>
    </w:p>
    <w:p w:rsidR="00D71143" w:rsidRDefault="00D71143" w:rsidP="00D71143">
      <w:pPr>
        <w:rPr>
          <w:i/>
        </w:rPr>
      </w:pPr>
    </w:p>
    <w:p w:rsidR="00D71143" w:rsidRDefault="00D71143" w:rsidP="00D71143">
      <w:pPr>
        <w:pStyle w:val="DotDashColon"/>
        <w:numPr>
          <w:ilvl w:val="0"/>
          <w:numId w:val="0"/>
        </w:numPr>
        <w:tabs>
          <w:tab w:val="left" w:pos="851"/>
        </w:tabs>
        <w:spacing w:after="120"/>
        <w:ind w:left="1"/>
        <w:jc w:val="both"/>
        <w:rPr>
          <w:rFonts w:ascii="Times New Roman" w:hAnsi="Times New Roman"/>
          <w:b/>
        </w:rPr>
      </w:pPr>
      <w:r>
        <w:rPr>
          <w:rFonts w:ascii="Times New Roman" w:hAnsi="Times New Roman"/>
          <w:b/>
        </w:rPr>
        <w:t>Mutual accountability –Solomon Islands Government commitments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252"/>
      </w:tblGrid>
      <w:tr w:rsidR="00D71143" w:rsidTr="00D71143">
        <w:tc>
          <w:tcPr>
            <w:tcW w:w="4820" w:type="dxa"/>
            <w:tcBorders>
              <w:top w:val="single" w:sz="4" w:space="0" w:color="auto"/>
              <w:left w:val="single" w:sz="4" w:space="0" w:color="auto"/>
              <w:bottom w:val="single" w:sz="4" w:space="0" w:color="auto"/>
              <w:right w:val="single" w:sz="4" w:space="0" w:color="auto"/>
            </w:tcBorders>
            <w:hideMark/>
          </w:tcPr>
          <w:p w:rsidR="00D71143" w:rsidRDefault="00D71143">
            <w:pPr>
              <w:pStyle w:val="DotDashColon"/>
              <w:numPr>
                <w:ilvl w:val="0"/>
                <w:numId w:val="0"/>
              </w:numPr>
              <w:tabs>
                <w:tab w:val="left" w:pos="851"/>
              </w:tabs>
              <w:spacing w:before="120" w:after="120"/>
              <w:ind w:left="57"/>
              <w:jc w:val="both"/>
              <w:rPr>
                <w:rFonts w:ascii="Times New Roman" w:hAnsi="Times New Roman"/>
                <w:b/>
              </w:rPr>
            </w:pPr>
            <w:r>
              <w:rPr>
                <w:rFonts w:ascii="Times New Roman" w:hAnsi="Times New Roman"/>
                <w:b/>
              </w:rPr>
              <w:t>Solomon Islands Government will:</w:t>
            </w:r>
          </w:p>
        </w:tc>
        <w:tc>
          <w:tcPr>
            <w:tcW w:w="4252" w:type="dxa"/>
            <w:tcBorders>
              <w:top w:val="single" w:sz="4" w:space="0" w:color="auto"/>
              <w:left w:val="single" w:sz="4" w:space="0" w:color="auto"/>
              <w:bottom w:val="single" w:sz="4" w:space="0" w:color="auto"/>
              <w:right w:val="single" w:sz="4" w:space="0" w:color="auto"/>
            </w:tcBorders>
            <w:hideMark/>
          </w:tcPr>
          <w:p w:rsidR="00D71143" w:rsidRPr="003B79E1" w:rsidRDefault="00D71143" w:rsidP="009F7A12">
            <w:pPr>
              <w:pStyle w:val="DotDashColon"/>
              <w:numPr>
                <w:ilvl w:val="0"/>
                <w:numId w:val="0"/>
              </w:numPr>
              <w:tabs>
                <w:tab w:val="left" w:pos="851"/>
              </w:tabs>
              <w:spacing w:before="120" w:after="120"/>
              <w:ind w:left="57"/>
              <w:jc w:val="both"/>
              <w:rPr>
                <w:rFonts w:ascii="Times New Roman" w:hAnsi="Times New Roman"/>
                <w:b/>
                <w:lang w:val="en-AU"/>
              </w:rPr>
            </w:pPr>
            <w:r>
              <w:rPr>
                <w:rFonts w:ascii="Times New Roman" w:hAnsi="Times New Roman"/>
                <w:b/>
              </w:rPr>
              <w:t>Key results – 201</w:t>
            </w:r>
            <w:r w:rsidR="009F7A12">
              <w:rPr>
                <w:rFonts w:ascii="Times New Roman" w:hAnsi="Times New Roman"/>
                <w:b/>
                <w:lang w:val="en-AU"/>
              </w:rPr>
              <w:t>7-19</w:t>
            </w:r>
          </w:p>
        </w:tc>
      </w:tr>
      <w:tr w:rsidR="00D71143" w:rsidTr="00D71143">
        <w:tc>
          <w:tcPr>
            <w:tcW w:w="4820" w:type="dxa"/>
            <w:tcBorders>
              <w:top w:val="single" w:sz="4" w:space="0" w:color="auto"/>
              <w:left w:val="single" w:sz="4" w:space="0" w:color="auto"/>
              <w:bottom w:val="single" w:sz="4" w:space="0" w:color="auto"/>
              <w:right w:val="single" w:sz="4" w:space="0" w:color="auto"/>
            </w:tcBorders>
            <w:hideMark/>
          </w:tcPr>
          <w:p w:rsidR="00D71143" w:rsidRDefault="00D71143" w:rsidP="00D71143">
            <w:pPr>
              <w:pStyle w:val="DotDashColon"/>
              <w:numPr>
                <w:ilvl w:val="0"/>
                <w:numId w:val="20"/>
              </w:numPr>
              <w:tabs>
                <w:tab w:val="left" w:pos="1134"/>
              </w:tabs>
              <w:spacing w:before="120" w:after="120"/>
              <w:rPr>
                <w:rFonts w:ascii="Times New Roman" w:hAnsi="Times New Roman"/>
              </w:rPr>
            </w:pPr>
            <w:r>
              <w:rPr>
                <w:rFonts w:ascii="Times New Roman" w:hAnsi="Times New Roman"/>
              </w:rPr>
              <w:t xml:space="preserve">Implement the Solomon Islands’, </w:t>
            </w:r>
            <w:r>
              <w:rPr>
                <w:rFonts w:ascii="Times New Roman" w:hAnsi="Times New Roman"/>
                <w:i/>
              </w:rPr>
              <w:t>National Development Strategy 2016-2035</w:t>
            </w:r>
            <w:r>
              <w:rPr>
                <w:rFonts w:ascii="Times New Roman" w:hAnsi="Times New Roman"/>
              </w:rPr>
              <w:t xml:space="preserve"> and the five-year annual rolling </w:t>
            </w:r>
            <w:r>
              <w:rPr>
                <w:rFonts w:ascii="Times New Roman" w:hAnsi="Times New Roman"/>
                <w:i/>
              </w:rPr>
              <w:t xml:space="preserve">Medium Term Development Plan </w:t>
            </w:r>
            <w:r w:rsidRPr="00222D68">
              <w:rPr>
                <w:rFonts w:ascii="Times New Roman" w:hAnsi="Times New Roman"/>
              </w:rPr>
              <w:t>and other sectoral plans</w:t>
            </w:r>
            <w:r w:rsidR="00222D68" w:rsidRPr="00222D68">
              <w:rPr>
                <w:rFonts w:ascii="Times New Roman" w:hAnsi="Times New Roman"/>
              </w:rPr>
              <w:t>.</w:t>
            </w:r>
          </w:p>
        </w:tc>
        <w:tc>
          <w:tcPr>
            <w:tcW w:w="4252" w:type="dxa"/>
            <w:tcBorders>
              <w:top w:val="single" w:sz="4" w:space="0" w:color="auto"/>
              <w:left w:val="single" w:sz="4" w:space="0" w:color="auto"/>
              <w:bottom w:val="single" w:sz="4" w:space="0" w:color="auto"/>
              <w:right w:val="single" w:sz="4" w:space="0" w:color="auto"/>
            </w:tcBorders>
          </w:tcPr>
          <w:p w:rsidR="00D71143" w:rsidRDefault="00D71143">
            <w:pPr>
              <w:pStyle w:val="DotDashColon"/>
              <w:numPr>
                <w:ilvl w:val="0"/>
                <w:numId w:val="0"/>
              </w:numPr>
              <w:tabs>
                <w:tab w:val="left" w:pos="17"/>
              </w:tabs>
              <w:spacing w:before="120" w:after="120"/>
              <w:ind w:left="57"/>
              <w:rPr>
                <w:rFonts w:ascii="Times New Roman" w:hAnsi="Times New Roman"/>
              </w:rPr>
            </w:pPr>
            <w:r w:rsidRPr="00222D68">
              <w:rPr>
                <w:rFonts w:ascii="Times New Roman" w:hAnsi="Times New Roman"/>
                <w:i/>
              </w:rPr>
              <w:t>National Development Strategy 2016-2035</w:t>
            </w:r>
            <w:r>
              <w:rPr>
                <w:rFonts w:ascii="Times New Roman" w:hAnsi="Times New Roman"/>
              </w:rPr>
              <w:t xml:space="preserve"> and the </w:t>
            </w:r>
            <w:r w:rsidRPr="00222D68">
              <w:rPr>
                <w:rFonts w:ascii="Times New Roman" w:hAnsi="Times New Roman"/>
                <w:i/>
              </w:rPr>
              <w:t>Medium Term Development Plan</w:t>
            </w:r>
            <w:r>
              <w:rPr>
                <w:rFonts w:ascii="Times New Roman" w:hAnsi="Times New Roman"/>
              </w:rPr>
              <w:t xml:space="preserve"> implemented.</w:t>
            </w:r>
          </w:p>
          <w:p w:rsidR="00D71143" w:rsidRDefault="00D71143">
            <w:pPr>
              <w:pStyle w:val="DotDashColon"/>
              <w:numPr>
                <w:ilvl w:val="0"/>
                <w:numId w:val="0"/>
              </w:numPr>
              <w:tabs>
                <w:tab w:val="left" w:pos="851"/>
              </w:tabs>
              <w:spacing w:before="120" w:after="120"/>
              <w:ind w:left="57"/>
              <w:rPr>
                <w:rFonts w:ascii="Times New Roman" w:hAnsi="Times New Roman"/>
              </w:rPr>
            </w:pPr>
          </w:p>
        </w:tc>
      </w:tr>
      <w:tr w:rsidR="00D71143" w:rsidTr="00D71143">
        <w:tc>
          <w:tcPr>
            <w:tcW w:w="4820" w:type="dxa"/>
            <w:tcBorders>
              <w:top w:val="single" w:sz="4" w:space="0" w:color="auto"/>
              <w:left w:val="single" w:sz="4" w:space="0" w:color="auto"/>
              <w:bottom w:val="single" w:sz="4" w:space="0" w:color="auto"/>
              <w:right w:val="single" w:sz="4" w:space="0" w:color="auto"/>
            </w:tcBorders>
          </w:tcPr>
          <w:p w:rsidR="00D71143" w:rsidRPr="00222D68" w:rsidRDefault="00D71143" w:rsidP="00222D68">
            <w:pPr>
              <w:pStyle w:val="DotDashColon"/>
              <w:numPr>
                <w:ilvl w:val="0"/>
                <w:numId w:val="20"/>
              </w:numPr>
              <w:tabs>
                <w:tab w:val="left" w:pos="1134"/>
              </w:tabs>
              <w:spacing w:before="120" w:after="120"/>
              <w:rPr>
                <w:rFonts w:ascii="Times New Roman" w:hAnsi="Times New Roman"/>
              </w:rPr>
            </w:pPr>
            <w:r>
              <w:rPr>
                <w:rFonts w:ascii="Times New Roman" w:hAnsi="Times New Roman"/>
              </w:rPr>
              <w:t>Increase funding for policing and the Royal Solomon Islands Poli</w:t>
            </w:r>
            <w:r w:rsidR="00222D68">
              <w:rPr>
                <w:rFonts w:ascii="Times New Roman" w:hAnsi="Times New Roman"/>
              </w:rPr>
              <w:t>ce Force and the justice sector</w:t>
            </w:r>
            <w:r w:rsidR="00222D68">
              <w:rPr>
                <w:rFonts w:ascii="Times New Roman" w:hAnsi="Times New Roman"/>
                <w:lang w:val="en-AU"/>
              </w:rPr>
              <w:t>.</w:t>
            </w:r>
          </w:p>
        </w:tc>
        <w:tc>
          <w:tcPr>
            <w:tcW w:w="4252" w:type="dxa"/>
            <w:tcBorders>
              <w:top w:val="single" w:sz="4" w:space="0" w:color="auto"/>
              <w:left w:val="single" w:sz="4" w:space="0" w:color="auto"/>
              <w:bottom w:val="single" w:sz="4" w:space="0" w:color="auto"/>
              <w:right w:val="single" w:sz="4" w:space="0" w:color="auto"/>
            </w:tcBorders>
            <w:hideMark/>
          </w:tcPr>
          <w:p w:rsidR="00D71143" w:rsidRDefault="00D71143" w:rsidP="00222D68">
            <w:pPr>
              <w:pStyle w:val="DotDashColon"/>
              <w:numPr>
                <w:ilvl w:val="0"/>
                <w:numId w:val="0"/>
              </w:numPr>
              <w:tabs>
                <w:tab w:val="left" w:pos="851"/>
              </w:tabs>
              <w:spacing w:before="120" w:after="120"/>
              <w:ind w:left="57"/>
              <w:rPr>
                <w:rFonts w:ascii="Times New Roman" w:hAnsi="Times New Roman"/>
              </w:rPr>
            </w:pPr>
            <w:r>
              <w:rPr>
                <w:rFonts w:ascii="Times New Roman" w:hAnsi="Times New Roman"/>
              </w:rPr>
              <w:t>SIG funding for Royal Solomon Islands Police Force and the justice sector increased.</w:t>
            </w:r>
          </w:p>
        </w:tc>
      </w:tr>
      <w:tr w:rsidR="00D71143" w:rsidTr="00D71143">
        <w:tc>
          <w:tcPr>
            <w:tcW w:w="4820" w:type="dxa"/>
            <w:tcBorders>
              <w:top w:val="single" w:sz="4" w:space="0" w:color="auto"/>
              <w:left w:val="single" w:sz="4" w:space="0" w:color="auto"/>
              <w:bottom w:val="single" w:sz="4" w:space="0" w:color="auto"/>
              <w:right w:val="single" w:sz="4" w:space="0" w:color="auto"/>
            </w:tcBorders>
            <w:hideMark/>
          </w:tcPr>
          <w:p w:rsidR="00D71143" w:rsidRDefault="00D71143" w:rsidP="00D71143">
            <w:pPr>
              <w:pStyle w:val="DotDashColon"/>
              <w:numPr>
                <w:ilvl w:val="0"/>
                <w:numId w:val="20"/>
              </w:numPr>
              <w:tabs>
                <w:tab w:val="left" w:pos="1134"/>
              </w:tabs>
              <w:spacing w:before="120" w:after="120"/>
              <w:rPr>
                <w:rFonts w:ascii="Times New Roman" w:hAnsi="Times New Roman"/>
              </w:rPr>
            </w:pPr>
            <w:r>
              <w:rPr>
                <w:rFonts w:ascii="Times New Roman" w:hAnsi="Times New Roman"/>
              </w:rPr>
              <w:t xml:space="preserve">Commit SIG funding contributions for mutually determined priorities in the transport and rural development sectors; and </w:t>
            </w:r>
          </w:p>
          <w:p w:rsidR="00D71143" w:rsidRDefault="00D71143" w:rsidP="0047272F">
            <w:pPr>
              <w:pStyle w:val="DotDashColon"/>
              <w:numPr>
                <w:ilvl w:val="0"/>
                <w:numId w:val="20"/>
              </w:numPr>
              <w:tabs>
                <w:tab w:val="left" w:pos="1134"/>
              </w:tabs>
              <w:spacing w:before="120" w:after="120"/>
              <w:rPr>
                <w:rFonts w:ascii="Times New Roman" w:hAnsi="Times New Roman"/>
              </w:rPr>
            </w:pPr>
            <w:r>
              <w:rPr>
                <w:rFonts w:ascii="Times New Roman" w:hAnsi="Times New Roman"/>
              </w:rPr>
              <w:t xml:space="preserve">Meet the terms of any performance linked aid arrangements in the health and education sectors, as set out in the relevant Direct Funding </w:t>
            </w:r>
            <w:r w:rsidR="0047272F">
              <w:rPr>
                <w:rFonts w:ascii="Times New Roman" w:hAnsi="Times New Roman"/>
                <w:lang w:val="en-AU"/>
              </w:rPr>
              <w:t>Arrangements</w:t>
            </w:r>
            <w:r>
              <w:rPr>
                <w:rFonts w:ascii="Times New Roman" w:hAnsi="Times New Roman"/>
              </w:rPr>
              <w:t>.</w:t>
            </w:r>
          </w:p>
        </w:tc>
        <w:tc>
          <w:tcPr>
            <w:tcW w:w="4252" w:type="dxa"/>
            <w:tcBorders>
              <w:top w:val="single" w:sz="4" w:space="0" w:color="auto"/>
              <w:left w:val="single" w:sz="4" w:space="0" w:color="auto"/>
              <w:bottom w:val="single" w:sz="4" w:space="0" w:color="auto"/>
              <w:right w:val="single" w:sz="4" w:space="0" w:color="auto"/>
            </w:tcBorders>
            <w:hideMark/>
          </w:tcPr>
          <w:p w:rsidR="00D71143" w:rsidRDefault="00D71143">
            <w:pPr>
              <w:pStyle w:val="DotDashColon"/>
              <w:numPr>
                <w:ilvl w:val="0"/>
                <w:numId w:val="0"/>
              </w:numPr>
              <w:tabs>
                <w:tab w:val="left" w:pos="720"/>
              </w:tabs>
              <w:spacing w:before="120" w:after="120"/>
              <w:ind w:left="57"/>
              <w:rPr>
                <w:rFonts w:ascii="Times New Roman" w:hAnsi="Times New Roman"/>
              </w:rPr>
            </w:pPr>
            <w:r>
              <w:rPr>
                <w:rFonts w:ascii="Times New Roman" w:hAnsi="Times New Roman"/>
              </w:rPr>
              <w:t>SIG  funding contributions made for mutually determined priorities in:</w:t>
            </w:r>
          </w:p>
          <w:p w:rsidR="00D71143" w:rsidRDefault="00D71143" w:rsidP="00D71143">
            <w:pPr>
              <w:pStyle w:val="DotDashColon"/>
              <w:numPr>
                <w:ilvl w:val="0"/>
                <w:numId w:val="21"/>
              </w:numPr>
              <w:tabs>
                <w:tab w:val="left" w:pos="720"/>
              </w:tabs>
              <w:spacing w:before="120" w:after="120"/>
              <w:rPr>
                <w:rFonts w:ascii="Times New Roman" w:hAnsi="Times New Roman"/>
              </w:rPr>
            </w:pPr>
            <w:r>
              <w:rPr>
                <w:rFonts w:ascii="Times New Roman" w:hAnsi="Times New Roman"/>
              </w:rPr>
              <w:t xml:space="preserve">Health under the </w:t>
            </w:r>
            <w:r>
              <w:rPr>
                <w:rFonts w:ascii="Times New Roman" w:hAnsi="Times New Roman"/>
                <w:i/>
              </w:rPr>
              <w:t xml:space="preserve">Health Sector Support Program - Direct Funding </w:t>
            </w:r>
            <w:r w:rsidR="0047272F">
              <w:rPr>
                <w:rFonts w:ascii="Times New Roman" w:hAnsi="Times New Roman"/>
                <w:i/>
                <w:lang w:val="en-AU"/>
              </w:rPr>
              <w:t>Arrangement</w:t>
            </w:r>
          </w:p>
          <w:p w:rsidR="00D71143" w:rsidRDefault="00D71143" w:rsidP="00D71143">
            <w:pPr>
              <w:pStyle w:val="DotDashColon"/>
              <w:numPr>
                <w:ilvl w:val="0"/>
                <w:numId w:val="21"/>
              </w:numPr>
              <w:tabs>
                <w:tab w:val="left" w:pos="720"/>
              </w:tabs>
              <w:spacing w:before="120" w:after="120"/>
              <w:rPr>
                <w:rFonts w:ascii="Times New Roman" w:hAnsi="Times New Roman"/>
              </w:rPr>
            </w:pPr>
            <w:r>
              <w:rPr>
                <w:rFonts w:ascii="Times New Roman" w:hAnsi="Times New Roman"/>
              </w:rPr>
              <w:t xml:space="preserve">Education under the </w:t>
            </w:r>
            <w:r>
              <w:rPr>
                <w:rFonts w:ascii="Times New Roman" w:hAnsi="Times New Roman"/>
                <w:i/>
              </w:rPr>
              <w:t xml:space="preserve">Direct Funding </w:t>
            </w:r>
            <w:r w:rsidR="0047272F">
              <w:rPr>
                <w:rFonts w:ascii="Times New Roman" w:hAnsi="Times New Roman"/>
                <w:i/>
                <w:lang w:val="en-AU"/>
              </w:rPr>
              <w:t>Arrangement</w:t>
            </w:r>
            <w:r w:rsidR="0047272F">
              <w:rPr>
                <w:rFonts w:ascii="Times New Roman" w:hAnsi="Times New Roman"/>
                <w:i/>
              </w:rPr>
              <w:t xml:space="preserve"> </w:t>
            </w:r>
          </w:p>
          <w:p w:rsidR="00D71143" w:rsidRDefault="00D71143" w:rsidP="00D71143">
            <w:pPr>
              <w:pStyle w:val="DotDashColon"/>
              <w:numPr>
                <w:ilvl w:val="0"/>
                <w:numId w:val="21"/>
              </w:numPr>
              <w:tabs>
                <w:tab w:val="left" w:pos="720"/>
              </w:tabs>
              <w:spacing w:before="120" w:after="120"/>
              <w:rPr>
                <w:rFonts w:ascii="Times New Roman" w:hAnsi="Times New Roman"/>
              </w:rPr>
            </w:pPr>
            <w:r>
              <w:rPr>
                <w:rFonts w:ascii="Times New Roman" w:hAnsi="Times New Roman"/>
              </w:rPr>
              <w:t xml:space="preserve">Transport under </w:t>
            </w:r>
            <w:r>
              <w:rPr>
                <w:rFonts w:ascii="Times New Roman" w:hAnsi="Times New Roman"/>
                <w:i/>
              </w:rPr>
              <w:t>the National Transport Fund  Direct Funding Arrangement</w:t>
            </w:r>
          </w:p>
          <w:p w:rsidR="00D71143" w:rsidRDefault="00D71143" w:rsidP="00D71143">
            <w:pPr>
              <w:pStyle w:val="DotDashColon"/>
              <w:numPr>
                <w:ilvl w:val="0"/>
                <w:numId w:val="21"/>
              </w:numPr>
              <w:tabs>
                <w:tab w:val="left" w:pos="720"/>
              </w:tabs>
              <w:spacing w:before="120" w:after="120"/>
              <w:rPr>
                <w:rFonts w:ascii="Times New Roman" w:hAnsi="Times New Roman"/>
              </w:rPr>
            </w:pPr>
            <w:r>
              <w:rPr>
                <w:rFonts w:ascii="Times New Roman" w:hAnsi="Times New Roman"/>
              </w:rPr>
              <w:t xml:space="preserve">Rural development under </w:t>
            </w:r>
            <w:r>
              <w:rPr>
                <w:rFonts w:ascii="Times New Roman" w:hAnsi="Times New Roman"/>
                <w:i/>
              </w:rPr>
              <w:t>Rural Development Program Phase 2.</w:t>
            </w:r>
          </w:p>
        </w:tc>
      </w:tr>
      <w:tr w:rsidR="00D71143" w:rsidTr="00327756">
        <w:trPr>
          <w:trHeight w:val="7645"/>
        </w:trPr>
        <w:tc>
          <w:tcPr>
            <w:tcW w:w="4820" w:type="dxa"/>
            <w:tcBorders>
              <w:top w:val="single" w:sz="4" w:space="0" w:color="auto"/>
              <w:left w:val="single" w:sz="4" w:space="0" w:color="auto"/>
              <w:bottom w:val="single" w:sz="4" w:space="0" w:color="auto"/>
              <w:right w:val="single" w:sz="4" w:space="0" w:color="auto"/>
            </w:tcBorders>
          </w:tcPr>
          <w:p w:rsidR="00D71143" w:rsidRDefault="00D71143" w:rsidP="00D71143">
            <w:pPr>
              <w:pStyle w:val="DotDashColon"/>
              <w:numPr>
                <w:ilvl w:val="0"/>
                <w:numId w:val="20"/>
              </w:numPr>
              <w:tabs>
                <w:tab w:val="left" w:pos="1134"/>
              </w:tabs>
              <w:spacing w:before="120" w:after="120"/>
              <w:rPr>
                <w:rFonts w:ascii="Times New Roman" w:hAnsi="Times New Roman"/>
              </w:rPr>
            </w:pPr>
            <w:r>
              <w:rPr>
                <w:rFonts w:ascii="Times New Roman" w:hAnsi="Times New Roman"/>
              </w:rPr>
              <w:lastRenderedPageBreak/>
              <w:t>Improve governance, including the rule of law, sound macroeconomic policy and management of public resources, including strengthened public sector capacity and public financial management. This will include:</w:t>
            </w:r>
          </w:p>
          <w:p w:rsidR="00D71143" w:rsidRDefault="00D71143" w:rsidP="00D71143">
            <w:pPr>
              <w:pStyle w:val="DotDashColon"/>
              <w:numPr>
                <w:ilvl w:val="1"/>
                <w:numId w:val="20"/>
              </w:numPr>
              <w:tabs>
                <w:tab w:val="left" w:pos="709"/>
              </w:tabs>
              <w:spacing w:before="120" w:after="120"/>
              <w:rPr>
                <w:rFonts w:ascii="Times New Roman" w:hAnsi="Times New Roman"/>
              </w:rPr>
            </w:pPr>
            <w:r>
              <w:rPr>
                <w:rFonts w:ascii="Times New Roman" w:hAnsi="Times New Roman"/>
              </w:rPr>
              <w:t xml:space="preserve">Implementation of  the </w:t>
            </w:r>
            <w:r w:rsidRPr="00222D68">
              <w:rPr>
                <w:rFonts w:ascii="Times New Roman" w:hAnsi="Times New Roman"/>
                <w:i/>
              </w:rPr>
              <w:t>Public Financial Management Act</w:t>
            </w:r>
            <w:r>
              <w:rPr>
                <w:rFonts w:ascii="Times New Roman" w:hAnsi="Times New Roman"/>
              </w:rPr>
              <w:t xml:space="preserve"> to improve public financial management and quality of expenditu</w:t>
            </w:r>
            <w:r w:rsidR="00222D68">
              <w:rPr>
                <w:rFonts w:ascii="Times New Roman" w:hAnsi="Times New Roman"/>
              </w:rPr>
              <w:t>re; and manage fiduciary risks</w:t>
            </w:r>
            <w:r w:rsidR="00222D68">
              <w:rPr>
                <w:rFonts w:ascii="Times New Roman" w:hAnsi="Times New Roman"/>
                <w:lang w:val="en-AU"/>
              </w:rPr>
              <w:t>;</w:t>
            </w:r>
          </w:p>
          <w:p w:rsidR="00D71143" w:rsidRDefault="004D50BB" w:rsidP="00222D68">
            <w:pPr>
              <w:pStyle w:val="DotDashColon"/>
              <w:numPr>
                <w:ilvl w:val="1"/>
                <w:numId w:val="20"/>
              </w:numPr>
              <w:tabs>
                <w:tab w:val="left" w:pos="1134"/>
              </w:tabs>
              <w:rPr>
                <w:rFonts w:ascii="Times New Roman" w:hAnsi="Times New Roman"/>
              </w:rPr>
            </w:pPr>
            <w:r w:rsidRPr="004437BD">
              <w:rPr>
                <w:rFonts w:ascii="Times New Roman" w:hAnsi="Times New Roman"/>
              </w:rPr>
              <w:t>Implementation of public finance management action plan within the whole of government</w:t>
            </w:r>
            <w:r w:rsidR="00222D68">
              <w:rPr>
                <w:rFonts w:ascii="Times New Roman" w:hAnsi="Times New Roman"/>
                <w:lang w:val="en-AU"/>
              </w:rPr>
              <w:t>;</w:t>
            </w:r>
          </w:p>
          <w:p w:rsidR="00D71143" w:rsidRDefault="00D71143" w:rsidP="00D71143">
            <w:pPr>
              <w:pStyle w:val="DotDashColon"/>
              <w:numPr>
                <w:ilvl w:val="1"/>
                <w:numId w:val="20"/>
              </w:numPr>
              <w:tabs>
                <w:tab w:val="left" w:pos="1134"/>
              </w:tabs>
              <w:spacing w:before="120" w:after="120"/>
              <w:rPr>
                <w:rFonts w:ascii="Times New Roman" w:hAnsi="Times New Roman"/>
              </w:rPr>
            </w:pPr>
            <w:r>
              <w:rPr>
                <w:rFonts w:ascii="Times New Roman" w:hAnsi="Times New Roman"/>
              </w:rPr>
              <w:t xml:space="preserve">The mutually determined </w:t>
            </w:r>
            <w:r w:rsidRPr="00222D68">
              <w:rPr>
                <w:rFonts w:ascii="Times New Roman" w:hAnsi="Times New Roman"/>
                <w:i/>
              </w:rPr>
              <w:t>Joint Statement on Zero Tolerance to Fraud in Solomon Islands</w:t>
            </w:r>
            <w:r>
              <w:rPr>
                <w:rFonts w:ascii="Times New Roman" w:hAnsi="Times New Roman"/>
              </w:rPr>
              <w:t xml:space="preserve"> for the management and delivery of the Australian aid program in Solomon Islands; and </w:t>
            </w:r>
          </w:p>
          <w:p w:rsidR="00D71143" w:rsidRDefault="00D71143" w:rsidP="00D71143">
            <w:pPr>
              <w:pStyle w:val="DotDashColon"/>
              <w:numPr>
                <w:ilvl w:val="1"/>
                <w:numId w:val="20"/>
              </w:numPr>
              <w:tabs>
                <w:tab w:val="left" w:pos="1134"/>
              </w:tabs>
              <w:spacing w:before="120" w:after="120"/>
              <w:rPr>
                <w:rFonts w:ascii="Times New Roman" w:hAnsi="Times New Roman"/>
              </w:rPr>
            </w:pPr>
            <w:r>
              <w:rPr>
                <w:rFonts w:ascii="Times New Roman" w:hAnsi="Times New Roman"/>
              </w:rPr>
              <w:t xml:space="preserve">Continue implementation of </w:t>
            </w:r>
            <w:r w:rsidRPr="00222D68">
              <w:rPr>
                <w:rFonts w:ascii="Times New Roman" w:hAnsi="Times New Roman"/>
                <w:i/>
              </w:rPr>
              <w:t>Family Protection Act</w:t>
            </w:r>
            <w:r>
              <w:rPr>
                <w:rFonts w:ascii="Times New Roman" w:hAnsi="Times New Roman"/>
              </w:rPr>
              <w:t xml:space="preserve"> and supporting policies to help reduce fam</w:t>
            </w:r>
            <w:r w:rsidR="00222D68">
              <w:rPr>
                <w:rFonts w:ascii="Times New Roman" w:hAnsi="Times New Roman"/>
              </w:rPr>
              <w:t>ily violence</w:t>
            </w:r>
            <w:r w:rsidR="00222D68">
              <w:rPr>
                <w:rFonts w:ascii="Times New Roman" w:hAnsi="Times New Roman"/>
                <w:lang w:val="en-AU"/>
              </w:rPr>
              <w:t>.</w:t>
            </w:r>
          </w:p>
        </w:tc>
        <w:tc>
          <w:tcPr>
            <w:tcW w:w="4252" w:type="dxa"/>
            <w:tcBorders>
              <w:top w:val="single" w:sz="4" w:space="0" w:color="auto"/>
              <w:left w:val="single" w:sz="4" w:space="0" w:color="auto"/>
              <w:bottom w:val="single" w:sz="4" w:space="0" w:color="auto"/>
              <w:right w:val="single" w:sz="4" w:space="0" w:color="auto"/>
            </w:tcBorders>
          </w:tcPr>
          <w:p w:rsidR="00D71143" w:rsidRDefault="00D71143">
            <w:pPr>
              <w:pStyle w:val="DotDashColon"/>
              <w:numPr>
                <w:ilvl w:val="0"/>
                <w:numId w:val="0"/>
              </w:numPr>
              <w:tabs>
                <w:tab w:val="left" w:pos="851"/>
              </w:tabs>
              <w:ind w:left="57"/>
              <w:rPr>
                <w:rFonts w:ascii="Times New Roman" w:hAnsi="Times New Roman"/>
              </w:rPr>
            </w:pPr>
          </w:p>
          <w:p w:rsidR="00D71143" w:rsidRDefault="00D71143">
            <w:pPr>
              <w:pStyle w:val="DotDashColon"/>
              <w:numPr>
                <w:ilvl w:val="0"/>
                <w:numId w:val="0"/>
              </w:numPr>
              <w:tabs>
                <w:tab w:val="left" w:pos="851"/>
              </w:tabs>
              <w:ind w:left="57"/>
              <w:rPr>
                <w:rFonts w:ascii="Times New Roman" w:hAnsi="Times New Roman"/>
              </w:rPr>
            </w:pPr>
          </w:p>
          <w:p w:rsidR="00D71143" w:rsidRDefault="00D71143">
            <w:pPr>
              <w:pStyle w:val="DotDashColon"/>
              <w:numPr>
                <w:ilvl w:val="0"/>
                <w:numId w:val="0"/>
              </w:numPr>
              <w:tabs>
                <w:tab w:val="left" w:pos="851"/>
              </w:tabs>
              <w:ind w:left="57"/>
              <w:rPr>
                <w:rFonts w:ascii="Times New Roman" w:hAnsi="Times New Roman"/>
              </w:rPr>
            </w:pPr>
          </w:p>
          <w:p w:rsidR="00D71143" w:rsidRDefault="00D71143">
            <w:pPr>
              <w:pStyle w:val="DotDashColon"/>
              <w:numPr>
                <w:ilvl w:val="0"/>
                <w:numId w:val="0"/>
              </w:numPr>
              <w:tabs>
                <w:tab w:val="left" w:pos="851"/>
              </w:tabs>
              <w:ind w:left="57"/>
              <w:rPr>
                <w:rFonts w:ascii="Times New Roman" w:hAnsi="Times New Roman"/>
              </w:rPr>
            </w:pPr>
          </w:p>
          <w:p w:rsidR="00D71143" w:rsidRDefault="00D71143">
            <w:pPr>
              <w:pStyle w:val="DotDashColon"/>
              <w:numPr>
                <w:ilvl w:val="0"/>
                <w:numId w:val="0"/>
              </w:numPr>
              <w:tabs>
                <w:tab w:val="left" w:pos="851"/>
              </w:tabs>
              <w:ind w:left="57"/>
              <w:rPr>
                <w:rFonts w:ascii="Times New Roman" w:hAnsi="Times New Roman"/>
              </w:rPr>
            </w:pPr>
          </w:p>
          <w:p w:rsidR="00D71143" w:rsidRDefault="00D71143">
            <w:pPr>
              <w:pStyle w:val="DotDashColon"/>
              <w:numPr>
                <w:ilvl w:val="0"/>
                <w:numId w:val="0"/>
              </w:numPr>
              <w:tabs>
                <w:tab w:val="left" w:pos="851"/>
              </w:tabs>
              <w:ind w:left="57"/>
              <w:rPr>
                <w:rFonts w:ascii="Times New Roman" w:hAnsi="Times New Roman"/>
              </w:rPr>
            </w:pPr>
          </w:p>
          <w:p w:rsidR="00D71143" w:rsidRDefault="00D71143">
            <w:pPr>
              <w:pStyle w:val="DotDashColon"/>
              <w:numPr>
                <w:ilvl w:val="0"/>
                <w:numId w:val="0"/>
              </w:numPr>
              <w:tabs>
                <w:tab w:val="left" w:pos="851"/>
              </w:tabs>
              <w:ind w:left="57"/>
              <w:rPr>
                <w:rFonts w:ascii="Times New Roman" w:hAnsi="Times New Roman"/>
              </w:rPr>
            </w:pPr>
          </w:p>
          <w:p w:rsidR="00D71143" w:rsidRDefault="00D71143">
            <w:pPr>
              <w:pStyle w:val="DotDashColon"/>
              <w:numPr>
                <w:ilvl w:val="0"/>
                <w:numId w:val="0"/>
              </w:numPr>
              <w:tabs>
                <w:tab w:val="left" w:pos="851"/>
              </w:tabs>
              <w:ind w:left="57"/>
              <w:rPr>
                <w:rFonts w:ascii="Times New Roman" w:hAnsi="Times New Roman"/>
              </w:rPr>
            </w:pPr>
            <w:r>
              <w:rPr>
                <w:rFonts w:ascii="Times New Roman" w:hAnsi="Times New Roman"/>
              </w:rPr>
              <w:t xml:space="preserve">Approval of the regulations under the </w:t>
            </w:r>
            <w:r w:rsidRPr="00222D68">
              <w:rPr>
                <w:rFonts w:ascii="Times New Roman" w:hAnsi="Times New Roman"/>
                <w:i/>
              </w:rPr>
              <w:t>Public Financial Management Act</w:t>
            </w:r>
            <w:r>
              <w:rPr>
                <w:rFonts w:ascii="Times New Roman" w:hAnsi="Times New Roman"/>
              </w:rPr>
              <w:t xml:space="preserve">. </w:t>
            </w:r>
          </w:p>
          <w:p w:rsidR="00D71143" w:rsidRDefault="00D71143">
            <w:pPr>
              <w:pStyle w:val="DotDashColon"/>
              <w:numPr>
                <w:ilvl w:val="0"/>
                <w:numId w:val="0"/>
              </w:numPr>
              <w:tabs>
                <w:tab w:val="left" w:pos="851"/>
              </w:tabs>
              <w:ind w:left="57"/>
              <w:rPr>
                <w:rFonts w:ascii="Times New Roman" w:hAnsi="Times New Roman"/>
              </w:rPr>
            </w:pPr>
          </w:p>
          <w:p w:rsidR="00D71143" w:rsidRDefault="00D71143">
            <w:pPr>
              <w:pStyle w:val="DotDashColon"/>
              <w:numPr>
                <w:ilvl w:val="0"/>
                <w:numId w:val="0"/>
              </w:numPr>
              <w:tabs>
                <w:tab w:val="left" w:pos="851"/>
              </w:tabs>
              <w:ind w:left="57"/>
              <w:rPr>
                <w:rFonts w:ascii="Times New Roman" w:hAnsi="Times New Roman"/>
              </w:rPr>
            </w:pPr>
          </w:p>
          <w:p w:rsidR="00D71143" w:rsidRDefault="00D71143">
            <w:pPr>
              <w:pStyle w:val="DotDashColon"/>
              <w:numPr>
                <w:ilvl w:val="0"/>
                <w:numId w:val="0"/>
              </w:numPr>
              <w:tabs>
                <w:tab w:val="left" w:pos="851"/>
              </w:tabs>
              <w:ind w:left="57"/>
              <w:rPr>
                <w:rFonts w:ascii="Times New Roman" w:hAnsi="Times New Roman"/>
              </w:rPr>
            </w:pPr>
          </w:p>
          <w:p w:rsidR="00D71143" w:rsidRDefault="00D71143">
            <w:pPr>
              <w:pStyle w:val="DotDashColon"/>
              <w:numPr>
                <w:ilvl w:val="0"/>
                <w:numId w:val="0"/>
              </w:numPr>
              <w:tabs>
                <w:tab w:val="left" w:pos="851"/>
              </w:tabs>
              <w:ind w:left="57"/>
              <w:rPr>
                <w:rFonts w:ascii="Times New Roman" w:hAnsi="Times New Roman"/>
              </w:rPr>
            </w:pPr>
          </w:p>
          <w:p w:rsidR="00D71143" w:rsidRDefault="0098457D">
            <w:pPr>
              <w:pStyle w:val="DotDashColon"/>
              <w:numPr>
                <w:ilvl w:val="0"/>
                <w:numId w:val="0"/>
              </w:numPr>
              <w:tabs>
                <w:tab w:val="left" w:pos="851"/>
              </w:tabs>
              <w:spacing w:before="120" w:after="120"/>
              <w:ind w:left="57"/>
              <w:rPr>
                <w:rFonts w:ascii="Times New Roman" w:hAnsi="Times New Roman"/>
              </w:rPr>
            </w:pPr>
            <w:r w:rsidRPr="00222D68">
              <w:rPr>
                <w:rFonts w:ascii="Times New Roman" w:hAnsi="Times New Roman"/>
              </w:rPr>
              <w:t>Evidence of public expenditure and financial accountability (PEFA) and updated PFM Roadmap</w:t>
            </w:r>
            <w:r w:rsidR="00222D68">
              <w:rPr>
                <w:rFonts w:ascii="Times New Roman" w:hAnsi="Times New Roman"/>
                <w:lang w:val="en-AU"/>
              </w:rPr>
              <w:t>.</w:t>
            </w:r>
            <w:r w:rsidRPr="00222D68">
              <w:rPr>
                <w:rFonts w:ascii="Times New Roman" w:hAnsi="Times New Roman"/>
              </w:rPr>
              <w:t xml:space="preserve"> </w:t>
            </w:r>
          </w:p>
          <w:p w:rsidR="00222D68" w:rsidRDefault="00D71143" w:rsidP="00222D68">
            <w:pPr>
              <w:pStyle w:val="DotDashColon"/>
              <w:numPr>
                <w:ilvl w:val="0"/>
                <w:numId w:val="0"/>
              </w:numPr>
              <w:tabs>
                <w:tab w:val="left" w:pos="851"/>
              </w:tabs>
              <w:spacing w:before="120" w:after="120"/>
              <w:rPr>
                <w:rFonts w:ascii="Times New Roman" w:hAnsi="Times New Roman"/>
              </w:rPr>
            </w:pPr>
            <w:r>
              <w:rPr>
                <w:rFonts w:ascii="Times New Roman" w:hAnsi="Times New Roman"/>
              </w:rPr>
              <w:t>All procurement and spending  will be approved by a GOA representative (staff or contractor) for trust funds, imprest accounts or direct finance through partner government bank accounts.</w:t>
            </w:r>
          </w:p>
          <w:p w:rsidR="00D71143" w:rsidRDefault="00D71143" w:rsidP="00222D68">
            <w:pPr>
              <w:pStyle w:val="DotDashColon"/>
              <w:numPr>
                <w:ilvl w:val="0"/>
                <w:numId w:val="0"/>
              </w:numPr>
              <w:tabs>
                <w:tab w:val="left" w:pos="851"/>
              </w:tabs>
              <w:spacing w:before="360" w:after="120"/>
              <w:rPr>
                <w:rFonts w:ascii="Times New Roman" w:hAnsi="Times New Roman"/>
              </w:rPr>
            </w:pPr>
            <w:r>
              <w:rPr>
                <w:rFonts w:ascii="Times New Roman" w:hAnsi="Times New Roman"/>
              </w:rPr>
              <w:t xml:space="preserve">Funding for </w:t>
            </w:r>
            <w:r w:rsidRPr="00222D68">
              <w:rPr>
                <w:rFonts w:ascii="Times New Roman" w:hAnsi="Times New Roman"/>
                <w:i/>
              </w:rPr>
              <w:t>Family Protection Act</w:t>
            </w:r>
            <w:r>
              <w:rPr>
                <w:rFonts w:ascii="Times New Roman" w:hAnsi="Times New Roman"/>
              </w:rPr>
              <w:t xml:space="preserve"> implementation included in annual budget appropriations. </w:t>
            </w:r>
          </w:p>
        </w:tc>
      </w:tr>
    </w:tbl>
    <w:p w:rsidR="00D71143" w:rsidRDefault="00D71143" w:rsidP="00D71143">
      <w:pPr>
        <w:pStyle w:val="DotDashColon"/>
        <w:numPr>
          <w:ilvl w:val="0"/>
          <w:numId w:val="0"/>
        </w:numPr>
        <w:tabs>
          <w:tab w:val="left" w:pos="851"/>
        </w:tabs>
        <w:spacing w:after="120"/>
        <w:ind w:left="567" w:hanging="567"/>
        <w:jc w:val="both"/>
        <w:rPr>
          <w:rFonts w:ascii="Times New Roman" w:hAnsi="Times New Roman"/>
          <w:b/>
        </w:rPr>
      </w:pPr>
    </w:p>
    <w:p w:rsidR="00D71143" w:rsidRDefault="00D71143" w:rsidP="00D71143">
      <w:pPr>
        <w:rPr>
          <w:rFonts w:eastAsia="SimSun"/>
          <w:b/>
          <w:lang w:eastAsia="zh-CN"/>
        </w:rPr>
        <w:sectPr w:rsidR="00D71143">
          <w:headerReference w:type="even" r:id="rId8"/>
          <w:headerReference w:type="default" r:id="rId9"/>
          <w:footerReference w:type="even" r:id="rId10"/>
          <w:footerReference w:type="default" r:id="rId11"/>
          <w:headerReference w:type="first" r:id="rId12"/>
          <w:footerReference w:type="first" r:id="rId13"/>
          <w:pgSz w:w="11906" w:h="16838"/>
          <w:pgMar w:top="2410" w:right="1440" w:bottom="1440" w:left="1440" w:header="708" w:footer="708" w:gutter="0"/>
          <w:cols w:space="720"/>
        </w:sectPr>
      </w:pPr>
    </w:p>
    <w:p w:rsidR="00D71143" w:rsidRDefault="00D71143" w:rsidP="00D71143">
      <w:pPr>
        <w:pStyle w:val="DotDashColon"/>
        <w:numPr>
          <w:ilvl w:val="0"/>
          <w:numId w:val="0"/>
        </w:numPr>
        <w:tabs>
          <w:tab w:val="left" w:pos="851"/>
        </w:tabs>
        <w:spacing w:after="120"/>
        <w:ind w:left="567" w:hanging="567"/>
        <w:jc w:val="both"/>
        <w:rPr>
          <w:rFonts w:ascii="Times New Roman" w:hAnsi="Times New Roman"/>
          <w:b/>
        </w:rPr>
      </w:pPr>
      <w:r>
        <w:rPr>
          <w:rFonts w:ascii="Times New Roman" w:hAnsi="Times New Roman"/>
          <w:b/>
        </w:rPr>
        <w:lastRenderedPageBreak/>
        <w:t>Mutual accountability - Government of Australia commitments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111"/>
      </w:tblGrid>
      <w:tr w:rsidR="00D71143" w:rsidTr="00D71143">
        <w:tc>
          <w:tcPr>
            <w:tcW w:w="5103" w:type="dxa"/>
            <w:tcBorders>
              <w:top w:val="single" w:sz="4" w:space="0" w:color="auto"/>
              <w:left w:val="single" w:sz="4" w:space="0" w:color="auto"/>
              <w:bottom w:val="single" w:sz="4" w:space="0" w:color="auto"/>
              <w:right w:val="single" w:sz="4" w:space="0" w:color="auto"/>
            </w:tcBorders>
            <w:hideMark/>
          </w:tcPr>
          <w:p w:rsidR="00D71143" w:rsidRDefault="00D71143">
            <w:pPr>
              <w:pStyle w:val="DotDashColon"/>
              <w:numPr>
                <w:ilvl w:val="0"/>
                <w:numId w:val="0"/>
              </w:numPr>
              <w:tabs>
                <w:tab w:val="left" w:pos="851"/>
              </w:tabs>
              <w:spacing w:after="120"/>
              <w:jc w:val="both"/>
              <w:rPr>
                <w:rFonts w:ascii="Times New Roman" w:hAnsi="Times New Roman"/>
                <w:b/>
              </w:rPr>
            </w:pPr>
            <w:r>
              <w:rPr>
                <w:rFonts w:ascii="Times New Roman" w:hAnsi="Times New Roman"/>
                <w:b/>
              </w:rPr>
              <w:t>Government of Australia will:</w:t>
            </w:r>
          </w:p>
        </w:tc>
        <w:tc>
          <w:tcPr>
            <w:tcW w:w="4111" w:type="dxa"/>
            <w:tcBorders>
              <w:top w:val="single" w:sz="4" w:space="0" w:color="auto"/>
              <w:left w:val="single" w:sz="4" w:space="0" w:color="auto"/>
              <w:bottom w:val="single" w:sz="4" w:space="0" w:color="auto"/>
              <w:right w:val="single" w:sz="4" w:space="0" w:color="auto"/>
            </w:tcBorders>
            <w:hideMark/>
          </w:tcPr>
          <w:p w:rsidR="00D71143" w:rsidRPr="003B79E1" w:rsidRDefault="00D71143" w:rsidP="003B79E1">
            <w:pPr>
              <w:pStyle w:val="DotDashColon"/>
              <w:numPr>
                <w:ilvl w:val="0"/>
                <w:numId w:val="0"/>
              </w:numPr>
              <w:tabs>
                <w:tab w:val="left" w:pos="851"/>
              </w:tabs>
              <w:spacing w:after="120"/>
              <w:jc w:val="both"/>
              <w:rPr>
                <w:rFonts w:ascii="Times New Roman" w:hAnsi="Times New Roman"/>
                <w:b/>
                <w:lang w:val="en-AU"/>
              </w:rPr>
            </w:pPr>
            <w:r>
              <w:rPr>
                <w:rFonts w:ascii="Times New Roman" w:hAnsi="Times New Roman"/>
                <w:b/>
              </w:rPr>
              <w:t>Key results – 201</w:t>
            </w:r>
            <w:r w:rsidR="003B79E1">
              <w:rPr>
                <w:rFonts w:ascii="Times New Roman" w:hAnsi="Times New Roman"/>
                <w:b/>
                <w:lang w:val="en-AU"/>
              </w:rPr>
              <w:t>7-19</w:t>
            </w:r>
          </w:p>
        </w:tc>
      </w:tr>
      <w:tr w:rsidR="00D71143" w:rsidTr="00D71143">
        <w:tc>
          <w:tcPr>
            <w:tcW w:w="5103" w:type="dxa"/>
            <w:tcBorders>
              <w:top w:val="single" w:sz="4" w:space="0" w:color="auto"/>
              <w:left w:val="single" w:sz="4" w:space="0" w:color="auto"/>
              <w:bottom w:val="single" w:sz="4" w:space="0" w:color="auto"/>
              <w:right w:val="single" w:sz="4" w:space="0" w:color="auto"/>
            </w:tcBorders>
            <w:hideMark/>
          </w:tcPr>
          <w:p w:rsidR="00D71143" w:rsidRDefault="00D71143" w:rsidP="00D71143">
            <w:pPr>
              <w:pStyle w:val="DotDashColon"/>
              <w:numPr>
                <w:ilvl w:val="0"/>
                <w:numId w:val="22"/>
              </w:numPr>
              <w:tabs>
                <w:tab w:val="left" w:pos="1134"/>
              </w:tabs>
              <w:spacing w:before="120" w:after="120"/>
              <w:rPr>
                <w:rFonts w:ascii="Times New Roman" w:hAnsi="Times New Roman"/>
              </w:rPr>
            </w:pPr>
            <w:r>
              <w:rPr>
                <w:rFonts w:ascii="Times New Roman" w:hAnsi="Times New Roman"/>
              </w:rPr>
              <w:t>Deliver its aid program in line with the strategic priorities and objectives of this Arrangement, reinforcing Solomon Islands’ leadership of effective development strategies and programs.</w:t>
            </w:r>
          </w:p>
        </w:tc>
        <w:tc>
          <w:tcPr>
            <w:tcW w:w="4111" w:type="dxa"/>
            <w:tcBorders>
              <w:top w:val="single" w:sz="4" w:space="0" w:color="auto"/>
              <w:left w:val="single" w:sz="4" w:space="0" w:color="auto"/>
              <w:bottom w:val="single" w:sz="4" w:space="0" w:color="auto"/>
              <w:right w:val="single" w:sz="4" w:space="0" w:color="auto"/>
            </w:tcBorders>
            <w:hideMark/>
          </w:tcPr>
          <w:p w:rsidR="00D71143" w:rsidRDefault="00D71143" w:rsidP="00222D68">
            <w:pPr>
              <w:pStyle w:val="DotDashColon"/>
              <w:numPr>
                <w:ilvl w:val="0"/>
                <w:numId w:val="0"/>
              </w:numPr>
              <w:tabs>
                <w:tab w:val="left" w:pos="17"/>
              </w:tabs>
              <w:spacing w:before="120" w:after="120"/>
              <w:ind w:left="57"/>
              <w:rPr>
                <w:rFonts w:ascii="Times New Roman" w:hAnsi="Times New Roman"/>
              </w:rPr>
            </w:pPr>
            <w:r>
              <w:rPr>
                <w:rFonts w:ascii="Times New Roman" w:hAnsi="Times New Roman"/>
              </w:rPr>
              <w:t xml:space="preserve">Aid program achieves ‘green’ ratings in annual </w:t>
            </w:r>
            <w:r w:rsidRPr="00222D68">
              <w:rPr>
                <w:rFonts w:ascii="Times New Roman" w:hAnsi="Times New Roman"/>
                <w:i/>
              </w:rPr>
              <w:t>Aid Program Performance Report</w:t>
            </w:r>
            <w:r>
              <w:rPr>
                <w:rFonts w:ascii="Times New Roman" w:hAnsi="Times New Roman"/>
              </w:rPr>
              <w:t xml:space="preserve"> in most outcome areas.</w:t>
            </w:r>
          </w:p>
        </w:tc>
      </w:tr>
      <w:tr w:rsidR="00D71143" w:rsidTr="00D71143">
        <w:tc>
          <w:tcPr>
            <w:tcW w:w="5103" w:type="dxa"/>
            <w:tcBorders>
              <w:top w:val="single" w:sz="4" w:space="0" w:color="auto"/>
              <w:left w:val="single" w:sz="4" w:space="0" w:color="auto"/>
              <w:bottom w:val="single" w:sz="4" w:space="0" w:color="auto"/>
              <w:right w:val="single" w:sz="4" w:space="0" w:color="auto"/>
            </w:tcBorders>
            <w:hideMark/>
          </w:tcPr>
          <w:p w:rsidR="00D71143" w:rsidRDefault="00D71143" w:rsidP="00D71143">
            <w:pPr>
              <w:pStyle w:val="DotDashColon"/>
              <w:numPr>
                <w:ilvl w:val="0"/>
                <w:numId w:val="22"/>
              </w:numPr>
              <w:tabs>
                <w:tab w:val="left" w:pos="1134"/>
              </w:tabs>
              <w:spacing w:before="120" w:after="120"/>
              <w:rPr>
                <w:rFonts w:ascii="Times New Roman" w:hAnsi="Times New Roman"/>
              </w:rPr>
            </w:pPr>
            <w:r>
              <w:rPr>
                <w:rFonts w:ascii="Times New Roman" w:hAnsi="Times New Roman"/>
              </w:rPr>
              <w:t>Update SIG on domestic policy developments which may affect the anticipated level of funding.</w:t>
            </w:r>
          </w:p>
        </w:tc>
        <w:tc>
          <w:tcPr>
            <w:tcW w:w="4111" w:type="dxa"/>
            <w:tcBorders>
              <w:top w:val="single" w:sz="4" w:space="0" w:color="auto"/>
              <w:left w:val="single" w:sz="4" w:space="0" w:color="auto"/>
              <w:bottom w:val="single" w:sz="4" w:space="0" w:color="auto"/>
              <w:right w:val="single" w:sz="4" w:space="0" w:color="auto"/>
            </w:tcBorders>
            <w:hideMark/>
          </w:tcPr>
          <w:p w:rsidR="00D71143" w:rsidRDefault="00D71143" w:rsidP="00222D68">
            <w:pPr>
              <w:pStyle w:val="DotDashColon"/>
              <w:numPr>
                <w:ilvl w:val="0"/>
                <w:numId w:val="0"/>
              </w:numPr>
              <w:tabs>
                <w:tab w:val="left" w:pos="17"/>
              </w:tabs>
              <w:spacing w:before="120" w:after="120"/>
              <w:ind w:left="57"/>
              <w:rPr>
                <w:rFonts w:ascii="Times New Roman" w:hAnsi="Times New Roman"/>
              </w:rPr>
            </w:pPr>
            <w:r>
              <w:rPr>
                <w:rFonts w:ascii="Times New Roman" w:hAnsi="Times New Roman"/>
              </w:rPr>
              <w:t>Evidence that GOA has updated SIG on domestic policy developments regarding funding where necessary.</w:t>
            </w:r>
          </w:p>
        </w:tc>
      </w:tr>
      <w:tr w:rsidR="00D71143" w:rsidTr="00D71143">
        <w:tc>
          <w:tcPr>
            <w:tcW w:w="5103" w:type="dxa"/>
            <w:tcBorders>
              <w:top w:val="single" w:sz="4" w:space="0" w:color="auto"/>
              <w:left w:val="single" w:sz="4" w:space="0" w:color="auto"/>
              <w:bottom w:val="single" w:sz="4" w:space="0" w:color="auto"/>
              <w:right w:val="single" w:sz="4" w:space="0" w:color="auto"/>
            </w:tcBorders>
            <w:hideMark/>
          </w:tcPr>
          <w:p w:rsidR="00D71143" w:rsidRDefault="00D71143" w:rsidP="00D71143">
            <w:pPr>
              <w:pStyle w:val="DotDashColon"/>
              <w:numPr>
                <w:ilvl w:val="0"/>
                <w:numId w:val="22"/>
              </w:numPr>
              <w:tabs>
                <w:tab w:val="left" w:pos="1134"/>
              </w:tabs>
              <w:spacing w:before="120" w:after="120"/>
              <w:rPr>
                <w:rFonts w:ascii="Times New Roman" w:hAnsi="Times New Roman"/>
              </w:rPr>
            </w:pPr>
            <w:r>
              <w:rPr>
                <w:rFonts w:ascii="Times New Roman" w:hAnsi="Times New Roman"/>
              </w:rPr>
              <w:t>Engage with SIG in policy discussions on funding allocations with a view to sustainability and reducing aid dependence over time.</w:t>
            </w:r>
          </w:p>
        </w:tc>
        <w:tc>
          <w:tcPr>
            <w:tcW w:w="4111" w:type="dxa"/>
            <w:tcBorders>
              <w:top w:val="single" w:sz="4" w:space="0" w:color="auto"/>
              <w:left w:val="single" w:sz="4" w:space="0" w:color="auto"/>
              <w:bottom w:val="single" w:sz="4" w:space="0" w:color="auto"/>
              <w:right w:val="single" w:sz="4" w:space="0" w:color="auto"/>
            </w:tcBorders>
            <w:hideMark/>
          </w:tcPr>
          <w:p w:rsidR="00D71143" w:rsidRDefault="00D71143" w:rsidP="00222D68">
            <w:pPr>
              <w:pStyle w:val="DotDashColon"/>
              <w:numPr>
                <w:ilvl w:val="0"/>
                <w:numId w:val="0"/>
              </w:numPr>
              <w:tabs>
                <w:tab w:val="left" w:pos="17"/>
              </w:tabs>
              <w:spacing w:before="120" w:after="120"/>
              <w:ind w:left="57"/>
              <w:rPr>
                <w:rFonts w:ascii="Times New Roman" w:hAnsi="Times New Roman"/>
              </w:rPr>
            </w:pPr>
            <w:r>
              <w:rPr>
                <w:rFonts w:ascii="Times New Roman" w:hAnsi="Times New Roman"/>
              </w:rPr>
              <w:t>Evidence that GOA has engaged with SIG in policy discussions on funding allocations.</w:t>
            </w:r>
          </w:p>
        </w:tc>
      </w:tr>
      <w:tr w:rsidR="00D71143" w:rsidTr="00D71143">
        <w:tc>
          <w:tcPr>
            <w:tcW w:w="5103" w:type="dxa"/>
            <w:tcBorders>
              <w:top w:val="single" w:sz="4" w:space="0" w:color="auto"/>
              <w:left w:val="single" w:sz="4" w:space="0" w:color="auto"/>
              <w:bottom w:val="single" w:sz="4" w:space="0" w:color="auto"/>
              <w:right w:val="single" w:sz="4" w:space="0" w:color="auto"/>
            </w:tcBorders>
            <w:hideMark/>
          </w:tcPr>
          <w:p w:rsidR="00D71143" w:rsidRDefault="00D71143" w:rsidP="00D71143">
            <w:pPr>
              <w:pStyle w:val="DotDashColon"/>
              <w:numPr>
                <w:ilvl w:val="0"/>
                <w:numId w:val="22"/>
              </w:numPr>
              <w:tabs>
                <w:tab w:val="left" w:pos="1134"/>
              </w:tabs>
              <w:spacing w:before="120" w:after="120"/>
              <w:rPr>
                <w:rFonts w:ascii="Times New Roman" w:hAnsi="Times New Roman"/>
              </w:rPr>
            </w:pPr>
            <w:r>
              <w:rPr>
                <w:rFonts w:ascii="Times New Roman" w:hAnsi="Times New Roman"/>
              </w:rPr>
              <w:t>Continue to support SIG as a bilateral development partner in its development priorities.</w:t>
            </w:r>
          </w:p>
        </w:tc>
        <w:tc>
          <w:tcPr>
            <w:tcW w:w="4111" w:type="dxa"/>
            <w:tcBorders>
              <w:top w:val="single" w:sz="4" w:space="0" w:color="auto"/>
              <w:left w:val="single" w:sz="4" w:space="0" w:color="auto"/>
              <w:bottom w:val="single" w:sz="4" w:space="0" w:color="auto"/>
              <w:right w:val="single" w:sz="4" w:space="0" w:color="auto"/>
            </w:tcBorders>
            <w:hideMark/>
          </w:tcPr>
          <w:p w:rsidR="00D71143" w:rsidRDefault="00D71143" w:rsidP="00222D68">
            <w:pPr>
              <w:pStyle w:val="DotDashColon"/>
              <w:numPr>
                <w:ilvl w:val="0"/>
                <w:numId w:val="0"/>
              </w:numPr>
              <w:tabs>
                <w:tab w:val="left" w:pos="17"/>
              </w:tabs>
              <w:spacing w:before="120" w:after="120"/>
              <w:ind w:left="57"/>
              <w:rPr>
                <w:rFonts w:ascii="Times New Roman" w:hAnsi="Times New Roman"/>
              </w:rPr>
            </w:pPr>
            <w:r>
              <w:rPr>
                <w:rFonts w:ascii="Times New Roman" w:hAnsi="Times New Roman"/>
              </w:rPr>
              <w:t>Evidence that GOA has continued to support SIG as a bilateral development partner in its development priorities.</w:t>
            </w:r>
          </w:p>
        </w:tc>
      </w:tr>
      <w:tr w:rsidR="00D71143" w:rsidTr="00D71143">
        <w:tc>
          <w:tcPr>
            <w:tcW w:w="5103" w:type="dxa"/>
            <w:tcBorders>
              <w:top w:val="single" w:sz="4" w:space="0" w:color="auto"/>
              <w:left w:val="single" w:sz="4" w:space="0" w:color="auto"/>
              <w:bottom w:val="single" w:sz="4" w:space="0" w:color="auto"/>
              <w:right w:val="single" w:sz="4" w:space="0" w:color="auto"/>
            </w:tcBorders>
            <w:hideMark/>
          </w:tcPr>
          <w:p w:rsidR="00D71143" w:rsidRDefault="00D71143" w:rsidP="00D71143">
            <w:pPr>
              <w:pStyle w:val="DotDashColon"/>
              <w:numPr>
                <w:ilvl w:val="0"/>
                <w:numId w:val="22"/>
              </w:numPr>
              <w:tabs>
                <w:tab w:val="left" w:pos="1134"/>
              </w:tabs>
              <w:spacing w:before="120" w:after="120"/>
              <w:rPr>
                <w:rFonts w:ascii="Times New Roman" w:hAnsi="Times New Roman"/>
              </w:rPr>
            </w:pPr>
            <w:r>
              <w:rPr>
                <w:rFonts w:ascii="Times New Roman" w:hAnsi="Times New Roman"/>
              </w:rPr>
              <w:t>Support SIG in preparing for RAMSI’s conclusion and transition to a new bilateral policing capacity development program on 30 June 2017.</w:t>
            </w:r>
          </w:p>
        </w:tc>
        <w:tc>
          <w:tcPr>
            <w:tcW w:w="4111" w:type="dxa"/>
            <w:tcBorders>
              <w:top w:val="single" w:sz="4" w:space="0" w:color="auto"/>
              <w:left w:val="single" w:sz="4" w:space="0" w:color="auto"/>
              <w:bottom w:val="single" w:sz="4" w:space="0" w:color="auto"/>
              <w:right w:val="single" w:sz="4" w:space="0" w:color="auto"/>
            </w:tcBorders>
            <w:hideMark/>
          </w:tcPr>
          <w:p w:rsidR="00D71143" w:rsidRPr="002A2999" w:rsidRDefault="00D71143" w:rsidP="002A2999">
            <w:pPr>
              <w:pStyle w:val="DotDashColon"/>
              <w:numPr>
                <w:ilvl w:val="0"/>
                <w:numId w:val="0"/>
              </w:numPr>
              <w:tabs>
                <w:tab w:val="left" w:pos="17"/>
              </w:tabs>
              <w:spacing w:before="120" w:after="120"/>
              <w:ind w:left="57"/>
              <w:rPr>
                <w:rFonts w:ascii="Times New Roman" w:hAnsi="Times New Roman"/>
                <w:lang w:val="en-AU"/>
              </w:rPr>
            </w:pPr>
            <w:r>
              <w:rPr>
                <w:rFonts w:ascii="Times New Roman" w:hAnsi="Times New Roman"/>
              </w:rPr>
              <w:t xml:space="preserve">Evidence that GOA has continued to support SIG in </w:t>
            </w:r>
            <w:r w:rsidRPr="00222D68">
              <w:rPr>
                <w:rFonts w:ascii="Times New Roman" w:hAnsi="Times New Roman"/>
              </w:rPr>
              <w:t>im</w:t>
            </w:r>
            <w:r w:rsidR="00222D68">
              <w:rPr>
                <w:rFonts w:ascii="Times New Roman" w:hAnsi="Times New Roman"/>
              </w:rPr>
              <w:t xml:space="preserve">plementation of </w:t>
            </w:r>
            <w:r w:rsidR="00222D68" w:rsidRPr="00222D68">
              <w:rPr>
                <w:rFonts w:ascii="Times New Roman" w:hAnsi="Times New Roman"/>
                <w:i/>
              </w:rPr>
              <w:t>RAMSI Drawdown</w:t>
            </w:r>
            <w:r w:rsidR="00222D68" w:rsidRPr="00222D68">
              <w:rPr>
                <w:rFonts w:ascii="Times New Roman" w:hAnsi="Times New Roman"/>
                <w:i/>
                <w:lang w:val="en-AU"/>
              </w:rPr>
              <w:t xml:space="preserve"> S</w:t>
            </w:r>
            <w:r w:rsidRPr="00222D68">
              <w:rPr>
                <w:rFonts w:ascii="Times New Roman" w:hAnsi="Times New Roman"/>
                <w:i/>
              </w:rPr>
              <w:t>trategy</w:t>
            </w:r>
            <w:r w:rsidRPr="00222D68">
              <w:rPr>
                <w:rFonts w:ascii="Times New Roman" w:hAnsi="Times New Roman"/>
              </w:rPr>
              <w:t xml:space="preserve"> </w:t>
            </w:r>
            <w:r w:rsidR="002A2999">
              <w:rPr>
                <w:rFonts w:ascii="Times New Roman" w:hAnsi="Times New Roman"/>
                <w:lang w:val="en-AU"/>
              </w:rPr>
              <w:t>and implementation of t</w:t>
            </w:r>
            <w:r w:rsidRPr="00222D68">
              <w:rPr>
                <w:rFonts w:ascii="Times New Roman" w:hAnsi="Times New Roman"/>
              </w:rPr>
              <w:t xml:space="preserve">he bilateral policing </w:t>
            </w:r>
            <w:r w:rsidR="00BE4156" w:rsidRPr="00222D68">
              <w:rPr>
                <w:rFonts w:ascii="Times New Roman" w:hAnsi="Times New Roman"/>
                <w:lang w:val="en-AU"/>
              </w:rPr>
              <w:t>program</w:t>
            </w:r>
            <w:r w:rsidR="00222D68">
              <w:rPr>
                <w:rFonts w:ascii="Times New Roman" w:hAnsi="Times New Roman"/>
                <w:lang w:val="en-AU"/>
              </w:rPr>
              <w:t>.</w:t>
            </w:r>
          </w:p>
        </w:tc>
      </w:tr>
    </w:tbl>
    <w:p w:rsidR="00D71143" w:rsidRDefault="00D71143" w:rsidP="00D71143">
      <w:pPr>
        <w:pStyle w:val="DotDashColon"/>
        <w:numPr>
          <w:ilvl w:val="0"/>
          <w:numId w:val="0"/>
        </w:numPr>
        <w:tabs>
          <w:tab w:val="left" w:pos="851"/>
        </w:tabs>
        <w:spacing w:after="120"/>
        <w:ind w:left="1"/>
        <w:jc w:val="both"/>
        <w:rPr>
          <w:rFonts w:ascii="Times New Roman" w:hAnsi="Times New Roman"/>
        </w:rPr>
      </w:pPr>
    </w:p>
    <w:p w:rsidR="00D71143" w:rsidRDefault="00D71143" w:rsidP="00D71143"/>
    <w:p w:rsidR="00D71143" w:rsidRDefault="00D71143" w:rsidP="00D71143"/>
    <w:p w:rsidR="00D71143" w:rsidRDefault="00D71143" w:rsidP="00D71143">
      <w:pPr>
        <w:sectPr w:rsidR="00D71143">
          <w:pgSz w:w="11906" w:h="16838"/>
          <w:pgMar w:top="2410" w:right="1440" w:bottom="1440" w:left="1440" w:header="708" w:footer="708" w:gutter="0"/>
          <w:cols w:space="720"/>
        </w:sectPr>
      </w:pPr>
    </w:p>
    <w:p w:rsidR="00D71143" w:rsidRDefault="00D71143" w:rsidP="00D71143">
      <w:pPr>
        <w:jc w:val="right"/>
      </w:pPr>
      <w:r>
        <w:rPr>
          <w:b/>
        </w:rPr>
        <w:lastRenderedPageBreak/>
        <w:t>Annex B</w:t>
      </w:r>
    </w:p>
    <w:p w:rsidR="00D71143" w:rsidRDefault="00D71143" w:rsidP="00D71143">
      <w:pPr>
        <w:pStyle w:val="DotDashColon"/>
        <w:numPr>
          <w:ilvl w:val="0"/>
          <w:numId w:val="0"/>
        </w:numPr>
        <w:tabs>
          <w:tab w:val="left" w:pos="851"/>
        </w:tabs>
        <w:spacing w:after="120"/>
        <w:ind w:left="1"/>
        <w:jc w:val="both"/>
        <w:rPr>
          <w:rFonts w:ascii="Times New Roman" w:hAnsi="Times New Roman"/>
          <w:b/>
        </w:rPr>
      </w:pPr>
      <w:r>
        <w:rPr>
          <w:rFonts w:ascii="Times New Roman" w:hAnsi="Times New Roman"/>
          <w:b/>
        </w:rPr>
        <w:t>Performance Benchmarks</w:t>
      </w:r>
    </w:p>
    <w:tbl>
      <w:tblPr>
        <w:tblW w:w="932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3050"/>
        <w:gridCol w:w="3074"/>
      </w:tblGrid>
      <w:tr w:rsidR="00D71143" w:rsidTr="00D71143">
        <w:tc>
          <w:tcPr>
            <w:tcW w:w="3197" w:type="dxa"/>
            <w:tcBorders>
              <w:top w:val="single" w:sz="4" w:space="0" w:color="auto"/>
              <w:left w:val="single" w:sz="4" w:space="0" w:color="auto"/>
              <w:bottom w:val="single" w:sz="4" w:space="0" w:color="auto"/>
              <w:right w:val="single" w:sz="4" w:space="0" w:color="auto"/>
            </w:tcBorders>
            <w:shd w:val="clear" w:color="auto" w:fill="F2F2F2"/>
            <w:hideMark/>
          </w:tcPr>
          <w:p w:rsidR="00D71143" w:rsidRDefault="00D71143">
            <w:pPr>
              <w:pStyle w:val="DotDashColon"/>
              <w:numPr>
                <w:ilvl w:val="0"/>
                <w:numId w:val="0"/>
              </w:numPr>
              <w:tabs>
                <w:tab w:val="left" w:pos="851"/>
              </w:tabs>
              <w:spacing w:after="120"/>
              <w:rPr>
                <w:rFonts w:ascii="Times New Roman" w:hAnsi="Times New Roman"/>
                <w:b/>
              </w:rPr>
            </w:pPr>
            <w:r>
              <w:rPr>
                <w:rFonts w:ascii="Times New Roman" w:hAnsi="Times New Roman"/>
                <w:b/>
              </w:rPr>
              <w:t>Aid Partnership Arrangement Objective 1</w:t>
            </w:r>
          </w:p>
        </w:tc>
        <w:tc>
          <w:tcPr>
            <w:tcW w:w="3050" w:type="dxa"/>
            <w:tcBorders>
              <w:top w:val="single" w:sz="4" w:space="0" w:color="auto"/>
              <w:left w:val="single" w:sz="4" w:space="0" w:color="auto"/>
              <w:bottom w:val="single" w:sz="4" w:space="0" w:color="auto"/>
              <w:right w:val="single" w:sz="4" w:space="0" w:color="auto"/>
            </w:tcBorders>
            <w:shd w:val="clear" w:color="auto" w:fill="F2F2F2"/>
            <w:hideMark/>
          </w:tcPr>
          <w:p w:rsidR="00D71143" w:rsidRDefault="00D71143">
            <w:pPr>
              <w:pStyle w:val="DotDashColon"/>
              <w:numPr>
                <w:ilvl w:val="0"/>
                <w:numId w:val="0"/>
              </w:numPr>
              <w:tabs>
                <w:tab w:val="left" w:pos="851"/>
              </w:tabs>
              <w:spacing w:after="120"/>
              <w:jc w:val="both"/>
              <w:rPr>
                <w:rFonts w:ascii="Times New Roman" w:hAnsi="Times New Roman"/>
                <w:b/>
              </w:rPr>
            </w:pPr>
            <w:r>
              <w:rPr>
                <w:rFonts w:ascii="Times New Roman" w:hAnsi="Times New Roman"/>
                <w:b/>
              </w:rPr>
              <w:t>Performance Indicator and Targets</w:t>
            </w:r>
          </w:p>
        </w:tc>
        <w:tc>
          <w:tcPr>
            <w:tcW w:w="3074" w:type="dxa"/>
            <w:tcBorders>
              <w:top w:val="single" w:sz="4" w:space="0" w:color="auto"/>
              <w:left w:val="single" w:sz="4" w:space="0" w:color="auto"/>
              <w:bottom w:val="single" w:sz="4" w:space="0" w:color="auto"/>
              <w:right w:val="single" w:sz="4" w:space="0" w:color="auto"/>
            </w:tcBorders>
            <w:shd w:val="clear" w:color="auto" w:fill="F2F2F2"/>
            <w:hideMark/>
          </w:tcPr>
          <w:p w:rsidR="00D71143" w:rsidRDefault="00D71143">
            <w:pPr>
              <w:pStyle w:val="DotDashColon"/>
              <w:numPr>
                <w:ilvl w:val="0"/>
                <w:numId w:val="0"/>
              </w:numPr>
              <w:tabs>
                <w:tab w:val="left" w:pos="851"/>
              </w:tabs>
              <w:spacing w:after="120"/>
              <w:jc w:val="both"/>
              <w:rPr>
                <w:rFonts w:ascii="Times New Roman" w:hAnsi="Times New Roman"/>
                <w:b/>
              </w:rPr>
            </w:pPr>
            <w:r>
              <w:rPr>
                <w:rFonts w:ascii="Times New Roman" w:hAnsi="Times New Roman"/>
                <w:b/>
              </w:rPr>
              <w:t>Source / Reporting Agency</w:t>
            </w:r>
          </w:p>
        </w:tc>
      </w:tr>
      <w:tr w:rsidR="00D71143" w:rsidTr="00D71143">
        <w:tc>
          <w:tcPr>
            <w:tcW w:w="3197" w:type="dxa"/>
            <w:tcBorders>
              <w:top w:val="single" w:sz="4" w:space="0" w:color="auto"/>
              <w:left w:val="single" w:sz="4" w:space="0" w:color="auto"/>
              <w:bottom w:val="single" w:sz="4" w:space="0" w:color="auto"/>
              <w:right w:val="single" w:sz="4" w:space="0" w:color="auto"/>
            </w:tcBorders>
            <w:hideMark/>
          </w:tcPr>
          <w:p w:rsidR="00D71143" w:rsidRDefault="00D71143">
            <w:pPr>
              <w:pStyle w:val="DotDashColon"/>
              <w:numPr>
                <w:ilvl w:val="0"/>
                <w:numId w:val="0"/>
              </w:numPr>
              <w:tabs>
                <w:tab w:val="left" w:pos="1134"/>
              </w:tabs>
              <w:spacing w:after="120"/>
              <w:ind w:left="1"/>
              <w:jc w:val="both"/>
              <w:rPr>
                <w:rFonts w:ascii="Times New Roman" w:hAnsi="Times New Roman"/>
                <w:i/>
              </w:rPr>
            </w:pPr>
            <w:r>
              <w:rPr>
                <w:rFonts w:ascii="Times New Roman" w:hAnsi="Times New Roman"/>
                <w:b/>
                <w:i/>
              </w:rPr>
              <w:t>Unified nation with stable and effective governance and public order</w:t>
            </w:r>
          </w:p>
        </w:tc>
        <w:tc>
          <w:tcPr>
            <w:tcW w:w="3050" w:type="dxa"/>
            <w:tcBorders>
              <w:top w:val="single" w:sz="4" w:space="0" w:color="auto"/>
              <w:left w:val="single" w:sz="4" w:space="0" w:color="auto"/>
              <w:bottom w:val="single" w:sz="4" w:space="0" w:color="auto"/>
              <w:right w:val="single" w:sz="4" w:space="0" w:color="auto"/>
            </w:tcBorders>
          </w:tcPr>
          <w:p w:rsidR="00D71143" w:rsidRDefault="00D71143">
            <w:pPr>
              <w:pStyle w:val="DotDashColon"/>
              <w:numPr>
                <w:ilvl w:val="0"/>
                <w:numId w:val="0"/>
              </w:numPr>
              <w:tabs>
                <w:tab w:val="left" w:pos="851"/>
              </w:tabs>
              <w:spacing w:after="120"/>
              <w:jc w:val="both"/>
              <w:rPr>
                <w:rFonts w:ascii="Times New Roman" w:hAnsi="Times New Roman"/>
              </w:rPr>
            </w:pPr>
          </w:p>
        </w:tc>
        <w:tc>
          <w:tcPr>
            <w:tcW w:w="3074" w:type="dxa"/>
            <w:tcBorders>
              <w:top w:val="single" w:sz="4" w:space="0" w:color="auto"/>
              <w:left w:val="single" w:sz="4" w:space="0" w:color="auto"/>
              <w:bottom w:val="single" w:sz="4" w:space="0" w:color="auto"/>
              <w:right w:val="single" w:sz="4" w:space="0" w:color="auto"/>
            </w:tcBorders>
          </w:tcPr>
          <w:p w:rsidR="00D71143" w:rsidRDefault="00D71143">
            <w:pPr>
              <w:pStyle w:val="DotDashColon"/>
              <w:numPr>
                <w:ilvl w:val="0"/>
                <w:numId w:val="0"/>
              </w:numPr>
              <w:tabs>
                <w:tab w:val="left" w:pos="851"/>
              </w:tabs>
              <w:spacing w:after="120"/>
              <w:jc w:val="both"/>
              <w:rPr>
                <w:rFonts w:ascii="Times New Roman" w:hAnsi="Times New Roman"/>
              </w:rPr>
            </w:pPr>
          </w:p>
        </w:tc>
      </w:tr>
      <w:tr w:rsidR="00D71143" w:rsidTr="00D71143">
        <w:tc>
          <w:tcPr>
            <w:tcW w:w="3197" w:type="dxa"/>
            <w:tcBorders>
              <w:top w:val="single" w:sz="4" w:space="0" w:color="auto"/>
              <w:left w:val="single" w:sz="4" w:space="0" w:color="auto"/>
              <w:bottom w:val="single" w:sz="4" w:space="0" w:color="auto"/>
              <w:right w:val="single" w:sz="4" w:space="0" w:color="auto"/>
            </w:tcBorders>
            <w:shd w:val="clear" w:color="auto" w:fill="F2F2F2"/>
            <w:hideMark/>
          </w:tcPr>
          <w:p w:rsidR="00D71143" w:rsidRDefault="00D71143">
            <w:pPr>
              <w:pStyle w:val="DotDashColon"/>
              <w:numPr>
                <w:ilvl w:val="0"/>
                <w:numId w:val="0"/>
              </w:numPr>
              <w:tabs>
                <w:tab w:val="left" w:pos="1134"/>
              </w:tabs>
              <w:spacing w:after="120"/>
              <w:jc w:val="both"/>
              <w:rPr>
                <w:rFonts w:ascii="Times New Roman" w:hAnsi="Times New Roman"/>
                <w:b/>
              </w:rPr>
            </w:pPr>
            <w:r>
              <w:rPr>
                <w:rFonts w:ascii="Times New Roman" w:hAnsi="Times New Roman"/>
                <w:b/>
              </w:rPr>
              <w:t>Sub-objectives</w:t>
            </w:r>
          </w:p>
        </w:tc>
        <w:tc>
          <w:tcPr>
            <w:tcW w:w="3050" w:type="dxa"/>
            <w:tcBorders>
              <w:top w:val="single" w:sz="4" w:space="0" w:color="auto"/>
              <w:left w:val="single" w:sz="4" w:space="0" w:color="auto"/>
              <w:bottom w:val="single" w:sz="4" w:space="0" w:color="auto"/>
              <w:right w:val="single" w:sz="4" w:space="0" w:color="auto"/>
            </w:tcBorders>
            <w:shd w:val="clear" w:color="auto" w:fill="F2F2F2"/>
          </w:tcPr>
          <w:p w:rsidR="00D71143" w:rsidRDefault="00D71143">
            <w:pPr>
              <w:pStyle w:val="DotDashColon"/>
              <w:numPr>
                <w:ilvl w:val="0"/>
                <w:numId w:val="0"/>
              </w:numPr>
              <w:tabs>
                <w:tab w:val="left" w:pos="851"/>
              </w:tabs>
              <w:spacing w:after="120"/>
              <w:jc w:val="both"/>
              <w:rPr>
                <w:rFonts w:ascii="Times New Roman" w:hAnsi="Times New Roman"/>
              </w:rPr>
            </w:pPr>
          </w:p>
        </w:tc>
        <w:tc>
          <w:tcPr>
            <w:tcW w:w="3074" w:type="dxa"/>
            <w:tcBorders>
              <w:top w:val="single" w:sz="4" w:space="0" w:color="auto"/>
              <w:left w:val="single" w:sz="4" w:space="0" w:color="auto"/>
              <w:bottom w:val="single" w:sz="4" w:space="0" w:color="auto"/>
              <w:right w:val="single" w:sz="4" w:space="0" w:color="auto"/>
            </w:tcBorders>
            <w:shd w:val="clear" w:color="auto" w:fill="F2F2F2"/>
          </w:tcPr>
          <w:p w:rsidR="00D71143" w:rsidRDefault="00D71143">
            <w:pPr>
              <w:pStyle w:val="DotDashColon"/>
              <w:numPr>
                <w:ilvl w:val="0"/>
                <w:numId w:val="0"/>
              </w:numPr>
              <w:tabs>
                <w:tab w:val="left" w:pos="851"/>
              </w:tabs>
              <w:spacing w:after="120"/>
              <w:jc w:val="both"/>
              <w:rPr>
                <w:rFonts w:ascii="Times New Roman" w:hAnsi="Times New Roman"/>
              </w:rPr>
            </w:pPr>
          </w:p>
        </w:tc>
      </w:tr>
      <w:tr w:rsidR="00D71143" w:rsidTr="00D71143">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D71143" w:rsidRDefault="00D71143">
            <w:pPr>
              <w:pStyle w:val="DotDashColon"/>
              <w:numPr>
                <w:ilvl w:val="0"/>
                <w:numId w:val="0"/>
              </w:numPr>
              <w:tabs>
                <w:tab w:val="left" w:pos="1134"/>
              </w:tabs>
              <w:spacing w:after="120"/>
              <w:rPr>
                <w:rFonts w:ascii="Times New Roman" w:hAnsi="Times New Roman"/>
              </w:rPr>
            </w:pPr>
            <w:r>
              <w:rPr>
                <w:rFonts w:ascii="Times New Roman" w:hAnsi="Times New Roman"/>
              </w:rPr>
              <w:t>Ensure women’s full and effective participation and equal opportunities for leadership at all levels of decision-making in political, economic and public life.</w:t>
            </w:r>
          </w:p>
        </w:tc>
        <w:tc>
          <w:tcPr>
            <w:tcW w:w="3050" w:type="dxa"/>
            <w:tcBorders>
              <w:top w:val="single" w:sz="4" w:space="0" w:color="auto"/>
              <w:left w:val="single" w:sz="4" w:space="0" w:color="auto"/>
              <w:bottom w:val="single" w:sz="4" w:space="0" w:color="auto"/>
              <w:right w:val="single" w:sz="4" w:space="0" w:color="auto"/>
            </w:tcBorders>
            <w:shd w:val="clear" w:color="auto" w:fill="FFFFFF"/>
            <w:hideMark/>
          </w:tcPr>
          <w:p w:rsidR="00D71143" w:rsidRPr="002A2999" w:rsidRDefault="009A6139" w:rsidP="002A2999">
            <w:pPr>
              <w:autoSpaceDE w:val="0"/>
              <w:autoSpaceDN w:val="0"/>
              <w:adjustRightInd w:val="0"/>
              <w:rPr>
                <w:rFonts w:eastAsia="SimSun"/>
                <w:lang w:val="x-none" w:eastAsia="zh-CN"/>
              </w:rPr>
            </w:pPr>
            <w:r w:rsidRPr="002A2999">
              <w:rPr>
                <w:rFonts w:eastAsia="SimSun"/>
                <w:lang w:val="x-none" w:eastAsia="zh-CN"/>
              </w:rPr>
              <w:t>Percentage of seats held by women in national parliament and/or sub-national elected office according to their respective share of the population.</w:t>
            </w:r>
          </w:p>
          <w:p w:rsidR="009A6139" w:rsidRPr="009A6139" w:rsidRDefault="009A6139" w:rsidP="002A2999">
            <w:pPr>
              <w:autoSpaceDE w:val="0"/>
              <w:autoSpaceDN w:val="0"/>
              <w:adjustRightInd w:val="0"/>
              <w:rPr>
                <w:rFonts w:ascii="ArialMT" w:hAnsi="ArialMT" w:cs="ArialMT"/>
                <w:sz w:val="18"/>
                <w:szCs w:val="18"/>
                <w:lang w:eastAsia="en-AU"/>
              </w:rPr>
            </w:pPr>
          </w:p>
          <w:p w:rsidR="00D71143" w:rsidRDefault="00D71143" w:rsidP="002A2999">
            <w:pPr>
              <w:pStyle w:val="DotDashColon"/>
              <w:numPr>
                <w:ilvl w:val="0"/>
                <w:numId w:val="0"/>
              </w:numPr>
              <w:tabs>
                <w:tab w:val="left" w:pos="851"/>
              </w:tabs>
              <w:spacing w:after="120"/>
              <w:rPr>
                <w:rFonts w:ascii="Times New Roman" w:hAnsi="Times New Roman"/>
              </w:rPr>
            </w:pPr>
            <w:r>
              <w:rPr>
                <w:rFonts w:ascii="Times New Roman" w:hAnsi="Times New Roman"/>
              </w:rPr>
              <w:t>Increased number of businesses registered by women and evidence of gender inclusive workplace practices.</w:t>
            </w:r>
          </w:p>
          <w:p w:rsidR="00D71143" w:rsidRDefault="00D71143" w:rsidP="002A2999">
            <w:pPr>
              <w:pStyle w:val="DotDashColon"/>
              <w:numPr>
                <w:ilvl w:val="0"/>
                <w:numId w:val="0"/>
              </w:numPr>
              <w:tabs>
                <w:tab w:val="left" w:pos="851"/>
              </w:tabs>
              <w:spacing w:after="120"/>
              <w:rPr>
                <w:rFonts w:ascii="Times New Roman" w:hAnsi="Times New Roman"/>
              </w:rPr>
            </w:pPr>
            <w:r>
              <w:rPr>
                <w:rFonts w:ascii="Times New Roman" w:hAnsi="Times New Roman"/>
              </w:rPr>
              <w:t>Increased percentage of women in leadership and managerial roles in the Public Service.</w:t>
            </w:r>
          </w:p>
        </w:tc>
        <w:tc>
          <w:tcPr>
            <w:tcW w:w="3074" w:type="dxa"/>
            <w:tcBorders>
              <w:top w:val="single" w:sz="4" w:space="0" w:color="auto"/>
              <w:left w:val="single" w:sz="4" w:space="0" w:color="auto"/>
              <w:bottom w:val="single" w:sz="4" w:space="0" w:color="auto"/>
              <w:right w:val="single" w:sz="4" w:space="0" w:color="auto"/>
            </w:tcBorders>
            <w:shd w:val="clear" w:color="auto" w:fill="FFFFFF"/>
          </w:tcPr>
          <w:p w:rsidR="00D71143" w:rsidRDefault="00D71143" w:rsidP="002A2999">
            <w:pPr>
              <w:pStyle w:val="DotDashColon"/>
              <w:numPr>
                <w:ilvl w:val="0"/>
                <w:numId w:val="0"/>
              </w:numPr>
              <w:tabs>
                <w:tab w:val="left" w:pos="851"/>
              </w:tabs>
              <w:spacing w:after="120"/>
              <w:rPr>
                <w:rFonts w:ascii="Times New Roman" w:hAnsi="Times New Roman"/>
              </w:rPr>
            </w:pPr>
            <w:r>
              <w:rPr>
                <w:rFonts w:ascii="Times New Roman" w:hAnsi="Times New Roman"/>
              </w:rPr>
              <w:t>National Statistics Office (NSO)</w:t>
            </w:r>
          </w:p>
          <w:p w:rsidR="00D71143" w:rsidRDefault="00D71143" w:rsidP="002A2999">
            <w:pPr>
              <w:pStyle w:val="DotDashColon"/>
              <w:numPr>
                <w:ilvl w:val="0"/>
                <w:numId w:val="0"/>
              </w:numPr>
              <w:tabs>
                <w:tab w:val="left" w:pos="851"/>
              </w:tabs>
              <w:spacing w:after="120"/>
              <w:rPr>
                <w:rFonts w:ascii="Times New Roman" w:hAnsi="Times New Roman"/>
              </w:rPr>
            </w:pPr>
          </w:p>
          <w:p w:rsidR="00D71143" w:rsidRDefault="00D71143" w:rsidP="002A2999">
            <w:pPr>
              <w:pStyle w:val="DotDashColon"/>
              <w:numPr>
                <w:ilvl w:val="0"/>
                <w:numId w:val="0"/>
              </w:numPr>
              <w:tabs>
                <w:tab w:val="left" w:pos="851"/>
              </w:tabs>
              <w:spacing w:after="120"/>
              <w:rPr>
                <w:rFonts w:ascii="Times New Roman" w:hAnsi="Times New Roman"/>
              </w:rPr>
            </w:pPr>
          </w:p>
          <w:p w:rsidR="002A2999" w:rsidRDefault="002A2999" w:rsidP="002A2999">
            <w:pPr>
              <w:pStyle w:val="DotDashColon"/>
              <w:numPr>
                <w:ilvl w:val="0"/>
                <w:numId w:val="0"/>
              </w:numPr>
              <w:tabs>
                <w:tab w:val="left" w:pos="851"/>
              </w:tabs>
              <w:spacing w:after="120"/>
              <w:rPr>
                <w:rFonts w:ascii="Times New Roman" w:hAnsi="Times New Roman"/>
              </w:rPr>
            </w:pPr>
          </w:p>
          <w:p w:rsidR="0075138C" w:rsidRDefault="00D71143" w:rsidP="002A2999">
            <w:pPr>
              <w:pStyle w:val="DotDashColon"/>
              <w:numPr>
                <w:ilvl w:val="0"/>
                <w:numId w:val="0"/>
              </w:numPr>
              <w:tabs>
                <w:tab w:val="left" w:pos="851"/>
              </w:tabs>
              <w:spacing w:after="120"/>
              <w:rPr>
                <w:rFonts w:ascii="Times New Roman" w:hAnsi="Times New Roman"/>
              </w:rPr>
            </w:pPr>
            <w:r>
              <w:rPr>
                <w:rFonts w:ascii="Times New Roman" w:hAnsi="Times New Roman"/>
              </w:rPr>
              <w:t>International Finance Corporation (IFC)</w:t>
            </w:r>
          </w:p>
          <w:p w:rsidR="0075138C" w:rsidRDefault="0075138C" w:rsidP="002A2999">
            <w:pPr>
              <w:pStyle w:val="DotDashColon"/>
              <w:numPr>
                <w:ilvl w:val="0"/>
                <w:numId w:val="0"/>
              </w:numPr>
              <w:tabs>
                <w:tab w:val="left" w:pos="851"/>
              </w:tabs>
              <w:spacing w:after="120"/>
              <w:rPr>
                <w:rFonts w:ascii="Times New Roman" w:hAnsi="Times New Roman"/>
              </w:rPr>
            </w:pPr>
          </w:p>
          <w:p w:rsidR="002A2999" w:rsidRDefault="002A2999" w:rsidP="002A2999">
            <w:pPr>
              <w:pStyle w:val="DotDashColon"/>
              <w:numPr>
                <w:ilvl w:val="0"/>
                <w:numId w:val="0"/>
              </w:numPr>
              <w:tabs>
                <w:tab w:val="left" w:pos="851"/>
              </w:tabs>
              <w:spacing w:after="120"/>
              <w:rPr>
                <w:rFonts w:ascii="Times New Roman" w:hAnsi="Times New Roman"/>
              </w:rPr>
            </w:pPr>
          </w:p>
          <w:p w:rsidR="00D71143" w:rsidRDefault="00D71143" w:rsidP="002A2999">
            <w:pPr>
              <w:pStyle w:val="DotDashColon"/>
              <w:numPr>
                <w:ilvl w:val="0"/>
                <w:numId w:val="0"/>
              </w:numPr>
              <w:tabs>
                <w:tab w:val="left" w:pos="851"/>
              </w:tabs>
              <w:spacing w:after="120"/>
              <w:rPr>
                <w:rFonts w:ascii="Times New Roman" w:hAnsi="Times New Roman"/>
              </w:rPr>
            </w:pPr>
            <w:r>
              <w:rPr>
                <w:rFonts w:ascii="Times New Roman" w:hAnsi="Times New Roman"/>
              </w:rPr>
              <w:t>Ministry of Public Service</w:t>
            </w:r>
          </w:p>
        </w:tc>
      </w:tr>
      <w:tr w:rsidR="00D71143" w:rsidTr="00D71143">
        <w:tc>
          <w:tcPr>
            <w:tcW w:w="3197" w:type="dxa"/>
            <w:tcBorders>
              <w:top w:val="single" w:sz="4" w:space="0" w:color="auto"/>
              <w:left w:val="single" w:sz="4" w:space="0" w:color="auto"/>
              <w:bottom w:val="single" w:sz="4" w:space="0" w:color="auto"/>
              <w:right w:val="single" w:sz="4" w:space="0" w:color="auto"/>
            </w:tcBorders>
            <w:shd w:val="clear" w:color="auto" w:fill="FFFFFF"/>
          </w:tcPr>
          <w:p w:rsidR="00D71143" w:rsidRPr="002A2999" w:rsidRDefault="00D71143">
            <w:pPr>
              <w:pStyle w:val="DotDashColon"/>
              <w:numPr>
                <w:ilvl w:val="0"/>
                <w:numId w:val="0"/>
              </w:numPr>
              <w:tabs>
                <w:tab w:val="left" w:pos="1134"/>
              </w:tabs>
              <w:spacing w:after="120"/>
              <w:rPr>
                <w:rFonts w:ascii="Times New Roman" w:hAnsi="Times New Roman"/>
                <w:lang w:val="en-AU"/>
              </w:rPr>
            </w:pPr>
            <w:r>
              <w:rPr>
                <w:rFonts w:ascii="Times New Roman" w:hAnsi="Times New Roman"/>
              </w:rPr>
              <w:t>Substantially reduce corruption and bribery in all their forms</w:t>
            </w:r>
            <w:r w:rsidR="002A2999">
              <w:rPr>
                <w:rFonts w:ascii="Times New Roman" w:hAnsi="Times New Roman"/>
                <w:lang w:val="en-AU"/>
              </w:rPr>
              <w:t>.</w:t>
            </w:r>
          </w:p>
          <w:p w:rsidR="00D71143" w:rsidRDefault="00D71143">
            <w:pPr>
              <w:pStyle w:val="DotDashColon"/>
              <w:numPr>
                <w:ilvl w:val="0"/>
                <w:numId w:val="0"/>
              </w:numPr>
              <w:tabs>
                <w:tab w:val="left" w:pos="1134"/>
              </w:tabs>
              <w:spacing w:after="120"/>
              <w:rPr>
                <w:rFonts w:ascii="Times New Roman" w:hAnsi="Times New Roman"/>
              </w:rPr>
            </w:pPr>
          </w:p>
        </w:tc>
        <w:tc>
          <w:tcPr>
            <w:tcW w:w="3050" w:type="dxa"/>
            <w:tcBorders>
              <w:top w:val="single" w:sz="4" w:space="0" w:color="auto"/>
              <w:left w:val="single" w:sz="4" w:space="0" w:color="auto"/>
              <w:bottom w:val="single" w:sz="4" w:space="0" w:color="auto"/>
              <w:right w:val="single" w:sz="4" w:space="0" w:color="auto"/>
            </w:tcBorders>
            <w:shd w:val="clear" w:color="auto" w:fill="FFFFFF"/>
            <w:hideMark/>
          </w:tcPr>
          <w:p w:rsidR="00D71143" w:rsidRDefault="00D71143" w:rsidP="002A2999">
            <w:pPr>
              <w:pStyle w:val="DotDashColon"/>
              <w:numPr>
                <w:ilvl w:val="0"/>
                <w:numId w:val="0"/>
              </w:numPr>
              <w:tabs>
                <w:tab w:val="left" w:pos="851"/>
              </w:tabs>
              <w:spacing w:after="120"/>
              <w:rPr>
                <w:rFonts w:ascii="Times New Roman" w:hAnsi="Times New Roman"/>
              </w:rPr>
            </w:pPr>
            <w:r>
              <w:rPr>
                <w:rFonts w:ascii="Times New Roman" w:hAnsi="Times New Roman"/>
              </w:rPr>
              <w:t>Ranking and score in Transparency International Corruption Perception Index improve and set on an upward trend from rank of 120 (2011).</w:t>
            </w:r>
          </w:p>
          <w:p w:rsidR="00D71143" w:rsidRPr="002A2999" w:rsidRDefault="00913A16" w:rsidP="002A2999">
            <w:pPr>
              <w:pStyle w:val="DotDashColon"/>
              <w:numPr>
                <w:ilvl w:val="0"/>
                <w:numId w:val="0"/>
              </w:numPr>
              <w:tabs>
                <w:tab w:val="left" w:pos="851"/>
              </w:tabs>
              <w:spacing w:after="120"/>
              <w:rPr>
                <w:rFonts w:ascii="Times New Roman" w:hAnsi="Times New Roman"/>
              </w:rPr>
            </w:pPr>
            <w:r w:rsidRPr="002A2999">
              <w:rPr>
                <w:rFonts w:ascii="Times New Roman" w:hAnsi="Times New Roman"/>
              </w:rPr>
              <w:t>Proportion of surveyed respondents indicating satisfactory treatment by the police.</w:t>
            </w:r>
          </w:p>
        </w:tc>
        <w:tc>
          <w:tcPr>
            <w:tcW w:w="3074" w:type="dxa"/>
            <w:tcBorders>
              <w:top w:val="single" w:sz="4" w:space="0" w:color="auto"/>
              <w:left w:val="single" w:sz="4" w:space="0" w:color="auto"/>
              <w:bottom w:val="single" w:sz="4" w:space="0" w:color="auto"/>
              <w:right w:val="single" w:sz="4" w:space="0" w:color="auto"/>
            </w:tcBorders>
          </w:tcPr>
          <w:p w:rsidR="00D71143" w:rsidRDefault="00D71143">
            <w:pPr>
              <w:pStyle w:val="DotDashColon"/>
              <w:numPr>
                <w:ilvl w:val="0"/>
                <w:numId w:val="0"/>
              </w:numPr>
              <w:tabs>
                <w:tab w:val="left" w:pos="851"/>
              </w:tabs>
              <w:spacing w:after="120"/>
              <w:jc w:val="both"/>
              <w:rPr>
                <w:rFonts w:ascii="Times New Roman" w:hAnsi="Times New Roman"/>
              </w:rPr>
            </w:pPr>
            <w:r>
              <w:rPr>
                <w:rFonts w:ascii="Times New Roman" w:hAnsi="Times New Roman"/>
              </w:rPr>
              <w:t>TI Annual Report</w:t>
            </w:r>
          </w:p>
          <w:p w:rsidR="00D71143" w:rsidRDefault="00D71143">
            <w:pPr>
              <w:pStyle w:val="DotDashColon"/>
              <w:numPr>
                <w:ilvl w:val="0"/>
                <w:numId w:val="0"/>
              </w:numPr>
              <w:tabs>
                <w:tab w:val="left" w:pos="851"/>
              </w:tabs>
              <w:spacing w:after="120"/>
              <w:jc w:val="both"/>
              <w:rPr>
                <w:rFonts w:ascii="Times New Roman" w:hAnsi="Times New Roman"/>
              </w:rPr>
            </w:pPr>
          </w:p>
          <w:p w:rsidR="00D71143" w:rsidRDefault="00D71143">
            <w:pPr>
              <w:pStyle w:val="DotDashColon"/>
              <w:numPr>
                <w:ilvl w:val="0"/>
                <w:numId w:val="0"/>
              </w:numPr>
              <w:tabs>
                <w:tab w:val="left" w:pos="851"/>
              </w:tabs>
              <w:spacing w:after="120"/>
              <w:jc w:val="both"/>
              <w:rPr>
                <w:rFonts w:ascii="Times New Roman" w:hAnsi="Times New Roman"/>
              </w:rPr>
            </w:pPr>
          </w:p>
          <w:p w:rsidR="00D71143" w:rsidRDefault="00D71143">
            <w:pPr>
              <w:pStyle w:val="DotDashColon"/>
              <w:numPr>
                <w:ilvl w:val="0"/>
                <w:numId w:val="0"/>
              </w:numPr>
              <w:tabs>
                <w:tab w:val="left" w:pos="851"/>
              </w:tabs>
              <w:spacing w:after="120"/>
              <w:jc w:val="both"/>
              <w:rPr>
                <w:rFonts w:ascii="Times New Roman" w:hAnsi="Times New Roman"/>
              </w:rPr>
            </w:pPr>
          </w:p>
          <w:p w:rsidR="00D71143" w:rsidRDefault="00D71143">
            <w:pPr>
              <w:pStyle w:val="DotDashColon"/>
              <w:numPr>
                <w:ilvl w:val="0"/>
                <w:numId w:val="0"/>
              </w:numPr>
              <w:tabs>
                <w:tab w:val="left" w:pos="851"/>
              </w:tabs>
              <w:spacing w:after="120"/>
              <w:jc w:val="both"/>
              <w:rPr>
                <w:rFonts w:ascii="Times New Roman" w:hAnsi="Times New Roman"/>
              </w:rPr>
            </w:pPr>
          </w:p>
          <w:p w:rsidR="00D71143" w:rsidRDefault="00881638" w:rsidP="002A2999">
            <w:pPr>
              <w:pStyle w:val="DotDashColon"/>
              <w:numPr>
                <w:ilvl w:val="0"/>
                <w:numId w:val="0"/>
              </w:numPr>
              <w:tabs>
                <w:tab w:val="left" w:pos="851"/>
              </w:tabs>
              <w:spacing w:after="120"/>
              <w:rPr>
                <w:rFonts w:ascii="Times New Roman" w:hAnsi="Times New Roman"/>
              </w:rPr>
            </w:pPr>
            <w:r w:rsidRPr="002A2999">
              <w:rPr>
                <w:rFonts w:ascii="Times New Roman" w:hAnsi="Times New Roman"/>
              </w:rPr>
              <w:t>National Development Strategy Tracker Survey (formerly People’s S</w:t>
            </w:r>
            <w:r w:rsidR="00913A16" w:rsidRPr="002A2999">
              <w:rPr>
                <w:rFonts w:ascii="Times New Roman" w:hAnsi="Times New Roman"/>
              </w:rPr>
              <w:t>urvey</w:t>
            </w:r>
            <w:r w:rsidRPr="002A2999">
              <w:rPr>
                <w:rFonts w:ascii="Times New Roman" w:hAnsi="Times New Roman"/>
              </w:rPr>
              <w:t>)</w:t>
            </w:r>
          </w:p>
        </w:tc>
      </w:tr>
      <w:tr w:rsidR="00D71143" w:rsidTr="00D71143">
        <w:trPr>
          <w:trHeight w:val="3534"/>
        </w:trPr>
        <w:tc>
          <w:tcPr>
            <w:tcW w:w="3197" w:type="dxa"/>
            <w:tcBorders>
              <w:top w:val="single" w:sz="4" w:space="0" w:color="auto"/>
              <w:left w:val="single" w:sz="4" w:space="0" w:color="auto"/>
              <w:bottom w:val="single" w:sz="4" w:space="0" w:color="auto"/>
              <w:right w:val="single" w:sz="4" w:space="0" w:color="auto"/>
            </w:tcBorders>
            <w:shd w:val="clear" w:color="auto" w:fill="FFFFFF"/>
          </w:tcPr>
          <w:p w:rsidR="00D71143" w:rsidRDefault="00D71143" w:rsidP="002A2999">
            <w:pPr>
              <w:pStyle w:val="Default"/>
              <w:rPr>
                <w:rFonts w:ascii="Times New Roman" w:hAnsi="Times New Roman" w:cs="Times New Roman"/>
              </w:rPr>
            </w:pPr>
            <w:r>
              <w:rPr>
                <w:rFonts w:ascii="Times New Roman" w:hAnsi="Times New Roman" w:cs="Times New Roman"/>
              </w:rPr>
              <w:lastRenderedPageBreak/>
              <w:t xml:space="preserve">Eliminate all forms of violence against all women and girls in the public and private spheres, including trafficking and sexual and other types of exploitation. </w:t>
            </w:r>
          </w:p>
          <w:p w:rsidR="00D71143" w:rsidRDefault="00D71143" w:rsidP="002A2999">
            <w:pPr>
              <w:pStyle w:val="DotDashColon"/>
              <w:numPr>
                <w:ilvl w:val="0"/>
                <w:numId w:val="0"/>
              </w:numPr>
              <w:tabs>
                <w:tab w:val="left" w:pos="1134"/>
              </w:tabs>
              <w:spacing w:after="120"/>
              <w:rPr>
                <w:rFonts w:ascii="Times New Roman" w:hAnsi="Times New Roman"/>
              </w:rPr>
            </w:pPr>
          </w:p>
        </w:tc>
        <w:tc>
          <w:tcPr>
            <w:tcW w:w="3050" w:type="dxa"/>
            <w:tcBorders>
              <w:top w:val="single" w:sz="4" w:space="0" w:color="auto"/>
              <w:left w:val="single" w:sz="4" w:space="0" w:color="auto"/>
              <w:bottom w:val="single" w:sz="4" w:space="0" w:color="auto"/>
              <w:right w:val="single" w:sz="4" w:space="0" w:color="auto"/>
            </w:tcBorders>
            <w:shd w:val="clear" w:color="auto" w:fill="FFFFFF"/>
          </w:tcPr>
          <w:p w:rsidR="00D71143" w:rsidRDefault="00D71143" w:rsidP="002A2999">
            <w:pPr>
              <w:pStyle w:val="Default"/>
              <w:rPr>
                <w:rFonts w:ascii="Times New Roman" w:hAnsi="Times New Roman" w:cs="Times New Roman"/>
              </w:rPr>
            </w:pPr>
            <w:r>
              <w:rPr>
                <w:rFonts w:ascii="Times New Roman" w:hAnsi="Times New Roman" w:cs="Times New Roman"/>
              </w:rPr>
              <w:t xml:space="preserve">Percentage of referred cases of sexual and gender-based violence against women and children that are investigated and sentenced. </w:t>
            </w:r>
          </w:p>
          <w:p w:rsidR="00D71143" w:rsidRDefault="00D71143" w:rsidP="002A2999">
            <w:pPr>
              <w:pStyle w:val="DotDashColon"/>
              <w:numPr>
                <w:ilvl w:val="0"/>
                <w:numId w:val="0"/>
              </w:numPr>
              <w:tabs>
                <w:tab w:val="left" w:pos="851"/>
              </w:tabs>
              <w:spacing w:after="120"/>
              <w:rPr>
                <w:rFonts w:ascii="Times New Roman" w:hAnsi="Times New Roman"/>
              </w:rPr>
            </w:pPr>
          </w:p>
        </w:tc>
        <w:tc>
          <w:tcPr>
            <w:tcW w:w="3074" w:type="dxa"/>
            <w:tcBorders>
              <w:top w:val="single" w:sz="4" w:space="0" w:color="auto"/>
              <w:left w:val="single" w:sz="4" w:space="0" w:color="auto"/>
              <w:bottom w:val="single" w:sz="4" w:space="0" w:color="auto"/>
              <w:right w:val="single" w:sz="4" w:space="0" w:color="auto"/>
            </w:tcBorders>
            <w:shd w:val="clear" w:color="auto" w:fill="FFFFFF"/>
          </w:tcPr>
          <w:p w:rsidR="00D71143" w:rsidRDefault="00D71143" w:rsidP="002A2999">
            <w:pPr>
              <w:pStyle w:val="DotDashColon"/>
              <w:numPr>
                <w:ilvl w:val="0"/>
                <w:numId w:val="0"/>
              </w:numPr>
              <w:tabs>
                <w:tab w:val="left" w:pos="851"/>
              </w:tabs>
              <w:spacing w:after="120"/>
              <w:rPr>
                <w:rFonts w:ascii="Times New Roman" w:hAnsi="Times New Roman"/>
              </w:rPr>
            </w:pPr>
            <w:r>
              <w:rPr>
                <w:rFonts w:ascii="Times New Roman" w:hAnsi="Times New Roman"/>
              </w:rPr>
              <w:t>Amnesty International Periodic Country Reports</w:t>
            </w:r>
          </w:p>
          <w:p w:rsidR="00D71143" w:rsidRDefault="00D71143" w:rsidP="002A2999">
            <w:pPr>
              <w:rPr>
                <w:color w:val="000000"/>
              </w:rPr>
            </w:pPr>
          </w:p>
          <w:p w:rsidR="00D71143" w:rsidRDefault="00881638" w:rsidP="002A2999">
            <w:pPr>
              <w:rPr>
                <w:color w:val="000000"/>
              </w:rPr>
            </w:pPr>
            <w:r>
              <w:rPr>
                <w:color w:val="000000"/>
              </w:rPr>
              <w:t>Seif Pleis (</w:t>
            </w:r>
            <w:r w:rsidR="00D71143">
              <w:rPr>
                <w:color w:val="000000"/>
              </w:rPr>
              <w:t>Safe Families</w:t>
            </w:r>
            <w:r>
              <w:rPr>
                <w:color w:val="000000"/>
              </w:rPr>
              <w:t>)</w:t>
            </w:r>
            <w:r w:rsidR="00D71143">
              <w:rPr>
                <w:color w:val="000000"/>
              </w:rPr>
              <w:t>,  Channels of Hope</w:t>
            </w:r>
          </w:p>
          <w:p w:rsidR="00D71143" w:rsidRDefault="002A2999" w:rsidP="002A2999">
            <w:pPr>
              <w:rPr>
                <w:color w:val="000000"/>
              </w:rPr>
            </w:pPr>
            <w:r>
              <w:rPr>
                <w:color w:val="000000"/>
              </w:rPr>
              <w:t>Christian Care Centre and Family Support Centre</w:t>
            </w:r>
            <w:r w:rsidR="00D71143">
              <w:rPr>
                <w:color w:val="000000"/>
              </w:rPr>
              <w:t xml:space="preserve"> </w:t>
            </w:r>
          </w:p>
          <w:p w:rsidR="00D71143" w:rsidRDefault="00D71143" w:rsidP="002A2999">
            <w:pPr>
              <w:pStyle w:val="DotDashColon"/>
              <w:numPr>
                <w:ilvl w:val="0"/>
                <w:numId w:val="0"/>
              </w:numPr>
              <w:tabs>
                <w:tab w:val="left" w:pos="851"/>
              </w:tabs>
              <w:spacing w:after="120"/>
              <w:rPr>
                <w:rFonts w:ascii="Times New Roman" w:hAnsi="Times New Roman"/>
              </w:rPr>
            </w:pPr>
          </w:p>
          <w:p w:rsidR="00D71143" w:rsidRPr="002A2999" w:rsidRDefault="00D71143" w:rsidP="002A2999">
            <w:pPr>
              <w:pStyle w:val="DotDashColon"/>
              <w:numPr>
                <w:ilvl w:val="0"/>
                <w:numId w:val="0"/>
              </w:numPr>
              <w:tabs>
                <w:tab w:val="left" w:pos="851"/>
              </w:tabs>
              <w:spacing w:after="120"/>
              <w:rPr>
                <w:rFonts w:ascii="Times New Roman" w:hAnsi="Times New Roman"/>
                <w:color w:val="000000"/>
                <w:lang w:eastAsia="en-AU"/>
              </w:rPr>
            </w:pPr>
            <w:r>
              <w:rPr>
                <w:rFonts w:ascii="Times New Roman" w:hAnsi="Times New Roman"/>
                <w:color w:val="000000"/>
                <w:lang w:eastAsia="en-AU"/>
              </w:rPr>
              <w:t>Ministry of Police, National Security and Correctional Services, Solomon Islands</w:t>
            </w:r>
            <w:r>
              <w:rPr>
                <w:rFonts w:ascii="Times New Roman" w:hAnsi="Times New Roman"/>
              </w:rPr>
              <w:t xml:space="preserve"> Resource Facility, Ministry of Justice and Legal Affairs</w:t>
            </w:r>
          </w:p>
        </w:tc>
      </w:tr>
      <w:tr w:rsidR="00D71143" w:rsidTr="00D71143">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D71143" w:rsidRDefault="00D71143" w:rsidP="002A2999">
            <w:pPr>
              <w:pStyle w:val="Default"/>
              <w:rPr>
                <w:rFonts w:ascii="Times New Roman" w:hAnsi="Times New Roman" w:cs="Times New Roman"/>
              </w:rPr>
            </w:pPr>
            <w:r>
              <w:rPr>
                <w:rFonts w:ascii="Times New Roman" w:hAnsi="Times New Roman" w:cs="Times New Roman"/>
              </w:rPr>
              <w:t>Enhance efficiency and effectiveness of public sector founded on principles of transparency, accountability, trustworthy and honesty.</w:t>
            </w:r>
          </w:p>
        </w:tc>
        <w:tc>
          <w:tcPr>
            <w:tcW w:w="3050" w:type="dxa"/>
            <w:tcBorders>
              <w:top w:val="single" w:sz="4" w:space="0" w:color="auto"/>
              <w:left w:val="single" w:sz="4" w:space="0" w:color="auto"/>
              <w:bottom w:val="single" w:sz="4" w:space="0" w:color="auto"/>
              <w:right w:val="single" w:sz="4" w:space="0" w:color="auto"/>
            </w:tcBorders>
            <w:shd w:val="clear" w:color="auto" w:fill="FFFFFF"/>
            <w:hideMark/>
          </w:tcPr>
          <w:p w:rsidR="00D71143" w:rsidRDefault="00D71143" w:rsidP="00861F6F">
            <w:pPr>
              <w:pStyle w:val="Default"/>
              <w:rPr>
                <w:rFonts w:ascii="Times New Roman" w:hAnsi="Times New Roman" w:cs="Times New Roman"/>
              </w:rPr>
            </w:pPr>
            <w:r>
              <w:rPr>
                <w:rFonts w:ascii="Times New Roman" w:hAnsi="Times New Roman" w:cs="Times New Roman"/>
              </w:rPr>
              <w:t xml:space="preserve">Percentage of SIG agencies with access to and usage of </w:t>
            </w:r>
            <w:r w:rsidR="00F84A6B">
              <w:rPr>
                <w:rFonts w:ascii="Times New Roman" w:hAnsi="Times New Roman" w:cs="Times New Roman"/>
              </w:rPr>
              <w:t>Human Resource Management Information System (HRMIS</w:t>
            </w:r>
            <w:r w:rsidR="009A6139">
              <w:rPr>
                <w:rFonts w:ascii="Times New Roman" w:hAnsi="Times New Roman" w:cs="Times New Roman"/>
              </w:rPr>
              <w:t xml:space="preserve"> - A</w:t>
            </w:r>
            <w:r w:rsidR="00861F6F">
              <w:rPr>
                <w:rFonts w:ascii="Times New Roman" w:hAnsi="Times New Roman" w:cs="Times New Roman"/>
              </w:rPr>
              <w:t>urion</w:t>
            </w:r>
            <w:r w:rsidR="00F84A6B">
              <w:rPr>
                <w:rFonts w:ascii="Times New Roman" w:hAnsi="Times New Roman" w:cs="Times New Roman"/>
              </w:rPr>
              <w:t xml:space="preserve">) </w:t>
            </w:r>
            <w:r>
              <w:rPr>
                <w:rFonts w:ascii="Times New Roman" w:hAnsi="Times New Roman" w:cs="Times New Roman"/>
              </w:rPr>
              <w:t>functionalities by mid 2018.</w:t>
            </w:r>
          </w:p>
        </w:tc>
        <w:tc>
          <w:tcPr>
            <w:tcW w:w="3074" w:type="dxa"/>
            <w:tcBorders>
              <w:top w:val="single" w:sz="4" w:space="0" w:color="auto"/>
              <w:left w:val="single" w:sz="4" w:space="0" w:color="auto"/>
              <w:bottom w:val="single" w:sz="4" w:space="0" w:color="auto"/>
              <w:right w:val="single" w:sz="4" w:space="0" w:color="auto"/>
            </w:tcBorders>
            <w:shd w:val="clear" w:color="auto" w:fill="FFFFFF"/>
            <w:hideMark/>
          </w:tcPr>
          <w:p w:rsidR="00D71143" w:rsidRPr="00861F6F" w:rsidRDefault="00861F6F" w:rsidP="00861F6F">
            <w:pPr>
              <w:pStyle w:val="DotDashColon"/>
              <w:numPr>
                <w:ilvl w:val="0"/>
                <w:numId w:val="0"/>
              </w:numPr>
              <w:tabs>
                <w:tab w:val="left" w:pos="851"/>
              </w:tabs>
              <w:spacing w:after="120"/>
              <w:rPr>
                <w:rFonts w:ascii="Times New Roman" w:hAnsi="Times New Roman"/>
                <w:color w:val="FF0000"/>
              </w:rPr>
            </w:pPr>
            <w:r w:rsidRPr="00861F6F">
              <w:rPr>
                <w:rFonts w:ascii="Times New Roman" w:hAnsi="Times New Roman"/>
                <w:color w:val="000000"/>
                <w:lang w:eastAsia="en-AU"/>
              </w:rPr>
              <w:t>HRMIS (Aurion) Team, Organization Review Unit, Ministry of Public Service</w:t>
            </w:r>
          </w:p>
        </w:tc>
      </w:tr>
    </w:tbl>
    <w:p w:rsidR="00D71143" w:rsidRDefault="00D71143" w:rsidP="00D71143">
      <w:pPr>
        <w:rPr>
          <w:rFonts w:eastAsia="SimSun"/>
          <w:b/>
          <w:lang w:eastAsia="zh-CN"/>
        </w:rPr>
        <w:sectPr w:rsidR="00D71143">
          <w:pgSz w:w="11906" w:h="16838"/>
          <w:pgMar w:top="2410" w:right="1440" w:bottom="1440" w:left="1440" w:header="708" w:footer="708" w:gutter="0"/>
          <w:cols w:space="720"/>
        </w:sectPr>
      </w:pPr>
    </w:p>
    <w:tbl>
      <w:tblPr>
        <w:tblW w:w="932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10"/>
        <w:gridCol w:w="3149"/>
        <w:gridCol w:w="2975"/>
      </w:tblGrid>
      <w:tr w:rsidR="00D71143" w:rsidTr="00D71143">
        <w:tc>
          <w:tcPr>
            <w:tcW w:w="3197" w:type="dxa"/>
            <w:gridSpan w:val="2"/>
            <w:tcBorders>
              <w:top w:val="single" w:sz="4" w:space="0" w:color="auto"/>
              <w:left w:val="single" w:sz="4" w:space="0" w:color="auto"/>
              <w:bottom w:val="single" w:sz="4" w:space="0" w:color="auto"/>
              <w:right w:val="single" w:sz="4" w:space="0" w:color="auto"/>
            </w:tcBorders>
            <w:shd w:val="clear" w:color="auto" w:fill="F2F2F2"/>
            <w:hideMark/>
          </w:tcPr>
          <w:p w:rsidR="00D71143" w:rsidRDefault="00D71143">
            <w:pPr>
              <w:pStyle w:val="DotDashColon"/>
              <w:numPr>
                <w:ilvl w:val="0"/>
                <w:numId w:val="0"/>
              </w:numPr>
              <w:tabs>
                <w:tab w:val="left" w:pos="1134"/>
              </w:tabs>
              <w:spacing w:after="120"/>
              <w:rPr>
                <w:rFonts w:ascii="Times New Roman" w:hAnsi="Times New Roman"/>
                <w:b/>
              </w:rPr>
            </w:pPr>
            <w:r>
              <w:rPr>
                <w:rFonts w:ascii="Times New Roman" w:hAnsi="Times New Roman"/>
                <w:b/>
              </w:rPr>
              <w:lastRenderedPageBreak/>
              <w:t>Aid Partnership Arrangement Objective 2</w:t>
            </w:r>
          </w:p>
        </w:tc>
        <w:tc>
          <w:tcPr>
            <w:tcW w:w="3149" w:type="dxa"/>
            <w:tcBorders>
              <w:top w:val="single" w:sz="4" w:space="0" w:color="auto"/>
              <w:left w:val="single" w:sz="4" w:space="0" w:color="auto"/>
              <w:bottom w:val="single" w:sz="4" w:space="0" w:color="auto"/>
              <w:right w:val="single" w:sz="4" w:space="0" w:color="auto"/>
            </w:tcBorders>
            <w:shd w:val="clear" w:color="auto" w:fill="F2F2F2"/>
            <w:hideMark/>
          </w:tcPr>
          <w:p w:rsidR="00D71143" w:rsidRDefault="00D71143">
            <w:pPr>
              <w:pStyle w:val="DotDashColon"/>
              <w:numPr>
                <w:ilvl w:val="0"/>
                <w:numId w:val="0"/>
              </w:numPr>
              <w:tabs>
                <w:tab w:val="left" w:pos="851"/>
              </w:tabs>
              <w:spacing w:after="120"/>
              <w:rPr>
                <w:rFonts w:ascii="Times New Roman" w:hAnsi="Times New Roman"/>
                <w:b/>
              </w:rPr>
            </w:pPr>
            <w:r>
              <w:rPr>
                <w:rFonts w:ascii="Times New Roman" w:hAnsi="Times New Roman"/>
                <w:b/>
              </w:rPr>
              <w:t>Performance Indicator and Targets</w:t>
            </w:r>
          </w:p>
        </w:tc>
        <w:tc>
          <w:tcPr>
            <w:tcW w:w="2975" w:type="dxa"/>
            <w:tcBorders>
              <w:top w:val="single" w:sz="4" w:space="0" w:color="auto"/>
              <w:left w:val="single" w:sz="4" w:space="0" w:color="auto"/>
              <w:bottom w:val="single" w:sz="4" w:space="0" w:color="auto"/>
              <w:right w:val="single" w:sz="4" w:space="0" w:color="auto"/>
            </w:tcBorders>
            <w:shd w:val="clear" w:color="auto" w:fill="F2F2F2"/>
            <w:hideMark/>
          </w:tcPr>
          <w:p w:rsidR="00D71143" w:rsidRDefault="00D71143">
            <w:pPr>
              <w:pStyle w:val="DotDashColon"/>
              <w:numPr>
                <w:ilvl w:val="0"/>
                <w:numId w:val="0"/>
              </w:numPr>
              <w:tabs>
                <w:tab w:val="left" w:pos="851"/>
              </w:tabs>
              <w:spacing w:after="120"/>
              <w:jc w:val="both"/>
              <w:rPr>
                <w:rFonts w:ascii="Times New Roman" w:hAnsi="Times New Roman"/>
                <w:b/>
              </w:rPr>
            </w:pPr>
            <w:r>
              <w:rPr>
                <w:rFonts w:ascii="Times New Roman" w:hAnsi="Times New Roman"/>
                <w:b/>
              </w:rPr>
              <w:t>Source: Reporting Agency</w:t>
            </w:r>
          </w:p>
        </w:tc>
      </w:tr>
      <w:tr w:rsidR="00D71143" w:rsidTr="00D71143">
        <w:tc>
          <w:tcPr>
            <w:tcW w:w="3197" w:type="dxa"/>
            <w:gridSpan w:val="2"/>
            <w:tcBorders>
              <w:top w:val="single" w:sz="4" w:space="0" w:color="auto"/>
              <w:left w:val="single" w:sz="4" w:space="0" w:color="auto"/>
              <w:bottom w:val="single" w:sz="4" w:space="0" w:color="auto"/>
              <w:right w:val="single" w:sz="4" w:space="0" w:color="auto"/>
            </w:tcBorders>
            <w:hideMark/>
          </w:tcPr>
          <w:p w:rsidR="00D71143" w:rsidRDefault="00D71143">
            <w:pPr>
              <w:pStyle w:val="DotDashColon"/>
              <w:numPr>
                <w:ilvl w:val="0"/>
                <w:numId w:val="0"/>
              </w:numPr>
              <w:tabs>
                <w:tab w:val="left" w:pos="1134"/>
              </w:tabs>
              <w:spacing w:after="120"/>
              <w:jc w:val="both"/>
              <w:rPr>
                <w:rFonts w:ascii="Times New Roman" w:hAnsi="Times New Roman"/>
                <w:b/>
                <w:i/>
              </w:rPr>
            </w:pPr>
            <w:r>
              <w:rPr>
                <w:rFonts w:ascii="Times New Roman" w:hAnsi="Times New Roman"/>
                <w:b/>
                <w:i/>
              </w:rPr>
              <w:t>Sustained inclusive economic growth</w:t>
            </w:r>
          </w:p>
        </w:tc>
        <w:tc>
          <w:tcPr>
            <w:tcW w:w="3149" w:type="dxa"/>
            <w:tcBorders>
              <w:top w:val="single" w:sz="4" w:space="0" w:color="auto"/>
              <w:left w:val="single" w:sz="4" w:space="0" w:color="auto"/>
              <w:bottom w:val="single" w:sz="4" w:space="0" w:color="auto"/>
              <w:right w:val="single" w:sz="4" w:space="0" w:color="auto"/>
            </w:tcBorders>
          </w:tcPr>
          <w:p w:rsidR="00D71143" w:rsidRDefault="00D71143">
            <w:pPr>
              <w:pStyle w:val="DotDashColon"/>
              <w:numPr>
                <w:ilvl w:val="0"/>
                <w:numId w:val="0"/>
              </w:numPr>
              <w:tabs>
                <w:tab w:val="left" w:pos="851"/>
              </w:tabs>
              <w:spacing w:after="120"/>
              <w:jc w:val="both"/>
              <w:rPr>
                <w:rFonts w:ascii="Times New Roman" w:hAnsi="Times New Roman"/>
              </w:rPr>
            </w:pPr>
          </w:p>
        </w:tc>
        <w:tc>
          <w:tcPr>
            <w:tcW w:w="2975" w:type="dxa"/>
            <w:tcBorders>
              <w:top w:val="single" w:sz="4" w:space="0" w:color="auto"/>
              <w:left w:val="single" w:sz="4" w:space="0" w:color="auto"/>
              <w:bottom w:val="single" w:sz="4" w:space="0" w:color="auto"/>
              <w:right w:val="single" w:sz="4" w:space="0" w:color="auto"/>
            </w:tcBorders>
          </w:tcPr>
          <w:p w:rsidR="00D71143" w:rsidRDefault="00D71143">
            <w:pPr>
              <w:pStyle w:val="DotDashColon"/>
              <w:numPr>
                <w:ilvl w:val="0"/>
                <w:numId w:val="0"/>
              </w:numPr>
              <w:tabs>
                <w:tab w:val="left" w:pos="851"/>
              </w:tabs>
              <w:spacing w:after="120"/>
              <w:jc w:val="both"/>
              <w:rPr>
                <w:rFonts w:ascii="Times New Roman" w:hAnsi="Times New Roman"/>
              </w:rPr>
            </w:pPr>
          </w:p>
        </w:tc>
      </w:tr>
      <w:tr w:rsidR="00D71143" w:rsidTr="00D71143">
        <w:tc>
          <w:tcPr>
            <w:tcW w:w="3197" w:type="dxa"/>
            <w:gridSpan w:val="2"/>
            <w:tcBorders>
              <w:top w:val="single" w:sz="4" w:space="0" w:color="auto"/>
              <w:left w:val="single" w:sz="4" w:space="0" w:color="auto"/>
              <w:bottom w:val="single" w:sz="4" w:space="0" w:color="auto"/>
              <w:right w:val="single" w:sz="4" w:space="0" w:color="auto"/>
            </w:tcBorders>
            <w:shd w:val="clear" w:color="auto" w:fill="F2F2F2"/>
            <w:hideMark/>
          </w:tcPr>
          <w:p w:rsidR="00D71143" w:rsidRDefault="00D71143">
            <w:pPr>
              <w:pStyle w:val="DotDashColon"/>
              <w:numPr>
                <w:ilvl w:val="0"/>
                <w:numId w:val="0"/>
              </w:numPr>
              <w:tabs>
                <w:tab w:val="left" w:pos="851"/>
              </w:tabs>
              <w:spacing w:after="120"/>
              <w:jc w:val="both"/>
              <w:rPr>
                <w:rFonts w:ascii="Times New Roman" w:hAnsi="Times New Roman"/>
                <w:b/>
              </w:rPr>
            </w:pPr>
            <w:r>
              <w:rPr>
                <w:rFonts w:ascii="Times New Roman" w:hAnsi="Times New Roman"/>
                <w:b/>
              </w:rPr>
              <w:t>Sub-objectives</w:t>
            </w:r>
          </w:p>
        </w:tc>
        <w:tc>
          <w:tcPr>
            <w:tcW w:w="3149" w:type="dxa"/>
            <w:tcBorders>
              <w:top w:val="single" w:sz="4" w:space="0" w:color="auto"/>
              <w:left w:val="single" w:sz="4" w:space="0" w:color="auto"/>
              <w:bottom w:val="single" w:sz="4" w:space="0" w:color="auto"/>
              <w:right w:val="single" w:sz="4" w:space="0" w:color="auto"/>
            </w:tcBorders>
            <w:shd w:val="clear" w:color="auto" w:fill="F2F2F2"/>
          </w:tcPr>
          <w:p w:rsidR="00D71143" w:rsidRDefault="00D71143">
            <w:pPr>
              <w:pStyle w:val="DotDashColon"/>
              <w:numPr>
                <w:ilvl w:val="0"/>
                <w:numId w:val="0"/>
              </w:numPr>
              <w:tabs>
                <w:tab w:val="left" w:pos="851"/>
              </w:tabs>
              <w:spacing w:after="120"/>
              <w:jc w:val="both"/>
              <w:rPr>
                <w:rFonts w:ascii="Times New Roman" w:hAnsi="Times New Roman"/>
                <w:b/>
              </w:rPr>
            </w:pPr>
          </w:p>
        </w:tc>
        <w:tc>
          <w:tcPr>
            <w:tcW w:w="2975" w:type="dxa"/>
            <w:tcBorders>
              <w:top w:val="single" w:sz="4" w:space="0" w:color="auto"/>
              <w:left w:val="single" w:sz="4" w:space="0" w:color="auto"/>
              <w:bottom w:val="single" w:sz="4" w:space="0" w:color="auto"/>
              <w:right w:val="single" w:sz="4" w:space="0" w:color="auto"/>
            </w:tcBorders>
            <w:shd w:val="clear" w:color="auto" w:fill="F2F2F2"/>
          </w:tcPr>
          <w:p w:rsidR="00D71143" w:rsidRDefault="00D71143">
            <w:pPr>
              <w:pStyle w:val="DotDashColon"/>
              <w:numPr>
                <w:ilvl w:val="0"/>
                <w:numId w:val="0"/>
              </w:numPr>
              <w:tabs>
                <w:tab w:val="left" w:pos="851"/>
              </w:tabs>
              <w:spacing w:after="120"/>
              <w:jc w:val="both"/>
              <w:rPr>
                <w:rFonts w:ascii="Times New Roman" w:hAnsi="Times New Roman"/>
                <w:b/>
              </w:rPr>
            </w:pPr>
          </w:p>
        </w:tc>
      </w:tr>
      <w:tr w:rsidR="00D71143" w:rsidTr="00D71143">
        <w:tc>
          <w:tcPr>
            <w:tcW w:w="31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1143" w:rsidRPr="002A2999" w:rsidRDefault="00D71143" w:rsidP="002A2999">
            <w:pPr>
              <w:pStyle w:val="DotDashColon"/>
              <w:numPr>
                <w:ilvl w:val="0"/>
                <w:numId w:val="0"/>
              </w:numPr>
              <w:tabs>
                <w:tab w:val="left" w:pos="851"/>
              </w:tabs>
              <w:spacing w:after="120"/>
              <w:rPr>
                <w:rFonts w:ascii="Times New Roman" w:hAnsi="Times New Roman"/>
                <w:lang w:val="en-AU"/>
              </w:rPr>
            </w:pPr>
            <w:r>
              <w:rPr>
                <w:rFonts w:ascii="Times New Roman" w:hAnsi="Times New Roman"/>
              </w:rPr>
              <w:t>Improve the institution and enabling environment for the private sector</w:t>
            </w:r>
            <w:r w:rsidR="002A2999">
              <w:rPr>
                <w:rFonts w:ascii="Times New Roman" w:hAnsi="Times New Roman"/>
                <w:lang w:val="en-AU"/>
              </w:rPr>
              <w:t>.</w:t>
            </w:r>
          </w:p>
        </w:tc>
        <w:tc>
          <w:tcPr>
            <w:tcW w:w="3149" w:type="dxa"/>
            <w:tcBorders>
              <w:top w:val="single" w:sz="4" w:space="0" w:color="auto"/>
              <w:left w:val="single" w:sz="4" w:space="0" w:color="auto"/>
              <w:bottom w:val="single" w:sz="4" w:space="0" w:color="auto"/>
              <w:right w:val="single" w:sz="4" w:space="0" w:color="auto"/>
            </w:tcBorders>
            <w:shd w:val="clear" w:color="auto" w:fill="FFFFFF"/>
            <w:hideMark/>
          </w:tcPr>
          <w:p w:rsidR="00D71143" w:rsidRDefault="00D71143" w:rsidP="002A2999">
            <w:pPr>
              <w:pStyle w:val="DotDashColon"/>
              <w:numPr>
                <w:ilvl w:val="0"/>
                <w:numId w:val="0"/>
              </w:numPr>
              <w:tabs>
                <w:tab w:val="left" w:pos="851"/>
              </w:tabs>
              <w:spacing w:after="120"/>
              <w:rPr>
                <w:rFonts w:ascii="Times New Roman" w:hAnsi="Times New Roman"/>
              </w:rPr>
            </w:pPr>
            <w:r>
              <w:rPr>
                <w:rFonts w:ascii="Times New Roman" w:hAnsi="Times New Roman"/>
              </w:rPr>
              <w:t>World Bank Ease of Doing Business ranking to improve from 112 in 2016 to less than 100 by 2020.</w:t>
            </w:r>
          </w:p>
        </w:tc>
        <w:tc>
          <w:tcPr>
            <w:tcW w:w="2975" w:type="dxa"/>
            <w:tcBorders>
              <w:top w:val="single" w:sz="4" w:space="0" w:color="auto"/>
              <w:left w:val="single" w:sz="4" w:space="0" w:color="auto"/>
              <w:bottom w:val="single" w:sz="4" w:space="0" w:color="auto"/>
              <w:right w:val="single" w:sz="4" w:space="0" w:color="auto"/>
            </w:tcBorders>
            <w:shd w:val="clear" w:color="auto" w:fill="FFFFFF"/>
            <w:hideMark/>
          </w:tcPr>
          <w:p w:rsidR="00D71143" w:rsidRDefault="00D71143" w:rsidP="002A2999">
            <w:pPr>
              <w:pStyle w:val="DotDashColon"/>
              <w:numPr>
                <w:ilvl w:val="0"/>
                <w:numId w:val="0"/>
              </w:numPr>
              <w:tabs>
                <w:tab w:val="left" w:pos="851"/>
              </w:tabs>
              <w:spacing w:after="120"/>
              <w:rPr>
                <w:rFonts w:ascii="Times New Roman" w:hAnsi="Times New Roman"/>
              </w:rPr>
            </w:pPr>
            <w:r>
              <w:rPr>
                <w:rFonts w:ascii="Times New Roman" w:hAnsi="Times New Roman"/>
              </w:rPr>
              <w:t>World Bank</w:t>
            </w:r>
          </w:p>
        </w:tc>
      </w:tr>
      <w:tr w:rsidR="00D71143" w:rsidTr="00D71143">
        <w:tc>
          <w:tcPr>
            <w:tcW w:w="3197" w:type="dxa"/>
            <w:gridSpan w:val="2"/>
            <w:tcBorders>
              <w:top w:val="single" w:sz="4" w:space="0" w:color="auto"/>
              <w:left w:val="single" w:sz="4" w:space="0" w:color="auto"/>
              <w:bottom w:val="single" w:sz="4" w:space="0" w:color="auto"/>
              <w:right w:val="single" w:sz="4" w:space="0" w:color="auto"/>
            </w:tcBorders>
            <w:hideMark/>
          </w:tcPr>
          <w:p w:rsidR="00D71143" w:rsidRPr="002A2999" w:rsidRDefault="00D71143" w:rsidP="002A2999">
            <w:pPr>
              <w:pStyle w:val="DotDashColon"/>
              <w:numPr>
                <w:ilvl w:val="0"/>
                <w:numId w:val="0"/>
              </w:numPr>
              <w:tabs>
                <w:tab w:val="left" w:pos="851"/>
              </w:tabs>
              <w:spacing w:after="120"/>
              <w:ind w:left="1"/>
              <w:rPr>
                <w:rFonts w:ascii="Times New Roman" w:hAnsi="Times New Roman"/>
                <w:lang w:val="en-AU"/>
              </w:rPr>
            </w:pPr>
            <w:r>
              <w:rPr>
                <w:rFonts w:ascii="Times New Roman" w:hAnsi="Times New Roman"/>
              </w:rPr>
              <w:t>Large-scale investment</w:t>
            </w:r>
            <w:r w:rsidR="002A2999">
              <w:rPr>
                <w:rFonts w:ascii="Times New Roman" w:hAnsi="Times New Roman"/>
                <w:lang w:val="en-AU"/>
              </w:rPr>
              <w:t>.</w:t>
            </w:r>
          </w:p>
        </w:tc>
        <w:tc>
          <w:tcPr>
            <w:tcW w:w="3149" w:type="dxa"/>
            <w:tcBorders>
              <w:top w:val="single" w:sz="4" w:space="0" w:color="auto"/>
              <w:left w:val="single" w:sz="4" w:space="0" w:color="auto"/>
              <w:bottom w:val="single" w:sz="4" w:space="0" w:color="auto"/>
              <w:right w:val="single" w:sz="4" w:space="0" w:color="auto"/>
            </w:tcBorders>
            <w:hideMark/>
          </w:tcPr>
          <w:p w:rsidR="00D71143" w:rsidRPr="002A2999" w:rsidRDefault="00D71143" w:rsidP="002A2999">
            <w:pPr>
              <w:pStyle w:val="DotDashColon"/>
              <w:numPr>
                <w:ilvl w:val="0"/>
                <w:numId w:val="0"/>
              </w:numPr>
              <w:tabs>
                <w:tab w:val="left" w:pos="851"/>
              </w:tabs>
              <w:spacing w:after="120"/>
              <w:rPr>
                <w:rFonts w:ascii="Times New Roman" w:hAnsi="Times New Roman"/>
                <w:lang w:val="en-AU"/>
              </w:rPr>
            </w:pPr>
            <w:r>
              <w:rPr>
                <w:rFonts w:ascii="Times New Roman" w:hAnsi="Times New Roman"/>
              </w:rPr>
              <w:t>Evidence of Australia helping to catalyse one new large scale investment</w:t>
            </w:r>
            <w:r w:rsidR="002A2999">
              <w:rPr>
                <w:rFonts w:ascii="Times New Roman" w:hAnsi="Times New Roman"/>
                <w:lang w:val="en-AU"/>
              </w:rPr>
              <w:t>.</w:t>
            </w:r>
          </w:p>
        </w:tc>
        <w:tc>
          <w:tcPr>
            <w:tcW w:w="2975" w:type="dxa"/>
            <w:tcBorders>
              <w:top w:val="single" w:sz="4" w:space="0" w:color="auto"/>
              <w:left w:val="single" w:sz="4" w:space="0" w:color="auto"/>
              <w:bottom w:val="single" w:sz="4" w:space="0" w:color="auto"/>
              <w:right w:val="single" w:sz="4" w:space="0" w:color="auto"/>
            </w:tcBorders>
            <w:hideMark/>
          </w:tcPr>
          <w:p w:rsidR="00D71143" w:rsidRDefault="00861F6F" w:rsidP="002A2999">
            <w:pPr>
              <w:pStyle w:val="DotDashColon"/>
              <w:numPr>
                <w:ilvl w:val="0"/>
                <w:numId w:val="0"/>
              </w:numPr>
              <w:tabs>
                <w:tab w:val="left" w:pos="851"/>
              </w:tabs>
              <w:spacing w:after="120"/>
              <w:rPr>
                <w:rFonts w:ascii="Times New Roman" w:hAnsi="Times New Roman"/>
              </w:rPr>
            </w:pPr>
            <w:r>
              <w:rPr>
                <w:rFonts w:ascii="Times New Roman" w:hAnsi="Times New Roman"/>
              </w:rPr>
              <w:t>World Bank</w:t>
            </w:r>
          </w:p>
        </w:tc>
      </w:tr>
      <w:tr w:rsidR="00D71143" w:rsidTr="00D71143">
        <w:tc>
          <w:tcPr>
            <w:tcW w:w="31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71143" w:rsidRPr="002A2999" w:rsidRDefault="00D71143" w:rsidP="002A2999">
            <w:pPr>
              <w:pStyle w:val="DotDashColon"/>
              <w:numPr>
                <w:ilvl w:val="0"/>
                <w:numId w:val="0"/>
              </w:numPr>
              <w:tabs>
                <w:tab w:val="left" w:pos="1134"/>
              </w:tabs>
              <w:spacing w:after="120"/>
              <w:rPr>
                <w:rFonts w:ascii="Times New Roman" w:hAnsi="Times New Roman"/>
                <w:lang w:val="en-AU"/>
              </w:rPr>
            </w:pPr>
            <w:r>
              <w:rPr>
                <w:rFonts w:ascii="Times New Roman" w:hAnsi="Times New Roman"/>
              </w:rPr>
              <w:t>Develop quality, reliable, sustainable and resilient infrastructure to support economic development and human wellbeing with a focus on affordable and equitable access for all</w:t>
            </w:r>
            <w:r w:rsidR="002A2999">
              <w:rPr>
                <w:rFonts w:ascii="Times New Roman" w:hAnsi="Times New Roman"/>
                <w:lang w:val="en-AU"/>
              </w:rPr>
              <w:t>.</w:t>
            </w:r>
          </w:p>
        </w:tc>
        <w:tc>
          <w:tcPr>
            <w:tcW w:w="3149" w:type="dxa"/>
            <w:tcBorders>
              <w:top w:val="single" w:sz="4" w:space="0" w:color="auto"/>
              <w:left w:val="single" w:sz="4" w:space="0" w:color="auto"/>
              <w:bottom w:val="single" w:sz="4" w:space="0" w:color="auto"/>
              <w:right w:val="single" w:sz="4" w:space="0" w:color="auto"/>
            </w:tcBorders>
            <w:shd w:val="clear" w:color="auto" w:fill="FFFFFF"/>
            <w:hideMark/>
          </w:tcPr>
          <w:p w:rsidR="00D71143" w:rsidRDefault="00D71143" w:rsidP="002A2999">
            <w:pPr>
              <w:pStyle w:val="DotDashColon"/>
              <w:numPr>
                <w:ilvl w:val="0"/>
                <w:numId w:val="0"/>
              </w:numPr>
              <w:tabs>
                <w:tab w:val="left" w:pos="851"/>
              </w:tabs>
              <w:spacing w:after="120"/>
              <w:rPr>
                <w:rFonts w:ascii="Times New Roman" w:hAnsi="Times New Roman"/>
              </w:rPr>
            </w:pPr>
            <w:r>
              <w:rPr>
                <w:rFonts w:ascii="Times New Roman" w:hAnsi="Times New Roman"/>
              </w:rPr>
              <w:t>The proportion of the road network in maintainable condition is increased towards 90% by 202</w:t>
            </w:r>
            <w:r w:rsidR="00917A2C">
              <w:rPr>
                <w:rFonts w:ascii="Times New Roman" w:hAnsi="Times New Roman"/>
                <w:lang w:val="en-AU"/>
              </w:rPr>
              <w:t>0</w:t>
            </w:r>
            <w:r>
              <w:rPr>
                <w:rFonts w:ascii="Times New Roman" w:hAnsi="Times New Roman"/>
              </w:rPr>
              <w:t>.</w:t>
            </w:r>
          </w:p>
        </w:tc>
        <w:tc>
          <w:tcPr>
            <w:tcW w:w="2975" w:type="dxa"/>
            <w:tcBorders>
              <w:top w:val="single" w:sz="4" w:space="0" w:color="auto"/>
              <w:left w:val="single" w:sz="4" w:space="0" w:color="auto"/>
              <w:bottom w:val="single" w:sz="4" w:space="0" w:color="auto"/>
              <w:right w:val="single" w:sz="4" w:space="0" w:color="auto"/>
            </w:tcBorders>
            <w:shd w:val="clear" w:color="auto" w:fill="FFFFFF"/>
            <w:hideMark/>
          </w:tcPr>
          <w:p w:rsidR="00D71143" w:rsidRDefault="00D71143" w:rsidP="002A2999">
            <w:pPr>
              <w:pStyle w:val="DotDashColon"/>
              <w:numPr>
                <w:ilvl w:val="0"/>
                <w:numId w:val="0"/>
              </w:numPr>
              <w:tabs>
                <w:tab w:val="left" w:pos="851"/>
              </w:tabs>
              <w:spacing w:after="120"/>
              <w:rPr>
                <w:rFonts w:ascii="Times New Roman" w:hAnsi="Times New Roman"/>
              </w:rPr>
            </w:pPr>
            <w:r>
              <w:rPr>
                <w:rFonts w:ascii="Times New Roman" w:hAnsi="Times New Roman"/>
              </w:rPr>
              <w:t>Ministry of Infrastructure and Development (MID)</w:t>
            </w:r>
          </w:p>
        </w:tc>
      </w:tr>
      <w:tr w:rsidR="00D71143" w:rsidTr="00D71143">
        <w:tc>
          <w:tcPr>
            <w:tcW w:w="3197" w:type="dxa"/>
            <w:gridSpan w:val="2"/>
            <w:tcBorders>
              <w:top w:val="single" w:sz="4" w:space="0" w:color="auto"/>
              <w:left w:val="single" w:sz="4" w:space="0" w:color="auto"/>
              <w:bottom w:val="single" w:sz="4" w:space="0" w:color="auto"/>
              <w:right w:val="single" w:sz="4" w:space="0" w:color="auto"/>
            </w:tcBorders>
            <w:shd w:val="clear" w:color="auto" w:fill="FFFFFF"/>
          </w:tcPr>
          <w:p w:rsidR="00D71143" w:rsidRDefault="00D71143" w:rsidP="002A2999">
            <w:pPr>
              <w:pStyle w:val="DotDashColon"/>
              <w:numPr>
                <w:ilvl w:val="0"/>
                <w:numId w:val="0"/>
              </w:numPr>
              <w:tabs>
                <w:tab w:val="left" w:pos="851"/>
              </w:tabs>
              <w:spacing w:after="120"/>
              <w:ind w:left="1"/>
              <w:rPr>
                <w:rFonts w:ascii="Times New Roman" w:hAnsi="Times New Roman"/>
              </w:rPr>
            </w:pPr>
            <w:r>
              <w:rPr>
                <w:rFonts w:ascii="Times New Roman" w:hAnsi="Times New Roman"/>
              </w:rPr>
              <w:t>Ensure women’s full and effective participation and equal opportunities for leadership at all levels of decision making in political, economic and public life</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D71143" w:rsidRDefault="00D71143" w:rsidP="002A2999">
            <w:pPr>
              <w:pStyle w:val="Default"/>
              <w:rPr>
                <w:rFonts w:ascii="Times New Roman" w:hAnsi="Times New Roman" w:cs="Times New Roman"/>
              </w:rPr>
            </w:pPr>
            <w:r>
              <w:rPr>
                <w:rFonts w:ascii="Times New Roman" w:hAnsi="Times New Roman" w:cs="Times New Roman"/>
              </w:rPr>
              <w:t xml:space="preserve">Increase women's labour force participation rate from less than half that of men in 2009 (48.4%) to at least 70% by 2020. </w:t>
            </w:r>
          </w:p>
          <w:p w:rsidR="00D71143" w:rsidRDefault="00D71143" w:rsidP="002A2999">
            <w:pPr>
              <w:pStyle w:val="DotDashColon"/>
              <w:numPr>
                <w:ilvl w:val="0"/>
                <w:numId w:val="0"/>
              </w:numPr>
              <w:tabs>
                <w:tab w:val="left" w:pos="851"/>
              </w:tabs>
              <w:spacing w:after="120"/>
              <w:rPr>
                <w:rFonts w:ascii="Times New Roman" w:hAnsi="Times New Roman"/>
              </w:rPr>
            </w:pPr>
          </w:p>
        </w:tc>
        <w:tc>
          <w:tcPr>
            <w:tcW w:w="2975" w:type="dxa"/>
            <w:tcBorders>
              <w:top w:val="single" w:sz="4" w:space="0" w:color="auto"/>
              <w:left w:val="single" w:sz="4" w:space="0" w:color="auto"/>
              <w:bottom w:val="single" w:sz="4" w:space="0" w:color="auto"/>
              <w:right w:val="single" w:sz="4" w:space="0" w:color="auto"/>
            </w:tcBorders>
            <w:shd w:val="clear" w:color="auto" w:fill="FFFFFF"/>
            <w:hideMark/>
          </w:tcPr>
          <w:p w:rsidR="00D71143" w:rsidRDefault="00D71143" w:rsidP="002A2999">
            <w:pPr>
              <w:pStyle w:val="DotDashColon"/>
              <w:numPr>
                <w:ilvl w:val="0"/>
                <w:numId w:val="0"/>
              </w:numPr>
              <w:tabs>
                <w:tab w:val="left" w:pos="851"/>
              </w:tabs>
              <w:spacing w:after="120"/>
              <w:rPr>
                <w:rFonts w:ascii="Times New Roman" w:hAnsi="Times New Roman"/>
              </w:rPr>
            </w:pPr>
            <w:r>
              <w:rPr>
                <w:rFonts w:ascii="Times New Roman" w:hAnsi="Times New Roman"/>
              </w:rPr>
              <w:t>National Statistics Office (NSO)</w:t>
            </w:r>
          </w:p>
        </w:tc>
      </w:tr>
      <w:tr w:rsidR="00D71143" w:rsidTr="00F950B2">
        <w:tc>
          <w:tcPr>
            <w:tcW w:w="3187" w:type="dxa"/>
            <w:tcBorders>
              <w:top w:val="single" w:sz="4" w:space="0" w:color="auto"/>
              <w:left w:val="single" w:sz="4" w:space="0" w:color="auto"/>
              <w:bottom w:val="single" w:sz="4" w:space="0" w:color="auto"/>
              <w:right w:val="single" w:sz="4" w:space="0" w:color="auto"/>
            </w:tcBorders>
            <w:hideMark/>
          </w:tcPr>
          <w:p w:rsidR="00D71143" w:rsidRPr="002A2999" w:rsidRDefault="006170E6" w:rsidP="002A2999">
            <w:pPr>
              <w:pStyle w:val="DotDashColon"/>
              <w:numPr>
                <w:ilvl w:val="0"/>
                <w:numId w:val="0"/>
              </w:numPr>
              <w:tabs>
                <w:tab w:val="left" w:pos="1134"/>
              </w:tabs>
              <w:spacing w:after="120"/>
              <w:rPr>
                <w:rFonts w:ascii="Times New Roman" w:hAnsi="Times New Roman"/>
                <w:lang w:val="en-AU"/>
              </w:rPr>
            </w:pPr>
            <w:r>
              <w:rPr>
                <w:rFonts w:ascii="Times New Roman" w:hAnsi="Times New Roman"/>
              </w:rPr>
              <w:t>Agriculture mainstay of Economy</w:t>
            </w:r>
            <w:r w:rsidR="002A2999">
              <w:rPr>
                <w:rFonts w:ascii="Times New Roman" w:hAnsi="Times New Roman"/>
                <w:lang w:val="en-AU"/>
              </w:rPr>
              <w:t>.</w:t>
            </w:r>
          </w:p>
        </w:tc>
        <w:tc>
          <w:tcPr>
            <w:tcW w:w="3159" w:type="dxa"/>
            <w:gridSpan w:val="2"/>
            <w:tcBorders>
              <w:top w:val="single" w:sz="4" w:space="0" w:color="auto"/>
              <w:left w:val="single" w:sz="4" w:space="0" w:color="auto"/>
              <w:bottom w:val="single" w:sz="4" w:space="0" w:color="auto"/>
              <w:right w:val="single" w:sz="4" w:space="0" w:color="auto"/>
            </w:tcBorders>
            <w:hideMark/>
          </w:tcPr>
          <w:p w:rsidR="00D71143" w:rsidRPr="002A2999" w:rsidRDefault="00D71143" w:rsidP="002A2999">
            <w:pPr>
              <w:pStyle w:val="DotDashColon"/>
              <w:numPr>
                <w:ilvl w:val="0"/>
                <w:numId w:val="0"/>
              </w:numPr>
              <w:tabs>
                <w:tab w:val="left" w:pos="851"/>
              </w:tabs>
              <w:spacing w:after="120"/>
              <w:rPr>
                <w:rFonts w:ascii="Times New Roman" w:hAnsi="Times New Roman"/>
                <w:lang w:val="en-AU"/>
              </w:rPr>
            </w:pPr>
            <w:r>
              <w:rPr>
                <w:rFonts w:ascii="Times New Roman" w:hAnsi="Times New Roman"/>
              </w:rPr>
              <w:t>Increase in contribution of agriculture to GDP from 33.4% in 2012 to 40% by 2020</w:t>
            </w:r>
            <w:r w:rsidR="002A2999">
              <w:rPr>
                <w:rFonts w:ascii="Times New Roman" w:hAnsi="Times New Roman"/>
                <w:lang w:val="en-AU"/>
              </w:rPr>
              <w:t>.</w:t>
            </w:r>
          </w:p>
        </w:tc>
        <w:tc>
          <w:tcPr>
            <w:tcW w:w="2975" w:type="dxa"/>
            <w:tcBorders>
              <w:top w:val="single" w:sz="4" w:space="0" w:color="auto"/>
              <w:left w:val="single" w:sz="4" w:space="0" w:color="auto"/>
              <w:bottom w:val="single" w:sz="4" w:space="0" w:color="auto"/>
              <w:right w:val="single" w:sz="4" w:space="0" w:color="auto"/>
            </w:tcBorders>
          </w:tcPr>
          <w:p w:rsidR="00D71143" w:rsidRDefault="00D71143" w:rsidP="00861F6F">
            <w:pPr>
              <w:pStyle w:val="DotDashColon"/>
              <w:numPr>
                <w:ilvl w:val="0"/>
                <w:numId w:val="0"/>
              </w:numPr>
              <w:tabs>
                <w:tab w:val="left" w:pos="851"/>
              </w:tabs>
              <w:spacing w:after="120"/>
              <w:rPr>
                <w:rFonts w:ascii="Times New Roman" w:hAnsi="Times New Roman"/>
              </w:rPr>
            </w:pPr>
            <w:r>
              <w:rPr>
                <w:rFonts w:ascii="Times New Roman" w:hAnsi="Times New Roman"/>
              </w:rPr>
              <w:t>Household Income and Expenditure Survey (HIES)</w:t>
            </w:r>
          </w:p>
        </w:tc>
      </w:tr>
    </w:tbl>
    <w:p w:rsidR="00D71143" w:rsidRDefault="00D71143" w:rsidP="00D71143">
      <w:r>
        <w:br w:type="page"/>
      </w:r>
    </w:p>
    <w:tbl>
      <w:tblPr>
        <w:tblW w:w="924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3159"/>
        <w:gridCol w:w="2895"/>
      </w:tblGrid>
      <w:tr w:rsidR="00D71143" w:rsidTr="00D71143">
        <w:tc>
          <w:tcPr>
            <w:tcW w:w="3187" w:type="dxa"/>
            <w:tcBorders>
              <w:top w:val="single" w:sz="4" w:space="0" w:color="auto"/>
              <w:left w:val="single" w:sz="4" w:space="0" w:color="auto"/>
              <w:bottom w:val="single" w:sz="4" w:space="0" w:color="auto"/>
              <w:right w:val="single" w:sz="4" w:space="0" w:color="auto"/>
            </w:tcBorders>
            <w:shd w:val="clear" w:color="auto" w:fill="F2F2F2"/>
            <w:hideMark/>
          </w:tcPr>
          <w:p w:rsidR="00D71143" w:rsidRDefault="00D71143">
            <w:pPr>
              <w:pStyle w:val="DotDashColon"/>
              <w:numPr>
                <w:ilvl w:val="0"/>
                <w:numId w:val="0"/>
              </w:numPr>
              <w:tabs>
                <w:tab w:val="left" w:pos="1134"/>
              </w:tabs>
              <w:spacing w:after="120"/>
              <w:rPr>
                <w:rFonts w:ascii="Times New Roman" w:hAnsi="Times New Roman"/>
                <w:b/>
              </w:rPr>
            </w:pPr>
            <w:r>
              <w:rPr>
                <w:rFonts w:ascii="Times New Roman" w:hAnsi="Times New Roman"/>
                <w:b/>
              </w:rPr>
              <w:t>Aid Partnership Arrangement Objective 3</w:t>
            </w:r>
          </w:p>
        </w:tc>
        <w:tc>
          <w:tcPr>
            <w:tcW w:w="3159" w:type="dxa"/>
            <w:tcBorders>
              <w:top w:val="single" w:sz="4" w:space="0" w:color="auto"/>
              <w:left w:val="single" w:sz="4" w:space="0" w:color="auto"/>
              <w:bottom w:val="single" w:sz="4" w:space="0" w:color="auto"/>
              <w:right w:val="single" w:sz="4" w:space="0" w:color="auto"/>
            </w:tcBorders>
            <w:shd w:val="clear" w:color="auto" w:fill="F2F2F2"/>
            <w:hideMark/>
          </w:tcPr>
          <w:p w:rsidR="00D71143" w:rsidRDefault="00D71143">
            <w:pPr>
              <w:pStyle w:val="DotDashColon"/>
              <w:numPr>
                <w:ilvl w:val="0"/>
                <w:numId w:val="0"/>
              </w:numPr>
              <w:tabs>
                <w:tab w:val="left" w:pos="851"/>
              </w:tabs>
              <w:spacing w:after="120"/>
              <w:jc w:val="both"/>
              <w:rPr>
                <w:rFonts w:ascii="Times New Roman" w:hAnsi="Times New Roman"/>
                <w:b/>
              </w:rPr>
            </w:pPr>
            <w:r>
              <w:rPr>
                <w:rFonts w:ascii="Times New Roman" w:hAnsi="Times New Roman"/>
                <w:b/>
              </w:rPr>
              <w:t>Performance Indicator and Targets</w:t>
            </w:r>
          </w:p>
        </w:tc>
        <w:tc>
          <w:tcPr>
            <w:tcW w:w="2895" w:type="dxa"/>
            <w:tcBorders>
              <w:top w:val="single" w:sz="4" w:space="0" w:color="auto"/>
              <w:left w:val="single" w:sz="4" w:space="0" w:color="auto"/>
              <w:bottom w:val="single" w:sz="4" w:space="0" w:color="auto"/>
              <w:right w:val="single" w:sz="4" w:space="0" w:color="auto"/>
            </w:tcBorders>
            <w:shd w:val="clear" w:color="auto" w:fill="F2F2F2"/>
            <w:hideMark/>
          </w:tcPr>
          <w:p w:rsidR="00D71143" w:rsidRDefault="00D71143">
            <w:pPr>
              <w:pStyle w:val="DotDashColon"/>
              <w:numPr>
                <w:ilvl w:val="0"/>
                <w:numId w:val="0"/>
              </w:numPr>
              <w:tabs>
                <w:tab w:val="left" w:pos="851"/>
              </w:tabs>
              <w:spacing w:after="120"/>
              <w:jc w:val="both"/>
              <w:rPr>
                <w:rFonts w:ascii="Times New Roman" w:hAnsi="Times New Roman"/>
                <w:b/>
              </w:rPr>
            </w:pPr>
            <w:r>
              <w:rPr>
                <w:rFonts w:ascii="Times New Roman" w:hAnsi="Times New Roman"/>
                <w:b/>
              </w:rPr>
              <w:t>Source: Reporting Agency</w:t>
            </w:r>
          </w:p>
        </w:tc>
      </w:tr>
      <w:tr w:rsidR="00D71143" w:rsidTr="00D71143">
        <w:tc>
          <w:tcPr>
            <w:tcW w:w="3187" w:type="dxa"/>
            <w:tcBorders>
              <w:top w:val="single" w:sz="4" w:space="0" w:color="auto"/>
              <w:left w:val="single" w:sz="4" w:space="0" w:color="auto"/>
              <w:bottom w:val="single" w:sz="4" w:space="0" w:color="auto"/>
              <w:right w:val="single" w:sz="4" w:space="0" w:color="auto"/>
            </w:tcBorders>
            <w:shd w:val="clear" w:color="auto" w:fill="FFFFFF"/>
            <w:hideMark/>
          </w:tcPr>
          <w:p w:rsidR="00D71143" w:rsidRDefault="00D71143">
            <w:pPr>
              <w:pStyle w:val="DotDashColon"/>
              <w:numPr>
                <w:ilvl w:val="0"/>
                <w:numId w:val="0"/>
              </w:numPr>
              <w:tabs>
                <w:tab w:val="left" w:pos="1134"/>
              </w:tabs>
              <w:spacing w:after="120"/>
              <w:rPr>
                <w:rFonts w:ascii="Times New Roman" w:hAnsi="Times New Roman"/>
                <w:b/>
                <w:i/>
              </w:rPr>
            </w:pPr>
            <w:r>
              <w:rPr>
                <w:rFonts w:ascii="Times New Roman" w:hAnsi="Times New Roman"/>
                <w:b/>
                <w:i/>
              </w:rPr>
              <w:t>Solomon Islanders have access to quality social services, including health and education</w:t>
            </w:r>
          </w:p>
        </w:tc>
        <w:tc>
          <w:tcPr>
            <w:tcW w:w="3159" w:type="dxa"/>
            <w:tcBorders>
              <w:top w:val="single" w:sz="4" w:space="0" w:color="auto"/>
              <w:left w:val="single" w:sz="4" w:space="0" w:color="auto"/>
              <w:bottom w:val="single" w:sz="4" w:space="0" w:color="auto"/>
              <w:right w:val="single" w:sz="4" w:space="0" w:color="auto"/>
            </w:tcBorders>
            <w:shd w:val="clear" w:color="auto" w:fill="FFFFFF"/>
          </w:tcPr>
          <w:p w:rsidR="00D71143" w:rsidRDefault="00D71143">
            <w:pPr>
              <w:pStyle w:val="DotDashColon"/>
              <w:numPr>
                <w:ilvl w:val="0"/>
                <w:numId w:val="0"/>
              </w:numPr>
              <w:tabs>
                <w:tab w:val="left" w:pos="851"/>
              </w:tabs>
              <w:spacing w:after="120"/>
              <w:jc w:val="both"/>
              <w:rPr>
                <w:rFonts w:ascii="Times New Roman" w:hAnsi="Times New Roman"/>
              </w:rPr>
            </w:pPr>
          </w:p>
        </w:tc>
        <w:tc>
          <w:tcPr>
            <w:tcW w:w="2895" w:type="dxa"/>
            <w:tcBorders>
              <w:top w:val="single" w:sz="4" w:space="0" w:color="auto"/>
              <w:left w:val="single" w:sz="4" w:space="0" w:color="auto"/>
              <w:bottom w:val="single" w:sz="4" w:space="0" w:color="auto"/>
              <w:right w:val="single" w:sz="4" w:space="0" w:color="auto"/>
            </w:tcBorders>
            <w:shd w:val="clear" w:color="auto" w:fill="FFFFFF"/>
          </w:tcPr>
          <w:p w:rsidR="00D71143" w:rsidRDefault="00D71143">
            <w:pPr>
              <w:pStyle w:val="DotDashColon"/>
              <w:numPr>
                <w:ilvl w:val="0"/>
                <w:numId w:val="0"/>
              </w:numPr>
              <w:tabs>
                <w:tab w:val="left" w:pos="851"/>
              </w:tabs>
              <w:spacing w:after="120"/>
              <w:jc w:val="both"/>
              <w:rPr>
                <w:rFonts w:ascii="Times New Roman" w:hAnsi="Times New Roman"/>
              </w:rPr>
            </w:pPr>
          </w:p>
        </w:tc>
      </w:tr>
      <w:tr w:rsidR="00D71143" w:rsidTr="00D71143">
        <w:tc>
          <w:tcPr>
            <w:tcW w:w="3187" w:type="dxa"/>
            <w:tcBorders>
              <w:top w:val="single" w:sz="4" w:space="0" w:color="auto"/>
              <w:left w:val="single" w:sz="4" w:space="0" w:color="auto"/>
              <w:bottom w:val="single" w:sz="4" w:space="0" w:color="auto"/>
              <w:right w:val="single" w:sz="4" w:space="0" w:color="auto"/>
            </w:tcBorders>
            <w:shd w:val="clear" w:color="auto" w:fill="F2F2F2"/>
            <w:hideMark/>
          </w:tcPr>
          <w:p w:rsidR="00D71143" w:rsidRDefault="00D71143">
            <w:pPr>
              <w:pStyle w:val="DotDashColon"/>
              <w:numPr>
                <w:ilvl w:val="0"/>
                <w:numId w:val="0"/>
              </w:numPr>
              <w:tabs>
                <w:tab w:val="left" w:pos="851"/>
              </w:tabs>
              <w:spacing w:after="120"/>
              <w:jc w:val="both"/>
              <w:rPr>
                <w:rFonts w:ascii="Times New Roman" w:hAnsi="Times New Roman"/>
                <w:b/>
              </w:rPr>
            </w:pPr>
            <w:r>
              <w:rPr>
                <w:rFonts w:ascii="Times New Roman" w:hAnsi="Times New Roman"/>
                <w:b/>
              </w:rPr>
              <w:t>Sub-objectives</w:t>
            </w:r>
          </w:p>
        </w:tc>
        <w:tc>
          <w:tcPr>
            <w:tcW w:w="3159" w:type="dxa"/>
            <w:tcBorders>
              <w:top w:val="single" w:sz="4" w:space="0" w:color="auto"/>
              <w:left w:val="single" w:sz="4" w:space="0" w:color="auto"/>
              <w:bottom w:val="single" w:sz="4" w:space="0" w:color="auto"/>
              <w:right w:val="single" w:sz="4" w:space="0" w:color="auto"/>
            </w:tcBorders>
            <w:shd w:val="clear" w:color="auto" w:fill="F2F2F2"/>
          </w:tcPr>
          <w:p w:rsidR="00D71143" w:rsidRDefault="00D71143">
            <w:pPr>
              <w:pStyle w:val="DotDashColon"/>
              <w:numPr>
                <w:ilvl w:val="0"/>
                <w:numId w:val="0"/>
              </w:numPr>
              <w:tabs>
                <w:tab w:val="left" w:pos="851"/>
              </w:tabs>
              <w:spacing w:after="120"/>
              <w:jc w:val="both"/>
              <w:rPr>
                <w:rFonts w:ascii="Times New Roman" w:hAnsi="Times New Roman"/>
                <w:i/>
              </w:rPr>
            </w:pPr>
          </w:p>
        </w:tc>
        <w:tc>
          <w:tcPr>
            <w:tcW w:w="2895" w:type="dxa"/>
            <w:tcBorders>
              <w:top w:val="single" w:sz="4" w:space="0" w:color="auto"/>
              <w:left w:val="single" w:sz="4" w:space="0" w:color="auto"/>
              <w:bottom w:val="single" w:sz="4" w:space="0" w:color="auto"/>
              <w:right w:val="single" w:sz="4" w:space="0" w:color="auto"/>
            </w:tcBorders>
            <w:shd w:val="clear" w:color="auto" w:fill="F2F2F2"/>
          </w:tcPr>
          <w:p w:rsidR="00D71143" w:rsidRDefault="00D71143">
            <w:pPr>
              <w:pStyle w:val="DotDashColon"/>
              <w:numPr>
                <w:ilvl w:val="0"/>
                <w:numId w:val="0"/>
              </w:numPr>
              <w:tabs>
                <w:tab w:val="left" w:pos="851"/>
              </w:tabs>
              <w:spacing w:after="120"/>
              <w:jc w:val="both"/>
              <w:rPr>
                <w:rFonts w:ascii="Times New Roman" w:hAnsi="Times New Roman"/>
              </w:rPr>
            </w:pPr>
          </w:p>
        </w:tc>
      </w:tr>
      <w:tr w:rsidR="00D71143" w:rsidTr="00D71143">
        <w:tc>
          <w:tcPr>
            <w:tcW w:w="3187" w:type="dxa"/>
            <w:tcBorders>
              <w:top w:val="single" w:sz="4" w:space="0" w:color="auto"/>
              <w:left w:val="single" w:sz="4" w:space="0" w:color="auto"/>
              <w:bottom w:val="single" w:sz="4" w:space="0" w:color="auto"/>
              <w:right w:val="single" w:sz="4" w:space="0" w:color="auto"/>
            </w:tcBorders>
            <w:shd w:val="clear" w:color="auto" w:fill="FFFFFF"/>
            <w:hideMark/>
          </w:tcPr>
          <w:p w:rsidR="00D71143" w:rsidRDefault="00D71143" w:rsidP="00861F6F">
            <w:pPr>
              <w:pStyle w:val="DotDashColon"/>
              <w:numPr>
                <w:ilvl w:val="0"/>
                <w:numId w:val="0"/>
              </w:numPr>
              <w:tabs>
                <w:tab w:val="left" w:pos="851"/>
              </w:tabs>
              <w:spacing w:after="120"/>
              <w:rPr>
                <w:rFonts w:ascii="Times New Roman" w:hAnsi="Times New Roman"/>
              </w:rPr>
            </w:pPr>
            <w:r>
              <w:rPr>
                <w:rFonts w:ascii="Times New Roman" w:hAnsi="Times New Roman"/>
              </w:rPr>
              <w:t>By 2030, reduce the maternal mortality ratio to less than 70 per 100,000 live births.</w:t>
            </w:r>
          </w:p>
        </w:tc>
        <w:tc>
          <w:tcPr>
            <w:tcW w:w="3159" w:type="dxa"/>
            <w:tcBorders>
              <w:top w:val="single" w:sz="4" w:space="0" w:color="auto"/>
              <w:left w:val="single" w:sz="4" w:space="0" w:color="auto"/>
              <w:bottom w:val="single" w:sz="4" w:space="0" w:color="auto"/>
              <w:right w:val="single" w:sz="4" w:space="0" w:color="auto"/>
            </w:tcBorders>
            <w:shd w:val="clear" w:color="auto" w:fill="FFFFFF"/>
            <w:hideMark/>
          </w:tcPr>
          <w:p w:rsidR="00D71143" w:rsidRDefault="00D71143" w:rsidP="00861F6F">
            <w:pPr>
              <w:pStyle w:val="DotDashColon"/>
              <w:numPr>
                <w:ilvl w:val="0"/>
                <w:numId w:val="0"/>
              </w:numPr>
              <w:tabs>
                <w:tab w:val="left" w:pos="851"/>
              </w:tabs>
              <w:spacing w:after="120"/>
              <w:rPr>
                <w:rFonts w:ascii="Times New Roman" w:hAnsi="Times New Roman"/>
                <w:i/>
              </w:rPr>
            </w:pPr>
            <w:r>
              <w:rPr>
                <w:rFonts w:ascii="Times New Roman" w:hAnsi="Times New Roman"/>
              </w:rPr>
              <w:t>Maternal mortality rate reduced from 93 per 100,000 births in 2010 to less than 70 by 2020.</w:t>
            </w:r>
          </w:p>
        </w:tc>
        <w:tc>
          <w:tcPr>
            <w:tcW w:w="2895" w:type="dxa"/>
            <w:tcBorders>
              <w:top w:val="single" w:sz="4" w:space="0" w:color="auto"/>
              <w:left w:val="single" w:sz="4" w:space="0" w:color="auto"/>
              <w:bottom w:val="single" w:sz="4" w:space="0" w:color="auto"/>
              <w:right w:val="single" w:sz="4" w:space="0" w:color="auto"/>
            </w:tcBorders>
            <w:shd w:val="clear" w:color="auto" w:fill="FFFFFF"/>
            <w:hideMark/>
          </w:tcPr>
          <w:p w:rsidR="00D71143" w:rsidRDefault="00D71143" w:rsidP="00861F6F">
            <w:pPr>
              <w:pStyle w:val="DotDashColon"/>
              <w:numPr>
                <w:ilvl w:val="0"/>
                <w:numId w:val="0"/>
              </w:numPr>
              <w:tabs>
                <w:tab w:val="left" w:pos="851"/>
              </w:tabs>
              <w:spacing w:after="120"/>
              <w:rPr>
                <w:rFonts w:ascii="Times New Roman" w:hAnsi="Times New Roman"/>
              </w:rPr>
            </w:pPr>
            <w:r>
              <w:rPr>
                <w:rFonts w:ascii="Times New Roman" w:hAnsi="Times New Roman"/>
              </w:rPr>
              <w:t>Ministry of Health and Medical Services (MHMS)</w:t>
            </w:r>
          </w:p>
        </w:tc>
      </w:tr>
      <w:tr w:rsidR="00D71143" w:rsidTr="00D71143">
        <w:tc>
          <w:tcPr>
            <w:tcW w:w="3187" w:type="dxa"/>
            <w:tcBorders>
              <w:top w:val="single" w:sz="4" w:space="0" w:color="auto"/>
              <w:left w:val="single" w:sz="4" w:space="0" w:color="auto"/>
              <w:bottom w:val="single" w:sz="4" w:space="0" w:color="auto"/>
              <w:right w:val="single" w:sz="4" w:space="0" w:color="auto"/>
            </w:tcBorders>
            <w:shd w:val="clear" w:color="auto" w:fill="FFFFFF"/>
            <w:hideMark/>
          </w:tcPr>
          <w:p w:rsidR="00D71143" w:rsidRDefault="00D71143" w:rsidP="00861F6F">
            <w:pPr>
              <w:pStyle w:val="DotDashColon"/>
              <w:numPr>
                <w:ilvl w:val="0"/>
                <w:numId w:val="0"/>
              </w:numPr>
              <w:tabs>
                <w:tab w:val="left" w:pos="851"/>
              </w:tabs>
              <w:spacing w:after="120"/>
              <w:rPr>
                <w:rFonts w:ascii="Times New Roman" w:hAnsi="Times New Roman"/>
              </w:rPr>
            </w:pPr>
            <w:r>
              <w:rPr>
                <w:rFonts w:ascii="Times New Roman" w:hAnsi="Times New Roman"/>
              </w:rPr>
              <w:t>By 2030, end preventable deaths of newborns and children under 5 years of age, aiming to reduce neonatal mortality to at least as low as 12 per 1,000 live births and under 5 mortalities to at least as low as 25 per 1,000 live births.</w:t>
            </w:r>
          </w:p>
        </w:tc>
        <w:tc>
          <w:tcPr>
            <w:tcW w:w="3159" w:type="dxa"/>
            <w:tcBorders>
              <w:top w:val="single" w:sz="4" w:space="0" w:color="auto"/>
              <w:left w:val="single" w:sz="4" w:space="0" w:color="auto"/>
              <w:bottom w:val="single" w:sz="4" w:space="0" w:color="auto"/>
              <w:right w:val="single" w:sz="4" w:space="0" w:color="auto"/>
            </w:tcBorders>
            <w:shd w:val="clear" w:color="auto" w:fill="FFFFFF"/>
            <w:hideMark/>
          </w:tcPr>
          <w:p w:rsidR="00D71143" w:rsidRDefault="00D71143" w:rsidP="00861F6F">
            <w:pPr>
              <w:pStyle w:val="DotDashColon"/>
              <w:numPr>
                <w:ilvl w:val="0"/>
                <w:numId w:val="0"/>
              </w:numPr>
              <w:tabs>
                <w:tab w:val="left" w:pos="851"/>
              </w:tabs>
              <w:spacing w:after="120"/>
              <w:rPr>
                <w:rFonts w:ascii="Times New Roman" w:hAnsi="Times New Roman"/>
              </w:rPr>
            </w:pPr>
            <w:r>
              <w:rPr>
                <w:rFonts w:ascii="Times New Roman" w:hAnsi="Times New Roman"/>
              </w:rPr>
              <w:t>Infant mortality rate per 1,000 live births reduced from 27 in 2010 towards 20 in 2020.</w:t>
            </w:r>
          </w:p>
        </w:tc>
        <w:tc>
          <w:tcPr>
            <w:tcW w:w="2895" w:type="dxa"/>
            <w:tcBorders>
              <w:top w:val="single" w:sz="4" w:space="0" w:color="auto"/>
              <w:left w:val="single" w:sz="4" w:space="0" w:color="auto"/>
              <w:bottom w:val="single" w:sz="4" w:space="0" w:color="auto"/>
              <w:right w:val="single" w:sz="4" w:space="0" w:color="auto"/>
            </w:tcBorders>
            <w:shd w:val="clear" w:color="auto" w:fill="FFFFFF"/>
            <w:hideMark/>
          </w:tcPr>
          <w:p w:rsidR="00881638" w:rsidRDefault="00881638" w:rsidP="00861F6F">
            <w:pPr>
              <w:pStyle w:val="DotDashColon"/>
              <w:numPr>
                <w:ilvl w:val="0"/>
                <w:numId w:val="0"/>
              </w:numPr>
              <w:tabs>
                <w:tab w:val="left" w:pos="32"/>
              </w:tabs>
              <w:spacing w:after="120"/>
              <w:rPr>
                <w:rFonts w:ascii="Times New Roman" w:hAnsi="Times New Roman"/>
              </w:rPr>
            </w:pPr>
            <w:r>
              <w:rPr>
                <w:rFonts w:ascii="Times New Roman" w:hAnsi="Times New Roman"/>
              </w:rPr>
              <w:t>Ministry of Health and Medical Services (MHMS)</w:t>
            </w:r>
          </w:p>
          <w:p w:rsidR="00D71143" w:rsidRDefault="00D71143" w:rsidP="00861F6F">
            <w:pPr>
              <w:pStyle w:val="DotDashColon"/>
              <w:numPr>
                <w:ilvl w:val="0"/>
                <w:numId w:val="0"/>
              </w:numPr>
              <w:tabs>
                <w:tab w:val="left" w:pos="32"/>
              </w:tabs>
              <w:spacing w:after="120"/>
              <w:rPr>
                <w:rFonts w:ascii="Times New Roman" w:hAnsi="Times New Roman"/>
              </w:rPr>
            </w:pPr>
            <w:r>
              <w:rPr>
                <w:rFonts w:ascii="Times New Roman" w:hAnsi="Times New Roman"/>
              </w:rPr>
              <w:t>United Nations Annual Human Development Report/ WBDI/ ESCAP</w:t>
            </w:r>
          </w:p>
          <w:p w:rsidR="00D71143" w:rsidRDefault="00D71143" w:rsidP="00861F6F">
            <w:pPr>
              <w:pStyle w:val="DotDashColon"/>
              <w:numPr>
                <w:ilvl w:val="0"/>
                <w:numId w:val="0"/>
              </w:numPr>
              <w:tabs>
                <w:tab w:val="left" w:pos="851"/>
              </w:tabs>
              <w:spacing w:after="120"/>
              <w:rPr>
                <w:rFonts w:ascii="Times New Roman" w:hAnsi="Times New Roman"/>
              </w:rPr>
            </w:pPr>
            <w:r>
              <w:rPr>
                <w:rFonts w:ascii="Times New Roman" w:hAnsi="Times New Roman"/>
              </w:rPr>
              <w:t>World Bank Development Indicators</w:t>
            </w:r>
          </w:p>
        </w:tc>
      </w:tr>
      <w:tr w:rsidR="00D71143" w:rsidTr="00D71143">
        <w:tc>
          <w:tcPr>
            <w:tcW w:w="3187" w:type="dxa"/>
            <w:tcBorders>
              <w:top w:val="single" w:sz="4" w:space="0" w:color="auto"/>
              <w:left w:val="single" w:sz="4" w:space="0" w:color="auto"/>
              <w:bottom w:val="single" w:sz="4" w:space="0" w:color="auto"/>
              <w:right w:val="single" w:sz="4" w:space="0" w:color="auto"/>
            </w:tcBorders>
            <w:shd w:val="clear" w:color="auto" w:fill="FFFFFF"/>
            <w:hideMark/>
          </w:tcPr>
          <w:p w:rsidR="00D71143" w:rsidRDefault="00D71143" w:rsidP="00861F6F">
            <w:pPr>
              <w:pStyle w:val="DotDashColon"/>
              <w:numPr>
                <w:ilvl w:val="0"/>
                <w:numId w:val="0"/>
              </w:numPr>
              <w:tabs>
                <w:tab w:val="left" w:pos="851"/>
              </w:tabs>
              <w:spacing w:after="120"/>
              <w:rPr>
                <w:rFonts w:ascii="Times New Roman" w:hAnsi="Times New Roman"/>
              </w:rPr>
            </w:pPr>
            <w:r>
              <w:rPr>
                <w:rFonts w:ascii="Times New Roman" w:hAnsi="Times New Roman"/>
              </w:rPr>
              <w:t xml:space="preserve">Increased funding for health services. </w:t>
            </w:r>
          </w:p>
        </w:tc>
        <w:tc>
          <w:tcPr>
            <w:tcW w:w="3159" w:type="dxa"/>
            <w:tcBorders>
              <w:top w:val="single" w:sz="4" w:space="0" w:color="auto"/>
              <w:left w:val="single" w:sz="4" w:space="0" w:color="auto"/>
              <w:bottom w:val="single" w:sz="4" w:space="0" w:color="auto"/>
              <w:right w:val="single" w:sz="4" w:space="0" w:color="auto"/>
            </w:tcBorders>
            <w:shd w:val="clear" w:color="auto" w:fill="FFFFFF"/>
            <w:hideMark/>
          </w:tcPr>
          <w:p w:rsidR="00D71143" w:rsidRDefault="00D71143" w:rsidP="00861F6F">
            <w:pPr>
              <w:pStyle w:val="Default"/>
            </w:pPr>
            <w:r>
              <w:rPr>
                <w:rFonts w:ascii="Times New Roman" w:hAnsi="Times New Roman" w:cs="Times New Roman"/>
              </w:rPr>
              <w:t xml:space="preserve">Total public and private health expenditure as a % of GDP increases from 8.6% in 2010 to over </w:t>
            </w:r>
            <w:r w:rsidR="00EC4622">
              <w:rPr>
                <w:rFonts w:ascii="Times New Roman" w:hAnsi="Times New Roman" w:cs="Times New Roman"/>
              </w:rPr>
              <w:t>13</w:t>
            </w:r>
            <w:r>
              <w:rPr>
                <w:rFonts w:ascii="Times New Roman" w:hAnsi="Times New Roman" w:cs="Times New Roman"/>
              </w:rPr>
              <w:t xml:space="preserve">% by 2020. </w:t>
            </w:r>
          </w:p>
        </w:tc>
        <w:tc>
          <w:tcPr>
            <w:tcW w:w="2895" w:type="dxa"/>
            <w:tcBorders>
              <w:top w:val="single" w:sz="4" w:space="0" w:color="auto"/>
              <w:left w:val="single" w:sz="4" w:space="0" w:color="auto"/>
              <w:bottom w:val="single" w:sz="4" w:space="0" w:color="auto"/>
              <w:right w:val="single" w:sz="4" w:space="0" w:color="auto"/>
            </w:tcBorders>
            <w:shd w:val="clear" w:color="auto" w:fill="FFFFFF"/>
          </w:tcPr>
          <w:p w:rsidR="00881638" w:rsidRDefault="00881638" w:rsidP="00861F6F">
            <w:pPr>
              <w:pStyle w:val="Default"/>
              <w:rPr>
                <w:rFonts w:ascii="Times New Roman" w:hAnsi="Times New Roman"/>
              </w:rPr>
            </w:pPr>
            <w:r>
              <w:rPr>
                <w:rFonts w:ascii="Times New Roman" w:hAnsi="Times New Roman"/>
              </w:rPr>
              <w:t>Ministry of Health and Medical Services (MHMS)</w:t>
            </w:r>
          </w:p>
          <w:p w:rsidR="00881638" w:rsidRDefault="00881638" w:rsidP="00861F6F">
            <w:pPr>
              <w:pStyle w:val="Default"/>
              <w:rPr>
                <w:rFonts w:ascii="Times New Roman" w:hAnsi="Times New Roman"/>
              </w:rPr>
            </w:pPr>
          </w:p>
          <w:p w:rsidR="00881638" w:rsidRDefault="00881638" w:rsidP="00861F6F">
            <w:pPr>
              <w:pStyle w:val="Default"/>
              <w:rPr>
                <w:rFonts w:ascii="Times New Roman" w:hAnsi="Times New Roman"/>
              </w:rPr>
            </w:pPr>
            <w:r w:rsidRPr="00F950B2">
              <w:rPr>
                <w:rFonts w:ascii="Times New Roman" w:hAnsi="Times New Roman"/>
              </w:rPr>
              <w:t>Ministry of Finance and Treasury</w:t>
            </w:r>
          </w:p>
          <w:p w:rsidR="00881638" w:rsidRDefault="00881638" w:rsidP="00861F6F">
            <w:pPr>
              <w:pStyle w:val="Default"/>
              <w:rPr>
                <w:rFonts w:ascii="Times New Roman" w:hAnsi="Times New Roman"/>
              </w:rPr>
            </w:pPr>
          </w:p>
          <w:p w:rsidR="00D71143" w:rsidRDefault="00D71143" w:rsidP="00861F6F">
            <w:pPr>
              <w:pStyle w:val="Default"/>
            </w:pPr>
            <w:r>
              <w:rPr>
                <w:rFonts w:ascii="Times New Roman" w:hAnsi="Times New Roman" w:cs="Times New Roman"/>
              </w:rPr>
              <w:t xml:space="preserve">World Bank </w:t>
            </w:r>
          </w:p>
        </w:tc>
      </w:tr>
      <w:tr w:rsidR="00D71143" w:rsidTr="00D71143">
        <w:tc>
          <w:tcPr>
            <w:tcW w:w="3187" w:type="dxa"/>
            <w:tcBorders>
              <w:top w:val="single" w:sz="4" w:space="0" w:color="auto"/>
              <w:left w:val="single" w:sz="4" w:space="0" w:color="auto"/>
              <w:bottom w:val="single" w:sz="4" w:space="0" w:color="auto"/>
              <w:right w:val="single" w:sz="4" w:space="0" w:color="auto"/>
            </w:tcBorders>
            <w:shd w:val="clear" w:color="auto" w:fill="FFFFFF"/>
            <w:hideMark/>
          </w:tcPr>
          <w:p w:rsidR="00D71143" w:rsidRDefault="00D71143" w:rsidP="00861F6F">
            <w:pPr>
              <w:pStyle w:val="DotDashColon"/>
              <w:numPr>
                <w:ilvl w:val="0"/>
                <w:numId w:val="0"/>
              </w:numPr>
              <w:tabs>
                <w:tab w:val="left" w:pos="851"/>
              </w:tabs>
              <w:spacing w:after="120"/>
              <w:rPr>
                <w:rFonts w:ascii="Times New Roman" w:hAnsi="Times New Roman"/>
              </w:rPr>
            </w:pPr>
            <w:r>
              <w:rPr>
                <w:rFonts w:ascii="Times New Roman" w:hAnsi="Times New Roman"/>
              </w:rPr>
              <w:t>By 2030, ensure that all girls and boys complete free, equitable and quality primary and secondary education leading to relevant and effective learning outcomes.</w:t>
            </w:r>
          </w:p>
        </w:tc>
        <w:tc>
          <w:tcPr>
            <w:tcW w:w="3159" w:type="dxa"/>
            <w:tcBorders>
              <w:top w:val="single" w:sz="4" w:space="0" w:color="auto"/>
              <w:left w:val="single" w:sz="4" w:space="0" w:color="auto"/>
              <w:bottom w:val="single" w:sz="4" w:space="0" w:color="auto"/>
              <w:right w:val="single" w:sz="4" w:space="0" w:color="auto"/>
            </w:tcBorders>
            <w:shd w:val="clear" w:color="auto" w:fill="FFFFFF"/>
          </w:tcPr>
          <w:p w:rsidR="00D71143" w:rsidRDefault="00D71143" w:rsidP="00861F6F">
            <w:pPr>
              <w:pStyle w:val="Default"/>
              <w:rPr>
                <w:rFonts w:ascii="Times New Roman" w:hAnsi="Times New Roman"/>
              </w:rPr>
            </w:pPr>
            <w:r w:rsidRPr="00861F6F">
              <w:rPr>
                <w:rFonts w:ascii="Times New Roman" w:hAnsi="Times New Roman" w:cs="Times New Roman"/>
              </w:rPr>
              <w:t>Primary school gross enrolment maintained at 100% as indicated by the Education Strategic Framework 2016-2030.</w:t>
            </w:r>
            <w:r>
              <w:rPr>
                <w:rFonts w:ascii="Times New Roman" w:hAnsi="Times New Roman" w:cs="Times New Roman"/>
                <w:color w:val="FF0000"/>
                <w:lang w:val="en-US"/>
              </w:rPr>
              <w:t xml:space="preserve"> </w:t>
            </w:r>
          </w:p>
        </w:tc>
        <w:tc>
          <w:tcPr>
            <w:tcW w:w="2895" w:type="dxa"/>
            <w:tcBorders>
              <w:top w:val="single" w:sz="4" w:space="0" w:color="auto"/>
              <w:left w:val="single" w:sz="4" w:space="0" w:color="auto"/>
              <w:bottom w:val="single" w:sz="4" w:space="0" w:color="auto"/>
              <w:right w:val="single" w:sz="4" w:space="0" w:color="auto"/>
            </w:tcBorders>
            <w:shd w:val="clear" w:color="auto" w:fill="FFFFFF"/>
          </w:tcPr>
          <w:p w:rsidR="00881638" w:rsidRDefault="00881638" w:rsidP="00861F6F">
            <w:pPr>
              <w:pStyle w:val="Default"/>
              <w:rPr>
                <w:rFonts w:ascii="Times New Roman" w:hAnsi="Times New Roman" w:cs="Times New Roman"/>
              </w:rPr>
            </w:pPr>
            <w:r>
              <w:rPr>
                <w:rFonts w:ascii="Times New Roman" w:hAnsi="Times New Roman" w:cs="Times New Roman"/>
              </w:rPr>
              <w:t>Ministry of Education and Human Resources Development (MEHRD)</w:t>
            </w:r>
          </w:p>
          <w:p w:rsidR="00881638" w:rsidRDefault="00881638" w:rsidP="00861F6F">
            <w:pPr>
              <w:pStyle w:val="Default"/>
              <w:rPr>
                <w:rFonts w:ascii="Times New Roman" w:hAnsi="Times New Roman" w:cs="Times New Roman"/>
              </w:rPr>
            </w:pPr>
          </w:p>
          <w:p w:rsidR="00D71143" w:rsidRDefault="00D71143" w:rsidP="00861F6F">
            <w:pPr>
              <w:pStyle w:val="Default"/>
            </w:pPr>
            <w:r>
              <w:rPr>
                <w:rFonts w:ascii="Times New Roman" w:hAnsi="Times New Roman" w:cs="Times New Roman"/>
              </w:rPr>
              <w:t>World Bank and UNESCO Institute for Statistics: annual</w:t>
            </w:r>
          </w:p>
        </w:tc>
      </w:tr>
    </w:tbl>
    <w:p w:rsidR="00457B46" w:rsidRDefault="00457B46">
      <w:r>
        <w:br w:type="page"/>
      </w:r>
    </w:p>
    <w:tbl>
      <w:tblPr>
        <w:tblW w:w="924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3159"/>
        <w:gridCol w:w="2895"/>
      </w:tblGrid>
      <w:tr w:rsidR="00D71143" w:rsidTr="00D71143">
        <w:tc>
          <w:tcPr>
            <w:tcW w:w="3187" w:type="dxa"/>
            <w:tcBorders>
              <w:top w:val="single" w:sz="4" w:space="0" w:color="auto"/>
              <w:left w:val="single" w:sz="4" w:space="0" w:color="auto"/>
              <w:bottom w:val="single" w:sz="4" w:space="0" w:color="auto"/>
              <w:right w:val="single" w:sz="4" w:space="0" w:color="auto"/>
            </w:tcBorders>
            <w:shd w:val="clear" w:color="auto" w:fill="FFFFFF"/>
            <w:hideMark/>
          </w:tcPr>
          <w:p w:rsidR="00D71143" w:rsidRDefault="00D71143" w:rsidP="00861F6F">
            <w:pPr>
              <w:pStyle w:val="DotDashColon"/>
              <w:numPr>
                <w:ilvl w:val="0"/>
                <w:numId w:val="0"/>
              </w:numPr>
              <w:tabs>
                <w:tab w:val="left" w:pos="851"/>
              </w:tabs>
              <w:spacing w:after="120"/>
              <w:ind w:left="1"/>
              <w:rPr>
                <w:rFonts w:ascii="Times New Roman" w:hAnsi="Times New Roman"/>
              </w:rPr>
            </w:pPr>
            <w:r>
              <w:rPr>
                <w:rFonts w:ascii="Times New Roman" w:hAnsi="Times New Roman"/>
              </w:rPr>
              <w:t>By 2030, ensure equal access for all women and men to affordable and quality technical, vocational and tertiary education, including university.</w:t>
            </w:r>
          </w:p>
        </w:tc>
        <w:tc>
          <w:tcPr>
            <w:tcW w:w="3159" w:type="dxa"/>
            <w:tcBorders>
              <w:top w:val="single" w:sz="4" w:space="0" w:color="auto"/>
              <w:left w:val="single" w:sz="4" w:space="0" w:color="auto"/>
              <w:bottom w:val="single" w:sz="4" w:space="0" w:color="auto"/>
              <w:right w:val="single" w:sz="4" w:space="0" w:color="auto"/>
            </w:tcBorders>
            <w:shd w:val="clear" w:color="auto" w:fill="FFFFFF"/>
          </w:tcPr>
          <w:p w:rsidR="00D71143" w:rsidRDefault="00D71143" w:rsidP="00861F6F">
            <w:pPr>
              <w:pStyle w:val="DotDashColon"/>
              <w:numPr>
                <w:ilvl w:val="0"/>
                <w:numId w:val="0"/>
              </w:numPr>
              <w:tabs>
                <w:tab w:val="left" w:pos="851"/>
              </w:tabs>
              <w:spacing w:after="120"/>
              <w:rPr>
                <w:rFonts w:ascii="Times New Roman" w:hAnsi="Times New Roman"/>
              </w:rPr>
            </w:pPr>
            <w:r>
              <w:rPr>
                <w:rFonts w:ascii="Times New Roman" w:hAnsi="Times New Roman"/>
              </w:rPr>
              <w:t>National Qualifications Framework in place and evidence of its use and institutionalisation.</w:t>
            </w:r>
          </w:p>
          <w:p w:rsidR="00D71143" w:rsidRDefault="00D71143" w:rsidP="00861F6F">
            <w:pPr>
              <w:pStyle w:val="DotDashColon"/>
              <w:numPr>
                <w:ilvl w:val="0"/>
                <w:numId w:val="0"/>
              </w:numPr>
              <w:tabs>
                <w:tab w:val="left" w:pos="851"/>
              </w:tabs>
              <w:spacing w:after="120"/>
              <w:rPr>
                <w:rFonts w:ascii="Times New Roman" w:hAnsi="Times New Roman"/>
              </w:rPr>
            </w:pPr>
            <w:r>
              <w:rPr>
                <w:rFonts w:ascii="Times New Roman" w:hAnsi="Times New Roman"/>
              </w:rPr>
              <w:t>Proportion of population aged 12 and older who have had tertiary education (skills training and higher education) increased from 4.4% in 2009 to 10% by 2020.</w:t>
            </w:r>
          </w:p>
        </w:tc>
        <w:tc>
          <w:tcPr>
            <w:tcW w:w="2895" w:type="dxa"/>
            <w:tcBorders>
              <w:top w:val="single" w:sz="4" w:space="0" w:color="auto"/>
              <w:left w:val="single" w:sz="4" w:space="0" w:color="auto"/>
              <w:bottom w:val="single" w:sz="4" w:space="0" w:color="auto"/>
              <w:right w:val="single" w:sz="4" w:space="0" w:color="auto"/>
            </w:tcBorders>
            <w:shd w:val="clear" w:color="auto" w:fill="FFFFFF"/>
          </w:tcPr>
          <w:p w:rsidR="00D71143" w:rsidRDefault="00D71143" w:rsidP="00861F6F">
            <w:pPr>
              <w:pStyle w:val="DotDashColon"/>
              <w:numPr>
                <w:ilvl w:val="0"/>
                <w:numId w:val="0"/>
              </w:numPr>
              <w:tabs>
                <w:tab w:val="left" w:pos="851"/>
              </w:tabs>
              <w:spacing w:after="120"/>
              <w:rPr>
                <w:rFonts w:ascii="Times New Roman" w:hAnsi="Times New Roman"/>
              </w:rPr>
            </w:pPr>
            <w:r>
              <w:rPr>
                <w:rFonts w:ascii="Times New Roman" w:hAnsi="Times New Roman"/>
              </w:rPr>
              <w:t>Ministry of Education and Human Resources Development (MEHRD)</w:t>
            </w:r>
          </w:p>
          <w:p w:rsidR="00D71143" w:rsidRDefault="00D71143" w:rsidP="00861F6F">
            <w:pPr>
              <w:pStyle w:val="DotDashColon"/>
              <w:numPr>
                <w:ilvl w:val="0"/>
                <w:numId w:val="0"/>
              </w:numPr>
              <w:tabs>
                <w:tab w:val="left" w:pos="851"/>
              </w:tabs>
              <w:spacing w:before="400" w:after="120"/>
              <w:rPr>
                <w:rFonts w:ascii="Times New Roman" w:hAnsi="Times New Roman"/>
              </w:rPr>
            </w:pPr>
            <w:r>
              <w:rPr>
                <w:rFonts w:ascii="Times New Roman" w:hAnsi="Times New Roman"/>
              </w:rPr>
              <w:t>National Statistics Office (NSO), Ministry of Education and Human Resources Development (MEHRD)</w:t>
            </w:r>
          </w:p>
        </w:tc>
      </w:tr>
      <w:tr w:rsidR="00D71143" w:rsidTr="00D71143">
        <w:tc>
          <w:tcPr>
            <w:tcW w:w="3187" w:type="dxa"/>
            <w:tcBorders>
              <w:top w:val="single" w:sz="4" w:space="0" w:color="auto"/>
              <w:left w:val="single" w:sz="4" w:space="0" w:color="auto"/>
              <w:bottom w:val="single" w:sz="4" w:space="0" w:color="auto"/>
              <w:right w:val="single" w:sz="4" w:space="0" w:color="auto"/>
            </w:tcBorders>
            <w:shd w:val="clear" w:color="auto" w:fill="FFFFFF"/>
            <w:hideMark/>
          </w:tcPr>
          <w:p w:rsidR="00D71143" w:rsidRDefault="00D71143">
            <w:pPr>
              <w:pStyle w:val="DotDashColon"/>
              <w:numPr>
                <w:ilvl w:val="0"/>
                <w:numId w:val="0"/>
              </w:numPr>
              <w:tabs>
                <w:tab w:val="left" w:pos="851"/>
              </w:tabs>
              <w:spacing w:after="120"/>
              <w:ind w:left="1"/>
              <w:rPr>
                <w:rFonts w:ascii="Times New Roman" w:hAnsi="Times New Roman"/>
              </w:rPr>
            </w:pPr>
            <w:r>
              <w:rPr>
                <w:rFonts w:ascii="Times New Roman" w:hAnsi="Times New Roman"/>
              </w:rPr>
              <w:t>By 2030, achieve universal access to improved and equitable sanitation and hygiene for all and end open defecation.</w:t>
            </w:r>
          </w:p>
        </w:tc>
        <w:tc>
          <w:tcPr>
            <w:tcW w:w="3159" w:type="dxa"/>
            <w:tcBorders>
              <w:top w:val="single" w:sz="4" w:space="0" w:color="auto"/>
              <w:left w:val="single" w:sz="4" w:space="0" w:color="auto"/>
              <w:bottom w:val="single" w:sz="4" w:space="0" w:color="auto"/>
              <w:right w:val="single" w:sz="4" w:space="0" w:color="auto"/>
            </w:tcBorders>
            <w:shd w:val="clear" w:color="auto" w:fill="FFFFFF"/>
            <w:hideMark/>
          </w:tcPr>
          <w:p w:rsidR="00D71143" w:rsidRDefault="00D71143" w:rsidP="00327756">
            <w:pPr>
              <w:pStyle w:val="DotDashColon"/>
              <w:numPr>
                <w:ilvl w:val="0"/>
                <w:numId w:val="0"/>
              </w:numPr>
              <w:tabs>
                <w:tab w:val="left" w:pos="851"/>
              </w:tabs>
              <w:spacing w:after="120"/>
              <w:rPr>
                <w:rFonts w:ascii="Times New Roman" w:hAnsi="Times New Roman"/>
              </w:rPr>
            </w:pPr>
            <w:r>
              <w:rPr>
                <w:rFonts w:ascii="Times New Roman" w:hAnsi="Times New Roman"/>
              </w:rPr>
              <w:t>Percentage of population with access to improved sanitation facilities (measured in open defecation free communities for rural population).</w:t>
            </w:r>
          </w:p>
        </w:tc>
        <w:tc>
          <w:tcPr>
            <w:tcW w:w="2895" w:type="dxa"/>
            <w:tcBorders>
              <w:top w:val="single" w:sz="4" w:space="0" w:color="auto"/>
              <w:left w:val="single" w:sz="4" w:space="0" w:color="auto"/>
              <w:bottom w:val="single" w:sz="4" w:space="0" w:color="auto"/>
              <w:right w:val="single" w:sz="4" w:space="0" w:color="auto"/>
            </w:tcBorders>
            <w:shd w:val="clear" w:color="auto" w:fill="FFFFFF"/>
            <w:hideMark/>
          </w:tcPr>
          <w:p w:rsidR="00D71143" w:rsidRDefault="00D71143" w:rsidP="00327756">
            <w:pPr>
              <w:pStyle w:val="DotDashColon"/>
              <w:numPr>
                <w:ilvl w:val="0"/>
                <w:numId w:val="0"/>
              </w:numPr>
              <w:tabs>
                <w:tab w:val="left" w:pos="851"/>
              </w:tabs>
              <w:spacing w:after="120"/>
              <w:rPr>
                <w:rFonts w:ascii="Times New Roman" w:hAnsi="Times New Roman"/>
              </w:rPr>
            </w:pPr>
            <w:r>
              <w:rPr>
                <w:rFonts w:ascii="Times New Roman" w:hAnsi="Times New Roman"/>
              </w:rPr>
              <w:t>Ministry of Health and Medical Services (MHMS)</w:t>
            </w:r>
          </w:p>
        </w:tc>
      </w:tr>
    </w:tbl>
    <w:p w:rsidR="00D71143" w:rsidRDefault="00D71143" w:rsidP="00D71143">
      <w:pPr>
        <w:pStyle w:val="DotDashColon"/>
        <w:numPr>
          <w:ilvl w:val="0"/>
          <w:numId w:val="0"/>
        </w:numPr>
        <w:tabs>
          <w:tab w:val="left" w:pos="851"/>
        </w:tabs>
        <w:spacing w:after="120"/>
        <w:ind w:left="1"/>
        <w:jc w:val="both"/>
        <w:rPr>
          <w:rFonts w:ascii="Times New Roman" w:hAnsi="Times New Roman"/>
        </w:rPr>
      </w:pPr>
    </w:p>
    <w:p w:rsidR="00D71143" w:rsidRDefault="00D71143" w:rsidP="0095389A">
      <w:pPr>
        <w:pStyle w:val="CommentText"/>
      </w:pPr>
      <w:r>
        <w:rPr>
          <w:rStyle w:val="CommentReference"/>
        </w:rPr>
        <w:t/>
      </w:r>
      <w:r w:rsidR="0095389A" w:rsidDel="0095389A">
        <w:rPr>
          <w:lang w:val="en-AU"/>
        </w:rPr>
        <w:t xml:space="preserve"> </w:t>
      </w:r>
    </w:p>
    <w:p w:rsidR="00CB6D14" w:rsidRPr="007C7580" w:rsidRDefault="00CB6D14" w:rsidP="003C606F">
      <w:pPr>
        <w:pStyle w:val="DotDashColon"/>
        <w:numPr>
          <w:ilvl w:val="0"/>
          <w:numId w:val="0"/>
        </w:numPr>
        <w:tabs>
          <w:tab w:val="left" w:pos="851"/>
        </w:tabs>
        <w:spacing w:after="120"/>
        <w:ind w:left="1"/>
        <w:jc w:val="both"/>
        <w:rPr>
          <w:rFonts w:ascii="Times New Roman" w:hAnsi="Times New Roman"/>
        </w:rPr>
      </w:pPr>
    </w:p>
    <w:sectPr w:rsidR="00CB6D14" w:rsidRPr="007C7580" w:rsidSect="008B0502">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5E7" w:rsidRDefault="000335E7" w:rsidP="000E6E33">
      <w:r>
        <w:separator/>
      </w:r>
    </w:p>
  </w:endnote>
  <w:endnote w:type="continuationSeparator" w:id="0">
    <w:p w:rsidR="000335E7" w:rsidRDefault="000335E7" w:rsidP="000E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8A" w:rsidRDefault="002D0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A89" w:rsidRDefault="00FA18B3">
    <w:pPr>
      <w:pStyle w:val="Footer"/>
      <w:jc w:val="right"/>
    </w:pPr>
    <w:r>
      <w:rPr>
        <w:lang w:val="en-AU"/>
      </w:rPr>
      <w:t>29 June</w:t>
    </w:r>
    <w:r w:rsidR="00E53C99">
      <w:t xml:space="preserve"> 201</w:t>
    </w:r>
    <w:r>
      <w:rPr>
        <w:lang w:val="en-AU"/>
      </w:rPr>
      <w:t>7</w:t>
    </w:r>
    <w:r w:rsidR="00E53C99">
      <w:t xml:space="preserve"> </w:t>
    </w:r>
    <w:r w:rsidR="00CF1A89">
      <w:t xml:space="preserve">Page | </w:t>
    </w:r>
    <w:r w:rsidR="00FC5F8D">
      <w:fldChar w:fldCharType="begin"/>
    </w:r>
    <w:r w:rsidR="00CF1A89">
      <w:instrText xml:space="preserve"> PAGE   \* MERGEFORMAT </w:instrText>
    </w:r>
    <w:r w:rsidR="00FC5F8D">
      <w:fldChar w:fldCharType="separate"/>
    </w:r>
    <w:r w:rsidR="002D038A">
      <w:rPr>
        <w:noProof/>
      </w:rPr>
      <w:t>4</w:t>
    </w:r>
    <w:r w:rsidR="00FC5F8D">
      <w:rPr>
        <w:noProof/>
      </w:rPr>
      <w:fldChar w:fldCharType="end"/>
    </w:r>
    <w:r w:rsidR="00CF1A89">
      <w:t xml:space="preserve"> </w:t>
    </w:r>
  </w:p>
  <w:p w:rsidR="00CF1A89" w:rsidRDefault="00CF1A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8A" w:rsidRDefault="002D0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5E7" w:rsidRDefault="000335E7" w:rsidP="000E6E33">
      <w:r>
        <w:separator/>
      </w:r>
    </w:p>
  </w:footnote>
  <w:footnote w:type="continuationSeparator" w:id="0">
    <w:p w:rsidR="000335E7" w:rsidRDefault="000335E7" w:rsidP="000E6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8A" w:rsidRDefault="002D0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A89" w:rsidRDefault="005420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348.95pt;margin-top:2.6pt;width:48.4pt;height:46.65pt;z-index:251657728;visibility:visible">
          <v:imagedata r:id="rId1" o:title=""/>
          <w10:wrap type="square"/>
        </v:shape>
      </w:pict>
    </w:r>
    <w:r w:rsidR="007D78DE" w:rsidRPr="007D78DE">
      <w:rPr>
        <w:b/>
        <w:noProof/>
        <w:lang w:eastAsia="en-AU"/>
      </w:rPr>
      <w:pict>
        <v:shape id="Picture 3" o:spid="_x0000_i1025" type="#_x0000_t75" alt="AustGovt_stacked" style="width:90.75pt;height:57pt;visibility:visible">
          <v:imagedata r:id="rId2" o:title="AustGovt_stacked"/>
        </v:shape>
      </w:pict>
    </w:r>
    <w:r w:rsidR="00CF1A89">
      <w:tab/>
    </w:r>
    <w:r w:rsidR="003A137B">
      <w:rPr>
        <w:lang w:val="en-AU"/>
      </w:rPr>
      <w:t xml:space="preserve">                                                </w:t>
    </w:r>
    <w:r w:rsidR="00E73C01">
      <w:rPr>
        <w:lang w:val="en-AU"/>
      </w:rPr>
      <w:t xml:space="preserve">                       </w:t>
    </w:r>
    <w:r w:rsidR="003A137B" w:rsidRPr="0029700C">
      <w:rPr>
        <w:b/>
        <w:sz w:val="22"/>
        <w:szCs w:val="22"/>
        <w:lang w:val="en-AU"/>
      </w:rPr>
      <w:t>Solomon Islands</w:t>
    </w:r>
    <w:r w:rsidRPr="0029700C">
      <w:rPr>
        <w:b/>
        <w:sz w:val="22"/>
        <w:szCs w:val="22"/>
        <w:lang w:val="en-AU"/>
      </w:rPr>
      <w:t xml:space="preserve"> </w:t>
    </w:r>
    <w:r w:rsidR="003A137B" w:rsidRPr="0029700C">
      <w:rPr>
        <w:b/>
        <w:sz w:val="22"/>
        <w:szCs w:val="22"/>
        <w:lang w:val="en-AU"/>
      </w:rPr>
      <w:t>Government</w:t>
    </w:r>
    <w:r w:rsidR="00CF1A89" w:rsidRPr="0029700C">
      <w:rPr>
        <w:b/>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8A" w:rsidRDefault="002D0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22CE"/>
    <w:multiLevelType w:val="hybridMultilevel"/>
    <w:tmpl w:val="349A87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A0A301B"/>
    <w:multiLevelType w:val="hybridMultilevel"/>
    <w:tmpl w:val="4D0E91A0"/>
    <w:lvl w:ilvl="0" w:tplc="79A407E6">
      <w:start w:val="1"/>
      <w:numFmt w:val="lowerLetter"/>
      <w:lvlText w:val="%1."/>
      <w:lvlJc w:val="left"/>
      <w:pPr>
        <w:ind w:left="1353" w:hanging="360"/>
      </w:pPr>
      <w:rPr>
        <w:rFonts w:hint="default"/>
      </w:rPr>
    </w:lvl>
    <w:lvl w:ilvl="1" w:tplc="0C090019">
      <w:start w:val="1"/>
      <w:numFmt w:val="lowerLetter"/>
      <w:lvlText w:val="%2."/>
      <w:lvlJc w:val="left"/>
      <w:pPr>
        <w:ind w:left="1299" w:hanging="360"/>
      </w:pPr>
    </w:lvl>
    <w:lvl w:ilvl="2" w:tplc="0C09001B" w:tentative="1">
      <w:start w:val="1"/>
      <w:numFmt w:val="lowerRoman"/>
      <w:lvlText w:val="%3."/>
      <w:lvlJc w:val="right"/>
      <w:pPr>
        <w:ind w:left="2019" w:hanging="180"/>
      </w:pPr>
    </w:lvl>
    <w:lvl w:ilvl="3" w:tplc="0C09000F" w:tentative="1">
      <w:start w:val="1"/>
      <w:numFmt w:val="decimal"/>
      <w:lvlText w:val="%4."/>
      <w:lvlJc w:val="left"/>
      <w:pPr>
        <w:ind w:left="2739" w:hanging="360"/>
      </w:pPr>
    </w:lvl>
    <w:lvl w:ilvl="4" w:tplc="0C090019" w:tentative="1">
      <w:start w:val="1"/>
      <w:numFmt w:val="lowerLetter"/>
      <w:lvlText w:val="%5."/>
      <w:lvlJc w:val="left"/>
      <w:pPr>
        <w:ind w:left="3459" w:hanging="360"/>
      </w:pPr>
    </w:lvl>
    <w:lvl w:ilvl="5" w:tplc="0C09001B" w:tentative="1">
      <w:start w:val="1"/>
      <w:numFmt w:val="lowerRoman"/>
      <w:lvlText w:val="%6."/>
      <w:lvlJc w:val="right"/>
      <w:pPr>
        <w:ind w:left="4179" w:hanging="180"/>
      </w:pPr>
    </w:lvl>
    <w:lvl w:ilvl="6" w:tplc="0C09000F" w:tentative="1">
      <w:start w:val="1"/>
      <w:numFmt w:val="decimal"/>
      <w:lvlText w:val="%7."/>
      <w:lvlJc w:val="left"/>
      <w:pPr>
        <w:ind w:left="4899" w:hanging="360"/>
      </w:pPr>
    </w:lvl>
    <w:lvl w:ilvl="7" w:tplc="0C090019" w:tentative="1">
      <w:start w:val="1"/>
      <w:numFmt w:val="lowerLetter"/>
      <w:lvlText w:val="%8."/>
      <w:lvlJc w:val="left"/>
      <w:pPr>
        <w:ind w:left="5619" w:hanging="360"/>
      </w:pPr>
    </w:lvl>
    <w:lvl w:ilvl="8" w:tplc="0C09001B" w:tentative="1">
      <w:start w:val="1"/>
      <w:numFmt w:val="lowerRoman"/>
      <w:lvlText w:val="%9."/>
      <w:lvlJc w:val="right"/>
      <w:pPr>
        <w:ind w:left="6339" w:hanging="180"/>
      </w:pPr>
    </w:lvl>
  </w:abstractNum>
  <w:abstractNum w:abstractNumId="2" w15:restartNumberingAfterBreak="0">
    <w:nsid w:val="3AAB71A5"/>
    <w:multiLevelType w:val="hybridMultilevel"/>
    <w:tmpl w:val="25F6D44A"/>
    <w:lvl w:ilvl="0" w:tplc="3ECA3C58">
      <w:start w:val="1"/>
      <w:numFmt w:val="lowerLetter"/>
      <w:lvlText w:val="%1."/>
      <w:lvlJc w:val="left"/>
      <w:pPr>
        <w:ind w:left="149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C174A9"/>
    <w:multiLevelType w:val="hybridMultilevel"/>
    <w:tmpl w:val="40103586"/>
    <w:lvl w:ilvl="0" w:tplc="79A407E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4C726A58"/>
    <w:multiLevelType w:val="hybridMultilevel"/>
    <w:tmpl w:val="08E218D0"/>
    <w:lvl w:ilvl="0" w:tplc="79A407E6">
      <w:start w:val="1"/>
      <w:numFmt w:val="lowerLetter"/>
      <w:lvlText w:val="%1."/>
      <w:lvlJc w:val="left"/>
      <w:pPr>
        <w:ind w:left="1494" w:hanging="360"/>
      </w:pPr>
      <w:rPr>
        <w:rFonts w:hint="default"/>
      </w:rPr>
    </w:lvl>
    <w:lvl w:ilvl="1" w:tplc="0C09001B">
      <w:start w:val="1"/>
      <w:numFmt w:val="lowerRoman"/>
      <w:lvlText w:val="%2."/>
      <w:lvlJc w:val="right"/>
      <w:pPr>
        <w:ind w:left="1440" w:hanging="360"/>
      </w:pPr>
    </w:lvl>
    <w:lvl w:ilvl="2" w:tplc="2A9E5FEC">
      <w:start w:val="9"/>
      <w:numFmt w:val="bullet"/>
      <w:lvlText w:val="-"/>
      <w:lvlJc w:val="left"/>
      <w:pPr>
        <w:ind w:left="2340" w:hanging="360"/>
      </w:pPr>
      <w:rPr>
        <w:rFonts w:ascii="Times New Roman" w:eastAsia="Times New Roman" w:hAnsi="Times New Roman"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6A82C13"/>
    <w:multiLevelType w:val="multilevel"/>
    <w:tmpl w:val="CE1A76E2"/>
    <w:lvl w:ilvl="0">
      <w:start w:val="1"/>
      <w:numFmt w:val="bullet"/>
      <w:pStyle w:val="DotDashColon"/>
      <w:lvlText w:val=""/>
      <w:lvlJc w:val="left"/>
      <w:pPr>
        <w:tabs>
          <w:tab w:val="num" w:pos="567"/>
        </w:tabs>
        <w:ind w:left="567" w:hanging="567"/>
      </w:pPr>
      <w:rPr>
        <w:rFonts w:ascii="Symbol" w:hAnsi="Symbol" w:hint="default"/>
        <w:color w:val="auto"/>
        <w:sz w:val="32"/>
        <w:szCs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6" w15:restartNumberingAfterBreak="0">
    <w:nsid w:val="6D691441"/>
    <w:multiLevelType w:val="hybridMultilevel"/>
    <w:tmpl w:val="D3EEE95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7" w15:restartNumberingAfterBreak="0">
    <w:nsid w:val="74373EAC"/>
    <w:multiLevelType w:val="multilevel"/>
    <w:tmpl w:val="17020FB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i w:val="0"/>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9503CB7"/>
    <w:multiLevelType w:val="multilevel"/>
    <w:tmpl w:val="C9DC800C"/>
    <w:lvl w:ilvl="0">
      <w:start w:val="1"/>
      <w:numFmt w:val="decimal"/>
      <w:lvlText w:val="%1."/>
      <w:lvlJc w:val="left"/>
      <w:pPr>
        <w:ind w:left="720" w:hanging="360"/>
      </w:pPr>
      <w:rPr>
        <w:rFonts w:cs="Times New Roman"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080" w:hanging="720"/>
      </w:pPr>
      <w:rPr>
        <w:rFonts w:hint="default"/>
        <w:b w:val="0"/>
        <w:color w:val="365F91"/>
      </w:rPr>
    </w:lvl>
    <w:lvl w:ilvl="3">
      <w:start w:val="1"/>
      <w:numFmt w:val="decimal"/>
      <w:isLgl/>
      <w:lvlText w:val="%1.%2.%3.%4"/>
      <w:lvlJc w:val="left"/>
      <w:pPr>
        <w:ind w:left="1080" w:hanging="720"/>
      </w:pPr>
      <w:rPr>
        <w:rFonts w:hint="default"/>
        <w:b w:val="0"/>
        <w:color w:val="365F91"/>
      </w:rPr>
    </w:lvl>
    <w:lvl w:ilvl="4">
      <w:start w:val="1"/>
      <w:numFmt w:val="decimal"/>
      <w:isLgl/>
      <w:lvlText w:val="%1.%2.%3.%4.%5"/>
      <w:lvlJc w:val="left"/>
      <w:pPr>
        <w:ind w:left="1440" w:hanging="1080"/>
      </w:pPr>
      <w:rPr>
        <w:rFonts w:hint="default"/>
        <w:b w:val="0"/>
        <w:color w:val="365F91"/>
      </w:rPr>
    </w:lvl>
    <w:lvl w:ilvl="5">
      <w:start w:val="1"/>
      <w:numFmt w:val="decimal"/>
      <w:isLgl/>
      <w:lvlText w:val="%1.%2.%3.%4.%5.%6"/>
      <w:lvlJc w:val="left"/>
      <w:pPr>
        <w:ind w:left="1440" w:hanging="1080"/>
      </w:pPr>
      <w:rPr>
        <w:rFonts w:hint="default"/>
        <w:b w:val="0"/>
        <w:color w:val="365F91"/>
      </w:rPr>
    </w:lvl>
    <w:lvl w:ilvl="6">
      <w:start w:val="1"/>
      <w:numFmt w:val="decimal"/>
      <w:isLgl/>
      <w:lvlText w:val="%1.%2.%3.%4.%5.%6.%7"/>
      <w:lvlJc w:val="left"/>
      <w:pPr>
        <w:ind w:left="1800" w:hanging="1440"/>
      </w:pPr>
      <w:rPr>
        <w:rFonts w:hint="default"/>
        <w:b w:val="0"/>
        <w:color w:val="365F91"/>
      </w:rPr>
    </w:lvl>
    <w:lvl w:ilvl="7">
      <w:start w:val="1"/>
      <w:numFmt w:val="decimal"/>
      <w:isLgl/>
      <w:lvlText w:val="%1.%2.%3.%4.%5.%6.%7.%8"/>
      <w:lvlJc w:val="left"/>
      <w:pPr>
        <w:ind w:left="1800" w:hanging="1440"/>
      </w:pPr>
      <w:rPr>
        <w:rFonts w:hint="default"/>
        <w:b w:val="0"/>
        <w:color w:val="365F91"/>
      </w:rPr>
    </w:lvl>
    <w:lvl w:ilvl="8">
      <w:start w:val="1"/>
      <w:numFmt w:val="decimal"/>
      <w:isLgl/>
      <w:lvlText w:val="%1.%2.%3.%4.%5.%6.%7.%8.%9"/>
      <w:lvlJc w:val="left"/>
      <w:pPr>
        <w:ind w:left="2160" w:hanging="1800"/>
      </w:pPr>
      <w:rPr>
        <w:rFonts w:hint="default"/>
        <w:b w:val="0"/>
        <w:color w:val="365F91"/>
      </w:rPr>
    </w:lvl>
  </w:abstractNum>
  <w:abstractNum w:abstractNumId="9" w15:restartNumberingAfterBreak="0">
    <w:nsid w:val="7CF467AB"/>
    <w:multiLevelType w:val="hybridMultilevel"/>
    <w:tmpl w:val="CFB6176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num w:numId="1">
    <w:abstractNumId w:val="5"/>
  </w:num>
  <w:num w:numId="2">
    <w:abstractNumId w:val="7"/>
  </w:num>
  <w:num w:numId="3">
    <w:abstractNumId w:val="8"/>
  </w:num>
  <w:num w:numId="4">
    <w:abstractNumId w:val="3"/>
  </w:num>
  <w:num w:numId="5">
    <w:abstractNumId w:val="1"/>
  </w:num>
  <w:num w:numId="6">
    <w:abstractNumId w:val="2"/>
  </w:num>
  <w:num w:numId="7">
    <w:abstractNumId w:val="6"/>
  </w:num>
  <w:num w:numId="8">
    <w:abstractNumId w:val="0"/>
  </w:num>
  <w:num w:numId="9">
    <w:abstractNumId w:val="9"/>
  </w:num>
  <w:num w:numId="10">
    <w:abstractNumId w:val="5"/>
  </w:num>
  <w:num w:numId="11">
    <w:abstractNumId w:val="5"/>
  </w:num>
  <w:num w:numId="12">
    <w:abstractNumId w:val="5"/>
  </w:num>
  <w:num w:numId="13">
    <w:abstractNumId w:val="5"/>
  </w:num>
  <w:num w:numId="14">
    <w:abstractNumId w:val="5"/>
  </w:num>
  <w:num w:numId="15">
    <w:abstractNumId w:val="4"/>
  </w:num>
  <w:num w:numId="16">
    <w:abstractNumId w:val="5"/>
  </w:num>
  <w:num w:numId="17">
    <w:abstractNumId w:val="5"/>
  </w:num>
  <w:num w:numId="18">
    <w:abstractNumId w:val="5"/>
  </w:num>
  <w:num w:numId="19">
    <w:abstractNumId w:val="5"/>
    <w:lvlOverride w:ilvl="0"/>
    <w:lvlOverride w:ilvl="1"/>
    <w:lvlOverride w:ilvl="2"/>
    <w:lvlOverride w:ilvl="3"/>
    <w:lvlOverride w:ilvl="4"/>
    <w:lvlOverride w:ilvl="5"/>
    <w:lvlOverride w:ilvl="6"/>
    <w:lvlOverride w:ilvl="7"/>
    <w:lvlOverride w:ilvl="8"/>
  </w:num>
  <w:num w:numId="20">
    <w:abstractNumId w:val="0"/>
  </w:num>
  <w:num w:numId="21">
    <w:abstractNumId w:val="9"/>
    <w:lvlOverride w:ilvl="0"/>
    <w:lvlOverride w:ilvl="1"/>
    <w:lvlOverride w:ilvl="2"/>
    <w:lvlOverride w:ilvl="3"/>
    <w:lvlOverride w:ilvl="4"/>
    <w:lvlOverride w:ilvl="5"/>
    <w:lvlOverride w:ilvl="6"/>
    <w:lvlOverride w:ilvl="7"/>
    <w:lvlOverride w:ilvl="8"/>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6B1"/>
    <w:rsid w:val="000042A2"/>
    <w:rsid w:val="0000605A"/>
    <w:rsid w:val="000106BB"/>
    <w:rsid w:val="00012F0D"/>
    <w:rsid w:val="000200DC"/>
    <w:rsid w:val="00020363"/>
    <w:rsid w:val="000209E7"/>
    <w:rsid w:val="00022C2E"/>
    <w:rsid w:val="00022EA7"/>
    <w:rsid w:val="00024F59"/>
    <w:rsid w:val="00027F58"/>
    <w:rsid w:val="000335E7"/>
    <w:rsid w:val="000368F2"/>
    <w:rsid w:val="00041BAE"/>
    <w:rsid w:val="000447F2"/>
    <w:rsid w:val="00045C32"/>
    <w:rsid w:val="0005207F"/>
    <w:rsid w:val="000536C1"/>
    <w:rsid w:val="000567E2"/>
    <w:rsid w:val="00062825"/>
    <w:rsid w:val="00064152"/>
    <w:rsid w:val="000642C7"/>
    <w:rsid w:val="000655A2"/>
    <w:rsid w:val="0006767D"/>
    <w:rsid w:val="0006789B"/>
    <w:rsid w:val="00071E11"/>
    <w:rsid w:val="000755C4"/>
    <w:rsid w:val="00076697"/>
    <w:rsid w:val="00076DD5"/>
    <w:rsid w:val="00077B70"/>
    <w:rsid w:val="00081851"/>
    <w:rsid w:val="000823D1"/>
    <w:rsid w:val="00085099"/>
    <w:rsid w:val="00086519"/>
    <w:rsid w:val="000946D5"/>
    <w:rsid w:val="0009615F"/>
    <w:rsid w:val="000972E7"/>
    <w:rsid w:val="000A3903"/>
    <w:rsid w:val="000A5C74"/>
    <w:rsid w:val="000A6638"/>
    <w:rsid w:val="000B4096"/>
    <w:rsid w:val="000B40AD"/>
    <w:rsid w:val="000C1E12"/>
    <w:rsid w:val="000C40C6"/>
    <w:rsid w:val="000C640F"/>
    <w:rsid w:val="000D76D1"/>
    <w:rsid w:val="000E24FD"/>
    <w:rsid w:val="000E3E41"/>
    <w:rsid w:val="000E5D6A"/>
    <w:rsid w:val="000E6E33"/>
    <w:rsid w:val="000E7AD0"/>
    <w:rsid w:val="000E7D58"/>
    <w:rsid w:val="000F08A8"/>
    <w:rsid w:val="000F3FE1"/>
    <w:rsid w:val="0010073B"/>
    <w:rsid w:val="00101B85"/>
    <w:rsid w:val="00104175"/>
    <w:rsid w:val="00106A7B"/>
    <w:rsid w:val="00110610"/>
    <w:rsid w:val="00116E1B"/>
    <w:rsid w:val="00117E22"/>
    <w:rsid w:val="00122518"/>
    <w:rsid w:val="0012258E"/>
    <w:rsid w:val="001356CE"/>
    <w:rsid w:val="0014191F"/>
    <w:rsid w:val="00143536"/>
    <w:rsid w:val="00143A3D"/>
    <w:rsid w:val="001459C9"/>
    <w:rsid w:val="00146BAF"/>
    <w:rsid w:val="001537F8"/>
    <w:rsid w:val="00153F5E"/>
    <w:rsid w:val="00156D2F"/>
    <w:rsid w:val="00161934"/>
    <w:rsid w:val="001647A7"/>
    <w:rsid w:val="00170C03"/>
    <w:rsid w:val="00173257"/>
    <w:rsid w:val="00173C05"/>
    <w:rsid w:val="001746BE"/>
    <w:rsid w:val="0017659C"/>
    <w:rsid w:val="0017713E"/>
    <w:rsid w:val="00181E3C"/>
    <w:rsid w:val="001830A5"/>
    <w:rsid w:val="00183C72"/>
    <w:rsid w:val="00187554"/>
    <w:rsid w:val="001A7F1A"/>
    <w:rsid w:val="001B2C48"/>
    <w:rsid w:val="001B5667"/>
    <w:rsid w:val="001B5ABC"/>
    <w:rsid w:val="001C0001"/>
    <w:rsid w:val="001C01BB"/>
    <w:rsid w:val="001C2463"/>
    <w:rsid w:val="001C398E"/>
    <w:rsid w:val="001C6ECB"/>
    <w:rsid w:val="001C7760"/>
    <w:rsid w:val="001D2BF6"/>
    <w:rsid w:val="001D42A1"/>
    <w:rsid w:val="001D5D2F"/>
    <w:rsid w:val="001D5FE3"/>
    <w:rsid w:val="001D677C"/>
    <w:rsid w:val="001F3AC9"/>
    <w:rsid w:val="002006B1"/>
    <w:rsid w:val="002015D7"/>
    <w:rsid w:val="002040D8"/>
    <w:rsid w:val="00211BD2"/>
    <w:rsid w:val="00211FD2"/>
    <w:rsid w:val="00212605"/>
    <w:rsid w:val="00217B70"/>
    <w:rsid w:val="00221CFC"/>
    <w:rsid w:val="002225A0"/>
    <w:rsid w:val="00222D68"/>
    <w:rsid w:val="00225C33"/>
    <w:rsid w:val="00231108"/>
    <w:rsid w:val="00233BCA"/>
    <w:rsid w:val="002376D3"/>
    <w:rsid w:val="0023794D"/>
    <w:rsid w:val="002403DA"/>
    <w:rsid w:val="002447F4"/>
    <w:rsid w:val="0024518E"/>
    <w:rsid w:val="002457B5"/>
    <w:rsid w:val="00252E8F"/>
    <w:rsid w:val="00255F6D"/>
    <w:rsid w:val="002656FA"/>
    <w:rsid w:val="0026594D"/>
    <w:rsid w:val="00266558"/>
    <w:rsid w:val="00274677"/>
    <w:rsid w:val="0027661E"/>
    <w:rsid w:val="002809C1"/>
    <w:rsid w:val="0029298C"/>
    <w:rsid w:val="00296058"/>
    <w:rsid w:val="0029700C"/>
    <w:rsid w:val="002A2999"/>
    <w:rsid w:val="002A6874"/>
    <w:rsid w:val="002A6EA0"/>
    <w:rsid w:val="002A7A51"/>
    <w:rsid w:val="002B0DD3"/>
    <w:rsid w:val="002C2D35"/>
    <w:rsid w:val="002C3257"/>
    <w:rsid w:val="002D038A"/>
    <w:rsid w:val="002D1633"/>
    <w:rsid w:val="002D3628"/>
    <w:rsid w:val="002D495D"/>
    <w:rsid w:val="002E0883"/>
    <w:rsid w:val="002E1B07"/>
    <w:rsid w:val="002E35E1"/>
    <w:rsid w:val="002E4976"/>
    <w:rsid w:val="002F0526"/>
    <w:rsid w:val="00303620"/>
    <w:rsid w:val="0032341B"/>
    <w:rsid w:val="00325686"/>
    <w:rsid w:val="00327756"/>
    <w:rsid w:val="00330AC0"/>
    <w:rsid w:val="00330EE1"/>
    <w:rsid w:val="00331068"/>
    <w:rsid w:val="00344A74"/>
    <w:rsid w:val="0034656D"/>
    <w:rsid w:val="00346C26"/>
    <w:rsid w:val="00357C9E"/>
    <w:rsid w:val="003612CB"/>
    <w:rsid w:val="003633DA"/>
    <w:rsid w:val="00365992"/>
    <w:rsid w:val="003663A0"/>
    <w:rsid w:val="00367CF7"/>
    <w:rsid w:val="003717AF"/>
    <w:rsid w:val="00375E79"/>
    <w:rsid w:val="003769BB"/>
    <w:rsid w:val="00376E2A"/>
    <w:rsid w:val="00380092"/>
    <w:rsid w:val="00380CE5"/>
    <w:rsid w:val="003844CC"/>
    <w:rsid w:val="003927E0"/>
    <w:rsid w:val="00392AD9"/>
    <w:rsid w:val="003946BF"/>
    <w:rsid w:val="00396DAA"/>
    <w:rsid w:val="003971AF"/>
    <w:rsid w:val="003A137B"/>
    <w:rsid w:val="003A4512"/>
    <w:rsid w:val="003A77F9"/>
    <w:rsid w:val="003B2814"/>
    <w:rsid w:val="003B43CB"/>
    <w:rsid w:val="003B79E1"/>
    <w:rsid w:val="003C02F3"/>
    <w:rsid w:val="003C04E0"/>
    <w:rsid w:val="003C3172"/>
    <w:rsid w:val="003C606F"/>
    <w:rsid w:val="003C6BDB"/>
    <w:rsid w:val="003D2244"/>
    <w:rsid w:val="003D320B"/>
    <w:rsid w:val="003D3B4E"/>
    <w:rsid w:val="003D3DB7"/>
    <w:rsid w:val="003D40D0"/>
    <w:rsid w:val="003E4946"/>
    <w:rsid w:val="003E49FE"/>
    <w:rsid w:val="003E6BF8"/>
    <w:rsid w:val="003F166F"/>
    <w:rsid w:val="003F252C"/>
    <w:rsid w:val="003F3F00"/>
    <w:rsid w:val="003F56E8"/>
    <w:rsid w:val="004015DB"/>
    <w:rsid w:val="00405109"/>
    <w:rsid w:val="00405510"/>
    <w:rsid w:val="0040656A"/>
    <w:rsid w:val="00413156"/>
    <w:rsid w:val="004142FF"/>
    <w:rsid w:val="00414A28"/>
    <w:rsid w:val="00415958"/>
    <w:rsid w:val="004213DA"/>
    <w:rsid w:val="004252DC"/>
    <w:rsid w:val="004309A2"/>
    <w:rsid w:val="0044004E"/>
    <w:rsid w:val="00441F79"/>
    <w:rsid w:val="00442207"/>
    <w:rsid w:val="004437BD"/>
    <w:rsid w:val="0044719B"/>
    <w:rsid w:val="004544F0"/>
    <w:rsid w:val="00457B46"/>
    <w:rsid w:val="00463B51"/>
    <w:rsid w:val="004647F6"/>
    <w:rsid w:val="00467BA9"/>
    <w:rsid w:val="0047272F"/>
    <w:rsid w:val="00473D85"/>
    <w:rsid w:val="00474CB5"/>
    <w:rsid w:val="004766D9"/>
    <w:rsid w:val="00485AC1"/>
    <w:rsid w:val="0049457C"/>
    <w:rsid w:val="004952D7"/>
    <w:rsid w:val="00496DF7"/>
    <w:rsid w:val="004A0C5C"/>
    <w:rsid w:val="004A4F2E"/>
    <w:rsid w:val="004A715A"/>
    <w:rsid w:val="004B2075"/>
    <w:rsid w:val="004C1EEA"/>
    <w:rsid w:val="004C2424"/>
    <w:rsid w:val="004C3E47"/>
    <w:rsid w:val="004C679B"/>
    <w:rsid w:val="004C69AF"/>
    <w:rsid w:val="004D0556"/>
    <w:rsid w:val="004D2E36"/>
    <w:rsid w:val="004D50BB"/>
    <w:rsid w:val="004D5161"/>
    <w:rsid w:val="004E4E86"/>
    <w:rsid w:val="004E5AAF"/>
    <w:rsid w:val="004F04CF"/>
    <w:rsid w:val="004F069F"/>
    <w:rsid w:val="004F121D"/>
    <w:rsid w:val="004F46EA"/>
    <w:rsid w:val="004F5A74"/>
    <w:rsid w:val="004F7658"/>
    <w:rsid w:val="00500681"/>
    <w:rsid w:val="005047DA"/>
    <w:rsid w:val="005049CD"/>
    <w:rsid w:val="00505E64"/>
    <w:rsid w:val="005072F8"/>
    <w:rsid w:val="00510813"/>
    <w:rsid w:val="00516243"/>
    <w:rsid w:val="0051715F"/>
    <w:rsid w:val="005216B2"/>
    <w:rsid w:val="00521CCE"/>
    <w:rsid w:val="00522346"/>
    <w:rsid w:val="00522439"/>
    <w:rsid w:val="00522A19"/>
    <w:rsid w:val="00523337"/>
    <w:rsid w:val="005263EB"/>
    <w:rsid w:val="00527C22"/>
    <w:rsid w:val="00536998"/>
    <w:rsid w:val="00541997"/>
    <w:rsid w:val="0054207C"/>
    <w:rsid w:val="00543A48"/>
    <w:rsid w:val="00547C56"/>
    <w:rsid w:val="005516A9"/>
    <w:rsid w:val="00551794"/>
    <w:rsid w:val="005542CA"/>
    <w:rsid w:val="00555785"/>
    <w:rsid w:val="005579D4"/>
    <w:rsid w:val="00561774"/>
    <w:rsid w:val="005716EF"/>
    <w:rsid w:val="005805DB"/>
    <w:rsid w:val="00583B70"/>
    <w:rsid w:val="00583F8A"/>
    <w:rsid w:val="00584C2E"/>
    <w:rsid w:val="00586BDB"/>
    <w:rsid w:val="00587DE0"/>
    <w:rsid w:val="00590C21"/>
    <w:rsid w:val="00591298"/>
    <w:rsid w:val="00591367"/>
    <w:rsid w:val="0059344F"/>
    <w:rsid w:val="005A0F12"/>
    <w:rsid w:val="005A251E"/>
    <w:rsid w:val="005B025C"/>
    <w:rsid w:val="005B258B"/>
    <w:rsid w:val="005B38CE"/>
    <w:rsid w:val="005B5C67"/>
    <w:rsid w:val="005B70C1"/>
    <w:rsid w:val="005C0CAF"/>
    <w:rsid w:val="005C3D38"/>
    <w:rsid w:val="005C5C8A"/>
    <w:rsid w:val="005D0C81"/>
    <w:rsid w:val="005D158F"/>
    <w:rsid w:val="005D2DD9"/>
    <w:rsid w:val="005D456B"/>
    <w:rsid w:val="005D4B32"/>
    <w:rsid w:val="005E4974"/>
    <w:rsid w:val="005F559E"/>
    <w:rsid w:val="006022EF"/>
    <w:rsid w:val="00604149"/>
    <w:rsid w:val="006059EF"/>
    <w:rsid w:val="0060615C"/>
    <w:rsid w:val="00610331"/>
    <w:rsid w:val="00610C33"/>
    <w:rsid w:val="00614E2E"/>
    <w:rsid w:val="006170E6"/>
    <w:rsid w:val="00624335"/>
    <w:rsid w:val="00627A84"/>
    <w:rsid w:val="00630272"/>
    <w:rsid w:val="0063224A"/>
    <w:rsid w:val="00636B5E"/>
    <w:rsid w:val="0064161B"/>
    <w:rsid w:val="00652C19"/>
    <w:rsid w:val="00655A74"/>
    <w:rsid w:val="00655C05"/>
    <w:rsid w:val="006647EA"/>
    <w:rsid w:val="00667C1D"/>
    <w:rsid w:val="0067079C"/>
    <w:rsid w:val="006712AE"/>
    <w:rsid w:val="00674B8C"/>
    <w:rsid w:val="0067698F"/>
    <w:rsid w:val="0068328B"/>
    <w:rsid w:val="00686E95"/>
    <w:rsid w:val="00690BEA"/>
    <w:rsid w:val="00693E46"/>
    <w:rsid w:val="006954AA"/>
    <w:rsid w:val="006A2379"/>
    <w:rsid w:val="006A52CB"/>
    <w:rsid w:val="006B6814"/>
    <w:rsid w:val="006B7941"/>
    <w:rsid w:val="006C3347"/>
    <w:rsid w:val="006C42CE"/>
    <w:rsid w:val="006C50DF"/>
    <w:rsid w:val="006C6896"/>
    <w:rsid w:val="006D4ADC"/>
    <w:rsid w:val="006D6799"/>
    <w:rsid w:val="006E0925"/>
    <w:rsid w:val="006E30A6"/>
    <w:rsid w:val="006E32E9"/>
    <w:rsid w:val="006E5208"/>
    <w:rsid w:val="006E5BB7"/>
    <w:rsid w:val="006F05A6"/>
    <w:rsid w:val="006F2333"/>
    <w:rsid w:val="006F3AD8"/>
    <w:rsid w:val="006F5971"/>
    <w:rsid w:val="007008E8"/>
    <w:rsid w:val="00700E3E"/>
    <w:rsid w:val="007010A2"/>
    <w:rsid w:val="00703279"/>
    <w:rsid w:val="007048AF"/>
    <w:rsid w:val="0070697F"/>
    <w:rsid w:val="00710C0B"/>
    <w:rsid w:val="00711443"/>
    <w:rsid w:val="007128E2"/>
    <w:rsid w:val="00717975"/>
    <w:rsid w:val="00723E52"/>
    <w:rsid w:val="00724139"/>
    <w:rsid w:val="007243DF"/>
    <w:rsid w:val="0072569F"/>
    <w:rsid w:val="00727754"/>
    <w:rsid w:val="00731334"/>
    <w:rsid w:val="007321F3"/>
    <w:rsid w:val="00732638"/>
    <w:rsid w:val="00742902"/>
    <w:rsid w:val="007473E1"/>
    <w:rsid w:val="00750D86"/>
    <w:rsid w:val="0075138C"/>
    <w:rsid w:val="00754C70"/>
    <w:rsid w:val="00756557"/>
    <w:rsid w:val="00756917"/>
    <w:rsid w:val="007579D4"/>
    <w:rsid w:val="007619CD"/>
    <w:rsid w:val="00772042"/>
    <w:rsid w:val="0077354D"/>
    <w:rsid w:val="0077456E"/>
    <w:rsid w:val="00777101"/>
    <w:rsid w:val="00780315"/>
    <w:rsid w:val="007807DD"/>
    <w:rsid w:val="00780D19"/>
    <w:rsid w:val="00780D7F"/>
    <w:rsid w:val="00780DEA"/>
    <w:rsid w:val="00781D76"/>
    <w:rsid w:val="00785576"/>
    <w:rsid w:val="0078679C"/>
    <w:rsid w:val="007932FD"/>
    <w:rsid w:val="00793574"/>
    <w:rsid w:val="007A0BDD"/>
    <w:rsid w:val="007A2083"/>
    <w:rsid w:val="007B4B6B"/>
    <w:rsid w:val="007C0D9B"/>
    <w:rsid w:val="007C1761"/>
    <w:rsid w:val="007C22B5"/>
    <w:rsid w:val="007C23E1"/>
    <w:rsid w:val="007C2727"/>
    <w:rsid w:val="007C7580"/>
    <w:rsid w:val="007D0E17"/>
    <w:rsid w:val="007D78DE"/>
    <w:rsid w:val="007D7935"/>
    <w:rsid w:val="007E677D"/>
    <w:rsid w:val="007F3D6C"/>
    <w:rsid w:val="007F5ADA"/>
    <w:rsid w:val="007F715D"/>
    <w:rsid w:val="0080163E"/>
    <w:rsid w:val="00801655"/>
    <w:rsid w:val="00801701"/>
    <w:rsid w:val="00801D8E"/>
    <w:rsid w:val="008075C4"/>
    <w:rsid w:val="00817007"/>
    <w:rsid w:val="00820C87"/>
    <w:rsid w:val="0082239A"/>
    <w:rsid w:val="00824BFB"/>
    <w:rsid w:val="00826522"/>
    <w:rsid w:val="008265A1"/>
    <w:rsid w:val="008327BC"/>
    <w:rsid w:val="008348E6"/>
    <w:rsid w:val="0083756A"/>
    <w:rsid w:val="00837689"/>
    <w:rsid w:val="00844FD3"/>
    <w:rsid w:val="00850EDD"/>
    <w:rsid w:val="00861F6F"/>
    <w:rsid w:val="008622F2"/>
    <w:rsid w:val="0086549B"/>
    <w:rsid w:val="00867168"/>
    <w:rsid w:val="00873F08"/>
    <w:rsid w:val="00875642"/>
    <w:rsid w:val="0088051B"/>
    <w:rsid w:val="00880AFC"/>
    <w:rsid w:val="00881638"/>
    <w:rsid w:val="00885312"/>
    <w:rsid w:val="008854AE"/>
    <w:rsid w:val="0088620A"/>
    <w:rsid w:val="008919DE"/>
    <w:rsid w:val="00897E08"/>
    <w:rsid w:val="008A45D4"/>
    <w:rsid w:val="008A77F2"/>
    <w:rsid w:val="008B018D"/>
    <w:rsid w:val="008B0502"/>
    <w:rsid w:val="008B1220"/>
    <w:rsid w:val="008B3E87"/>
    <w:rsid w:val="008B7C18"/>
    <w:rsid w:val="008C0387"/>
    <w:rsid w:val="008C1D93"/>
    <w:rsid w:val="008C3B86"/>
    <w:rsid w:val="008C5FC0"/>
    <w:rsid w:val="008C6907"/>
    <w:rsid w:val="008D1262"/>
    <w:rsid w:val="008D2AA7"/>
    <w:rsid w:val="008D6452"/>
    <w:rsid w:val="008E1888"/>
    <w:rsid w:val="008E3B30"/>
    <w:rsid w:val="008E40D7"/>
    <w:rsid w:val="008F1482"/>
    <w:rsid w:val="008F1A8B"/>
    <w:rsid w:val="008F2C61"/>
    <w:rsid w:val="008F68FC"/>
    <w:rsid w:val="00900649"/>
    <w:rsid w:val="00900CF2"/>
    <w:rsid w:val="009031F4"/>
    <w:rsid w:val="0090684D"/>
    <w:rsid w:val="0090723D"/>
    <w:rsid w:val="00911D03"/>
    <w:rsid w:val="00913A16"/>
    <w:rsid w:val="00913F38"/>
    <w:rsid w:val="00917A2C"/>
    <w:rsid w:val="009215BE"/>
    <w:rsid w:val="0092518A"/>
    <w:rsid w:val="00926568"/>
    <w:rsid w:val="00927335"/>
    <w:rsid w:val="009345BC"/>
    <w:rsid w:val="00936450"/>
    <w:rsid w:val="009371EF"/>
    <w:rsid w:val="00941B3C"/>
    <w:rsid w:val="00943A15"/>
    <w:rsid w:val="009456EE"/>
    <w:rsid w:val="00946946"/>
    <w:rsid w:val="009478A7"/>
    <w:rsid w:val="009506A4"/>
    <w:rsid w:val="00951C71"/>
    <w:rsid w:val="00952ED4"/>
    <w:rsid w:val="0095389A"/>
    <w:rsid w:val="009608AD"/>
    <w:rsid w:val="009617D2"/>
    <w:rsid w:val="00970A17"/>
    <w:rsid w:val="00971E83"/>
    <w:rsid w:val="00972D06"/>
    <w:rsid w:val="00973759"/>
    <w:rsid w:val="00973CEE"/>
    <w:rsid w:val="009767DF"/>
    <w:rsid w:val="009808C1"/>
    <w:rsid w:val="00983930"/>
    <w:rsid w:val="00983AE1"/>
    <w:rsid w:val="00983E53"/>
    <w:rsid w:val="009843FF"/>
    <w:rsid w:val="0098457D"/>
    <w:rsid w:val="009848D0"/>
    <w:rsid w:val="009916BA"/>
    <w:rsid w:val="00992C0A"/>
    <w:rsid w:val="00995BD1"/>
    <w:rsid w:val="009A3235"/>
    <w:rsid w:val="009A6139"/>
    <w:rsid w:val="009B1A90"/>
    <w:rsid w:val="009B4CAA"/>
    <w:rsid w:val="009B5685"/>
    <w:rsid w:val="009B7A81"/>
    <w:rsid w:val="009C2C62"/>
    <w:rsid w:val="009C3F3E"/>
    <w:rsid w:val="009C4A77"/>
    <w:rsid w:val="009C4BF5"/>
    <w:rsid w:val="009C6246"/>
    <w:rsid w:val="009C650E"/>
    <w:rsid w:val="009C66C5"/>
    <w:rsid w:val="009C6C96"/>
    <w:rsid w:val="009D73B4"/>
    <w:rsid w:val="009E27E7"/>
    <w:rsid w:val="009E3D98"/>
    <w:rsid w:val="009E41DD"/>
    <w:rsid w:val="009E48E5"/>
    <w:rsid w:val="009E6B56"/>
    <w:rsid w:val="009F4878"/>
    <w:rsid w:val="009F60C3"/>
    <w:rsid w:val="009F71F0"/>
    <w:rsid w:val="009F750B"/>
    <w:rsid w:val="009F7A12"/>
    <w:rsid w:val="00A01EEA"/>
    <w:rsid w:val="00A02419"/>
    <w:rsid w:val="00A03262"/>
    <w:rsid w:val="00A04699"/>
    <w:rsid w:val="00A13256"/>
    <w:rsid w:val="00A14383"/>
    <w:rsid w:val="00A14DC8"/>
    <w:rsid w:val="00A16ADF"/>
    <w:rsid w:val="00A17872"/>
    <w:rsid w:val="00A238E9"/>
    <w:rsid w:val="00A23A42"/>
    <w:rsid w:val="00A273E9"/>
    <w:rsid w:val="00A300D4"/>
    <w:rsid w:val="00A30ECE"/>
    <w:rsid w:val="00A321B9"/>
    <w:rsid w:val="00A32E4D"/>
    <w:rsid w:val="00A3721D"/>
    <w:rsid w:val="00A42961"/>
    <w:rsid w:val="00A445D1"/>
    <w:rsid w:val="00A522C4"/>
    <w:rsid w:val="00A53DCD"/>
    <w:rsid w:val="00A560A1"/>
    <w:rsid w:val="00A63BFB"/>
    <w:rsid w:val="00A7003B"/>
    <w:rsid w:val="00A77BB3"/>
    <w:rsid w:val="00A77FC0"/>
    <w:rsid w:val="00A8125E"/>
    <w:rsid w:val="00A8192D"/>
    <w:rsid w:val="00A82B17"/>
    <w:rsid w:val="00A82FBC"/>
    <w:rsid w:val="00A83961"/>
    <w:rsid w:val="00A84233"/>
    <w:rsid w:val="00A94ECC"/>
    <w:rsid w:val="00A95D67"/>
    <w:rsid w:val="00A97EE1"/>
    <w:rsid w:val="00AA31D8"/>
    <w:rsid w:val="00AA3E29"/>
    <w:rsid w:val="00AA659A"/>
    <w:rsid w:val="00AB0EB8"/>
    <w:rsid w:val="00AB165F"/>
    <w:rsid w:val="00AB25A1"/>
    <w:rsid w:val="00AB2E1C"/>
    <w:rsid w:val="00AC4104"/>
    <w:rsid w:val="00AC47CB"/>
    <w:rsid w:val="00AD576B"/>
    <w:rsid w:val="00AD5D15"/>
    <w:rsid w:val="00AD6B3A"/>
    <w:rsid w:val="00AE0DA2"/>
    <w:rsid w:val="00AF1794"/>
    <w:rsid w:val="00B00612"/>
    <w:rsid w:val="00B00C8B"/>
    <w:rsid w:val="00B01977"/>
    <w:rsid w:val="00B03C38"/>
    <w:rsid w:val="00B03E9F"/>
    <w:rsid w:val="00B04B3B"/>
    <w:rsid w:val="00B06305"/>
    <w:rsid w:val="00B12CD5"/>
    <w:rsid w:val="00B1460F"/>
    <w:rsid w:val="00B15DCE"/>
    <w:rsid w:val="00B17166"/>
    <w:rsid w:val="00B219D5"/>
    <w:rsid w:val="00B21BB5"/>
    <w:rsid w:val="00B22136"/>
    <w:rsid w:val="00B225EC"/>
    <w:rsid w:val="00B24ECB"/>
    <w:rsid w:val="00B25B59"/>
    <w:rsid w:val="00B25E4D"/>
    <w:rsid w:val="00B31D4D"/>
    <w:rsid w:val="00B31E39"/>
    <w:rsid w:val="00B339AB"/>
    <w:rsid w:val="00B37685"/>
    <w:rsid w:val="00B43271"/>
    <w:rsid w:val="00B45B74"/>
    <w:rsid w:val="00B51B98"/>
    <w:rsid w:val="00B52E11"/>
    <w:rsid w:val="00B54930"/>
    <w:rsid w:val="00B54D1D"/>
    <w:rsid w:val="00B5714F"/>
    <w:rsid w:val="00B609C6"/>
    <w:rsid w:val="00B610B7"/>
    <w:rsid w:val="00B62778"/>
    <w:rsid w:val="00B64EF1"/>
    <w:rsid w:val="00B655A0"/>
    <w:rsid w:val="00B66853"/>
    <w:rsid w:val="00B72E9C"/>
    <w:rsid w:val="00B75D66"/>
    <w:rsid w:val="00B82DFF"/>
    <w:rsid w:val="00B82EBA"/>
    <w:rsid w:val="00B82F10"/>
    <w:rsid w:val="00B8356C"/>
    <w:rsid w:val="00B861A8"/>
    <w:rsid w:val="00B86BEA"/>
    <w:rsid w:val="00B910F9"/>
    <w:rsid w:val="00B93E9A"/>
    <w:rsid w:val="00B955A8"/>
    <w:rsid w:val="00B97A07"/>
    <w:rsid w:val="00BA1667"/>
    <w:rsid w:val="00BA26D9"/>
    <w:rsid w:val="00BA59C4"/>
    <w:rsid w:val="00BB2E98"/>
    <w:rsid w:val="00BB4A27"/>
    <w:rsid w:val="00BB5101"/>
    <w:rsid w:val="00BB6C0E"/>
    <w:rsid w:val="00BB6CDA"/>
    <w:rsid w:val="00BC2B3A"/>
    <w:rsid w:val="00BC332E"/>
    <w:rsid w:val="00BC45DA"/>
    <w:rsid w:val="00BC74D8"/>
    <w:rsid w:val="00BC780F"/>
    <w:rsid w:val="00BD2547"/>
    <w:rsid w:val="00BD6C78"/>
    <w:rsid w:val="00BE4156"/>
    <w:rsid w:val="00BF1386"/>
    <w:rsid w:val="00BF1AC3"/>
    <w:rsid w:val="00BF40A0"/>
    <w:rsid w:val="00BF797F"/>
    <w:rsid w:val="00C14EF9"/>
    <w:rsid w:val="00C15993"/>
    <w:rsid w:val="00C17646"/>
    <w:rsid w:val="00C17DEB"/>
    <w:rsid w:val="00C22C74"/>
    <w:rsid w:val="00C25C13"/>
    <w:rsid w:val="00C26FEB"/>
    <w:rsid w:val="00C27010"/>
    <w:rsid w:val="00C27EAE"/>
    <w:rsid w:val="00C3461F"/>
    <w:rsid w:val="00C40FFF"/>
    <w:rsid w:val="00C4184F"/>
    <w:rsid w:val="00C5376E"/>
    <w:rsid w:val="00C54B5B"/>
    <w:rsid w:val="00C54CFF"/>
    <w:rsid w:val="00C5592D"/>
    <w:rsid w:val="00C61F63"/>
    <w:rsid w:val="00C63A5F"/>
    <w:rsid w:val="00C647AB"/>
    <w:rsid w:val="00C66807"/>
    <w:rsid w:val="00C702F7"/>
    <w:rsid w:val="00C7298F"/>
    <w:rsid w:val="00C763FC"/>
    <w:rsid w:val="00C935F6"/>
    <w:rsid w:val="00C93AED"/>
    <w:rsid w:val="00C9439A"/>
    <w:rsid w:val="00C96089"/>
    <w:rsid w:val="00C96213"/>
    <w:rsid w:val="00CA386F"/>
    <w:rsid w:val="00CA4DB9"/>
    <w:rsid w:val="00CA6031"/>
    <w:rsid w:val="00CB0CE1"/>
    <w:rsid w:val="00CB4BEC"/>
    <w:rsid w:val="00CB5528"/>
    <w:rsid w:val="00CB6D14"/>
    <w:rsid w:val="00CC316A"/>
    <w:rsid w:val="00CC4D0F"/>
    <w:rsid w:val="00CD3B74"/>
    <w:rsid w:val="00CE41CB"/>
    <w:rsid w:val="00CE600F"/>
    <w:rsid w:val="00CE7CE1"/>
    <w:rsid w:val="00CF1A89"/>
    <w:rsid w:val="00CF2C6C"/>
    <w:rsid w:val="00CF4DE1"/>
    <w:rsid w:val="00CF5542"/>
    <w:rsid w:val="00CF593B"/>
    <w:rsid w:val="00CF6C46"/>
    <w:rsid w:val="00D034C7"/>
    <w:rsid w:val="00D03DA8"/>
    <w:rsid w:val="00D046C8"/>
    <w:rsid w:val="00D111EC"/>
    <w:rsid w:val="00D11396"/>
    <w:rsid w:val="00D128F0"/>
    <w:rsid w:val="00D14EA0"/>
    <w:rsid w:val="00D23A8E"/>
    <w:rsid w:val="00D23FED"/>
    <w:rsid w:val="00D3302A"/>
    <w:rsid w:val="00D34C08"/>
    <w:rsid w:val="00D43904"/>
    <w:rsid w:val="00D44D8D"/>
    <w:rsid w:val="00D50139"/>
    <w:rsid w:val="00D50650"/>
    <w:rsid w:val="00D506FA"/>
    <w:rsid w:val="00D63922"/>
    <w:rsid w:val="00D64185"/>
    <w:rsid w:val="00D641DA"/>
    <w:rsid w:val="00D702F1"/>
    <w:rsid w:val="00D7079E"/>
    <w:rsid w:val="00D71143"/>
    <w:rsid w:val="00D72F10"/>
    <w:rsid w:val="00D733BC"/>
    <w:rsid w:val="00D75A79"/>
    <w:rsid w:val="00D81108"/>
    <w:rsid w:val="00D82F6D"/>
    <w:rsid w:val="00D87023"/>
    <w:rsid w:val="00D91D94"/>
    <w:rsid w:val="00D95654"/>
    <w:rsid w:val="00DA02F0"/>
    <w:rsid w:val="00DA3DEA"/>
    <w:rsid w:val="00DA4F07"/>
    <w:rsid w:val="00DA7D5A"/>
    <w:rsid w:val="00DB7C5A"/>
    <w:rsid w:val="00DC479F"/>
    <w:rsid w:val="00DC7448"/>
    <w:rsid w:val="00DC76C6"/>
    <w:rsid w:val="00DD3025"/>
    <w:rsid w:val="00DD5C3E"/>
    <w:rsid w:val="00DD69D3"/>
    <w:rsid w:val="00DE10EF"/>
    <w:rsid w:val="00DE600E"/>
    <w:rsid w:val="00DE62FF"/>
    <w:rsid w:val="00DE7011"/>
    <w:rsid w:val="00DE72F0"/>
    <w:rsid w:val="00DF0256"/>
    <w:rsid w:val="00DF3334"/>
    <w:rsid w:val="00E015AB"/>
    <w:rsid w:val="00E0182D"/>
    <w:rsid w:val="00E072B1"/>
    <w:rsid w:val="00E1180B"/>
    <w:rsid w:val="00E121EB"/>
    <w:rsid w:val="00E16B49"/>
    <w:rsid w:val="00E213E3"/>
    <w:rsid w:val="00E2455E"/>
    <w:rsid w:val="00E320CD"/>
    <w:rsid w:val="00E32AB4"/>
    <w:rsid w:val="00E35EAF"/>
    <w:rsid w:val="00E365CB"/>
    <w:rsid w:val="00E42B9F"/>
    <w:rsid w:val="00E44C4F"/>
    <w:rsid w:val="00E45289"/>
    <w:rsid w:val="00E46CCF"/>
    <w:rsid w:val="00E51B2F"/>
    <w:rsid w:val="00E53C99"/>
    <w:rsid w:val="00E540B6"/>
    <w:rsid w:val="00E5598A"/>
    <w:rsid w:val="00E57F13"/>
    <w:rsid w:val="00E610CF"/>
    <w:rsid w:val="00E67B1A"/>
    <w:rsid w:val="00E731DC"/>
    <w:rsid w:val="00E73C01"/>
    <w:rsid w:val="00E757CC"/>
    <w:rsid w:val="00E75E9E"/>
    <w:rsid w:val="00E80A91"/>
    <w:rsid w:val="00E84CC6"/>
    <w:rsid w:val="00E85803"/>
    <w:rsid w:val="00E878BE"/>
    <w:rsid w:val="00E9034E"/>
    <w:rsid w:val="00E91B0E"/>
    <w:rsid w:val="00E91EEA"/>
    <w:rsid w:val="00E945E4"/>
    <w:rsid w:val="00E97483"/>
    <w:rsid w:val="00EB10EF"/>
    <w:rsid w:val="00EB1F78"/>
    <w:rsid w:val="00EB5160"/>
    <w:rsid w:val="00EB5C49"/>
    <w:rsid w:val="00EB6AB5"/>
    <w:rsid w:val="00EC0B6D"/>
    <w:rsid w:val="00EC0FCE"/>
    <w:rsid w:val="00EC4622"/>
    <w:rsid w:val="00EC6196"/>
    <w:rsid w:val="00EC7090"/>
    <w:rsid w:val="00EC7B79"/>
    <w:rsid w:val="00ED51A1"/>
    <w:rsid w:val="00EE3B03"/>
    <w:rsid w:val="00EE56AD"/>
    <w:rsid w:val="00EE74B4"/>
    <w:rsid w:val="00EF25E7"/>
    <w:rsid w:val="00EF45D5"/>
    <w:rsid w:val="00EF7CC0"/>
    <w:rsid w:val="00F007C2"/>
    <w:rsid w:val="00F020DB"/>
    <w:rsid w:val="00F03923"/>
    <w:rsid w:val="00F03F2C"/>
    <w:rsid w:val="00F04935"/>
    <w:rsid w:val="00F04C33"/>
    <w:rsid w:val="00F070B6"/>
    <w:rsid w:val="00F12A2E"/>
    <w:rsid w:val="00F23396"/>
    <w:rsid w:val="00F241B0"/>
    <w:rsid w:val="00F25576"/>
    <w:rsid w:val="00F2590C"/>
    <w:rsid w:val="00F30CE0"/>
    <w:rsid w:val="00F31C84"/>
    <w:rsid w:val="00F322BC"/>
    <w:rsid w:val="00F374E6"/>
    <w:rsid w:val="00F4005B"/>
    <w:rsid w:val="00F417DC"/>
    <w:rsid w:val="00F42CF1"/>
    <w:rsid w:val="00F448F4"/>
    <w:rsid w:val="00F46068"/>
    <w:rsid w:val="00F46D07"/>
    <w:rsid w:val="00F470BC"/>
    <w:rsid w:val="00F5188A"/>
    <w:rsid w:val="00F52A0F"/>
    <w:rsid w:val="00F5485C"/>
    <w:rsid w:val="00F635E5"/>
    <w:rsid w:val="00F66F25"/>
    <w:rsid w:val="00F70BB2"/>
    <w:rsid w:val="00F723C2"/>
    <w:rsid w:val="00F72B4B"/>
    <w:rsid w:val="00F846F6"/>
    <w:rsid w:val="00F84A6B"/>
    <w:rsid w:val="00F950B2"/>
    <w:rsid w:val="00F96741"/>
    <w:rsid w:val="00FA18B3"/>
    <w:rsid w:val="00FA2A1D"/>
    <w:rsid w:val="00FA53E8"/>
    <w:rsid w:val="00FB1822"/>
    <w:rsid w:val="00FB6B8B"/>
    <w:rsid w:val="00FC4C9C"/>
    <w:rsid w:val="00FC5F8D"/>
    <w:rsid w:val="00FC6237"/>
    <w:rsid w:val="00FC6256"/>
    <w:rsid w:val="00FC68C9"/>
    <w:rsid w:val="00FD17EC"/>
    <w:rsid w:val="00FD76D2"/>
    <w:rsid w:val="00FE6581"/>
    <w:rsid w:val="00FF1175"/>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6B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tDashColonCharChar">
    <w:name w:val="DotDashColon Char Char"/>
    <w:link w:val="DotDashColon"/>
    <w:locked/>
    <w:rsid w:val="002006B1"/>
    <w:rPr>
      <w:rFonts w:ascii="SimSun" w:eastAsia="SimSun" w:hAnsi="SimSun"/>
      <w:sz w:val="24"/>
      <w:szCs w:val="24"/>
      <w:lang w:eastAsia="zh-CN"/>
    </w:rPr>
  </w:style>
  <w:style w:type="paragraph" w:customStyle="1" w:styleId="DotDashColon">
    <w:name w:val="DotDashColon"/>
    <w:basedOn w:val="BodyText"/>
    <w:link w:val="DotDashColonCharChar"/>
    <w:rsid w:val="002006B1"/>
    <w:pPr>
      <w:widowControl w:val="0"/>
      <w:numPr>
        <w:numId w:val="1"/>
      </w:numPr>
      <w:spacing w:after="0"/>
    </w:pPr>
    <w:rPr>
      <w:rFonts w:ascii="SimSun" w:eastAsia="SimSun" w:hAnsi="SimSun"/>
      <w:lang w:eastAsia="zh-CN"/>
    </w:rPr>
  </w:style>
  <w:style w:type="paragraph" w:styleId="BodyText">
    <w:name w:val="Body Text"/>
    <w:basedOn w:val="Normal"/>
    <w:link w:val="BodyTextChar"/>
    <w:rsid w:val="002006B1"/>
    <w:pPr>
      <w:spacing w:after="120"/>
    </w:pPr>
    <w:rPr>
      <w:lang w:val="x-none"/>
    </w:rPr>
  </w:style>
  <w:style w:type="character" w:customStyle="1" w:styleId="BodyTextChar">
    <w:name w:val="Body Text Char"/>
    <w:link w:val="BodyText"/>
    <w:rsid w:val="002006B1"/>
    <w:rPr>
      <w:sz w:val="24"/>
      <w:szCs w:val="24"/>
      <w:lang w:eastAsia="en-US"/>
    </w:rPr>
  </w:style>
  <w:style w:type="paragraph" w:customStyle="1" w:styleId="TableTextEntries">
    <w:name w:val="Table Text Entries"/>
    <w:basedOn w:val="Normal"/>
    <w:rsid w:val="002006B1"/>
    <w:pPr>
      <w:spacing w:before="40" w:after="40" w:line="200" w:lineRule="atLeast"/>
    </w:pPr>
    <w:rPr>
      <w:rFonts w:ascii="Franklin Gothic Book" w:eastAsia="Calibri" w:hAnsi="Franklin Gothic Book"/>
      <w:sz w:val="20"/>
      <w:szCs w:val="20"/>
    </w:rPr>
  </w:style>
  <w:style w:type="paragraph" w:customStyle="1" w:styleId="TableHeading1">
    <w:name w:val="Table Heading 1"/>
    <w:basedOn w:val="Normal"/>
    <w:next w:val="TableTextEntries"/>
    <w:rsid w:val="002006B1"/>
    <w:pPr>
      <w:spacing w:before="80" w:after="80" w:line="200" w:lineRule="atLeast"/>
    </w:pPr>
    <w:rPr>
      <w:rFonts w:ascii="Franklin Gothic Book" w:eastAsia="Calibri" w:hAnsi="Franklin Gothic Book"/>
      <w:b/>
      <w:sz w:val="20"/>
      <w:szCs w:val="20"/>
    </w:rPr>
  </w:style>
  <w:style w:type="table" w:customStyle="1" w:styleId="DFATTable">
    <w:name w:val="DFAT Table"/>
    <w:basedOn w:val="TableNormal"/>
    <w:uiPriority w:val="99"/>
    <w:rsid w:val="002006B1"/>
    <w:rPr>
      <w:rFonts w:ascii="Helvetica" w:eastAsia="Calibri" w:hAnsi="Helvetica"/>
      <w:sz w:val="17"/>
      <w:szCs w:val="22"/>
    </w:rPr>
    <w:tblPr>
      <w:tblBorders>
        <w:top w:val="single" w:sz="12" w:space="0" w:color="auto"/>
        <w:bottom w:val="single" w:sz="12" w:space="0" w:color="auto"/>
      </w:tblBorders>
    </w:tblPr>
  </w:style>
  <w:style w:type="paragraph" w:styleId="Header">
    <w:name w:val="header"/>
    <w:basedOn w:val="Normal"/>
    <w:link w:val="HeaderChar"/>
    <w:rsid w:val="000E6E33"/>
    <w:pPr>
      <w:tabs>
        <w:tab w:val="center" w:pos="4513"/>
        <w:tab w:val="right" w:pos="9026"/>
      </w:tabs>
    </w:pPr>
    <w:rPr>
      <w:lang w:val="x-none"/>
    </w:rPr>
  </w:style>
  <w:style w:type="character" w:customStyle="1" w:styleId="HeaderChar">
    <w:name w:val="Header Char"/>
    <w:link w:val="Header"/>
    <w:rsid w:val="000E6E33"/>
    <w:rPr>
      <w:sz w:val="24"/>
      <w:szCs w:val="24"/>
      <w:lang w:eastAsia="en-US"/>
    </w:rPr>
  </w:style>
  <w:style w:type="paragraph" w:styleId="Footer">
    <w:name w:val="footer"/>
    <w:basedOn w:val="Normal"/>
    <w:link w:val="FooterChar"/>
    <w:uiPriority w:val="99"/>
    <w:rsid w:val="000E6E33"/>
    <w:pPr>
      <w:tabs>
        <w:tab w:val="center" w:pos="4513"/>
        <w:tab w:val="right" w:pos="9026"/>
      </w:tabs>
    </w:pPr>
    <w:rPr>
      <w:lang w:val="x-none"/>
    </w:rPr>
  </w:style>
  <w:style w:type="character" w:customStyle="1" w:styleId="FooterChar">
    <w:name w:val="Footer Char"/>
    <w:link w:val="Footer"/>
    <w:uiPriority w:val="99"/>
    <w:rsid w:val="000E6E33"/>
    <w:rPr>
      <w:sz w:val="24"/>
      <w:szCs w:val="24"/>
      <w:lang w:eastAsia="en-US"/>
    </w:rPr>
  </w:style>
  <w:style w:type="paragraph" w:styleId="BalloonText">
    <w:name w:val="Balloon Text"/>
    <w:basedOn w:val="Normal"/>
    <w:link w:val="BalloonTextChar"/>
    <w:rsid w:val="007619CD"/>
    <w:rPr>
      <w:rFonts w:ascii="Tahoma" w:hAnsi="Tahoma"/>
      <w:sz w:val="16"/>
      <w:szCs w:val="16"/>
      <w:lang w:val="x-none"/>
    </w:rPr>
  </w:style>
  <w:style w:type="character" w:customStyle="1" w:styleId="BalloonTextChar">
    <w:name w:val="Balloon Text Char"/>
    <w:link w:val="BalloonText"/>
    <w:rsid w:val="007619CD"/>
    <w:rPr>
      <w:rFonts w:ascii="Tahoma" w:hAnsi="Tahoma" w:cs="Tahoma"/>
      <w:sz w:val="16"/>
      <w:szCs w:val="16"/>
      <w:lang w:eastAsia="en-US"/>
    </w:rPr>
  </w:style>
  <w:style w:type="paragraph" w:styleId="ListParagraph">
    <w:name w:val="List Paragraph"/>
    <w:basedOn w:val="Normal"/>
    <w:uiPriority w:val="34"/>
    <w:qFormat/>
    <w:rsid w:val="00173257"/>
    <w:pPr>
      <w:ind w:left="720"/>
      <w:contextualSpacing/>
    </w:pPr>
  </w:style>
  <w:style w:type="character" w:styleId="Hyperlink">
    <w:name w:val="Hyperlink"/>
    <w:rsid w:val="00D43904"/>
    <w:rPr>
      <w:color w:val="0000FF"/>
      <w:u w:val="single"/>
    </w:rPr>
  </w:style>
  <w:style w:type="character" w:styleId="CommentReference">
    <w:name w:val="annotation reference"/>
    <w:rsid w:val="0083756A"/>
    <w:rPr>
      <w:sz w:val="16"/>
      <w:szCs w:val="16"/>
    </w:rPr>
  </w:style>
  <w:style w:type="paragraph" w:styleId="CommentText">
    <w:name w:val="annotation text"/>
    <w:basedOn w:val="Normal"/>
    <w:link w:val="CommentTextChar"/>
    <w:rsid w:val="0083756A"/>
    <w:rPr>
      <w:sz w:val="20"/>
      <w:szCs w:val="20"/>
      <w:lang w:val="x-none"/>
    </w:rPr>
  </w:style>
  <w:style w:type="character" w:customStyle="1" w:styleId="CommentTextChar">
    <w:name w:val="Comment Text Char"/>
    <w:link w:val="CommentText"/>
    <w:rsid w:val="0083756A"/>
    <w:rPr>
      <w:lang w:eastAsia="en-US"/>
    </w:rPr>
  </w:style>
  <w:style w:type="paragraph" w:styleId="CommentSubject">
    <w:name w:val="annotation subject"/>
    <w:basedOn w:val="CommentText"/>
    <w:next w:val="CommentText"/>
    <w:link w:val="CommentSubjectChar"/>
    <w:rsid w:val="0083756A"/>
    <w:rPr>
      <w:b/>
      <w:bCs/>
    </w:rPr>
  </w:style>
  <w:style w:type="character" w:customStyle="1" w:styleId="CommentSubjectChar">
    <w:name w:val="Comment Subject Char"/>
    <w:link w:val="CommentSubject"/>
    <w:rsid w:val="0083756A"/>
    <w:rPr>
      <w:b/>
      <w:bCs/>
      <w:lang w:eastAsia="en-US"/>
    </w:rPr>
  </w:style>
  <w:style w:type="table" w:styleId="TableGrid">
    <w:name w:val="Table Grid"/>
    <w:basedOn w:val="TableNormal"/>
    <w:rsid w:val="00075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7C2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C66C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4630">
      <w:bodyDiv w:val="1"/>
      <w:marLeft w:val="0"/>
      <w:marRight w:val="0"/>
      <w:marTop w:val="0"/>
      <w:marBottom w:val="0"/>
      <w:divBdr>
        <w:top w:val="none" w:sz="0" w:space="0" w:color="auto"/>
        <w:left w:val="none" w:sz="0" w:space="0" w:color="auto"/>
        <w:bottom w:val="none" w:sz="0" w:space="0" w:color="auto"/>
        <w:right w:val="none" w:sz="0" w:space="0" w:color="auto"/>
      </w:divBdr>
      <w:divsChild>
        <w:div w:id="333458191">
          <w:marLeft w:val="0"/>
          <w:marRight w:val="0"/>
          <w:marTop w:val="0"/>
          <w:marBottom w:val="0"/>
          <w:divBdr>
            <w:top w:val="none" w:sz="0" w:space="0" w:color="auto"/>
            <w:left w:val="none" w:sz="0" w:space="0" w:color="auto"/>
            <w:bottom w:val="none" w:sz="0" w:space="0" w:color="auto"/>
            <w:right w:val="none" w:sz="0" w:space="0" w:color="auto"/>
          </w:divBdr>
          <w:divsChild>
            <w:div w:id="1053308145">
              <w:marLeft w:val="0"/>
              <w:marRight w:val="0"/>
              <w:marTop w:val="0"/>
              <w:marBottom w:val="0"/>
              <w:divBdr>
                <w:top w:val="none" w:sz="0" w:space="0" w:color="auto"/>
                <w:left w:val="none" w:sz="0" w:space="0" w:color="auto"/>
                <w:bottom w:val="none" w:sz="0" w:space="0" w:color="auto"/>
                <w:right w:val="none" w:sz="0" w:space="0" w:color="auto"/>
              </w:divBdr>
            </w:div>
            <w:div w:id="17563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7353">
      <w:bodyDiv w:val="1"/>
      <w:marLeft w:val="0"/>
      <w:marRight w:val="0"/>
      <w:marTop w:val="0"/>
      <w:marBottom w:val="0"/>
      <w:divBdr>
        <w:top w:val="none" w:sz="0" w:space="0" w:color="auto"/>
        <w:left w:val="none" w:sz="0" w:space="0" w:color="auto"/>
        <w:bottom w:val="none" w:sz="0" w:space="0" w:color="auto"/>
        <w:right w:val="none" w:sz="0" w:space="0" w:color="auto"/>
      </w:divBdr>
    </w:div>
    <w:div w:id="334722216">
      <w:bodyDiv w:val="1"/>
      <w:marLeft w:val="0"/>
      <w:marRight w:val="0"/>
      <w:marTop w:val="0"/>
      <w:marBottom w:val="0"/>
      <w:divBdr>
        <w:top w:val="none" w:sz="0" w:space="0" w:color="auto"/>
        <w:left w:val="none" w:sz="0" w:space="0" w:color="auto"/>
        <w:bottom w:val="none" w:sz="0" w:space="0" w:color="auto"/>
        <w:right w:val="none" w:sz="0" w:space="0" w:color="auto"/>
      </w:divBdr>
    </w:div>
    <w:div w:id="370807779">
      <w:bodyDiv w:val="1"/>
      <w:marLeft w:val="0"/>
      <w:marRight w:val="0"/>
      <w:marTop w:val="0"/>
      <w:marBottom w:val="0"/>
      <w:divBdr>
        <w:top w:val="none" w:sz="0" w:space="0" w:color="auto"/>
        <w:left w:val="none" w:sz="0" w:space="0" w:color="auto"/>
        <w:bottom w:val="none" w:sz="0" w:space="0" w:color="auto"/>
        <w:right w:val="none" w:sz="0" w:space="0" w:color="auto"/>
      </w:divBdr>
    </w:div>
    <w:div w:id="515048058">
      <w:bodyDiv w:val="1"/>
      <w:marLeft w:val="0"/>
      <w:marRight w:val="0"/>
      <w:marTop w:val="0"/>
      <w:marBottom w:val="0"/>
      <w:divBdr>
        <w:top w:val="none" w:sz="0" w:space="0" w:color="auto"/>
        <w:left w:val="none" w:sz="0" w:space="0" w:color="auto"/>
        <w:bottom w:val="none" w:sz="0" w:space="0" w:color="auto"/>
        <w:right w:val="none" w:sz="0" w:space="0" w:color="auto"/>
      </w:divBdr>
    </w:div>
    <w:div w:id="810829978">
      <w:bodyDiv w:val="1"/>
      <w:marLeft w:val="0"/>
      <w:marRight w:val="0"/>
      <w:marTop w:val="0"/>
      <w:marBottom w:val="0"/>
      <w:divBdr>
        <w:top w:val="none" w:sz="0" w:space="0" w:color="auto"/>
        <w:left w:val="none" w:sz="0" w:space="0" w:color="auto"/>
        <w:bottom w:val="none" w:sz="0" w:space="0" w:color="auto"/>
        <w:right w:val="none" w:sz="0" w:space="0" w:color="auto"/>
      </w:divBdr>
    </w:div>
    <w:div w:id="1022245600">
      <w:bodyDiv w:val="1"/>
      <w:marLeft w:val="0"/>
      <w:marRight w:val="0"/>
      <w:marTop w:val="0"/>
      <w:marBottom w:val="0"/>
      <w:divBdr>
        <w:top w:val="none" w:sz="0" w:space="0" w:color="auto"/>
        <w:left w:val="none" w:sz="0" w:space="0" w:color="auto"/>
        <w:bottom w:val="none" w:sz="0" w:space="0" w:color="auto"/>
        <w:right w:val="none" w:sz="0" w:space="0" w:color="auto"/>
      </w:divBdr>
    </w:div>
    <w:div w:id="1204752712">
      <w:bodyDiv w:val="1"/>
      <w:marLeft w:val="0"/>
      <w:marRight w:val="0"/>
      <w:marTop w:val="0"/>
      <w:marBottom w:val="0"/>
      <w:divBdr>
        <w:top w:val="none" w:sz="0" w:space="0" w:color="auto"/>
        <w:left w:val="none" w:sz="0" w:space="0" w:color="auto"/>
        <w:bottom w:val="none" w:sz="0" w:space="0" w:color="auto"/>
        <w:right w:val="none" w:sz="0" w:space="0" w:color="auto"/>
      </w:divBdr>
    </w:div>
    <w:div w:id="1360742888">
      <w:bodyDiv w:val="1"/>
      <w:marLeft w:val="0"/>
      <w:marRight w:val="0"/>
      <w:marTop w:val="0"/>
      <w:marBottom w:val="0"/>
      <w:divBdr>
        <w:top w:val="none" w:sz="0" w:space="0" w:color="auto"/>
        <w:left w:val="none" w:sz="0" w:space="0" w:color="auto"/>
        <w:bottom w:val="none" w:sz="0" w:space="0" w:color="auto"/>
        <w:right w:val="none" w:sz="0" w:space="0" w:color="auto"/>
      </w:divBdr>
    </w:div>
    <w:div w:id="1508715195">
      <w:bodyDiv w:val="1"/>
      <w:marLeft w:val="0"/>
      <w:marRight w:val="0"/>
      <w:marTop w:val="0"/>
      <w:marBottom w:val="0"/>
      <w:divBdr>
        <w:top w:val="none" w:sz="0" w:space="0" w:color="auto"/>
        <w:left w:val="none" w:sz="0" w:space="0" w:color="auto"/>
        <w:bottom w:val="none" w:sz="0" w:space="0" w:color="auto"/>
        <w:right w:val="none" w:sz="0" w:space="0" w:color="auto"/>
      </w:divBdr>
    </w:div>
    <w:div w:id="1584531589">
      <w:bodyDiv w:val="1"/>
      <w:marLeft w:val="0"/>
      <w:marRight w:val="0"/>
      <w:marTop w:val="0"/>
      <w:marBottom w:val="0"/>
      <w:divBdr>
        <w:top w:val="none" w:sz="0" w:space="0" w:color="auto"/>
        <w:left w:val="none" w:sz="0" w:space="0" w:color="auto"/>
        <w:bottom w:val="none" w:sz="0" w:space="0" w:color="auto"/>
        <w:right w:val="none" w:sz="0" w:space="0" w:color="auto"/>
      </w:divBdr>
    </w:div>
    <w:div w:id="1840271892">
      <w:bodyDiv w:val="1"/>
      <w:marLeft w:val="0"/>
      <w:marRight w:val="0"/>
      <w:marTop w:val="0"/>
      <w:marBottom w:val="0"/>
      <w:divBdr>
        <w:top w:val="none" w:sz="0" w:space="0" w:color="auto"/>
        <w:left w:val="none" w:sz="0" w:space="0" w:color="auto"/>
        <w:bottom w:val="none" w:sz="0" w:space="0" w:color="auto"/>
        <w:right w:val="none" w:sz="0" w:space="0" w:color="auto"/>
      </w:divBdr>
    </w:div>
    <w:div w:id="20671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F5F8B8-B440-48A1-A812-1DC72032F65D}"/>
</file>

<file path=customXml/itemProps2.xml><?xml version="1.0" encoding="utf-8"?>
<ds:datastoreItem xmlns:ds="http://schemas.openxmlformats.org/officeDocument/2006/customXml" ds:itemID="{947E314F-D4EC-4615-9180-5361A1CA158E}"/>
</file>

<file path=customXml/itemProps3.xml><?xml version="1.0" encoding="utf-8"?>
<ds:datastoreItem xmlns:ds="http://schemas.openxmlformats.org/officeDocument/2006/customXml" ds:itemID="{69BD2A2E-F38D-4336-8635-1816A9E67835}"/>
</file>

<file path=customXml/itemProps4.xml><?xml version="1.0" encoding="utf-8"?>
<ds:datastoreItem xmlns:ds="http://schemas.openxmlformats.org/officeDocument/2006/customXml" ds:itemID="{0913556B-DCCC-416F-A916-4CC130C3FC79}"/>
</file>

<file path=docProps/app.xml><?xml version="1.0" encoding="utf-8"?>
<Properties xmlns="http://schemas.openxmlformats.org/officeDocument/2006/extended-properties" xmlns:vt="http://schemas.openxmlformats.org/officeDocument/2006/docPropsVTypes">
  <Template>Normal.dotm</Template>
  <TotalTime>0</TotalTime>
  <Pages>13</Pages>
  <Words>3010</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2018-01-04T22:05:00Z</dcterms:created>
  <dcterms:modified xsi:type="dcterms:W3CDTF">2018-01-04T22:05:00Z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cd3da5a3-7089-409c-ab51-4a6dfb057266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1145900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