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56206" w14:textId="77777777" w:rsidR="00C42A2A" w:rsidRPr="00731DDC" w:rsidRDefault="00C42A2A" w:rsidP="00C42A2A">
      <w:pPr>
        <w:rPr>
          <w:lang w:val="en-GB"/>
        </w:rPr>
      </w:pPr>
      <w:bookmarkStart w:id="0" w:name="_GoBack"/>
      <w:bookmarkEnd w:id="0"/>
      <w:r w:rsidRPr="00731DDC">
        <w:rPr>
          <w:noProof/>
          <w:lang w:val="en-AU" w:eastAsia="en-AU"/>
        </w:rPr>
        <w:drawing>
          <wp:anchor distT="0" distB="0" distL="114300" distR="114300" simplePos="0" relativeHeight="251658241" behindDoc="1" locked="0" layoutInCell="1" allowOverlap="1" wp14:anchorId="51090B4B" wp14:editId="63032538">
            <wp:simplePos x="0" y="0"/>
            <wp:positionH relativeFrom="column">
              <wp:posOffset>-918048</wp:posOffset>
            </wp:positionH>
            <wp:positionV relativeFrom="paragraph">
              <wp:posOffset>-949960</wp:posOffset>
            </wp:positionV>
            <wp:extent cx="7614920" cy="4438015"/>
            <wp:effectExtent l="0" t="0" r="5080" b="0"/>
            <wp:wrapNone/>
            <wp:docPr id="2" name="Picture 9" descr="CoverPage_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overPage_EDIT2.jpg"/>
                    <pic:cNvPicPr>
                      <a:picLocks noChangeAspect="1"/>
                    </pic:cNvPicPr>
                  </pic:nvPicPr>
                  <pic:blipFill>
                    <a:blip r:embed="rId8"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a:xfrm>
                      <a:off x="0" y="0"/>
                      <a:ext cx="7614920" cy="4438015"/>
                    </a:xfrm>
                    <a:prstGeom prst="rect">
                      <a:avLst/>
                    </a:prstGeom>
                  </pic:spPr>
                </pic:pic>
              </a:graphicData>
            </a:graphic>
            <wp14:sizeRelH relativeFrom="page">
              <wp14:pctWidth>0</wp14:pctWidth>
            </wp14:sizeRelH>
            <wp14:sizeRelV relativeFrom="page">
              <wp14:pctHeight>0</wp14:pctHeight>
            </wp14:sizeRelV>
          </wp:anchor>
        </w:drawing>
      </w:r>
      <w:r w:rsidRPr="00731DDC">
        <w:rPr>
          <w:noProof/>
          <w:lang w:val="en-AU" w:eastAsia="en-AU"/>
        </w:rPr>
        <w:drawing>
          <wp:anchor distT="0" distB="0" distL="114300" distR="114300" simplePos="0" relativeHeight="251658240" behindDoc="0" locked="0" layoutInCell="1" allowOverlap="1" wp14:anchorId="0AB7C18B" wp14:editId="4688B010">
            <wp:simplePos x="0" y="0"/>
            <wp:positionH relativeFrom="column">
              <wp:posOffset>11430</wp:posOffset>
            </wp:positionH>
            <wp:positionV relativeFrom="paragraph">
              <wp:posOffset>405130</wp:posOffset>
            </wp:positionV>
            <wp:extent cx="2350135" cy="1426845"/>
            <wp:effectExtent l="0" t="0" r="12065" b="0"/>
            <wp:wrapNone/>
            <wp:docPr id="12" name="Picture 12" descr="../Box%20Sync/Admin/Branding/TRPC_Logo_Vector_colo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20Sync/Admin/Branding/TRPC_Logo_Vector_coloured.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5013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E6AA7" w14:textId="77777777" w:rsidR="00C42A2A" w:rsidRPr="00731DDC" w:rsidRDefault="00C42A2A" w:rsidP="00C42A2A">
      <w:pPr>
        <w:pStyle w:val="Title"/>
        <w:rPr>
          <w:lang w:val="en-GB"/>
        </w:rPr>
      </w:pPr>
    </w:p>
    <w:p w14:paraId="584E66C7" w14:textId="77777777" w:rsidR="00C42A2A" w:rsidRPr="00731DDC" w:rsidRDefault="00C42A2A" w:rsidP="00C42A2A">
      <w:pPr>
        <w:pStyle w:val="Title"/>
        <w:rPr>
          <w:lang w:val="en-GB"/>
        </w:rPr>
      </w:pPr>
    </w:p>
    <w:p w14:paraId="52C9BF87" w14:textId="77777777" w:rsidR="00C42A2A" w:rsidRPr="00731DDC" w:rsidRDefault="00C42A2A" w:rsidP="00C42A2A">
      <w:pPr>
        <w:pStyle w:val="Title"/>
        <w:rPr>
          <w:lang w:val="en-GB"/>
        </w:rPr>
      </w:pPr>
    </w:p>
    <w:p w14:paraId="20C572B7" w14:textId="77777777" w:rsidR="00C42A2A" w:rsidRPr="00731DDC" w:rsidRDefault="00C42A2A" w:rsidP="00C42A2A">
      <w:pPr>
        <w:pStyle w:val="Title"/>
        <w:rPr>
          <w:lang w:val="en-GB"/>
        </w:rPr>
      </w:pPr>
    </w:p>
    <w:p w14:paraId="51CE93B2" w14:textId="77777777" w:rsidR="00C42A2A" w:rsidRPr="00731DDC" w:rsidRDefault="00C42A2A" w:rsidP="00C42A2A">
      <w:pPr>
        <w:pStyle w:val="Title"/>
        <w:rPr>
          <w:lang w:val="en-GB"/>
        </w:rPr>
      </w:pPr>
    </w:p>
    <w:p w14:paraId="7D04FCDC" w14:textId="77777777" w:rsidR="00C42A2A" w:rsidRPr="00731DDC" w:rsidRDefault="00C42A2A" w:rsidP="00C42A2A">
      <w:pPr>
        <w:pStyle w:val="Title"/>
        <w:rPr>
          <w:lang w:val="en-GB"/>
        </w:rPr>
      </w:pPr>
    </w:p>
    <w:p w14:paraId="43658506" w14:textId="77777777" w:rsidR="00C42A2A" w:rsidRPr="00731DDC" w:rsidRDefault="00C42A2A" w:rsidP="00C42A2A">
      <w:pPr>
        <w:pStyle w:val="Title"/>
        <w:rPr>
          <w:lang w:val="en-GB"/>
        </w:rPr>
      </w:pPr>
    </w:p>
    <w:p w14:paraId="28AD0FD2" w14:textId="77777777" w:rsidR="00C42A2A" w:rsidRPr="00731DDC" w:rsidRDefault="00C42A2A" w:rsidP="00C42A2A">
      <w:pPr>
        <w:pStyle w:val="Title"/>
        <w:rPr>
          <w:sz w:val="52"/>
          <w:szCs w:val="52"/>
          <w:lang w:val="en-GB"/>
        </w:rPr>
      </w:pPr>
      <w:r w:rsidRPr="00731DDC">
        <w:rPr>
          <w:noProof/>
          <w:lang w:val="en-AU" w:eastAsia="en-AU"/>
        </w:rPr>
        <mc:AlternateContent>
          <mc:Choice Requires="wps">
            <w:drawing>
              <wp:anchor distT="0" distB="0" distL="114300" distR="114300" simplePos="0" relativeHeight="251658242" behindDoc="1" locked="0" layoutInCell="1" allowOverlap="1" wp14:anchorId="04D722FE" wp14:editId="4C662132">
                <wp:simplePos x="0" y="0"/>
                <wp:positionH relativeFrom="column">
                  <wp:posOffset>-955513</wp:posOffset>
                </wp:positionH>
                <wp:positionV relativeFrom="page">
                  <wp:posOffset>4389120</wp:posOffset>
                </wp:positionV>
                <wp:extent cx="7624445" cy="533400"/>
                <wp:effectExtent l="0" t="0" r="0" b="0"/>
                <wp:wrapNone/>
                <wp:docPr id="24" name="Shape 24"/>
                <wp:cNvGraphicFramePr/>
                <a:graphic xmlns:a="http://schemas.openxmlformats.org/drawingml/2006/main">
                  <a:graphicData uri="http://schemas.microsoft.com/office/word/2010/wordprocessingShape">
                    <wps:wsp>
                      <wps:cNvSpPr/>
                      <wps:spPr>
                        <a:xfrm>
                          <a:off x="0" y="0"/>
                          <a:ext cx="7624445" cy="533400"/>
                        </a:xfrm>
                        <a:prstGeom prst="rect">
                          <a:avLst/>
                        </a:prstGeom>
                        <a:solidFill>
                          <a:schemeClr val="lt2"/>
                        </a:solidFill>
                        <a:ln>
                          <a:noFill/>
                        </a:ln>
                      </wps:spPr>
                      <wps:bodyPr wrap="square" lIns="121900" tIns="121900" rIns="121900" bIns="12190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F19410" id="Shape 24" o:spid="_x0000_s1026" style="position:absolute;margin-left:-75.25pt;margin-top:345.6pt;width:600.3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n1vgEAAIADAAAOAAAAZHJzL2Uyb0RvYy54bWysU9uO0zAQfUfiHyy/06TZ7AJR0xXa1SIk&#10;BCstfIDr2I0l22PGbtP+PWOntBTeEC+Oj+d6zkxW9wdn2V5hNOB7vlzUnCkvYTB+2/Pv357evOMs&#10;JuEHYcGrnh9V5Pfr169WU+hUAyPYQSGjJD52U+j5mFLoqirKUTkRFxCUJ6MGdCIRxG01oJgou7NV&#10;U9d31QQ4BASpYqTXx9nI1yW/1kqmr1pHlZjtOfWWyonl3OSzWq9Et0URRiNPbYh/6MIJ46noOdWj&#10;SILt0PyVyhmJEEGnhQRXgdZGqsKB2CzrP9i8jCKowoXEieEsU/x/aeWX/TMyM/S8aTnzwtGMSllG&#10;mMSZQuzI5yU84wlFumamB40uf4kDOxRBj2dB1SExSY9v75q2bW85k2S7vblp66J4dYkOGNNHBY7l&#10;S8+RBlZ0FPvPMVFFcv3lkotFsGZ4MtYWkJdEPVhke0HjtanJHVPElZf12ddDjprN+aXKxGYq+baB&#10;4Ug6TLQIPY8/dgIVZ/aTJ6WXzfI9tc3SFcIrtLlCwssRaMdkQs5m8JDKzs2dfNgl0Kawu9Q+tURj&#10;LhROK5n36HdcvC4/zvonAAAA//8DAFBLAwQUAAYACAAAACEAtUPDYeUAAAASAQAADwAAAGRycy9k&#10;b3ducmV2LnhtbExPy2rDMBC8F/oPYgu9JZIFjhvHcigtPaSFhDqlZ9lSbBNpZSw5cf++yqm9LLvM&#10;7DyK7WwNuejR9w4FJEsGRGPjVI+tgK/j2+IJiA8SlTQOtYAf7WFb3t8VMlfuip/6UoWWRBH0uRTQ&#10;hTDklPqm01b6pRs0RuzkRitDPMeWqlFeo7g1lDO2olb2GB06OeiXTjfnarICdtPueKgG3Mvv2po1&#10;rz74/j0T4vFhft3E8bwBEvQc/j7g1iHmhzIGq92EyhMjYJGkLI1cAat1woHcKCxlcasFZFnKgZYF&#10;/V+l/AUAAP//AwBQSwECLQAUAAYACAAAACEAtoM4kv4AAADhAQAAEwAAAAAAAAAAAAAAAAAAAAAA&#10;W0NvbnRlbnRfVHlwZXNdLnhtbFBLAQItABQABgAIAAAAIQA4/SH/1gAAAJQBAAALAAAAAAAAAAAA&#10;AAAAAC8BAABfcmVscy8ucmVsc1BLAQItABQABgAIAAAAIQDHu2n1vgEAAIADAAAOAAAAAAAAAAAA&#10;AAAAAC4CAABkcnMvZTJvRG9jLnhtbFBLAQItABQABgAIAAAAIQC1Q8Nh5QAAABIBAAAPAAAAAAAA&#10;AAAAAAAAABgEAABkcnMvZG93bnJldi54bWxQSwUGAAAAAAQABADzAAAAKgUAAAAA&#10;" fillcolor="#e7e6e6 [3203]" stroked="f">
                <v:textbox inset="3.38611mm,3.38611mm,3.38611mm,3.38611mm"/>
                <w10:wrap anchory="page"/>
              </v:rect>
            </w:pict>
          </mc:Fallback>
        </mc:AlternateContent>
      </w:r>
    </w:p>
    <w:p w14:paraId="1244C090" w14:textId="77777777" w:rsidR="00C42A2A" w:rsidRPr="00731DDC" w:rsidRDefault="00C42A2A" w:rsidP="00C42A2A">
      <w:pPr>
        <w:pStyle w:val="Title"/>
        <w:rPr>
          <w:lang w:val="en-GB"/>
        </w:rPr>
      </w:pPr>
    </w:p>
    <w:p w14:paraId="729BFC8C" w14:textId="77777777" w:rsidR="00C42A2A" w:rsidRPr="00731DDC" w:rsidRDefault="00C42A2A" w:rsidP="00C42A2A">
      <w:pPr>
        <w:pStyle w:val="Title"/>
        <w:rPr>
          <w:b/>
          <w:bCs/>
          <w:lang w:val="en-GB"/>
        </w:rPr>
      </w:pPr>
      <w:r w:rsidRPr="00731DDC">
        <w:rPr>
          <w:b/>
          <w:bCs/>
          <w:lang w:val="en-GB"/>
        </w:rPr>
        <w:t>Australia-Singapore</w:t>
      </w:r>
    </w:p>
    <w:p w14:paraId="65347574" w14:textId="77777777" w:rsidR="00C42A2A" w:rsidRPr="00731DDC" w:rsidRDefault="00C42A2A" w:rsidP="00C42A2A">
      <w:pPr>
        <w:pStyle w:val="Title"/>
        <w:rPr>
          <w:b/>
          <w:bCs/>
          <w:lang w:val="en-GB"/>
        </w:rPr>
      </w:pPr>
      <w:r w:rsidRPr="00731DDC">
        <w:rPr>
          <w:b/>
          <w:bCs/>
          <w:lang w:val="en-GB"/>
        </w:rPr>
        <w:t>Digital Economy</w:t>
      </w:r>
    </w:p>
    <w:p w14:paraId="288AC0E1" w14:textId="77777777" w:rsidR="00C42A2A" w:rsidRPr="00731DDC" w:rsidRDefault="00C42A2A" w:rsidP="00C42A2A">
      <w:pPr>
        <w:pStyle w:val="Title"/>
        <w:rPr>
          <w:b/>
          <w:bCs/>
          <w:lang w:val="en-GB"/>
        </w:rPr>
      </w:pPr>
      <w:r w:rsidRPr="00731DDC">
        <w:rPr>
          <w:b/>
          <w:bCs/>
          <w:lang w:val="en-GB"/>
        </w:rPr>
        <w:t>Cooperation on Standards</w:t>
      </w:r>
      <w:r w:rsidRPr="00731DDC">
        <w:rPr>
          <w:b/>
          <w:bCs/>
          <w:lang w:val="en-GB"/>
        </w:rPr>
        <w:br/>
      </w:r>
    </w:p>
    <w:p w14:paraId="6E163421" w14:textId="77777777" w:rsidR="00C42A2A" w:rsidRPr="00731DDC" w:rsidRDefault="00C42A2A" w:rsidP="00C42A2A">
      <w:pPr>
        <w:pStyle w:val="Title"/>
        <w:rPr>
          <w:b/>
          <w:bCs/>
          <w:lang w:val="en-GB"/>
        </w:rPr>
      </w:pPr>
      <w:r w:rsidRPr="00731DDC">
        <w:rPr>
          <w:b/>
          <w:bCs/>
          <w:lang w:val="en-GB"/>
        </w:rPr>
        <w:t>Research Report</w:t>
      </w:r>
    </w:p>
    <w:p w14:paraId="64DABF43" w14:textId="77777777" w:rsidR="00C42A2A" w:rsidRPr="00731DDC" w:rsidRDefault="00C42A2A" w:rsidP="00C42A2A">
      <w:pPr>
        <w:rPr>
          <w:b/>
          <w:bCs/>
          <w:lang w:val="en-GB"/>
        </w:rPr>
      </w:pPr>
    </w:p>
    <w:p w14:paraId="36E84F1F" w14:textId="6DB7CE60" w:rsidR="00C42A2A" w:rsidRPr="00731DDC" w:rsidRDefault="00C42A2A" w:rsidP="00C42A2A">
      <w:pPr>
        <w:pStyle w:val="Subtitle"/>
        <w:rPr>
          <w:lang w:val="en-GB"/>
        </w:rPr>
      </w:pPr>
      <w:r w:rsidRPr="00731DDC">
        <w:rPr>
          <w:lang w:val="en-GB"/>
        </w:rPr>
        <w:t xml:space="preserve"> </w:t>
      </w:r>
      <w:r w:rsidR="006A57B5">
        <w:rPr>
          <w:lang w:val="en-GB"/>
        </w:rPr>
        <w:t xml:space="preserve">SEPTEMBER </w:t>
      </w:r>
      <w:r w:rsidRPr="00731DDC">
        <w:rPr>
          <w:lang w:val="en-GB"/>
        </w:rPr>
        <w:t>2020</w:t>
      </w:r>
    </w:p>
    <w:p w14:paraId="093033AE" w14:textId="77777777" w:rsidR="00C42A2A" w:rsidRPr="00731DDC" w:rsidRDefault="00C42A2A" w:rsidP="00C42A2A">
      <w:pPr>
        <w:rPr>
          <w:lang w:val="en-GB"/>
        </w:rPr>
      </w:pPr>
      <w:r w:rsidRPr="00731DDC">
        <w:rPr>
          <w:lang w:val="en-GB"/>
        </w:rPr>
        <w:br w:type="page"/>
      </w:r>
    </w:p>
    <w:sdt>
      <w:sdtPr>
        <w:rPr>
          <w:rFonts w:eastAsiaTheme="minorHAnsi" w:cstheme="minorBidi"/>
          <w:b w:val="0"/>
          <w:iCs/>
          <w:color w:val="auto"/>
          <w:sz w:val="22"/>
          <w:szCs w:val="22"/>
          <w:lang w:val="en-GB"/>
        </w:rPr>
        <w:id w:val="-263923761"/>
        <w:docPartObj>
          <w:docPartGallery w:val="Table of Contents"/>
          <w:docPartUnique/>
        </w:docPartObj>
      </w:sdtPr>
      <w:sdtEndPr>
        <w:rPr>
          <w:rFonts w:cstheme="minorHAnsi"/>
          <w:b/>
          <w:bCs w:val="0"/>
          <w:szCs w:val="24"/>
        </w:rPr>
      </w:sdtEndPr>
      <w:sdtContent>
        <w:p w14:paraId="193B3E67" w14:textId="77777777" w:rsidR="00C42A2A" w:rsidRPr="00731DDC" w:rsidRDefault="00C42A2A" w:rsidP="00C42A2A">
          <w:pPr>
            <w:pStyle w:val="TOCHeading"/>
            <w:rPr>
              <w:lang w:val="en-GB"/>
            </w:rPr>
          </w:pPr>
          <w:r w:rsidRPr="00731DDC">
            <w:rPr>
              <w:lang w:val="en-GB"/>
            </w:rPr>
            <w:t>Contents</w:t>
          </w:r>
        </w:p>
        <w:p w14:paraId="128CC416" w14:textId="0CA774BB" w:rsidR="00C97F61" w:rsidRDefault="00C42A2A">
          <w:pPr>
            <w:pStyle w:val="TOC1"/>
            <w:rPr>
              <w:rFonts w:eastAsiaTheme="minorEastAsia" w:cstheme="minorBidi"/>
              <w:b w:val="0"/>
              <w:bCs w:val="0"/>
              <w:iCs w:val="0"/>
              <w:noProof/>
              <w:sz w:val="24"/>
              <w:lang w:eastAsia="en-GB"/>
            </w:rPr>
          </w:pPr>
          <w:r w:rsidRPr="00731DDC">
            <w:rPr>
              <w:lang w:val="en-GB"/>
            </w:rPr>
            <w:fldChar w:fldCharType="begin"/>
          </w:r>
          <w:r w:rsidRPr="00731DDC">
            <w:rPr>
              <w:lang w:val="en-GB"/>
            </w:rPr>
            <w:instrText xml:space="preserve"> TOC \o "1-2" \h \z \u </w:instrText>
          </w:r>
          <w:r w:rsidRPr="00731DDC">
            <w:rPr>
              <w:lang w:val="en-GB"/>
            </w:rPr>
            <w:fldChar w:fldCharType="separate"/>
          </w:r>
          <w:hyperlink w:anchor="_Toc51167310" w:history="1">
            <w:r w:rsidR="00C97F61" w:rsidRPr="00F610F8">
              <w:rPr>
                <w:rStyle w:val="Hyperlink"/>
                <w:noProof/>
                <w:lang w:val="en-GB"/>
              </w:rPr>
              <w:t>Executive Summary</w:t>
            </w:r>
            <w:r w:rsidR="00C97F61">
              <w:rPr>
                <w:noProof/>
                <w:webHidden/>
              </w:rPr>
              <w:tab/>
            </w:r>
            <w:r w:rsidR="00C97F61">
              <w:rPr>
                <w:noProof/>
                <w:webHidden/>
              </w:rPr>
              <w:fldChar w:fldCharType="begin"/>
            </w:r>
            <w:r w:rsidR="00C97F61">
              <w:rPr>
                <w:noProof/>
                <w:webHidden/>
              </w:rPr>
              <w:instrText xml:space="preserve"> PAGEREF _Toc51167310 \h </w:instrText>
            </w:r>
            <w:r w:rsidR="00C97F61">
              <w:rPr>
                <w:noProof/>
                <w:webHidden/>
              </w:rPr>
            </w:r>
            <w:r w:rsidR="00C97F61">
              <w:rPr>
                <w:noProof/>
                <w:webHidden/>
              </w:rPr>
              <w:fldChar w:fldCharType="separate"/>
            </w:r>
            <w:r w:rsidR="00C97F61">
              <w:rPr>
                <w:noProof/>
                <w:webHidden/>
              </w:rPr>
              <w:t>3</w:t>
            </w:r>
            <w:r w:rsidR="00C97F61">
              <w:rPr>
                <w:noProof/>
                <w:webHidden/>
              </w:rPr>
              <w:fldChar w:fldCharType="end"/>
            </w:r>
          </w:hyperlink>
        </w:p>
        <w:p w14:paraId="3D4B3EEF" w14:textId="510D88C3" w:rsidR="00C97F61" w:rsidRDefault="00EE6B11">
          <w:pPr>
            <w:pStyle w:val="TOC1"/>
            <w:rPr>
              <w:rFonts w:eastAsiaTheme="minorEastAsia" w:cstheme="minorBidi"/>
              <w:b w:val="0"/>
              <w:bCs w:val="0"/>
              <w:iCs w:val="0"/>
              <w:noProof/>
              <w:sz w:val="24"/>
              <w:lang w:eastAsia="en-GB"/>
            </w:rPr>
          </w:pPr>
          <w:hyperlink w:anchor="_Toc51167311" w:history="1">
            <w:r w:rsidR="00C97F61" w:rsidRPr="00F610F8">
              <w:rPr>
                <w:rStyle w:val="Hyperlink"/>
                <w:noProof/>
                <w:lang w:val="en-GB"/>
              </w:rPr>
              <w:t>1.</w:t>
            </w:r>
            <w:r w:rsidR="00C97F61">
              <w:rPr>
                <w:rFonts w:eastAsiaTheme="minorEastAsia" w:cstheme="minorBidi"/>
                <w:b w:val="0"/>
                <w:bCs w:val="0"/>
                <w:iCs w:val="0"/>
                <w:noProof/>
                <w:sz w:val="24"/>
                <w:lang w:eastAsia="en-GB"/>
              </w:rPr>
              <w:tab/>
            </w:r>
            <w:r w:rsidR="00C97F61" w:rsidRPr="00F610F8">
              <w:rPr>
                <w:rStyle w:val="Hyperlink"/>
                <w:noProof/>
                <w:lang w:val="en-GB"/>
              </w:rPr>
              <w:t>Introduction</w:t>
            </w:r>
            <w:r w:rsidR="00C97F61">
              <w:rPr>
                <w:noProof/>
                <w:webHidden/>
              </w:rPr>
              <w:tab/>
            </w:r>
            <w:r w:rsidR="00C97F61">
              <w:rPr>
                <w:noProof/>
                <w:webHidden/>
              </w:rPr>
              <w:fldChar w:fldCharType="begin"/>
            </w:r>
            <w:r w:rsidR="00C97F61">
              <w:rPr>
                <w:noProof/>
                <w:webHidden/>
              </w:rPr>
              <w:instrText xml:space="preserve"> PAGEREF _Toc51167311 \h </w:instrText>
            </w:r>
            <w:r w:rsidR="00C97F61">
              <w:rPr>
                <w:noProof/>
                <w:webHidden/>
              </w:rPr>
            </w:r>
            <w:r w:rsidR="00C97F61">
              <w:rPr>
                <w:noProof/>
                <w:webHidden/>
              </w:rPr>
              <w:fldChar w:fldCharType="separate"/>
            </w:r>
            <w:r w:rsidR="00C97F61">
              <w:rPr>
                <w:noProof/>
                <w:webHidden/>
              </w:rPr>
              <w:t>8</w:t>
            </w:r>
            <w:r w:rsidR="00C97F61">
              <w:rPr>
                <w:noProof/>
                <w:webHidden/>
              </w:rPr>
              <w:fldChar w:fldCharType="end"/>
            </w:r>
          </w:hyperlink>
        </w:p>
        <w:p w14:paraId="0ABA207B" w14:textId="6DF0F663" w:rsidR="00C97F61" w:rsidRDefault="00EE6B11">
          <w:pPr>
            <w:pStyle w:val="TOC1"/>
            <w:rPr>
              <w:rFonts w:eastAsiaTheme="minorEastAsia" w:cstheme="minorBidi"/>
              <w:b w:val="0"/>
              <w:bCs w:val="0"/>
              <w:iCs w:val="0"/>
              <w:noProof/>
              <w:sz w:val="24"/>
              <w:lang w:eastAsia="en-GB"/>
            </w:rPr>
          </w:pPr>
          <w:hyperlink w:anchor="_Toc51167312" w:history="1">
            <w:r w:rsidR="00C97F61" w:rsidRPr="00F610F8">
              <w:rPr>
                <w:rStyle w:val="Hyperlink"/>
                <w:noProof/>
                <w:lang w:val="en-GB"/>
              </w:rPr>
              <w:t>2.</w:t>
            </w:r>
            <w:r w:rsidR="00C97F61">
              <w:rPr>
                <w:rFonts w:eastAsiaTheme="minorEastAsia" w:cstheme="minorBidi"/>
                <w:b w:val="0"/>
                <w:bCs w:val="0"/>
                <w:iCs w:val="0"/>
                <w:noProof/>
                <w:sz w:val="24"/>
                <w:lang w:eastAsia="en-GB"/>
              </w:rPr>
              <w:tab/>
            </w:r>
            <w:r w:rsidR="00C97F61" w:rsidRPr="00F610F8">
              <w:rPr>
                <w:rStyle w:val="Hyperlink"/>
                <w:noProof/>
                <w:lang w:val="en-GB"/>
              </w:rPr>
              <w:t>Background and Objectives</w:t>
            </w:r>
            <w:r w:rsidR="00C97F61">
              <w:rPr>
                <w:noProof/>
                <w:webHidden/>
              </w:rPr>
              <w:tab/>
            </w:r>
            <w:r w:rsidR="00C97F61">
              <w:rPr>
                <w:noProof/>
                <w:webHidden/>
              </w:rPr>
              <w:fldChar w:fldCharType="begin"/>
            </w:r>
            <w:r w:rsidR="00C97F61">
              <w:rPr>
                <w:noProof/>
                <w:webHidden/>
              </w:rPr>
              <w:instrText xml:space="preserve"> PAGEREF _Toc51167312 \h </w:instrText>
            </w:r>
            <w:r w:rsidR="00C97F61">
              <w:rPr>
                <w:noProof/>
                <w:webHidden/>
              </w:rPr>
            </w:r>
            <w:r w:rsidR="00C97F61">
              <w:rPr>
                <w:noProof/>
                <w:webHidden/>
              </w:rPr>
              <w:fldChar w:fldCharType="separate"/>
            </w:r>
            <w:r w:rsidR="00C97F61">
              <w:rPr>
                <w:noProof/>
                <w:webHidden/>
              </w:rPr>
              <w:t>10</w:t>
            </w:r>
            <w:r w:rsidR="00C97F61">
              <w:rPr>
                <w:noProof/>
                <w:webHidden/>
              </w:rPr>
              <w:fldChar w:fldCharType="end"/>
            </w:r>
          </w:hyperlink>
        </w:p>
        <w:p w14:paraId="217CD75E" w14:textId="6CB0F76D"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13" w:history="1">
            <w:r w:rsidR="00C97F61" w:rsidRPr="00F610F8">
              <w:rPr>
                <w:rStyle w:val="Hyperlink"/>
                <w:noProof/>
                <w:lang w:val="en-GB"/>
                <w14:scene3d>
                  <w14:camera w14:prst="orthographicFront"/>
                  <w14:lightRig w14:rig="threePt" w14:dir="t">
                    <w14:rot w14:lat="0" w14:lon="0" w14:rev="0"/>
                  </w14:lightRig>
                </w14:scene3d>
              </w:rPr>
              <w:t>2.1</w:t>
            </w:r>
            <w:r w:rsidR="00C97F61">
              <w:rPr>
                <w:rFonts w:eastAsiaTheme="minorEastAsia" w:cstheme="minorBidi"/>
                <w:bCs w:val="0"/>
                <w:noProof/>
                <w:sz w:val="24"/>
                <w:szCs w:val="24"/>
                <w:lang w:eastAsia="en-GB"/>
              </w:rPr>
              <w:tab/>
            </w:r>
            <w:r w:rsidR="00C97F61" w:rsidRPr="00F610F8">
              <w:rPr>
                <w:rStyle w:val="Hyperlink"/>
                <w:noProof/>
                <w:lang w:val="en-GB"/>
              </w:rPr>
              <w:t>Trade Relationship between Australia-Singapore</w:t>
            </w:r>
            <w:r w:rsidR="00C97F61">
              <w:rPr>
                <w:noProof/>
                <w:webHidden/>
              </w:rPr>
              <w:tab/>
            </w:r>
            <w:r w:rsidR="00C97F61">
              <w:rPr>
                <w:noProof/>
                <w:webHidden/>
              </w:rPr>
              <w:fldChar w:fldCharType="begin"/>
            </w:r>
            <w:r w:rsidR="00C97F61">
              <w:rPr>
                <w:noProof/>
                <w:webHidden/>
              </w:rPr>
              <w:instrText xml:space="preserve"> PAGEREF _Toc51167313 \h </w:instrText>
            </w:r>
            <w:r w:rsidR="00C97F61">
              <w:rPr>
                <w:noProof/>
                <w:webHidden/>
              </w:rPr>
            </w:r>
            <w:r w:rsidR="00C97F61">
              <w:rPr>
                <w:noProof/>
                <w:webHidden/>
              </w:rPr>
              <w:fldChar w:fldCharType="separate"/>
            </w:r>
            <w:r w:rsidR="00C97F61">
              <w:rPr>
                <w:noProof/>
                <w:webHidden/>
              </w:rPr>
              <w:t>10</w:t>
            </w:r>
            <w:r w:rsidR="00C97F61">
              <w:rPr>
                <w:noProof/>
                <w:webHidden/>
              </w:rPr>
              <w:fldChar w:fldCharType="end"/>
            </w:r>
          </w:hyperlink>
        </w:p>
        <w:p w14:paraId="4D5EEBF7" w14:textId="212967A7" w:rsidR="00C97F61" w:rsidRDefault="00EE6B11">
          <w:pPr>
            <w:pStyle w:val="TOC1"/>
            <w:rPr>
              <w:rFonts w:eastAsiaTheme="minorEastAsia" w:cstheme="minorBidi"/>
              <w:b w:val="0"/>
              <w:bCs w:val="0"/>
              <w:iCs w:val="0"/>
              <w:noProof/>
              <w:sz w:val="24"/>
              <w:lang w:eastAsia="en-GB"/>
            </w:rPr>
          </w:pPr>
          <w:hyperlink w:anchor="_Toc51167314" w:history="1">
            <w:r w:rsidR="00C97F61" w:rsidRPr="00F610F8">
              <w:rPr>
                <w:rStyle w:val="Hyperlink"/>
                <w:noProof/>
                <w:lang w:val="en-GB"/>
              </w:rPr>
              <w:t>3.</w:t>
            </w:r>
            <w:r w:rsidR="00C97F61">
              <w:rPr>
                <w:rFonts w:eastAsiaTheme="minorEastAsia" w:cstheme="minorBidi"/>
                <w:b w:val="0"/>
                <w:bCs w:val="0"/>
                <w:iCs w:val="0"/>
                <w:noProof/>
                <w:sz w:val="24"/>
                <w:lang w:eastAsia="en-GB"/>
              </w:rPr>
              <w:tab/>
            </w:r>
            <w:r w:rsidR="00C97F61" w:rsidRPr="00F610F8">
              <w:rPr>
                <w:rStyle w:val="Hyperlink"/>
                <w:noProof/>
                <w:lang w:val="en-GB"/>
              </w:rPr>
              <w:t>Digital Trade Growth</w:t>
            </w:r>
            <w:r w:rsidR="00C97F61">
              <w:rPr>
                <w:noProof/>
                <w:webHidden/>
              </w:rPr>
              <w:tab/>
            </w:r>
            <w:r w:rsidR="00C97F61">
              <w:rPr>
                <w:noProof/>
                <w:webHidden/>
              </w:rPr>
              <w:fldChar w:fldCharType="begin"/>
            </w:r>
            <w:r w:rsidR="00C97F61">
              <w:rPr>
                <w:noProof/>
                <w:webHidden/>
              </w:rPr>
              <w:instrText xml:space="preserve"> PAGEREF _Toc51167314 \h </w:instrText>
            </w:r>
            <w:r w:rsidR="00C97F61">
              <w:rPr>
                <w:noProof/>
                <w:webHidden/>
              </w:rPr>
            </w:r>
            <w:r w:rsidR="00C97F61">
              <w:rPr>
                <w:noProof/>
                <w:webHidden/>
              </w:rPr>
              <w:fldChar w:fldCharType="separate"/>
            </w:r>
            <w:r w:rsidR="00C97F61">
              <w:rPr>
                <w:noProof/>
                <w:webHidden/>
              </w:rPr>
              <w:t>12</w:t>
            </w:r>
            <w:r w:rsidR="00C97F61">
              <w:rPr>
                <w:noProof/>
                <w:webHidden/>
              </w:rPr>
              <w:fldChar w:fldCharType="end"/>
            </w:r>
          </w:hyperlink>
        </w:p>
        <w:p w14:paraId="4D8F531F" w14:textId="36296CCD"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15" w:history="1">
            <w:r w:rsidR="00C97F61" w:rsidRPr="00F610F8">
              <w:rPr>
                <w:rStyle w:val="Hyperlink"/>
                <w:noProof/>
                <w:lang w:val="en-GB"/>
                <w14:scene3d>
                  <w14:camera w14:prst="orthographicFront"/>
                  <w14:lightRig w14:rig="threePt" w14:dir="t">
                    <w14:rot w14:lat="0" w14:lon="0" w14:rev="0"/>
                  </w14:lightRig>
                </w14:scene3d>
              </w:rPr>
              <w:t>3.1</w:t>
            </w:r>
            <w:r w:rsidR="00C97F61">
              <w:rPr>
                <w:rFonts w:eastAsiaTheme="minorEastAsia" w:cstheme="minorBidi"/>
                <w:bCs w:val="0"/>
                <w:noProof/>
                <w:sz w:val="24"/>
                <w:szCs w:val="24"/>
                <w:lang w:eastAsia="en-GB"/>
              </w:rPr>
              <w:tab/>
            </w:r>
            <w:r w:rsidR="00C97F61" w:rsidRPr="00F610F8">
              <w:rPr>
                <w:rStyle w:val="Hyperlink"/>
                <w:noProof/>
                <w:lang w:val="en-GB"/>
              </w:rPr>
              <w:t>Defining Digital Trade</w:t>
            </w:r>
            <w:r w:rsidR="00C97F61">
              <w:rPr>
                <w:noProof/>
                <w:webHidden/>
              </w:rPr>
              <w:tab/>
            </w:r>
            <w:r w:rsidR="00C97F61">
              <w:rPr>
                <w:noProof/>
                <w:webHidden/>
              </w:rPr>
              <w:fldChar w:fldCharType="begin"/>
            </w:r>
            <w:r w:rsidR="00C97F61">
              <w:rPr>
                <w:noProof/>
                <w:webHidden/>
              </w:rPr>
              <w:instrText xml:space="preserve"> PAGEREF _Toc51167315 \h </w:instrText>
            </w:r>
            <w:r w:rsidR="00C97F61">
              <w:rPr>
                <w:noProof/>
                <w:webHidden/>
              </w:rPr>
            </w:r>
            <w:r w:rsidR="00C97F61">
              <w:rPr>
                <w:noProof/>
                <w:webHidden/>
              </w:rPr>
              <w:fldChar w:fldCharType="separate"/>
            </w:r>
            <w:r w:rsidR="00C97F61">
              <w:rPr>
                <w:noProof/>
                <w:webHidden/>
              </w:rPr>
              <w:t>13</w:t>
            </w:r>
            <w:r w:rsidR="00C97F61">
              <w:rPr>
                <w:noProof/>
                <w:webHidden/>
              </w:rPr>
              <w:fldChar w:fldCharType="end"/>
            </w:r>
          </w:hyperlink>
        </w:p>
        <w:p w14:paraId="0E74B7CA" w14:textId="189DD8CA" w:rsidR="00C97F61" w:rsidRDefault="00EE6B11">
          <w:pPr>
            <w:pStyle w:val="TOC1"/>
            <w:rPr>
              <w:rFonts w:eastAsiaTheme="minorEastAsia" w:cstheme="minorBidi"/>
              <w:b w:val="0"/>
              <w:bCs w:val="0"/>
              <w:iCs w:val="0"/>
              <w:noProof/>
              <w:sz w:val="24"/>
              <w:lang w:eastAsia="en-GB"/>
            </w:rPr>
          </w:pPr>
          <w:hyperlink w:anchor="_Toc51167316" w:history="1">
            <w:r w:rsidR="00C97F61" w:rsidRPr="00F610F8">
              <w:rPr>
                <w:rStyle w:val="Hyperlink"/>
                <w:noProof/>
                <w:lang w:val="en-GB"/>
              </w:rPr>
              <w:t>4.</w:t>
            </w:r>
            <w:r w:rsidR="00C97F61">
              <w:rPr>
                <w:rFonts w:eastAsiaTheme="minorEastAsia" w:cstheme="minorBidi"/>
                <w:b w:val="0"/>
                <w:bCs w:val="0"/>
                <w:iCs w:val="0"/>
                <w:noProof/>
                <w:sz w:val="24"/>
                <w:lang w:eastAsia="en-GB"/>
              </w:rPr>
              <w:tab/>
            </w:r>
            <w:r w:rsidR="00C97F61" w:rsidRPr="00F610F8">
              <w:rPr>
                <w:rStyle w:val="Hyperlink"/>
                <w:noProof/>
                <w:lang w:val="en-GB"/>
              </w:rPr>
              <w:t>Benefits of Digital Trade</w:t>
            </w:r>
            <w:r w:rsidR="00C97F61">
              <w:rPr>
                <w:noProof/>
                <w:webHidden/>
              </w:rPr>
              <w:tab/>
            </w:r>
            <w:r w:rsidR="00C97F61">
              <w:rPr>
                <w:noProof/>
                <w:webHidden/>
              </w:rPr>
              <w:fldChar w:fldCharType="begin"/>
            </w:r>
            <w:r w:rsidR="00C97F61">
              <w:rPr>
                <w:noProof/>
                <w:webHidden/>
              </w:rPr>
              <w:instrText xml:space="preserve"> PAGEREF _Toc51167316 \h </w:instrText>
            </w:r>
            <w:r w:rsidR="00C97F61">
              <w:rPr>
                <w:noProof/>
                <w:webHidden/>
              </w:rPr>
            </w:r>
            <w:r w:rsidR="00C97F61">
              <w:rPr>
                <w:noProof/>
                <w:webHidden/>
              </w:rPr>
              <w:fldChar w:fldCharType="separate"/>
            </w:r>
            <w:r w:rsidR="00C97F61">
              <w:rPr>
                <w:noProof/>
                <w:webHidden/>
              </w:rPr>
              <w:t>17</w:t>
            </w:r>
            <w:r w:rsidR="00C97F61">
              <w:rPr>
                <w:noProof/>
                <w:webHidden/>
              </w:rPr>
              <w:fldChar w:fldCharType="end"/>
            </w:r>
          </w:hyperlink>
        </w:p>
        <w:p w14:paraId="2EBB6699" w14:textId="7DFAA141"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17" w:history="1">
            <w:r w:rsidR="00C97F61" w:rsidRPr="00F610F8">
              <w:rPr>
                <w:rStyle w:val="Hyperlink"/>
                <w:noProof/>
                <w:lang w:val="en-GB"/>
                <w14:scene3d>
                  <w14:camera w14:prst="orthographicFront"/>
                  <w14:lightRig w14:rig="threePt" w14:dir="t">
                    <w14:rot w14:lat="0" w14:lon="0" w14:rev="0"/>
                  </w14:lightRig>
                </w14:scene3d>
              </w:rPr>
              <w:t>4.1</w:t>
            </w:r>
            <w:r w:rsidR="00C97F61">
              <w:rPr>
                <w:rFonts w:eastAsiaTheme="minorEastAsia" w:cstheme="minorBidi"/>
                <w:bCs w:val="0"/>
                <w:noProof/>
                <w:sz w:val="24"/>
                <w:szCs w:val="24"/>
                <w:lang w:eastAsia="en-GB"/>
              </w:rPr>
              <w:tab/>
            </w:r>
            <w:r w:rsidR="00C97F61" w:rsidRPr="00F610F8">
              <w:rPr>
                <w:rStyle w:val="Hyperlink"/>
                <w:noProof/>
                <w:lang w:val="en-GB"/>
              </w:rPr>
              <w:t>Creation of New Goods and Services</w:t>
            </w:r>
            <w:r w:rsidR="00C97F61">
              <w:rPr>
                <w:noProof/>
                <w:webHidden/>
              </w:rPr>
              <w:tab/>
            </w:r>
            <w:r w:rsidR="00C97F61">
              <w:rPr>
                <w:noProof/>
                <w:webHidden/>
              </w:rPr>
              <w:fldChar w:fldCharType="begin"/>
            </w:r>
            <w:r w:rsidR="00C97F61">
              <w:rPr>
                <w:noProof/>
                <w:webHidden/>
              </w:rPr>
              <w:instrText xml:space="preserve"> PAGEREF _Toc51167317 \h </w:instrText>
            </w:r>
            <w:r w:rsidR="00C97F61">
              <w:rPr>
                <w:noProof/>
                <w:webHidden/>
              </w:rPr>
            </w:r>
            <w:r w:rsidR="00C97F61">
              <w:rPr>
                <w:noProof/>
                <w:webHidden/>
              </w:rPr>
              <w:fldChar w:fldCharType="separate"/>
            </w:r>
            <w:r w:rsidR="00C97F61">
              <w:rPr>
                <w:noProof/>
                <w:webHidden/>
              </w:rPr>
              <w:t>17</w:t>
            </w:r>
            <w:r w:rsidR="00C97F61">
              <w:rPr>
                <w:noProof/>
                <w:webHidden/>
              </w:rPr>
              <w:fldChar w:fldCharType="end"/>
            </w:r>
          </w:hyperlink>
        </w:p>
        <w:p w14:paraId="665BC77B" w14:textId="513026A8"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18" w:history="1">
            <w:r w:rsidR="00C97F61" w:rsidRPr="00F610F8">
              <w:rPr>
                <w:rStyle w:val="Hyperlink"/>
                <w:noProof/>
                <w:lang w:val="en-GB"/>
                <w14:scene3d>
                  <w14:camera w14:prst="orthographicFront"/>
                  <w14:lightRig w14:rig="threePt" w14:dir="t">
                    <w14:rot w14:lat="0" w14:lon="0" w14:rev="0"/>
                  </w14:lightRig>
                </w14:scene3d>
              </w:rPr>
              <w:t>4.2</w:t>
            </w:r>
            <w:r w:rsidR="00C97F61">
              <w:rPr>
                <w:rFonts w:eastAsiaTheme="minorEastAsia" w:cstheme="minorBidi"/>
                <w:bCs w:val="0"/>
                <w:noProof/>
                <w:sz w:val="24"/>
                <w:szCs w:val="24"/>
                <w:lang w:eastAsia="en-GB"/>
              </w:rPr>
              <w:tab/>
            </w:r>
            <w:r w:rsidR="00C97F61" w:rsidRPr="00F610F8">
              <w:rPr>
                <w:rStyle w:val="Hyperlink"/>
                <w:noProof/>
                <w:lang w:val="en-GB"/>
              </w:rPr>
              <w:t>Faster Delivery of Existing Goods and Services</w:t>
            </w:r>
            <w:r w:rsidR="00C97F61">
              <w:rPr>
                <w:noProof/>
                <w:webHidden/>
              </w:rPr>
              <w:tab/>
            </w:r>
            <w:r w:rsidR="00C97F61">
              <w:rPr>
                <w:noProof/>
                <w:webHidden/>
              </w:rPr>
              <w:fldChar w:fldCharType="begin"/>
            </w:r>
            <w:r w:rsidR="00C97F61">
              <w:rPr>
                <w:noProof/>
                <w:webHidden/>
              </w:rPr>
              <w:instrText xml:space="preserve"> PAGEREF _Toc51167318 \h </w:instrText>
            </w:r>
            <w:r w:rsidR="00C97F61">
              <w:rPr>
                <w:noProof/>
                <w:webHidden/>
              </w:rPr>
            </w:r>
            <w:r w:rsidR="00C97F61">
              <w:rPr>
                <w:noProof/>
                <w:webHidden/>
              </w:rPr>
              <w:fldChar w:fldCharType="separate"/>
            </w:r>
            <w:r w:rsidR="00C97F61">
              <w:rPr>
                <w:noProof/>
                <w:webHidden/>
              </w:rPr>
              <w:t>17</w:t>
            </w:r>
            <w:r w:rsidR="00C97F61">
              <w:rPr>
                <w:noProof/>
                <w:webHidden/>
              </w:rPr>
              <w:fldChar w:fldCharType="end"/>
            </w:r>
          </w:hyperlink>
        </w:p>
        <w:p w14:paraId="6A00B9F5" w14:textId="30CFB518"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19" w:history="1">
            <w:r w:rsidR="00C97F61" w:rsidRPr="00F610F8">
              <w:rPr>
                <w:rStyle w:val="Hyperlink"/>
                <w:noProof/>
                <w:lang w:val="en-GB"/>
                <w14:scene3d>
                  <w14:camera w14:prst="orthographicFront"/>
                  <w14:lightRig w14:rig="threePt" w14:dir="t">
                    <w14:rot w14:lat="0" w14:lon="0" w14:rev="0"/>
                  </w14:lightRig>
                </w14:scene3d>
              </w:rPr>
              <w:t>4.3</w:t>
            </w:r>
            <w:r w:rsidR="00C97F61">
              <w:rPr>
                <w:rFonts w:eastAsiaTheme="minorEastAsia" w:cstheme="minorBidi"/>
                <w:bCs w:val="0"/>
                <w:noProof/>
                <w:sz w:val="24"/>
                <w:szCs w:val="24"/>
                <w:lang w:eastAsia="en-GB"/>
              </w:rPr>
              <w:tab/>
            </w:r>
            <w:r w:rsidR="00C97F61" w:rsidRPr="00F610F8">
              <w:rPr>
                <w:rStyle w:val="Hyperlink"/>
                <w:noProof/>
                <w:lang w:val="en-GB"/>
              </w:rPr>
              <w:t>Emerging Technologies in Digital Trade</w:t>
            </w:r>
            <w:r w:rsidR="00C97F61">
              <w:rPr>
                <w:noProof/>
                <w:webHidden/>
              </w:rPr>
              <w:tab/>
            </w:r>
            <w:r w:rsidR="00C97F61">
              <w:rPr>
                <w:noProof/>
                <w:webHidden/>
              </w:rPr>
              <w:fldChar w:fldCharType="begin"/>
            </w:r>
            <w:r w:rsidR="00C97F61">
              <w:rPr>
                <w:noProof/>
                <w:webHidden/>
              </w:rPr>
              <w:instrText xml:space="preserve"> PAGEREF _Toc51167319 \h </w:instrText>
            </w:r>
            <w:r w:rsidR="00C97F61">
              <w:rPr>
                <w:noProof/>
                <w:webHidden/>
              </w:rPr>
            </w:r>
            <w:r w:rsidR="00C97F61">
              <w:rPr>
                <w:noProof/>
                <w:webHidden/>
              </w:rPr>
              <w:fldChar w:fldCharType="separate"/>
            </w:r>
            <w:r w:rsidR="00C97F61">
              <w:rPr>
                <w:noProof/>
                <w:webHidden/>
              </w:rPr>
              <w:t>18</w:t>
            </w:r>
            <w:r w:rsidR="00C97F61">
              <w:rPr>
                <w:noProof/>
                <w:webHidden/>
              </w:rPr>
              <w:fldChar w:fldCharType="end"/>
            </w:r>
          </w:hyperlink>
        </w:p>
        <w:p w14:paraId="38EAEB02" w14:textId="5655F303" w:rsidR="00C97F61" w:rsidRDefault="00EE6B11">
          <w:pPr>
            <w:pStyle w:val="TOC1"/>
            <w:rPr>
              <w:rFonts w:eastAsiaTheme="minorEastAsia" w:cstheme="minorBidi"/>
              <w:b w:val="0"/>
              <w:bCs w:val="0"/>
              <w:iCs w:val="0"/>
              <w:noProof/>
              <w:sz w:val="24"/>
              <w:lang w:eastAsia="en-GB"/>
            </w:rPr>
          </w:pPr>
          <w:hyperlink w:anchor="_Toc51167320" w:history="1">
            <w:r w:rsidR="00C97F61" w:rsidRPr="00F610F8">
              <w:rPr>
                <w:rStyle w:val="Hyperlink"/>
                <w:noProof/>
                <w:lang w:val="en-GB"/>
              </w:rPr>
              <w:t>5.</w:t>
            </w:r>
            <w:r w:rsidR="00C97F61">
              <w:rPr>
                <w:rFonts w:eastAsiaTheme="minorEastAsia" w:cstheme="minorBidi"/>
                <w:b w:val="0"/>
                <w:bCs w:val="0"/>
                <w:iCs w:val="0"/>
                <w:noProof/>
                <w:sz w:val="24"/>
                <w:lang w:eastAsia="en-GB"/>
              </w:rPr>
              <w:tab/>
            </w:r>
            <w:r w:rsidR="00C97F61" w:rsidRPr="00F610F8">
              <w:rPr>
                <w:rStyle w:val="Hyperlink"/>
                <w:noProof/>
                <w:lang w:val="en-GB"/>
              </w:rPr>
              <w:t>Measuring Australia and Singapore’s Digital Trade</w:t>
            </w:r>
            <w:r w:rsidR="00C97F61">
              <w:rPr>
                <w:noProof/>
                <w:webHidden/>
              </w:rPr>
              <w:tab/>
            </w:r>
            <w:r w:rsidR="00C97F61">
              <w:rPr>
                <w:noProof/>
                <w:webHidden/>
              </w:rPr>
              <w:fldChar w:fldCharType="begin"/>
            </w:r>
            <w:r w:rsidR="00C97F61">
              <w:rPr>
                <w:noProof/>
                <w:webHidden/>
              </w:rPr>
              <w:instrText xml:space="preserve"> PAGEREF _Toc51167320 \h </w:instrText>
            </w:r>
            <w:r w:rsidR="00C97F61">
              <w:rPr>
                <w:noProof/>
                <w:webHidden/>
              </w:rPr>
            </w:r>
            <w:r w:rsidR="00C97F61">
              <w:rPr>
                <w:noProof/>
                <w:webHidden/>
              </w:rPr>
              <w:fldChar w:fldCharType="separate"/>
            </w:r>
            <w:r w:rsidR="00C97F61">
              <w:rPr>
                <w:noProof/>
                <w:webHidden/>
              </w:rPr>
              <w:t>20</w:t>
            </w:r>
            <w:r w:rsidR="00C97F61">
              <w:rPr>
                <w:noProof/>
                <w:webHidden/>
              </w:rPr>
              <w:fldChar w:fldCharType="end"/>
            </w:r>
          </w:hyperlink>
        </w:p>
        <w:p w14:paraId="274680FF" w14:textId="7677DB78"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1" w:history="1">
            <w:r w:rsidR="00C97F61" w:rsidRPr="00F610F8">
              <w:rPr>
                <w:rStyle w:val="Hyperlink"/>
                <w:noProof/>
                <w:lang w:val="en-GB"/>
                <w14:scene3d>
                  <w14:camera w14:prst="orthographicFront"/>
                  <w14:lightRig w14:rig="threePt" w14:dir="t">
                    <w14:rot w14:lat="0" w14:lon="0" w14:rev="0"/>
                  </w14:lightRig>
                </w14:scene3d>
              </w:rPr>
              <w:t>5.1</w:t>
            </w:r>
            <w:r w:rsidR="00C97F61">
              <w:rPr>
                <w:rFonts w:eastAsiaTheme="minorEastAsia" w:cstheme="minorBidi"/>
                <w:bCs w:val="0"/>
                <w:noProof/>
                <w:sz w:val="24"/>
                <w:szCs w:val="24"/>
                <w:lang w:eastAsia="en-GB"/>
              </w:rPr>
              <w:tab/>
            </w:r>
            <w:r w:rsidR="00C97F61" w:rsidRPr="00F610F8">
              <w:rPr>
                <w:rStyle w:val="Hyperlink"/>
                <w:noProof/>
                <w:lang w:val="en-GB"/>
              </w:rPr>
              <w:t>Value of Digital Trade in Australia and Singapore</w:t>
            </w:r>
            <w:r w:rsidR="00C97F61">
              <w:rPr>
                <w:noProof/>
                <w:webHidden/>
              </w:rPr>
              <w:tab/>
            </w:r>
            <w:r w:rsidR="00C97F61">
              <w:rPr>
                <w:noProof/>
                <w:webHidden/>
              </w:rPr>
              <w:fldChar w:fldCharType="begin"/>
            </w:r>
            <w:r w:rsidR="00C97F61">
              <w:rPr>
                <w:noProof/>
                <w:webHidden/>
              </w:rPr>
              <w:instrText xml:space="preserve"> PAGEREF _Toc51167321 \h </w:instrText>
            </w:r>
            <w:r w:rsidR="00C97F61">
              <w:rPr>
                <w:noProof/>
                <w:webHidden/>
              </w:rPr>
            </w:r>
            <w:r w:rsidR="00C97F61">
              <w:rPr>
                <w:noProof/>
                <w:webHidden/>
              </w:rPr>
              <w:fldChar w:fldCharType="separate"/>
            </w:r>
            <w:r w:rsidR="00C97F61">
              <w:rPr>
                <w:noProof/>
                <w:webHidden/>
              </w:rPr>
              <w:t>20</w:t>
            </w:r>
            <w:r w:rsidR="00C97F61">
              <w:rPr>
                <w:noProof/>
                <w:webHidden/>
              </w:rPr>
              <w:fldChar w:fldCharType="end"/>
            </w:r>
          </w:hyperlink>
        </w:p>
        <w:p w14:paraId="56CF853C" w14:textId="49BF3886"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2" w:history="1">
            <w:r w:rsidR="00C97F61" w:rsidRPr="00F610F8">
              <w:rPr>
                <w:rStyle w:val="Hyperlink"/>
                <w:noProof/>
                <w:lang w:val="en-GB"/>
                <w14:scene3d>
                  <w14:camera w14:prst="orthographicFront"/>
                  <w14:lightRig w14:rig="threePt" w14:dir="t">
                    <w14:rot w14:lat="0" w14:lon="0" w14:rev="0"/>
                  </w14:lightRig>
                </w14:scene3d>
              </w:rPr>
              <w:t>5.2</w:t>
            </w:r>
            <w:r w:rsidR="00C97F61">
              <w:rPr>
                <w:rFonts w:eastAsiaTheme="minorEastAsia" w:cstheme="minorBidi"/>
                <w:bCs w:val="0"/>
                <w:noProof/>
                <w:sz w:val="24"/>
                <w:szCs w:val="24"/>
                <w:lang w:eastAsia="en-GB"/>
              </w:rPr>
              <w:tab/>
            </w:r>
            <w:r w:rsidR="00C97F61" w:rsidRPr="00F610F8">
              <w:rPr>
                <w:rStyle w:val="Hyperlink"/>
                <w:noProof/>
                <w:lang w:val="en-GB"/>
              </w:rPr>
              <w:t>Limitations to Measuring Digital Trade</w:t>
            </w:r>
            <w:r w:rsidR="00C97F61">
              <w:rPr>
                <w:noProof/>
                <w:webHidden/>
              </w:rPr>
              <w:tab/>
            </w:r>
            <w:r w:rsidR="00C97F61">
              <w:rPr>
                <w:noProof/>
                <w:webHidden/>
              </w:rPr>
              <w:fldChar w:fldCharType="begin"/>
            </w:r>
            <w:r w:rsidR="00C97F61">
              <w:rPr>
                <w:noProof/>
                <w:webHidden/>
              </w:rPr>
              <w:instrText xml:space="preserve"> PAGEREF _Toc51167322 \h </w:instrText>
            </w:r>
            <w:r w:rsidR="00C97F61">
              <w:rPr>
                <w:noProof/>
                <w:webHidden/>
              </w:rPr>
            </w:r>
            <w:r w:rsidR="00C97F61">
              <w:rPr>
                <w:noProof/>
                <w:webHidden/>
              </w:rPr>
              <w:fldChar w:fldCharType="separate"/>
            </w:r>
            <w:r w:rsidR="00C97F61">
              <w:rPr>
                <w:noProof/>
                <w:webHidden/>
              </w:rPr>
              <w:t>26</w:t>
            </w:r>
            <w:r w:rsidR="00C97F61">
              <w:rPr>
                <w:noProof/>
                <w:webHidden/>
              </w:rPr>
              <w:fldChar w:fldCharType="end"/>
            </w:r>
          </w:hyperlink>
        </w:p>
        <w:p w14:paraId="72373D63" w14:textId="005A787A" w:rsidR="00C97F61" w:rsidRDefault="00EE6B11">
          <w:pPr>
            <w:pStyle w:val="TOC1"/>
            <w:rPr>
              <w:rFonts w:eastAsiaTheme="minorEastAsia" w:cstheme="minorBidi"/>
              <w:b w:val="0"/>
              <w:bCs w:val="0"/>
              <w:iCs w:val="0"/>
              <w:noProof/>
              <w:sz w:val="24"/>
              <w:lang w:eastAsia="en-GB"/>
            </w:rPr>
          </w:pPr>
          <w:hyperlink w:anchor="_Toc51167323" w:history="1">
            <w:r w:rsidR="00C97F61" w:rsidRPr="00F610F8">
              <w:rPr>
                <w:rStyle w:val="Hyperlink"/>
                <w:noProof/>
                <w:lang w:val="en-GB"/>
              </w:rPr>
              <w:t>6.</w:t>
            </w:r>
            <w:r w:rsidR="00C97F61">
              <w:rPr>
                <w:rFonts w:eastAsiaTheme="minorEastAsia" w:cstheme="minorBidi"/>
                <w:b w:val="0"/>
                <w:bCs w:val="0"/>
                <w:iCs w:val="0"/>
                <w:noProof/>
                <w:sz w:val="24"/>
                <w:lang w:eastAsia="en-GB"/>
              </w:rPr>
              <w:tab/>
            </w:r>
            <w:r w:rsidR="00C97F61" w:rsidRPr="00F610F8">
              <w:rPr>
                <w:rStyle w:val="Hyperlink"/>
                <w:noProof/>
                <w:lang w:val="en-GB"/>
              </w:rPr>
              <w:t>The Importance of International Standards in Digital Trade</w:t>
            </w:r>
            <w:r w:rsidR="00C97F61">
              <w:rPr>
                <w:noProof/>
                <w:webHidden/>
              </w:rPr>
              <w:tab/>
            </w:r>
            <w:r w:rsidR="00C97F61">
              <w:rPr>
                <w:noProof/>
                <w:webHidden/>
              </w:rPr>
              <w:fldChar w:fldCharType="begin"/>
            </w:r>
            <w:r w:rsidR="00C97F61">
              <w:rPr>
                <w:noProof/>
                <w:webHidden/>
              </w:rPr>
              <w:instrText xml:space="preserve"> PAGEREF _Toc51167323 \h </w:instrText>
            </w:r>
            <w:r w:rsidR="00C97F61">
              <w:rPr>
                <w:noProof/>
                <w:webHidden/>
              </w:rPr>
            </w:r>
            <w:r w:rsidR="00C97F61">
              <w:rPr>
                <w:noProof/>
                <w:webHidden/>
              </w:rPr>
              <w:fldChar w:fldCharType="separate"/>
            </w:r>
            <w:r w:rsidR="00C97F61">
              <w:rPr>
                <w:noProof/>
                <w:webHidden/>
              </w:rPr>
              <w:t>27</w:t>
            </w:r>
            <w:r w:rsidR="00C97F61">
              <w:rPr>
                <w:noProof/>
                <w:webHidden/>
              </w:rPr>
              <w:fldChar w:fldCharType="end"/>
            </w:r>
          </w:hyperlink>
        </w:p>
        <w:p w14:paraId="4C3B0310" w14:textId="76349769"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4" w:history="1">
            <w:r w:rsidR="00C97F61" w:rsidRPr="00F610F8">
              <w:rPr>
                <w:rStyle w:val="Hyperlink"/>
                <w:noProof/>
                <w:lang w:val="en-GB"/>
                <w14:scene3d>
                  <w14:camera w14:prst="orthographicFront"/>
                  <w14:lightRig w14:rig="threePt" w14:dir="t">
                    <w14:rot w14:lat="0" w14:lon="0" w14:rev="0"/>
                  </w14:lightRig>
                </w14:scene3d>
              </w:rPr>
              <w:t>6.1</w:t>
            </w:r>
            <w:r w:rsidR="00C97F61">
              <w:rPr>
                <w:rFonts w:eastAsiaTheme="minorEastAsia" w:cstheme="minorBidi"/>
                <w:bCs w:val="0"/>
                <w:noProof/>
                <w:sz w:val="24"/>
                <w:szCs w:val="24"/>
                <w:lang w:eastAsia="en-GB"/>
              </w:rPr>
              <w:tab/>
            </w:r>
            <w:r w:rsidR="00C97F61" w:rsidRPr="00F610F8">
              <w:rPr>
                <w:rStyle w:val="Hyperlink"/>
                <w:noProof/>
                <w:lang w:val="en-GB"/>
              </w:rPr>
              <w:t>Key Stakeholders</w:t>
            </w:r>
            <w:r w:rsidR="00C97F61">
              <w:rPr>
                <w:noProof/>
                <w:webHidden/>
              </w:rPr>
              <w:tab/>
            </w:r>
            <w:r w:rsidR="00C97F61">
              <w:rPr>
                <w:noProof/>
                <w:webHidden/>
              </w:rPr>
              <w:fldChar w:fldCharType="begin"/>
            </w:r>
            <w:r w:rsidR="00C97F61">
              <w:rPr>
                <w:noProof/>
                <w:webHidden/>
              </w:rPr>
              <w:instrText xml:space="preserve"> PAGEREF _Toc51167324 \h </w:instrText>
            </w:r>
            <w:r w:rsidR="00C97F61">
              <w:rPr>
                <w:noProof/>
                <w:webHidden/>
              </w:rPr>
            </w:r>
            <w:r w:rsidR="00C97F61">
              <w:rPr>
                <w:noProof/>
                <w:webHidden/>
              </w:rPr>
              <w:fldChar w:fldCharType="separate"/>
            </w:r>
            <w:r w:rsidR="00C97F61">
              <w:rPr>
                <w:noProof/>
                <w:webHidden/>
              </w:rPr>
              <w:t>28</w:t>
            </w:r>
            <w:r w:rsidR="00C97F61">
              <w:rPr>
                <w:noProof/>
                <w:webHidden/>
              </w:rPr>
              <w:fldChar w:fldCharType="end"/>
            </w:r>
          </w:hyperlink>
        </w:p>
        <w:p w14:paraId="0EF15FA5" w14:textId="052B98CD"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5" w:history="1">
            <w:r w:rsidR="00C97F61" w:rsidRPr="00F610F8">
              <w:rPr>
                <w:rStyle w:val="Hyperlink"/>
                <w:noProof/>
                <w:lang w:val="en-GB"/>
                <w14:scene3d>
                  <w14:camera w14:prst="orthographicFront"/>
                  <w14:lightRig w14:rig="threePt" w14:dir="t">
                    <w14:rot w14:lat="0" w14:lon="0" w14:rev="0"/>
                  </w14:lightRig>
                </w14:scene3d>
              </w:rPr>
              <w:t>6.2</w:t>
            </w:r>
            <w:r w:rsidR="00C97F61">
              <w:rPr>
                <w:rFonts w:eastAsiaTheme="minorEastAsia" w:cstheme="minorBidi"/>
                <w:bCs w:val="0"/>
                <w:noProof/>
                <w:sz w:val="24"/>
                <w:szCs w:val="24"/>
                <w:lang w:eastAsia="en-GB"/>
              </w:rPr>
              <w:tab/>
            </w:r>
            <w:r w:rsidR="00C97F61" w:rsidRPr="00F610F8">
              <w:rPr>
                <w:rStyle w:val="Hyperlink"/>
                <w:noProof/>
                <w:lang w:val="en-GB"/>
              </w:rPr>
              <w:t>Key Issues with Standards</w:t>
            </w:r>
            <w:r w:rsidR="00C97F61">
              <w:rPr>
                <w:noProof/>
                <w:webHidden/>
              </w:rPr>
              <w:tab/>
            </w:r>
            <w:r w:rsidR="00C97F61">
              <w:rPr>
                <w:noProof/>
                <w:webHidden/>
              </w:rPr>
              <w:fldChar w:fldCharType="begin"/>
            </w:r>
            <w:r w:rsidR="00C97F61">
              <w:rPr>
                <w:noProof/>
                <w:webHidden/>
              </w:rPr>
              <w:instrText xml:space="preserve"> PAGEREF _Toc51167325 \h </w:instrText>
            </w:r>
            <w:r w:rsidR="00C97F61">
              <w:rPr>
                <w:noProof/>
                <w:webHidden/>
              </w:rPr>
            </w:r>
            <w:r w:rsidR="00C97F61">
              <w:rPr>
                <w:noProof/>
                <w:webHidden/>
              </w:rPr>
              <w:fldChar w:fldCharType="separate"/>
            </w:r>
            <w:r w:rsidR="00C97F61">
              <w:rPr>
                <w:noProof/>
                <w:webHidden/>
              </w:rPr>
              <w:t>30</w:t>
            </w:r>
            <w:r w:rsidR="00C97F61">
              <w:rPr>
                <w:noProof/>
                <w:webHidden/>
              </w:rPr>
              <w:fldChar w:fldCharType="end"/>
            </w:r>
          </w:hyperlink>
        </w:p>
        <w:p w14:paraId="5CEF06D2" w14:textId="14029894" w:rsidR="00C97F61" w:rsidRDefault="00EE6B11">
          <w:pPr>
            <w:pStyle w:val="TOC1"/>
            <w:rPr>
              <w:rFonts w:eastAsiaTheme="minorEastAsia" w:cstheme="minorBidi"/>
              <w:b w:val="0"/>
              <w:bCs w:val="0"/>
              <w:iCs w:val="0"/>
              <w:noProof/>
              <w:sz w:val="24"/>
              <w:lang w:eastAsia="en-GB"/>
            </w:rPr>
          </w:pPr>
          <w:hyperlink w:anchor="_Toc51167326" w:history="1">
            <w:r w:rsidR="00C97F61" w:rsidRPr="00F610F8">
              <w:rPr>
                <w:rStyle w:val="Hyperlink"/>
                <w:noProof/>
                <w:lang w:val="en-GB"/>
              </w:rPr>
              <w:t>7.</w:t>
            </w:r>
            <w:r w:rsidR="00C97F61">
              <w:rPr>
                <w:rFonts w:eastAsiaTheme="minorEastAsia" w:cstheme="minorBidi"/>
                <w:b w:val="0"/>
                <w:bCs w:val="0"/>
                <w:iCs w:val="0"/>
                <w:noProof/>
                <w:sz w:val="24"/>
                <w:lang w:eastAsia="en-GB"/>
              </w:rPr>
              <w:tab/>
            </w:r>
            <w:r w:rsidR="00C97F61" w:rsidRPr="00F610F8">
              <w:rPr>
                <w:rStyle w:val="Hyperlink"/>
                <w:noProof/>
                <w:lang w:val="en-GB"/>
              </w:rPr>
              <w:t>Digital Trade Standards</w:t>
            </w:r>
            <w:r w:rsidR="00C97F61">
              <w:rPr>
                <w:noProof/>
                <w:webHidden/>
              </w:rPr>
              <w:tab/>
            </w:r>
            <w:r w:rsidR="00C97F61">
              <w:rPr>
                <w:noProof/>
                <w:webHidden/>
              </w:rPr>
              <w:fldChar w:fldCharType="begin"/>
            </w:r>
            <w:r w:rsidR="00C97F61">
              <w:rPr>
                <w:noProof/>
                <w:webHidden/>
              </w:rPr>
              <w:instrText xml:space="preserve"> PAGEREF _Toc51167326 \h </w:instrText>
            </w:r>
            <w:r w:rsidR="00C97F61">
              <w:rPr>
                <w:noProof/>
                <w:webHidden/>
              </w:rPr>
            </w:r>
            <w:r w:rsidR="00C97F61">
              <w:rPr>
                <w:noProof/>
                <w:webHidden/>
              </w:rPr>
              <w:fldChar w:fldCharType="separate"/>
            </w:r>
            <w:r w:rsidR="00C97F61">
              <w:rPr>
                <w:noProof/>
                <w:webHidden/>
              </w:rPr>
              <w:t>31</w:t>
            </w:r>
            <w:r w:rsidR="00C97F61">
              <w:rPr>
                <w:noProof/>
                <w:webHidden/>
              </w:rPr>
              <w:fldChar w:fldCharType="end"/>
            </w:r>
          </w:hyperlink>
        </w:p>
        <w:p w14:paraId="58E583E0" w14:textId="1992662B"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7" w:history="1">
            <w:r w:rsidR="00C97F61" w:rsidRPr="00F610F8">
              <w:rPr>
                <w:rStyle w:val="Hyperlink"/>
                <w:noProof/>
                <w:lang w:val="en-GB"/>
                <w14:scene3d>
                  <w14:camera w14:prst="orthographicFront"/>
                  <w14:lightRig w14:rig="threePt" w14:dir="t">
                    <w14:rot w14:lat="0" w14:lon="0" w14:rev="0"/>
                  </w14:lightRig>
                </w14:scene3d>
              </w:rPr>
              <w:t>7.1</w:t>
            </w:r>
            <w:r w:rsidR="00C97F61">
              <w:rPr>
                <w:rFonts w:eastAsiaTheme="minorEastAsia" w:cstheme="minorBidi"/>
                <w:bCs w:val="0"/>
                <w:noProof/>
                <w:sz w:val="24"/>
                <w:szCs w:val="24"/>
                <w:lang w:eastAsia="en-GB"/>
              </w:rPr>
              <w:tab/>
            </w:r>
            <w:r w:rsidR="00C97F61" w:rsidRPr="00F610F8">
              <w:rPr>
                <w:rStyle w:val="Hyperlink"/>
                <w:noProof/>
                <w:lang w:val="en-GB"/>
              </w:rPr>
              <w:t>Accelerating Trade with Standards</w:t>
            </w:r>
            <w:r w:rsidR="00C97F61">
              <w:rPr>
                <w:noProof/>
                <w:webHidden/>
              </w:rPr>
              <w:tab/>
            </w:r>
            <w:r w:rsidR="00C97F61">
              <w:rPr>
                <w:noProof/>
                <w:webHidden/>
              </w:rPr>
              <w:fldChar w:fldCharType="begin"/>
            </w:r>
            <w:r w:rsidR="00C97F61">
              <w:rPr>
                <w:noProof/>
                <w:webHidden/>
              </w:rPr>
              <w:instrText xml:space="preserve"> PAGEREF _Toc51167327 \h </w:instrText>
            </w:r>
            <w:r w:rsidR="00C97F61">
              <w:rPr>
                <w:noProof/>
                <w:webHidden/>
              </w:rPr>
            </w:r>
            <w:r w:rsidR="00C97F61">
              <w:rPr>
                <w:noProof/>
                <w:webHidden/>
              </w:rPr>
              <w:fldChar w:fldCharType="separate"/>
            </w:r>
            <w:r w:rsidR="00C97F61">
              <w:rPr>
                <w:noProof/>
                <w:webHidden/>
              </w:rPr>
              <w:t>31</w:t>
            </w:r>
            <w:r w:rsidR="00C97F61">
              <w:rPr>
                <w:noProof/>
                <w:webHidden/>
              </w:rPr>
              <w:fldChar w:fldCharType="end"/>
            </w:r>
          </w:hyperlink>
        </w:p>
        <w:p w14:paraId="7800FD31" w14:textId="68915E64"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28" w:history="1">
            <w:r w:rsidR="00C97F61" w:rsidRPr="00F610F8">
              <w:rPr>
                <w:rStyle w:val="Hyperlink"/>
                <w:noProof/>
                <w:lang w:val="en-GB"/>
                <w14:scene3d>
                  <w14:camera w14:prst="orthographicFront"/>
                  <w14:lightRig w14:rig="threePt" w14:dir="t">
                    <w14:rot w14:lat="0" w14:lon="0" w14:rev="0"/>
                  </w14:lightRig>
                </w14:scene3d>
              </w:rPr>
              <w:t>7.2</w:t>
            </w:r>
            <w:r w:rsidR="00C97F61">
              <w:rPr>
                <w:rFonts w:eastAsiaTheme="minorEastAsia" w:cstheme="minorBidi"/>
                <w:bCs w:val="0"/>
                <w:noProof/>
                <w:sz w:val="24"/>
                <w:szCs w:val="24"/>
                <w:lang w:eastAsia="en-GB"/>
              </w:rPr>
              <w:tab/>
            </w:r>
            <w:r w:rsidR="00C97F61" w:rsidRPr="00F610F8">
              <w:rPr>
                <w:rStyle w:val="Hyperlink"/>
                <w:noProof/>
                <w:lang w:val="en-GB"/>
              </w:rPr>
              <w:t>Examples of International Standards</w:t>
            </w:r>
            <w:r w:rsidR="00C97F61">
              <w:rPr>
                <w:noProof/>
                <w:webHidden/>
              </w:rPr>
              <w:tab/>
            </w:r>
            <w:r w:rsidR="00C97F61">
              <w:rPr>
                <w:noProof/>
                <w:webHidden/>
              </w:rPr>
              <w:fldChar w:fldCharType="begin"/>
            </w:r>
            <w:r w:rsidR="00C97F61">
              <w:rPr>
                <w:noProof/>
                <w:webHidden/>
              </w:rPr>
              <w:instrText xml:space="preserve"> PAGEREF _Toc51167328 \h </w:instrText>
            </w:r>
            <w:r w:rsidR="00C97F61">
              <w:rPr>
                <w:noProof/>
                <w:webHidden/>
              </w:rPr>
            </w:r>
            <w:r w:rsidR="00C97F61">
              <w:rPr>
                <w:noProof/>
                <w:webHidden/>
              </w:rPr>
              <w:fldChar w:fldCharType="separate"/>
            </w:r>
            <w:r w:rsidR="00C97F61">
              <w:rPr>
                <w:noProof/>
                <w:webHidden/>
              </w:rPr>
              <w:t>32</w:t>
            </w:r>
            <w:r w:rsidR="00C97F61">
              <w:rPr>
                <w:noProof/>
                <w:webHidden/>
              </w:rPr>
              <w:fldChar w:fldCharType="end"/>
            </w:r>
          </w:hyperlink>
        </w:p>
        <w:p w14:paraId="58FE3251" w14:textId="4F17E0FF" w:rsidR="00C97F61" w:rsidRDefault="00EE6B11">
          <w:pPr>
            <w:pStyle w:val="TOC1"/>
            <w:rPr>
              <w:rFonts w:eastAsiaTheme="minorEastAsia" w:cstheme="minorBidi"/>
              <w:b w:val="0"/>
              <w:bCs w:val="0"/>
              <w:iCs w:val="0"/>
              <w:noProof/>
              <w:sz w:val="24"/>
              <w:lang w:eastAsia="en-GB"/>
            </w:rPr>
          </w:pPr>
          <w:hyperlink w:anchor="_Toc51167329" w:history="1">
            <w:r w:rsidR="00C97F61" w:rsidRPr="00F610F8">
              <w:rPr>
                <w:rStyle w:val="Hyperlink"/>
                <w:noProof/>
                <w:lang w:val="en-GB"/>
              </w:rPr>
              <w:t>8.</w:t>
            </w:r>
            <w:r w:rsidR="00C97F61">
              <w:rPr>
                <w:rFonts w:eastAsiaTheme="minorEastAsia" w:cstheme="minorBidi"/>
                <w:b w:val="0"/>
                <w:bCs w:val="0"/>
                <w:iCs w:val="0"/>
                <w:noProof/>
                <w:sz w:val="24"/>
                <w:lang w:eastAsia="en-GB"/>
              </w:rPr>
              <w:tab/>
            </w:r>
            <w:r w:rsidR="00C97F61" w:rsidRPr="00F610F8">
              <w:rPr>
                <w:rStyle w:val="Hyperlink"/>
                <w:noProof/>
                <w:lang w:val="en-GB"/>
              </w:rPr>
              <w:t>Cooperation Between Australia and Singapore</w:t>
            </w:r>
            <w:r w:rsidR="00C97F61">
              <w:rPr>
                <w:noProof/>
                <w:webHidden/>
              </w:rPr>
              <w:tab/>
            </w:r>
            <w:r w:rsidR="00C97F61">
              <w:rPr>
                <w:noProof/>
                <w:webHidden/>
              </w:rPr>
              <w:fldChar w:fldCharType="begin"/>
            </w:r>
            <w:r w:rsidR="00C97F61">
              <w:rPr>
                <w:noProof/>
                <w:webHidden/>
              </w:rPr>
              <w:instrText xml:space="preserve"> PAGEREF _Toc51167329 \h </w:instrText>
            </w:r>
            <w:r w:rsidR="00C97F61">
              <w:rPr>
                <w:noProof/>
                <w:webHidden/>
              </w:rPr>
            </w:r>
            <w:r w:rsidR="00C97F61">
              <w:rPr>
                <w:noProof/>
                <w:webHidden/>
              </w:rPr>
              <w:fldChar w:fldCharType="separate"/>
            </w:r>
            <w:r w:rsidR="00C97F61">
              <w:rPr>
                <w:noProof/>
                <w:webHidden/>
              </w:rPr>
              <w:t>39</w:t>
            </w:r>
            <w:r w:rsidR="00C97F61">
              <w:rPr>
                <w:noProof/>
                <w:webHidden/>
              </w:rPr>
              <w:fldChar w:fldCharType="end"/>
            </w:r>
          </w:hyperlink>
        </w:p>
        <w:p w14:paraId="2ADD2E76" w14:textId="3EE9AB3B"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30" w:history="1">
            <w:r w:rsidR="00C97F61" w:rsidRPr="00F610F8">
              <w:rPr>
                <w:rStyle w:val="Hyperlink"/>
                <w:noProof/>
                <w:lang w:val="en-GB"/>
                <w14:scene3d>
                  <w14:camera w14:prst="orthographicFront"/>
                  <w14:lightRig w14:rig="threePt" w14:dir="t">
                    <w14:rot w14:lat="0" w14:lon="0" w14:rev="0"/>
                  </w14:lightRig>
                </w14:scene3d>
              </w:rPr>
              <w:t>8.1</w:t>
            </w:r>
            <w:r w:rsidR="00C97F61">
              <w:rPr>
                <w:rFonts w:eastAsiaTheme="minorEastAsia" w:cstheme="minorBidi"/>
                <w:bCs w:val="0"/>
                <w:noProof/>
                <w:sz w:val="24"/>
                <w:szCs w:val="24"/>
                <w:lang w:eastAsia="en-GB"/>
              </w:rPr>
              <w:tab/>
            </w:r>
            <w:r w:rsidR="00C97F61" w:rsidRPr="00F610F8">
              <w:rPr>
                <w:rStyle w:val="Hyperlink"/>
                <w:noProof/>
                <w:lang w:val="en-GB"/>
              </w:rPr>
              <w:t>Framework for Cooperation</w:t>
            </w:r>
            <w:r w:rsidR="00C97F61">
              <w:rPr>
                <w:noProof/>
                <w:webHidden/>
              </w:rPr>
              <w:tab/>
            </w:r>
            <w:r w:rsidR="00C97F61">
              <w:rPr>
                <w:noProof/>
                <w:webHidden/>
              </w:rPr>
              <w:fldChar w:fldCharType="begin"/>
            </w:r>
            <w:r w:rsidR="00C97F61">
              <w:rPr>
                <w:noProof/>
                <w:webHidden/>
              </w:rPr>
              <w:instrText xml:space="preserve"> PAGEREF _Toc51167330 \h </w:instrText>
            </w:r>
            <w:r w:rsidR="00C97F61">
              <w:rPr>
                <w:noProof/>
                <w:webHidden/>
              </w:rPr>
            </w:r>
            <w:r w:rsidR="00C97F61">
              <w:rPr>
                <w:noProof/>
                <w:webHidden/>
              </w:rPr>
              <w:fldChar w:fldCharType="separate"/>
            </w:r>
            <w:r w:rsidR="00C97F61">
              <w:rPr>
                <w:noProof/>
                <w:webHidden/>
              </w:rPr>
              <w:t>40</w:t>
            </w:r>
            <w:r w:rsidR="00C97F61">
              <w:rPr>
                <w:noProof/>
                <w:webHidden/>
              </w:rPr>
              <w:fldChar w:fldCharType="end"/>
            </w:r>
          </w:hyperlink>
        </w:p>
        <w:p w14:paraId="024C20F7" w14:textId="541396AE" w:rsidR="00C97F61" w:rsidRDefault="00EE6B11">
          <w:pPr>
            <w:pStyle w:val="TOC2"/>
            <w:tabs>
              <w:tab w:val="left" w:pos="1320"/>
              <w:tab w:val="right" w:leader="dot" w:pos="9016"/>
            </w:tabs>
            <w:rPr>
              <w:rFonts w:eastAsiaTheme="minorEastAsia" w:cstheme="minorBidi"/>
              <w:bCs w:val="0"/>
              <w:noProof/>
              <w:sz w:val="24"/>
              <w:szCs w:val="24"/>
              <w:lang w:eastAsia="en-GB"/>
            </w:rPr>
          </w:pPr>
          <w:hyperlink w:anchor="_Toc51167331" w:history="1">
            <w:r w:rsidR="00C97F61" w:rsidRPr="00F610F8">
              <w:rPr>
                <w:rStyle w:val="Hyperlink"/>
                <w:noProof/>
                <w:lang w:val="en-GB"/>
                <w14:scene3d>
                  <w14:camera w14:prst="orthographicFront"/>
                  <w14:lightRig w14:rig="threePt" w14:dir="t">
                    <w14:rot w14:lat="0" w14:lon="0" w14:rev="0"/>
                  </w14:lightRig>
                </w14:scene3d>
              </w:rPr>
              <w:t>8.2</w:t>
            </w:r>
            <w:r w:rsidR="00C97F61">
              <w:rPr>
                <w:rFonts w:eastAsiaTheme="minorEastAsia" w:cstheme="minorBidi"/>
                <w:bCs w:val="0"/>
                <w:noProof/>
                <w:sz w:val="24"/>
                <w:szCs w:val="24"/>
                <w:lang w:eastAsia="en-GB"/>
              </w:rPr>
              <w:tab/>
            </w:r>
            <w:r w:rsidR="00C97F61" w:rsidRPr="00F610F8">
              <w:rPr>
                <w:rStyle w:val="Hyperlink"/>
                <w:noProof/>
                <w:lang w:val="en-GB"/>
              </w:rPr>
              <w:t>Recommended Priorities for Cooperation</w:t>
            </w:r>
            <w:r w:rsidR="00C97F61">
              <w:rPr>
                <w:noProof/>
                <w:webHidden/>
              </w:rPr>
              <w:tab/>
            </w:r>
            <w:r w:rsidR="00C97F61">
              <w:rPr>
                <w:noProof/>
                <w:webHidden/>
              </w:rPr>
              <w:fldChar w:fldCharType="begin"/>
            </w:r>
            <w:r w:rsidR="00C97F61">
              <w:rPr>
                <w:noProof/>
                <w:webHidden/>
              </w:rPr>
              <w:instrText xml:space="preserve"> PAGEREF _Toc51167331 \h </w:instrText>
            </w:r>
            <w:r w:rsidR="00C97F61">
              <w:rPr>
                <w:noProof/>
                <w:webHidden/>
              </w:rPr>
            </w:r>
            <w:r w:rsidR="00C97F61">
              <w:rPr>
                <w:noProof/>
                <w:webHidden/>
              </w:rPr>
              <w:fldChar w:fldCharType="separate"/>
            </w:r>
            <w:r w:rsidR="00C97F61">
              <w:rPr>
                <w:noProof/>
                <w:webHidden/>
              </w:rPr>
              <w:t>41</w:t>
            </w:r>
            <w:r w:rsidR="00C97F61">
              <w:rPr>
                <w:noProof/>
                <w:webHidden/>
              </w:rPr>
              <w:fldChar w:fldCharType="end"/>
            </w:r>
          </w:hyperlink>
        </w:p>
        <w:p w14:paraId="3D994AC5" w14:textId="5023315B" w:rsidR="00C97F61" w:rsidRDefault="00EE6B11">
          <w:pPr>
            <w:pStyle w:val="TOC1"/>
            <w:rPr>
              <w:rFonts w:eastAsiaTheme="minorEastAsia" w:cstheme="minorBidi"/>
              <w:b w:val="0"/>
              <w:bCs w:val="0"/>
              <w:iCs w:val="0"/>
              <w:noProof/>
              <w:sz w:val="24"/>
              <w:lang w:eastAsia="en-GB"/>
            </w:rPr>
          </w:pPr>
          <w:hyperlink w:anchor="_Toc51167332" w:history="1">
            <w:r w:rsidR="00C97F61" w:rsidRPr="00F610F8">
              <w:rPr>
                <w:rStyle w:val="Hyperlink"/>
                <w:noProof/>
                <w:lang w:val="en-GB"/>
              </w:rPr>
              <w:t>9.</w:t>
            </w:r>
            <w:r w:rsidR="00C97F61">
              <w:rPr>
                <w:rFonts w:eastAsiaTheme="minorEastAsia" w:cstheme="minorBidi"/>
                <w:b w:val="0"/>
                <w:bCs w:val="0"/>
                <w:iCs w:val="0"/>
                <w:noProof/>
                <w:sz w:val="24"/>
                <w:lang w:eastAsia="en-GB"/>
              </w:rPr>
              <w:tab/>
            </w:r>
            <w:r w:rsidR="00C97F61" w:rsidRPr="00F610F8">
              <w:rPr>
                <w:rStyle w:val="Hyperlink"/>
                <w:noProof/>
                <w:lang w:val="en-GB"/>
              </w:rPr>
              <w:t>Conclusions and Next Steps</w:t>
            </w:r>
            <w:r w:rsidR="00C97F61">
              <w:rPr>
                <w:noProof/>
                <w:webHidden/>
              </w:rPr>
              <w:tab/>
            </w:r>
            <w:r w:rsidR="00C97F61">
              <w:rPr>
                <w:noProof/>
                <w:webHidden/>
              </w:rPr>
              <w:fldChar w:fldCharType="begin"/>
            </w:r>
            <w:r w:rsidR="00C97F61">
              <w:rPr>
                <w:noProof/>
                <w:webHidden/>
              </w:rPr>
              <w:instrText xml:space="preserve"> PAGEREF _Toc51167332 \h </w:instrText>
            </w:r>
            <w:r w:rsidR="00C97F61">
              <w:rPr>
                <w:noProof/>
                <w:webHidden/>
              </w:rPr>
            </w:r>
            <w:r w:rsidR="00C97F61">
              <w:rPr>
                <w:noProof/>
                <w:webHidden/>
              </w:rPr>
              <w:fldChar w:fldCharType="separate"/>
            </w:r>
            <w:r w:rsidR="00C97F61">
              <w:rPr>
                <w:noProof/>
                <w:webHidden/>
              </w:rPr>
              <w:t>51</w:t>
            </w:r>
            <w:r w:rsidR="00C97F61">
              <w:rPr>
                <w:noProof/>
                <w:webHidden/>
              </w:rPr>
              <w:fldChar w:fldCharType="end"/>
            </w:r>
          </w:hyperlink>
        </w:p>
        <w:p w14:paraId="3CD63366" w14:textId="4F36E593" w:rsidR="00C97F61" w:rsidRDefault="00EE6B11">
          <w:pPr>
            <w:pStyle w:val="TOC1"/>
            <w:tabs>
              <w:tab w:val="left" w:pos="1320"/>
            </w:tabs>
            <w:rPr>
              <w:rFonts w:eastAsiaTheme="minorEastAsia" w:cstheme="minorBidi"/>
              <w:b w:val="0"/>
              <w:bCs w:val="0"/>
              <w:iCs w:val="0"/>
              <w:noProof/>
              <w:sz w:val="24"/>
              <w:lang w:eastAsia="en-GB"/>
            </w:rPr>
          </w:pPr>
          <w:hyperlink w:anchor="_Toc51167333" w:history="1">
            <w:r w:rsidR="00C97F61" w:rsidRPr="00F610F8">
              <w:rPr>
                <w:rStyle w:val="Hyperlink"/>
                <w:noProof/>
                <w:lang w:val="en-GB"/>
              </w:rPr>
              <w:t>Appendix I.</w:t>
            </w:r>
            <w:r w:rsidR="00C97F61">
              <w:rPr>
                <w:rFonts w:eastAsiaTheme="minorEastAsia" w:cstheme="minorBidi"/>
                <w:b w:val="0"/>
                <w:bCs w:val="0"/>
                <w:iCs w:val="0"/>
                <w:noProof/>
                <w:sz w:val="24"/>
                <w:lang w:eastAsia="en-GB"/>
              </w:rPr>
              <w:tab/>
            </w:r>
            <w:r w:rsidR="00C97F61" w:rsidRPr="00F610F8">
              <w:rPr>
                <w:rStyle w:val="Hyperlink"/>
                <w:noProof/>
                <w:lang w:val="en-GB"/>
              </w:rPr>
              <w:t>Digital Trade Measurement</w:t>
            </w:r>
            <w:r w:rsidR="00C97F61">
              <w:rPr>
                <w:noProof/>
                <w:webHidden/>
              </w:rPr>
              <w:tab/>
            </w:r>
            <w:r w:rsidR="00C97F61">
              <w:rPr>
                <w:noProof/>
                <w:webHidden/>
              </w:rPr>
              <w:fldChar w:fldCharType="begin"/>
            </w:r>
            <w:r w:rsidR="00C97F61">
              <w:rPr>
                <w:noProof/>
                <w:webHidden/>
              </w:rPr>
              <w:instrText xml:space="preserve"> PAGEREF _Toc51167333 \h </w:instrText>
            </w:r>
            <w:r w:rsidR="00C97F61">
              <w:rPr>
                <w:noProof/>
                <w:webHidden/>
              </w:rPr>
            </w:r>
            <w:r w:rsidR="00C97F61">
              <w:rPr>
                <w:noProof/>
                <w:webHidden/>
              </w:rPr>
              <w:fldChar w:fldCharType="separate"/>
            </w:r>
            <w:r w:rsidR="00C97F61">
              <w:rPr>
                <w:noProof/>
                <w:webHidden/>
              </w:rPr>
              <w:t>54</w:t>
            </w:r>
            <w:r w:rsidR="00C97F61">
              <w:rPr>
                <w:noProof/>
                <w:webHidden/>
              </w:rPr>
              <w:fldChar w:fldCharType="end"/>
            </w:r>
          </w:hyperlink>
        </w:p>
        <w:p w14:paraId="007E93A5" w14:textId="4CF1E102" w:rsidR="00C97F61" w:rsidRDefault="00EE6B11">
          <w:pPr>
            <w:pStyle w:val="TOC1"/>
            <w:tabs>
              <w:tab w:val="left" w:pos="1540"/>
            </w:tabs>
            <w:rPr>
              <w:rFonts w:eastAsiaTheme="minorEastAsia" w:cstheme="minorBidi"/>
              <w:b w:val="0"/>
              <w:bCs w:val="0"/>
              <w:iCs w:val="0"/>
              <w:noProof/>
              <w:sz w:val="24"/>
              <w:lang w:eastAsia="en-GB"/>
            </w:rPr>
          </w:pPr>
          <w:hyperlink w:anchor="_Toc51167334" w:history="1">
            <w:r w:rsidR="00C97F61" w:rsidRPr="00F610F8">
              <w:rPr>
                <w:rStyle w:val="Hyperlink"/>
                <w:noProof/>
              </w:rPr>
              <w:t>Appendix II.</w:t>
            </w:r>
            <w:r w:rsidR="00C97F61">
              <w:rPr>
                <w:rFonts w:eastAsiaTheme="minorEastAsia" w:cstheme="minorBidi"/>
                <w:b w:val="0"/>
                <w:bCs w:val="0"/>
                <w:iCs w:val="0"/>
                <w:noProof/>
                <w:sz w:val="24"/>
                <w:lang w:eastAsia="en-GB"/>
              </w:rPr>
              <w:tab/>
            </w:r>
            <w:r w:rsidR="00C97F61" w:rsidRPr="00F610F8">
              <w:rPr>
                <w:rStyle w:val="Hyperlink"/>
                <w:noProof/>
              </w:rPr>
              <w:t>Standards Bodies</w:t>
            </w:r>
            <w:r w:rsidR="00C97F61">
              <w:rPr>
                <w:noProof/>
                <w:webHidden/>
              </w:rPr>
              <w:tab/>
            </w:r>
            <w:r w:rsidR="00C97F61">
              <w:rPr>
                <w:noProof/>
                <w:webHidden/>
              </w:rPr>
              <w:fldChar w:fldCharType="begin"/>
            </w:r>
            <w:r w:rsidR="00C97F61">
              <w:rPr>
                <w:noProof/>
                <w:webHidden/>
              </w:rPr>
              <w:instrText xml:space="preserve"> PAGEREF _Toc51167334 \h </w:instrText>
            </w:r>
            <w:r w:rsidR="00C97F61">
              <w:rPr>
                <w:noProof/>
                <w:webHidden/>
              </w:rPr>
            </w:r>
            <w:r w:rsidR="00C97F61">
              <w:rPr>
                <w:noProof/>
                <w:webHidden/>
              </w:rPr>
              <w:fldChar w:fldCharType="separate"/>
            </w:r>
            <w:r w:rsidR="00C97F61">
              <w:rPr>
                <w:noProof/>
                <w:webHidden/>
              </w:rPr>
              <w:t>59</w:t>
            </w:r>
            <w:r w:rsidR="00C97F61">
              <w:rPr>
                <w:noProof/>
                <w:webHidden/>
              </w:rPr>
              <w:fldChar w:fldCharType="end"/>
            </w:r>
          </w:hyperlink>
        </w:p>
        <w:p w14:paraId="12F2CE47" w14:textId="13A13A64" w:rsidR="00C97F61" w:rsidRDefault="00EE6B11">
          <w:pPr>
            <w:pStyle w:val="TOC1"/>
            <w:tabs>
              <w:tab w:val="left" w:pos="1540"/>
            </w:tabs>
            <w:rPr>
              <w:rFonts w:eastAsiaTheme="minorEastAsia" w:cstheme="minorBidi"/>
              <w:b w:val="0"/>
              <w:bCs w:val="0"/>
              <w:iCs w:val="0"/>
              <w:noProof/>
              <w:sz w:val="24"/>
              <w:lang w:eastAsia="en-GB"/>
            </w:rPr>
          </w:pPr>
          <w:hyperlink w:anchor="_Toc51167335" w:history="1">
            <w:r w:rsidR="00C97F61" w:rsidRPr="00F610F8">
              <w:rPr>
                <w:rStyle w:val="Hyperlink"/>
                <w:noProof/>
              </w:rPr>
              <w:t>Appendix III.</w:t>
            </w:r>
            <w:r w:rsidR="00C97F61">
              <w:rPr>
                <w:rFonts w:eastAsiaTheme="minorEastAsia" w:cstheme="minorBidi"/>
                <w:b w:val="0"/>
                <w:bCs w:val="0"/>
                <w:iCs w:val="0"/>
                <w:noProof/>
                <w:sz w:val="24"/>
                <w:lang w:eastAsia="en-GB"/>
              </w:rPr>
              <w:tab/>
            </w:r>
            <w:r w:rsidR="00C97F61" w:rsidRPr="00F610F8">
              <w:rPr>
                <w:rStyle w:val="Hyperlink"/>
                <w:noProof/>
              </w:rPr>
              <w:t>Detailed Examples of Digital Standards</w:t>
            </w:r>
            <w:r w:rsidR="00C97F61">
              <w:rPr>
                <w:noProof/>
                <w:webHidden/>
              </w:rPr>
              <w:tab/>
            </w:r>
            <w:r w:rsidR="00C97F61">
              <w:rPr>
                <w:noProof/>
                <w:webHidden/>
              </w:rPr>
              <w:fldChar w:fldCharType="begin"/>
            </w:r>
            <w:r w:rsidR="00C97F61">
              <w:rPr>
                <w:noProof/>
                <w:webHidden/>
              </w:rPr>
              <w:instrText xml:space="preserve"> PAGEREF _Toc51167335 \h </w:instrText>
            </w:r>
            <w:r w:rsidR="00C97F61">
              <w:rPr>
                <w:noProof/>
                <w:webHidden/>
              </w:rPr>
            </w:r>
            <w:r w:rsidR="00C97F61">
              <w:rPr>
                <w:noProof/>
                <w:webHidden/>
              </w:rPr>
              <w:fldChar w:fldCharType="separate"/>
            </w:r>
            <w:r w:rsidR="00C97F61">
              <w:rPr>
                <w:noProof/>
                <w:webHidden/>
              </w:rPr>
              <w:t>61</w:t>
            </w:r>
            <w:r w:rsidR="00C97F61">
              <w:rPr>
                <w:noProof/>
                <w:webHidden/>
              </w:rPr>
              <w:fldChar w:fldCharType="end"/>
            </w:r>
          </w:hyperlink>
        </w:p>
        <w:p w14:paraId="07E02927" w14:textId="12C49A7D" w:rsidR="00C97F61" w:rsidRDefault="00EE6B11">
          <w:pPr>
            <w:pStyle w:val="TOC1"/>
            <w:tabs>
              <w:tab w:val="left" w:pos="1540"/>
            </w:tabs>
            <w:rPr>
              <w:rFonts w:eastAsiaTheme="minorEastAsia" w:cstheme="minorBidi"/>
              <w:b w:val="0"/>
              <w:bCs w:val="0"/>
              <w:iCs w:val="0"/>
              <w:noProof/>
              <w:sz w:val="24"/>
              <w:lang w:eastAsia="en-GB"/>
            </w:rPr>
          </w:pPr>
          <w:hyperlink w:anchor="_Toc51167336" w:history="1">
            <w:r w:rsidR="00C97F61" w:rsidRPr="00F610F8">
              <w:rPr>
                <w:rStyle w:val="Hyperlink"/>
                <w:noProof/>
              </w:rPr>
              <w:t>Appendix IV.</w:t>
            </w:r>
            <w:r w:rsidR="00C97F61">
              <w:rPr>
                <w:rFonts w:eastAsiaTheme="minorEastAsia" w:cstheme="minorBidi"/>
                <w:b w:val="0"/>
                <w:bCs w:val="0"/>
                <w:iCs w:val="0"/>
                <w:noProof/>
                <w:sz w:val="24"/>
                <w:lang w:eastAsia="en-GB"/>
              </w:rPr>
              <w:tab/>
            </w:r>
            <w:r w:rsidR="00C97F61" w:rsidRPr="00F610F8">
              <w:rPr>
                <w:rStyle w:val="Hyperlink"/>
                <w:noProof/>
              </w:rPr>
              <w:t>Government Projects and Programmes</w:t>
            </w:r>
            <w:r w:rsidR="00C97F61">
              <w:rPr>
                <w:noProof/>
                <w:webHidden/>
              </w:rPr>
              <w:tab/>
            </w:r>
            <w:r w:rsidR="00C97F61">
              <w:rPr>
                <w:noProof/>
                <w:webHidden/>
              </w:rPr>
              <w:fldChar w:fldCharType="begin"/>
            </w:r>
            <w:r w:rsidR="00C97F61">
              <w:rPr>
                <w:noProof/>
                <w:webHidden/>
              </w:rPr>
              <w:instrText xml:space="preserve"> PAGEREF _Toc51167336 \h </w:instrText>
            </w:r>
            <w:r w:rsidR="00C97F61">
              <w:rPr>
                <w:noProof/>
                <w:webHidden/>
              </w:rPr>
            </w:r>
            <w:r w:rsidR="00C97F61">
              <w:rPr>
                <w:noProof/>
                <w:webHidden/>
              </w:rPr>
              <w:fldChar w:fldCharType="separate"/>
            </w:r>
            <w:r w:rsidR="00C97F61">
              <w:rPr>
                <w:noProof/>
                <w:webHidden/>
              </w:rPr>
              <w:t>69</w:t>
            </w:r>
            <w:r w:rsidR="00C97F61">
              <w:rPr>
                <w:noProof/>
                <w:webHidden/>
              </w:rPr>
              <w:fldChar w:fldCharType="end"/>
            </w:r>
          </w:hyperlink>
        </w:p>
        <w:p w14:paraId="3D97745A" w14:textId="3214FF98" w:rsidR="00C97F61" w:rsidRDefault="00EE6B11">
          <w:pPr>
            <w:pStyle w:val="TOC1"/>
            <w:tabs>
              <w:tab w:val="left" w:pos="1540"/>
            </w:tabs>
            <w:rPr>
              <w:rFonts w:eastAsiaTheme="minorEastAsia" w:cstheme="minorBidi"/>
              <w:b w:val="0"/>
              <w:bCs w:val="0"/>
              <w:iCs w:val="0"/>
              <w:noProof/>
              <w:sz w:val="24"/>
              <w:lang w:eastAsia="en-GB"/>
            </w:rPr>
          </w:pPr>
          <w:hyperlink w:anchor="_Toc51167337" w:history="1">
            <w:r w:rsidR="00C97F61" w:rsidRPr="00F610F8">
              <w:rPr>
                <w:rStyle w:val="Hyperlink"/>
                <w:noProof/>
                <w:lang w:val="en-GB"/>
              </w:rPr>
              <w:t>Appendix V.</w:t>
            </w:r>
            <w:r w:rsidR="00C97F61">
              <w:rPr>
                <w:rFonts w:eastAsiaTheme="minorEastAsia" w:cstheme="minorBidi"/>
                <w:b w:val="0"/>
                <w:bCs w:val="0"/>
                <w:iCs w:val="0"/>
                <w:noProof/>
                <w:sz w:val="24"/>
                <w:lang w:eastAsia="en-GB"/>
              </w:rPr>
              <w:tab/>
            </w:r>
            <w:r w:rsidR="00C97F61" w:rsidRPr="00F610F8">
              <w:rPr>
                <w:rStyle w:val="Hyperlink"/>
                <w:noProof/>
                <w:lang w:val="en-GB"/>
              </w:rPr>
              <w:t>Approach</w:t>
            </w:r>
            <w:r w:rsidR="00C97F61">
              <w:rPr>
                <w:noProof/>
                <w:webHidden/>
              </w:rPr>
              <w:tab/>
            </w:r>
            <w:r w:rsidR="00C97F61">
              <w:rPr>
                <w:noProof/>
                <w:webHidden/>
              </w:rPr>
              <w:fldChar w:fldCharType="begin"/>
            </w:r>
            <w:r w:rsidR="00C97F61">
              <w:rPr>
                <w:noProof/>
                <w:webHidden/>
              </w:rPr>
              <w:instrText xml:space="preserve"> PAGEREF _Toc51167337 \h </w:instrText>
            </w:r>
            <w:r w:rsidR="00C97F61">
              <w:rPr>
                <w:noProof/>
                <w:webHidden/>
              </w:rPr>
            </w:r>
            <w:r w:rsidR="00C97F61">
              <w:rPr>
                <w:noProof/>
                <w:webHidden/>
              </w:rPr>
              <w:fldChar w:fldCharType="separate"/>
            </w:r>
            <w:r w:rsidR="00C97F61">
              <w:rPr>
                <w:noProof/>
                <w:webHidden/>
              </w:rPr>
              <w:t>76</w:t>
            </w:r>
            <w:r w:rsidR="00C97F61">
              <w:rPr>
                <w:noProof/>
                <w:webHidden/>
              </w:rPr>
              <w:fldChar w:fldCharType="end"/>
            </w:r>
          </w:hyperlink>
        </w:p>
        <w:p w14:paraId="054A78C7" w14:textId="76578535" w:rsidR="00C42A2A" w:rsidRPr="00731DDC" w:rsidRDefault="00C42A2A" w:rsidP="00C42A2A">
          <w:pPr>
            <w:pStyle w:val="TOC1"/>
            <w:rPr>
              <w:rFonts w:eastAsiaTheme="minorEastAsia"/>
              <w:lang w:val="en-GB" w:eastAsia="en-SG"/>
            </w:rPr>
          </w:pPr>
          <w:r w:rsidRPr="00731DDC">
            <w:rPr>
              <w:lang w:val="en-GB"/>
            </w:rPr>
            <w:fldChar w:fldCharType="end"/>
          </w:r>
        </w:p>
      </w:sdtContent>
    </w:sdt>
    <w:p w14:paraId="15081574" w14:textId="77777777" w:rsidR="00C42A2A" w:rsidRPr="00731DDC" w:rsidRDefault="00C42A2A" w:rsidP="00C42A2A">
      <w:pPr>
        <w:spacing w:line="259" w:lineRule="auto"/>
        <w:rPr>
          <w:rFonts w:asciiTheme="majorHAnsi" w:eastAsiaTheme="majorEastAsia" w:hAnsiTheme="majorHAnsi" w:cstheme="majorBidi"/>
          <w:b/>
          <w:color w:val="2F5496" w:themeColor="accent1" w:themeShade="BF"/>
          <w:sz w:val="32"/>
          <w:szCs w:val="32"/>
          <w:lang w:val="en-GB"/>
        </w:rPr>
      </w:pPr>
      <w:r w:rsidRPr="00731DDC">
        <w:rPr>
          <w:lang w:val="en-GB"/>
        </w:rPr>
        <w:br w:type="page"/>
      </w:r>
    </w:p>
    <w:p w14:paraId="722BCE97" w14:textId="77777777" w:rsidR="00C42A2A" w:rsidRPr="00731DDC" w:rsidRDefault="00C42A2A" w:rsidP="00BA6842">
      <w:pPr>
        <w:pStyle w:val="Heading1"/>
        <w:numPr>
          <w:ilvl w:val="0"/>
          <w:numId w:val="0"/>
        </w:numPr>
        <w:ind w:left="720" w:hanging="720"/>
        <w:rPr>
          <w:lang w:val="en-GB"/>
        </w:rPr>
      </w:pPr>
      <w:bookmarkStart w:id="1" w:name="_Toc29210814"/>
      <w:bookmarkStart w:id="2" w:name="_Toc51167310"/>
      <w:r w:rsidRPr="00731DDC">
        <w:rPr>
          <w:lang w:val="en-GB"/>
        </w:rPr>
        <w:lastRenderedPageBreak/>
        <w:t>Executive Summary</w:t>
      </w:r>
      <w:bookmarkEnd w:id="1"/>
      <w:bookmarkEnd w:id="2"/>
    </w:p>
    <w:p w14:paraId="4F5D6914" w14:textId="77777777" w:rsidR="00BA6842" w:rsidRPr="00731DDC" w:rsidRDefault="00C42A2A" w:rsidP="005F4075">
      <w:pPr>
        <w:rPr>
          <w:lang w:val="en-GB"/>
        </w:rPr>
      </w:pPr>
      <w:bookmarkStart w:id="3" w:name="_Hlk29209397"/>
      <w:r w:rsidRPr="00731DDC">
        <w:rPr>
          <w:lang w:val="en-GB"/>
        </w:rPr>
        <w:t xml:space="preserve">The digital economies of Australia and Singapore have been growing rapidly as both countries increasingly adopt digital technologies to expand various industry sectors. The two countries already enjoy a strong trading relationship but, as this report highlights, there is significant scope to further increase and accelerate </w:t>
      </w:r>
      <w:r w:rsidRPr="00731DDC">
        <w:rPr>
          <w:i/>
          <w:iCs/>
          <w:lang w:val="en-GB"/>
        </w:rPr>
        <w:t>overall</w:t>
      </w:r>
      <w:r w:rsidRPr="00731DDC">
        <w:rPr>
          <w:lang w:val="en-GB"/>
        </w:rPr>
        <w:t xml:space="preserve"> trade between the two economies through harnessing their national digitalisation efforts. Greater use of new and emerging technologies is not only creating trade opportunities in digital goods and services, it is also increasing the trade in physical goods and services that can be delivered digitally or otherwise enhanced through digital enablers. </w:t>
      </w:r>
    </w:p>
    <w:p w14:paraId="15A173B0" w14:textId="3E25E8B6" w:rsidR="00C42A2A" w:rsidRPr="00731DDC" w:rsidRDefault="00C42A2A" w:rsidP="005F4075">
      <w:pPr>
        <w:rPr>
          <w:lang w:val="en-GB"/>
        </w:rPr>
      </w:pPr>
      <w:r w:rsidRPr="00731DDC">
        <w:rPr>
          <w:lang w:val="en-GB"/>
        </w:rPr>
        <w:t xml:space="preserve">As such in this report, we define digital trade to be more than just e-commerce, encompassing </w:t>
      </w:r>
      <w:r w:rsidR="00BA6842" w:rsidRPr="00731DDC">
        <w:rPr>
          <w:lang w:val="en-GB"/>
        </w:rPr>
        <w:t xml:space="preserve">the digitalisation of </w:t>
      </w:r>
      <w:r w:rsidRPr="00731DDC">
        <w:rPr>
          <w:lang w:val="en-GB"/>
        </w:rPr>
        <w:t xml:space="preserve">all aspects of trade </w:t>
      </w:r>
      <w:r w:rsidR="00BA6842" w:rsidRPr="00731DDC">
        <w:rPr>
          <w:lang w:val="en-GB"/>
        </w:rPr>
        <w:t xml:space="preserve">including: (i) digital goods and services; (ii) digital delivery of tangible goods and services; (iii) digital enablers of trade; and (iv) emerging </w:t>
      </w:r>
      <w:r w:rsidRPr="00731DDC">
        <w:rPr>
          <w:lang w:val="en-GB"/>
        </w:rPr>
        <w:t>technologies</w:t>
      </w:r>
      <w:r w:rsidR="00BA6842" w:rsidRPr="00731DDC">
        <w:rPr>
          <w:lang w:val="en-GB"/>
        </w:rPr>
        <w:t xml:space="preserve"> that have the potential to significantly transform trade in terms of speed, scale, and scope.</w:t>
      </w:r>
    </w:p>
    <w:p w14:paraId="6DDFF217" w14:textId="77777777" w:rsidR="00C42A2A" w:rsidRPr="00731DDC" w:rsidRDefault="00C42A2A" w:rsidP="005F4075">
      <w:pPr>
        <w:rPr>
          <w:lang w:val="en-GB"/>
        </w:rPr>
      </w:pPr>
      <w:bookmarkStart w:id="4" w:name="_Hlk32824039"/>
      <w:r w:rsidRPr="00731DDC">
        <w:rPr>
          <w:lang w:val="en-GB"/>
        </w:rPr>
        <w:t xml:space="preserve">Singapore is Australia’s </w:t>
      </w:r>
      <w:r w:rsidRPr="00731DDC">
        <w:rPr>
          <w:iCs/>
          <w:lang w:val="en-GB"/>
        </w:rPr>
        <w:t>fifth</w:t>
      </w:r>
      <w:r w:rsidRPr="00731DDC">
        <w:rPr>
          <w:lang w:val="en-GB"/>
        </w:rPr>
        <w:t xml:space="preserve"> largest trade partner and bilateral trade was estimated to be AUD25.9bn in 2019.</w:t>
      </w:r>
      <w:r w:rsidRPr="00731DDC">
        <w:rPr>
          <w:rStyle w:val="FootnoteReference"/>
          <w:lang w:val="en-GB"/>
        </w:rPr>
        <w:footnoteReference w:id="2"/>
      </w:r>
      <w:r w:rsidRPr="00731DDC">
        <w:rPr>
          <w:lang w:val="en-GB"/>
        </w:rPr>
        <w:t xml:space="preserve"> </w:t>
      </w:r>
      <w:bookmarkStart w:id="6" w:name="_Hlk31876695"/>
      <w:bookmarkStart w:id="7" w:name="_Hlk32398576"/>
      <w:r w:rsidRPr="00731DDC">
        <w:rPr>
          <w:lang w:val="en-GB"/>
        </w:rPr>
        <w:t xml:space="preserve">Singapore is Australia’s </w:t>
      </w:r>
      <w:r w:rsidRPr="00731DDC">
        <w:rPr>
          <w:iCs/>
          <w:lang w:val="en-GB"/>
        </w:rPr>
        <w:t>sixth</w:t>
      </w:r>
      <w:r w:rsidRPr="00731DDC">
        <w:rPr>
          <w:lang w:val="en-GB"/>
        </w:rPr>
        <w:t xml:space="preserve"> largest investor with AUD85.4bn</w:t>
      </w:r>
      <w:r w:rsidRPr="00731DDC">
        <w:rPr>
          <w:rStyle w:val="FootnoteReference"/>
          <w:lang w:val="en-GB"/>
        </w:rPr>
        <w:footnoteReference w:id="3"/>
      </w:r>
      <w:r w:rsidRPr="00731DDC">
        <w:rPr>
          <w:lang w:val="en-GB"/>
        </w:rPr>
        <w:t xml:space="preserve"> worth of investments in 2019. Australia is equally important to Singapore, being its fourth largest trading partne</w:t>
      </w:r>
      <w:bookmarkEnd w:id="6"/>
      <w:r w:rsidRPr="00731DDC">
        <w:rPr>
          <w:lang w:val="en-GB"/>
        </w:rPr>
        <w:t>r for exports.</w:t>
      </w:r>
      <w:r w:rsidRPr="00731DDC">
        <w:rPr>
          <w:rStyle w:val="FootnoteReference"/>
          <w:lang w:val="en-GB"/>
        </w:rPr>
        <w:footnoteReference w:id="4"/>
      </w:r>
      <w:r w:rsidRPr="00731DDC">
        <w:rPr>
          <w:lang w:val="en-GB"/>
        </w:rPr>
        <w:t xml:space="preserve"> </w:t>
      </w:r>
      <w:bookmarkEnd w:id="4"/>
      <w:bookmarkEnd w:id="7"/>
      <w:r w:rsidRPr="00731DDC">
        <w:rPr>
          <w:lang w:val="en-GB"/>
        </w:rPr>
        <w:t xml:space="preserve">The trading partnership has been facilitated by the </w:t>
      </w:r>
      <w:r w:rsidRPr="00731DDC">
        <w:rPr>
          <w:i/>
          <w:iCs/>
          <w:lang w:val="en-GB"/>
        </w:rPr>
        <w:t>Singapore-Australia Free Trade Agreement (SAFTA)</w:t>
      </w:r>
      <w:r w:rsidRPr="00731DDC">
        <w:rPr>
          <w:lang w:val="en-GB"/>
        </w:rPr>
        <w:t>,</w:t>
      </w:r>
      <w:r w:rsidRPr="00731DDC">
        <w:rPr>
          <w:rStyle w:val="FootnoteReference"/>
          <w:lang w:val="en-GB"/>
        </w:rPr>
        <w:footnoteReference w:id="5"/>
      </w:r>
      <w:r w:rsidRPr="00731DDC">
        <w:rPr>
          <w:lang w:val="en-GB"/>
        </w:rPr>
        <w:t xml:space="preserve"> first signed in 2003, with the </w:t>
      </w:r>
      <w:r w:rsidRPr="00731DDC">
        <w:rPr>
          <w:i/>
          <w:iCs/>
          <w:lang w:val="en-GB"/>
        </w:rPr>
        <w:t>Singapore-Australia Digital Economy Agreement (DEA</w:t>
      </w:r>
      <w:r w:rsidRPr="00731DDC">
        <w:rPr>
          <w:lang w:val="en-GB"/>
        </w:rPr>
        <w:t>)</w:t>
      </w:r>
      <w:r w:rsidRPr="00731DDC">
        <w:rPr>
          <w:rStyle w:val="FootnoteReference"/>
          <w:lang w:val="en-GB"/>
        </w:rPr>
        <w:footnoteReference w:id="6"/>
      </w:r>
      <w:r w:rsidRPr="00731DDC">
        <w:rPr>
          <w:lang w:val="en-GB"/>
        </w:rPr>
        <w:t xml:space="preserve"> now aiming to deepen bilateral digital economy collaboration and enhance digital connectivity. </w:t>
      </w:r>
    </w:p>
    <w:p w14:paraId="43573D50" w14:textId="545BD3BC" w:rsidR="00C42A2A" w:rsidRPr="00731DDC" w:rsidRDefault="00C42A2A" w:rsidP="005F4075">
      <w:pPr>
        <w:rPr>
          <w:b/>
          <w:bCs/>
          <w:lang w:val="en-GB"/>
        </w:rPr>
      </w:pPr>
      <w:bookmarkStart w:id="8" w:name="_Hlk38912580"/>
      <w:r w:rsidRPr="00731DDC">
        <w:rPr>
          <w:lang w:val="en-GB"/>
        </w:rPr>
        <w:t xml:space="preserve">Digital technologies can significantly lower barriers to trade, improve trade efficiencies and open access to markets, creating new trade possibilities. </w:t>
      </w:r>
      <w:bookmarkStart w:id="9" w:name="_Hlk46827629"/>
      <w:r w:rsidRPr="00731DDC">
        <w:rPr>
          <w:lang w:val="en-GB"/>
        </w:rPr>
        <w:t>For Australia</w:t>
      </w:r>
      <w:r w:rsidR="00947649">
        <w:rPr>
          <w:lang w:val="en-GB"/>
        </w:rPr>
        <w:t>,</w:t>
      </w:r>
      <w:r w:rsidRPr="00731DDC">
        <w:rPr>
          <w:lang w:val="en-GB"/>
        </w:rPr>
        <w:t xml:space="preserve"> this report estimates that</w:t>
      </w:r>
      <w:r w:rsidR="00947649">
        <w:rPr>
          <w:lang w:val="en-GB"/>
        </w:rPr>
        <w:t>—</w:t>
      </w:r>
      <w:r w:rsidRPr="00731DDC">
        <w:rPr>
          <w:lang w:val="en-GB"/>
        </w:rPr>
        <w:t>at a minimum</w:t>
      </w:r>
      <w:r w:rsidR="00947649">
        <w:rPr>
          <w:lang w:val="en-GB"/>
        </w:rPr>
        <w:t>—</w:t>
      </w:r>
      <w:r w:rsidRPr="00731DDC">
        <w:rPr>
          <w:lang w:val="en-GB"/>
        </w:rPr>
        <w:t xml:space="preserve">digital trade could increase to a total projected </w:t>
      </w:r>
      <w:r w:rsidRPr="00731DDC">
        <w:rPr>
          <w:b/>
          <w:bCs/>
          <w:lang w:val="en-GB"/>
        </w:rPr>
        <w:t>AUD216.2bn by 2030</w:t>
      </w:r>
      <w:r w:rsidRPr="00731DDC">
        <w:rPr>
          <w:lang w:val="en-GB"/>
        </w:rPr>
        <w:t>, while for</w:t>
      </w:r>
      <w:r w:rsidRPr="00731DDC">
        <w:rPr>
          <w:b/>
          <w:bCs/>
          <w:lang w:val="en-GB"/>
        </w:rPr>
        <w:t xml:space="preserve"> </w:t>
      </w:r>
      <w:r w:rsidRPr="00731DDC">
        <w:rPr>
          <w:lang w:val="en-GB"/>
        </w:rPr>
        <w:t xml:space="preserve">Singapore, a similar totalling of digital trade components could conservatively reach </w:t>
      </w:r>
      <w:r w:rsidRPr="00731DDC">
        <w:rPr>
          <w:b/>
          <w:bCs/>
          <w:lang w:val="en-GB"/>
        </w:rPr>
        <w:t>AUD95.6bn by 2030</w:t>
      </w:r>
      <w:r w:rsidRPr="00731DDC">
        <w:rPr>
          <w:lang w:val="en-GB"/>
        </w:rPr>
        <w:t xml:space="preserve">. This suggests that the economic value of digital trade has the potential to increase </w:t>
      </w:r>
      <w:r w:rsidRPr="00731DDC">
        <w:rPr>
          <w:b/>
          <w:bCs/>
          <w:lang w:val="en-GB"/>
        </w:rPr>
        <w:t>60% and 70% for Australia and Singapore respectively</w:t>
      </w:r>
      <w:bookmarkEnd w:id="8"/>
      <w:r w:rsidRPr="00731DDC">
        <w:rPr>
          <w:lang w:val="en-GB"/>
        </w:rPr>
        <w:t xml:space="preserve">. </w:t>
      </w:r>
      <w:bookmarkEnd w:id="3"/>
    </w:p>
    <w:bookmarkEnd w:id="9"/>
    <w:p w14:paraId="04D801B4" w14:textId="77777777" w:rsidR="00C42A2A" w:rsidRPr="00731DDC" w:rsidRDefault="00C42A2A" w:rsidP="005F4075">
      <w:pPr>
        <w:rPr>
          <w:lang w:val="en-GB"/>
        </w:rPr>
      </w:pPr>
      <w:r w:rsidRPr="00731DDC">
        <w:rPr>
          <w:lang w:val="en-GB"/>
        </w:rPr>
        <w:t xml:space="preserve">While digital economies and the flow of data grows, approaches to implementing new digital technologies are becoming more complex and, in some cases, divergent. New standards are being created by domestic standards bodies in order to put in place safeguards for government agencies, businesses and consumers that use digital technologies. While there are benefits to setting standards and there may be valid regulatory objectives, there is a risk that national efforts may create barriers that impede trade. It could lead to disparate technologies and platforms that are unconnected and unable to facilitate a seamless flow of cross-border trade. </w:t>
      </w:r>
      <w:bookmarkStart w:id="10" w:name="_Hlk45103603"/>
    </w:p>
    <w:p w14:paraId="6DC60F7C" w14:textId="1B420F13" w:rsidR="00C42A2A" w:rsidRPr="00731DDC" w:rsidRDefault="00C42A2A" w:rsidP="005F4075">
      <w:pPr>
        <w:rPr>
          <w:lang w:val="en-GB"/>
        </w:rPr>
      </w:pPr>
      <w:r w:rsidRPr="00731DDC">
        <w:rPr>
          <w:lang w:val="en-GB"/>
        </w:rPr>
        <w:t xml:space="preserve">To maximise the gains from digital trade, </w:t>
      </w:r>
      <w:r w:rsidR="00AC3396">
        <w:rPr>
          <w:lang w:val="en-GB"/>
        </w:rPr>
        <w:t xml:space="preserve">it is recommended that </w:t>
      </w:r>
      <w:r w:rsidRPr="00731DDC">
        <w:rPr>
          <w:lang w:val="en-GB"/>
        </w:rPr>
        <w:t xml:space="preserve">both countries </w:t>
      </w:r>
      <w:bookmarkEnd w:id="10"/>
      <w:r w:rsidRPr="00731DDC">
        <w:rPr>
          <w:lang w:val="en-GB"/>
        </w:rPr>
        <w:t xml:space="preserve">should: </w:t>
      </w:r>
    </w:p>
    <w:p w14:paraId="624CF19E" w14:textId="77777777" w:rsidR="00C42A2A" w:rsidRPr="00731DDC" w:rsidRDefault="00C42A2A" w:rsidP="001F09E1">
      <w:pPr>
        <w:pStyle w:val="ListParagraph"/>
        <w:numPr>
          <w:ilvl w:val="0"/>
          <w:numId w:val="18"/>
        </w:numPr>
        <w:spacing w:before="0" w:after="160" w:line="276" w:lineRule="auto"/>
        <w:contextualSpacing/>
        <w:rPr>
          <w:lang w:val="en-GB"/>
        </w:rPr>
      </w:pPr>
      <w:r w:rsidRPr="00731DDC">
        <w:rPr>
          <w:lang w:val="en-GB"/>
        </w:rPr>
        <w:lastRenderedPageBreak/>
        <w:t xml:space="preserve">Explicitly recognise the enhancing economic value of digital trade and its enormous promise for economic growth and prosperity; </w:t>
      </w:r>
    </w:p>
    <w:p w14:paraId="3CDE380E" w14:textId="77777777" w:rsidR="00C42A2A" w:rsidRPr="00731DDC" w:rsidRDefault="00C42A2A" w:rsidP="001F09E1">
      <w:pPr>
        <w:pStyle w:val="ListParagraph"/>
        <w:numPr>
          <w:ilvl w:val="0"/>
          <w:numId w:val="18"/>
        </w:numPr>
        <w:spacing w:before="0" w:after="160" w:line="276" w:lineRule="auto"/>
        <w:contextualSpacing/>
        <w:rPr>
          <w:lang w:val="en-GB"/>
        </w:rPr>
      </w:pPr>
      <w:r w:rsidRPr="00731DDC">
        <w:rPr>
          <w:lang w:val="en-GB"/>
        </w:rPr>
        <w:t xml:space="preserve">Understand that digital trade encompasses </w:t>
      </w:r>
      <w:r w:rsidRPr="00731DDC">
        <w:rPr>
          <w:i/>
          <w:iCs/>
          <w:lang w:val="en-GB"/>
        </w:rPr>
        <w:t>physical</w:t>
      </w:r>
      <w:r w:rsidRPr="00731DDC">
        <w:rPr>
          <w:lang w:val="en-GB"/>
        </w:rPr>
        <w:t xml:space="preserve"> trade facilitation as well as trade in digital goods and technologies; </w:t>
      </w:r>
    </w:p>
    <w:p w14:paraId="34193C04" w14:textId="77777777" w:rsidR="00C42A2A" w:rsidRPr="00731DDC" w:rsidRDefault="00C42A2A" w:rsidP="001F09E1">
      <w:pPr>
        <w:pStyle w:val="ListParagraph"/>
        <w:numPr>
          <w:ilvl w:val="0"/>
          <w:numId w:val="18"/>
        </w:numPr>
        <w:spacing w:before="0" w:after="160" w:line="276" w:lineRule="auto"/>
        <w:contextualSpacing/>
        <w:rPr>
          <w:lang w:val="en-GB"/>
        </w:rPr>
      </w:pPr>
      <w:r w:rsidRPr="00731DDC">
        <w:rPr>
          <w:lang w:val="en-GB"/>
        </w:rPr>
        <w:t>Identify areas of cooperation on digital trade and digital trade standards of mutual benefit to both economies so as to ensure increases in trade; and</w:t>
      </w:r>
    </w:p>
    <w:p w14:paraId="47203181" w14:textId="77777777" w:rsidR="00C42A2A" w:rsidRPr="00731DDC" w:rsidRDefault="00C42A2A" w:rsidP="001F09E1">
      <w:pPr>
        <w:pStyle w:val="ListParagraph"/>
        <w:numPr>
          <w:ilvl w:val="0"/>
          <w:numId w:val="18"/>
        </w:numPr>
        <w:spacing w:before="0" w:after="160" w:line="276" w:lineRule="auto"/>
        <w:contextualSpacing/>
        <w:rPr>
          <w:lang w:val="en-GB"/>
        </w:rPr>
      </w:pPr>
      <w:r w:rsidRPr="00731DDC">
        <w:rPr>
          <w:lang w:val="en-GB"/>
        </w:rPr>
        <w:t xml:space="preserve">Focus on participation in international standards settings and adoption, so as to accelerate digital trade availability and growth. </w:t>
      </w:r>
    </w:p>
    <w:p w14:paraId="3655FF71" w14:textId="77777777" w:rsidR="00583622" w:rsidRPr="00731DDC" w:rsidRDefault="00C42A2A" w:rsidP="005F4075">
      <w:pPr>
        <w:rPr>
          <w:lang w:val="en-GB"/>
        </w:rPr>
      </w:pPr>
      <w:r w:rsidRPr="00731DDC">
        <w:rPr>
          <w:lang w:val="en-GB"/>
        </w:rPr>
        <w:t xml:space="preserve">This last point is particularly important, for as this report illustrates, in digital trade, standards are often coming to play the role that regulation has traditionally played: facilitating market access and participation, reducing compliance costs, and ensuring competition. </w:t>
      </w:r>
    </w:p>
    <w:p w14:paraId="391809B7" w14:textId="3722E40A" w:rsidR="00C42A2A" w:rsidRPr="00731DDC" w:rsidRDefault="00C42A2A" w:rsidP="005F4075">
      <w:pPr>
        <w:rPr>
          <w:lang w:val="en-GB"/>
        </w:rPr>
      </w:pPr>
      <w:r w:rsidRPr="00731DDC">
        <w:rPr>
          <w:lang w:val="en-GB"/>
        </w:rPr>
        <w:t xml:space="preserve">This report </w:t>
      </w:r>
      <w:r w:rsidR="00AC3396">
        <w:rPr>
          <w:lang w:val="en-GB"/>
        </w:rPr>
        <w:t>recommends</w:t>
      </w:r>
      <w:r w:rsidRPr="00731DDC">
        <w:rPr>
          <w:lang w:val="en-GB"/>
        </w:rPr>
        <w:t xml:space="preserve"> </w:t>
      </w:r>
      <w:r w:rsidRPr="00731DDC">
        <w:rPr>
          <w:b/>
          <w:bCs/>
          <w:lang w:val="en-GB"/>
        </w:rPr>
        <w:t>ten areas of mutual benefit</w:t>
      </w:r>
      <w:r w:rsidRPr="00731DDC">
        <w:rPr>
          <w:lang w:val="en-GB"/>
        </w:rPr>
        <w:t xml:space="preserve"> where Australia and Singapore can work on specific projects and programmes and align on international standards. These are listed below in </w:t>
      </w:r>
      <w:r w:rsidRPr="00731DDC">
        <w:rPr>
          <w:lang w:val="en-GB"/>
        </w:rPr>
        <w:fldChar w:fldCharType="begin"/>
      </w:r>
      <w:r w:rsidRPr="00731DDC">
        <w:rPr>
          <w:lang w:val="en-GB"/>
        </w:rPr>
        <w:instrText xml:space="preserve"> REF _Ref40872535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1</w:t>
      </w:r>
      <w:r w:rsidRPr="00731DDC">
        <w:rPr>
          <w:lang w:val="en-GB"/>
        </w:rPr>
        <w:fldChar w:fldCharType="end"/>
      </w:r>
      <w:r w:rsidRPr="00731DDC">
        <w:rPr>
          <w:lang w:val="en-GB"/>
        </w:rPr>
        <w:t xml:space="preserve">, </w:t>
      </w:r>
      <w:r w:rsidR="00583622" w:rsidRPr="00731DDC">
        <w:rPr>
          <w:lang w:val="en-GB"/>
        </w:rPr>
        <w:t xml:space="preserve">and </w:t>
      </w:r>
      <w:r w:rsidRPr="00731DDC">
        <w:rPr>
          <w:lang w:val="en-GB"/>
        </w:rPr>
        <w:t xml:space="preserve">set out in further detail in </w:t>
      </w:r>
      <w:r w:rsidRPr="00731DDC">
        <w:rPr>
          <w:lang w:val="en-GB"/>
        </w:rPr>
        <w:fldChar w:fldCharType="begin"/>
      </w:r>
      <w:r w:rsidRPr="00731DDC">
        <w:rPr>
          <w:lang w:val="en-GB"/>
        </w:rPr>
        <w:instrText xml:space="preserve"> REF _Ref45799888 \h  \* MERGEFORMAT </w:instrText>
      </w:r>
      <w:r w:rsidRPr="00731DDC">
        <w:rPr>
          <w:lang w:val="en-GB"/>
        </w:rPr>
      </w:r>
      <w:r w:rsidRPr="00731DDC">
        <w:rPr>
          <w:lang w:val="en-GB"/>
        </w:rPr>
        <w:fldChar w:fldCharType="separate"/>
      </w:r>
      <w:r w:rsidR="00C9081C" w:rsidRPr="00731DDC">
        <w:rPr>
          <w:lang w:val="en-GB"/>
        </w:rPr>
        <w:t xml:space="preserve">Table </w:t>
      </w:r>
      <w:r w:rsidR="00C9081C">
        <w:rPr>
          <w:lang w:val="en-GB"/>
        </w:rPr>
        <w:t>1</w:t>
      </w:r>
      <w:r w:rsidRPr="00731DDC">
        <w:rPr>
          <w:lang w:val="en-GB"/>
        </w:rPr>
        <w:fldChar w:fldCharType="end"/>
      </w:r>
      <w:r w:rsidR="00583622" w:rsidRPr="00731DDC">
        <w:rPr>
          <w:lang w:val="en-GB"/>
        </w:rPr>
        <w:t>,</w:t>
      </w:r>
      <w:r w:rsidRPr="00731DDC">
        <w:rPr>
          <w:lang w:val="en-GB"/>
        </w:rPr>
        <w:t xml:space="preserve"> and throughout the report. </w:t>
      </w:r>
    </w:p>
    <w:p w14:paraId="6A3981E0" w14:textId="77777777" w:rsidR="00C42A2A" w:rsidRPr="00731DDC" w:rsidRDefault="00C42A2A" w:rsidP="005F4075">
      <w:pPr>
        <w:rPr>
          <w:lang w:val="en-GB"/>
        </w:rPr>
      </w:pPr>
      <w:r w:rsidRPr="00731DDC">
        <w:rPr>
          <w:lang w:val="en-GB"/>
        </w:rPr>
        <w:t xml:space="preserve">Cooperation between government agencies is critical in assessing areas for alignment, knowledge sharing, and prioritisation. Notably, some agencies in Australia and Singapore have already begun collaborating. </w:t>
      </w:r>
    </w:p>
    <w:p w14:paraId="2A0AEEE0" w14:textId="50931C63" w:rsidR="00F47027" w:rsidRPr="00731DDC" w:rsidRDefault="00C42A2A" w:rsidP="007C0781">
      <w:pPr>
        <w:pStyle w:val="Caption"/>
        <w:rPr>
          <w:lang w:val="en-GB"/>
        </w:rPr>
      </w:pPr>
      <w:bookmarkStart w:id="11" w:name="_Ref40872535"/>
      <w:r w:rsidRPr="00731DDC">
        <w:rPr>
          <w:lang w:val="en-GB"/>
        </w:rPr>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1</w:t>
      </w:r>
      <w:r w:rsidRPr="00731DDC">
        <w:rPr>
          <w:lang w:val="en-GB"/>
        </w:rPr>
        <w:fldChar w:fldCharType="end"/>
      </w:r>
      <w:bookmarkEnd w:id="11"/>
      <w:r w:rsidRPr="00731DDC">
        <w:rPr>
          <w:lang w:val="en-GB"/>
        </w:rPr>
        <w:t xml:space="preserve">: </w:t>
      </w:r>
      <w:r w:rsidR="00AC3396">
        <w:rPr>
          <w:lang w:val="en-GB"/>
        </w:rPr>
        <w:t xml:space="preserve">Recommended Priorities for </w:t>
      </w:r>
      <w:r w:rsidRPr="00731DDC">
        <w:rPr>
          <w:lang w:val="en-GB"/>
        </w:rPr>
        <w:t>Cooperation</w:t>
      </w:r>
    </w:p>
    <w:p w14:paraId="034481FF" w14:textId="575938A6" w:rsidR="00F47027" w:rsidRPr="00731DDC" w:rsidRDefault="00F47027" w:rsidP="00F47027">
      <w:pPr>
        <w:jc w:val="center"/>
        <w:rPr>
          <w:lang w:val="en-GB"/>
        </w:rPr>
      </w:pPr>
      <w:r w:rsidRPr="00731DDC">
        <w:rPr>
          <w:noProof/>
          <w:lang w:val="en-AU" w:eastAsia="en-AU"/>
        </w:rPr>
        <w:drawing>
          <wp:inline distT="0" distB="0" distL="0" distR="0" wp14:anchorId="14DF29C0" wp14:editId="501B4E83">
            <wp:extent cx="5731510" cy="2383155"/>
            <wp:effectExtent l="0" t="0" r="0" b="4445"/>
            <wp:docPr id="9" name="Picture 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ocial media pos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2383155"/>
                    </a:xfrm>
                    <a:prstGeom prst="rect">
                      <a:avLst/>
                    </a:prstGeom>
                  </pic:spPr>
                </pic:pic>
              </a:graphicData>
            </a:graphic>
          </wp:inline>
        </w:drawing>
      </w:r>
    </w:p>
    <w:p w14:paraId="4BA7B41A" w14:textId="77777777" w:rsidR="00F47027" w:rsidRPr="00731DDC" w:rsidRDefault="00F47027" w:rsidP="00C42A2A">
      <w:pPr>
        <w:spacing w:line="276" w:lineRule="auto"/>
        <w:rPr>
          <w:lang w:val="en-GB"/>
        </w:rPr>
      </w:pPr>
      <w:bookmarkStart w:id="12" w:name="_Hlk46822315"/>
      <w:bookmarkStart w:id="13" w:name="_Hlk38966947"/>
    </w:p>
    <w:p w14:paraId="6B2B8AA7" w14:textId="571B415F" w:rsidR="00C42A2A" w:rsidRPr="00731DDC" w:rsidRDefault="00C42A2A" w:rsidP="005F4075">
      <w:pPr>
        <w:rPr>
          <w:lang w:val="en-GB"/>
        </w:rPr>
      </w:pPr>
      <w:r w:rsidRPr="00731DDC">
        <w:rPr>
          <w:lang w:val="en-GB"/>
        </w:rPr>
        <w:t xml:space="preserve">These efforts should add to those of the current prioritisation focus by Standards Australia and Enterprise Singapore on </w:t>
      </w:r>
      <w:r w:rsidRPr="00731DDC">
        <w:rPr>
          <w:b/>
          <w:bCs/>
          <w:lang w:val="en-GB"/>
        </w:rPr>
        <w:t>AI, distributed ledger technology (DLT) which includes blockchain technology, and smart cities</w:t>
      </w:r>
      <w:r w:rsidRPr="00731DDC">
        <w:rPr>
          <w:lang w:val="en-GB"/>
        </w:rPr>
        <w:t xml:space="preserve">. We recommend continuing and accelerating cooperation in these three areas, and expanding the focus to encompass a portfolio of standards that will accelerate overall trade beyond a </w:t>
      </w:r>
      <w:r w:rsidR="00583622" w:rsidRPr="00731DDC">
        <w:rPr>
          <w:lang w:val="en-GB"/>
        </w:rPr>
        <w:t>select</w:t>
      </w:r>
      <w:r w:rsidRPr="00731DDC">
        <w:rPr>
          <w:lang w:val="en-GB"/>
        </w:rPr>
        <w:t xml:space="preserve"> group of disruptive technologies. </w:t>
      </w:r>
    </w:p>
    <w:p w14:paraId="00730A4E" w14:textId="77777777" w:rsidR="00C42A2A" w:rsidRPr="00731DDC" w:rsidRDefault="00C42A2A" w:rsidP="005F4075">
      <w:pPr>
        <w:rPr>
          <w:lang w:val="en-GB"/>
        </w:rPr>
      </w:pPr>
      <w:r w:rsidRPr="00731DDC">
        <w:rPr>
          <w:lang w:val="en-GB"/>
        </w:rPr>
        <w:t>The aim is to create a ‘culture of alignment’ among government agencies and businesses in using technologies that are interconnected and interoperable. Without this focus the gains from digital trade cannot be maximised.</w:t>
      </w:r>
    </w:p>
    <w:bookmarkEnd w:id="12"/>
    <w:p w14:paraId="585EF986" w14:textId="77777777" w:rsidR="00C42A2A" w:rsidRPr="00731DDC" w:rsidRDefault="00C42A2A" w:rsidP="00C42A2A">
      <w:pPr>
        <w:spacing w:line="276" w:lineRule="auto"/>
        <w:rPr>
          <w:rFonts w:ascii="Calibri" w:eastAsia="Calibri" w:hAnsi="Calibri" w:cs="Arial"/>
          <w:lang w:val="en-GB"/>
        </w:rPr>
        <w:sectPr w:rsidR="00C42A2A" w:rsidRPr="00731DDC" w:rsidSect="00BA6842">
          <w:headerReference w:type="even" r:id="rId11"/>
          <w:headerReference w:type="default" r:id="rId12"/>
          <w:footerReference w:type="even" r:id="rId13"/>
          <w:footerReference w:type="default" r:id="rId14"/>
          <w:headerReference w:type="first" r:id="rId15"/>
          <w:footerReference w:type="first" r:id="rId16"/>
          <w:pgSz w:w="11906" w:h="16838" w:code="9"/>
          <w:pgMar w:top="1048" w:right="1440" w:bottom="976" w:left="1440" w:header="720" w:footer="440" w:gutter="0"/>
          <w:cols w:space="720"/>
          <w:titlePg/>
          <w:docGrid w:linePitch="360"/>
        </w:sectPr>
      </w:pPr>
    </w:p>
    <w:p w14:paraId="4E976372" w14:textId="558646CE" w:rsidR="00C42A2A" w:rsidRPr="00731DDC" w:rsidRDefault="00C42A2A" w:rsidP="007C0781">
      <w:pPr>
        <w:pStyle w:val="Caption"/>
        <w:rPr>
          <w:lang w:val="en-GB"/>
        </w:rPr>
      </w:pPr>
      <w:bookmarkStart w:id="14" w:name="_Ref45799888"/>
      <w:r w:rsidRPr="00731DDC">
        <w:rPr>
          <w:lang w:val="en-GB"/>
        </w:rPr>
        <w:lastRenderedPageBreak/>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1</w:t>
      </w:r>
      <w:r w:rsidRPr="00731DDC">
        <w:rPr>
          <w:lang w:val="en-GB"/>
        </w:rPr>
        <w:fldChar w:fldCharType="end"/>
      </w:r>
      <w:bookmarkEnd w:id="14"/>
      <w:r w:rsidRPr="00731DDC">
        <w:rPr>
          <w:lang w:val="en-GB"/>
        </w:rPr>
        <w:t xml:space="preserve">: </w:t>
      </w:r>
      <w:r w:rsidR="00AC3396">
        <w:rPr>
          <w:lang w:val="en-GB"/>
        </w:rPr>
        <w:t>Recommended Priorities for</w:t>
      </w:r>
      <w:r w:rsidRPr="00731DDC">
        <w:rPr>
          <w:lang w:val="en-GB"/>
        </w:rPr>
        <w:t xml:space="preserve"> Cooperation for Australia and Singapore</w:t>
      </w:r>
    </w:p>
    <w:tbl>
      <w:tblPr>
        <w:tblStyle w:val="GridTable4-Accent110"/>
        <w:tblW w:w="10485"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838"/>
        <w:gridCol w:w="4253"/>
        <w:gridCol w:w="2126"/>
        <w:gridCol w:w="2268"/>
      </w:tblGrid>
      <w:tr w:rsidR="00C42A2A" w:rsidRPr="00731DDC" w14:paraId="63B937AE" w14:textId="77777777" w:rsidTr="00C9081C">
        <w:trPr>
          <w:cnfStyle w:val="100000000000" w:firstRow="1" w:lastRow="0" w:firstColumn="0" w:lastColumn="0" w:oddVBand="0" w:evenVBand="0" w:oddHBand="0" w:evenHBand="0" w:firstRowFirstColumn="0" w:firstRowLastColumn="0" w:lastRowFirstColumn="0" w:lastRowLastColumn="0"/>
          <w:trHeight w:val="577"/>
          <w:tblHeader/>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14:paraId="20CEE295" w14:textId="1B5738BC" w:rsidR="00C42A2A" w:rsidRPr="00731DDC" w:rsidRDefault="00AC3396" w:rsidP="003A2D41">
            <w:pPr>
              <w:spacing w:before="40" w:afterLines="40" w:after="96"/>
              <w:jc w:val="center"/>
              <w:rPr>
                <w:rFonts w:ascii="Calibri" w:eastAsia="Calibri" w:hAnsi="Calibri" w:cs="Arial"/>
                <w:sz w:val="20"/>
                <w:szCs w:val="21"/>
                <w:lang w:val="en-GB"/>
              </w:rPr>
            </w:pPr>
            <w:r>
              <w:rPr>
                <w:rFonts w:ascii="Calibri" w:eastAsia="Calibri" w:hAnsi="Calibri" w:cs="Arial"/>
                <w:sz w:val="20"/>
                <w:szCs w:val="21"/>
                <w:lang w:val="en-GB"/>
              </w:rPr>
              <w:t xml:space="preserve">Recommended Priorities for </w:t>
            </w:r>
            <w:r w:rsidR="00C42A2A" w:rsidRPr="00731DDC">
              <w:rPr>
                <w:rFonts w:ascii="Calibri" w:eastAsia="Calibri" w:hAnsi="Calibri" w:cs="Arial"/>
                <w:sz w:val="20"/>
                <w:szCs w:val="21"/>
                <w:lang w:val="en-GB"/>
              </w:rPr>
              <w:t>Cooperation</w:t>
            </w:r>
          </w:p>
        </w:tc>
        <w:tc>
          <w:tcPr>
            <w:tcW w:w="4253" w:type="dxa"/>
            <w:tcBorders>
              <w:top w:val="none" w:sz="0" w:space="0" w:color="auto"/>
              <w:left w:val="none" w:sz="0" w:space="0" w:color="auto"/>
              <w:bottom w:val="none" w:sz="0" w:space="0" w:color="auto"/>
              <w:right w:val="none" w:sz="0" w:space="0" w:color="auto"/>
            </w:tcBorders>
            <w:vAlign w:val="center"/>
          </w:tcPr>
          <w:p w14:paraId="3BD7439F" w14:textId="439C7BBA" w:rsidR="00C42A2A" w:rsidRPr="00731DDC" w:rsidRDefault="00C42A2A" w:rsidP="003A2D41">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 xml:space="preserve">Expected Benefits and </w:t>
            </w:r>
            <w:r w:rsidR="00D5481B">
              <w:rPr>
                <w:rFonts w:ascii="Calibri" w:eastAsia="Calibri" w:hAnsi="Calibri" w:cs="Arial"/>
                <w:sz w:val="20"/>
                <w:szCs w:val="21"/>
                <w:lang w:val="en-GB"/>
              </w:rPr>
              <w:br/>
            </w:r>
            <w:r w:rsidRPr="00731DDC">
              <w:rPr>
                <w:rFonts w:ascii="Calibri" w:eastAsia="Calibri" w:hAnsi="Calibri" w:cs="Arial"/>
                <w:sz w:val="20"/>
                <w:szCs w:val="21"/>
                <w:lang w:val="en-GB"/>
              </w:rPr>
              <w:t>Rationale for Prioritisation</w:t>
            </w:r>
          </w:p>
        </w:tc>
        <w:tc>
          <w:tcPr>
            <w:tcW w:w="2126" w:type="dxa"/>
            <w:tcBorders>
              <w:top w:val="none" w:sz="0" w:space="0" w:color="auto"/>
              <w:left w:val="none" w:sz="0" w:space="0" w:color="auto"/>
              <w:bottom w:val="none" w:sz="0" w:space="0" w:color="auto"/>
              <w:right w:val="none" w:sz="0" w:space="0" w:color="auto"/>
            </w:tcBorders>
            <w:vAlign w:val="center"/>
          </w:tcPr>
          <w:p w14:paraId="4C4A0E44" w14:textId="77777777" w:rsidR="00C42A2A" w:rsidRPr="00731DDC" w:rsidRDefault="00C42A2A" w:rsidP="003A2D41">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Estimated Economic Benefit</w:t>
            </w:r>
          </w:p>
        </w:tc>
        <w:tc>
          <w:tcPr>
            <w:tcW w:w="2268" w:type="dxa"/>
            <w:tcBorders>
              <w:top w:val="none" w:sz="0" w:space="0" w:color="auto"/>
              <w:left w:val="none" w:sz="0" w:space="0" w:color="auto"/>
              <w:bottom w:val="none" w:sz="0" w:space="0" w:color="auto"/>
              <w:right w:val="none" w:sz="0" w:space="0" w:color="auto"/>
            </w:tcBorders>
            <w:vAlign w:val="center"/>
          </w:tcPr>
          <w:p w14:paraId="501228EF" w14:textId="77777777" w:rsidR="00C42A2A" w:rsidRPr="00731DDC" w:rsidRDefault="00C42A2A" w:rsidP="003A2D41">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Suggested Standard Focus</w:t>
            </w:r>
          </w:p>
        </w:tc>
      </w:tr>
      <w:tr w:rsidR="00C42A2A" w:rsidRPr="00731DDC" w14:paraId="62DE0D33" w14:textId="77777777" w:rsidTr="00C90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539A0CC4"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Artificial Intelligence (AI)</w:t>
            </w:r>
          </w:p>
        </w:tc>
        <w:tc>
          <w:tcPr>
            <w:tcW w:w="4253" w:type="dxa"/>
            <w:shd w:val="clear" w:color="auto" w:fill="auto"/>
            <w:vAlign w:val="center"/>
          </w:tcPr>
          <w:p w14:paraId="57E88D06" w14:textId="77777777"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1"/>
                <w:lang w:val="en-GB"/>
              </w:rPr>
              <w:t>AI stands to dramatically improve business productivity as well as enabling accurate demand forecasting, predictive maintenance using sensor technologies, and personalisation of services.</w:t>
            </w:r>
          </w:p>
        </w:tc>
        <w:tc>
          <w:tcPr>
            <w:tcW w:w="2126" w:type="dxa"/>
            <w:shd w:val="clear" w:color="auto" w:fill="auto"/>
            <w:vAlign w:val="center"/>
          </w:tcPr>
          <w:p w14:paraId="0F770682" w14:textId="00788F56"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GB"/>
              </w:rPr>
            </w:pPr>
            <w:r w:rsidRPr="00731DDC">
              <w:rPr>
                <w:rFonts w:ascii="Calibri" w:eastAsia="Calibri" w:hAnsi="Calibri" w:cs="Calibri"/>
                <w:sz w:val="20"/>
                <w:szCs w:val="20"/>
                <w:lang w:val="en-GB"/>
              </w:rPr>
              <w:t>AU: AUD2bn (2025)</w:t>
            </w:r>
            <w:r w:rsidRPr="00731DDC">
              <w:rPr>
                <w:rFonts w:ascii="Calibri" w:eastAsia="Calibri" w:hAnsi="Calibri" w:cs="Calibri"/>
                <w:sz w:val="20"/>
                <w:szCs w:val="20"/>
                <w:vertAlign w:val="superscript"/>
                <w:lang w:val="en-GB"/>
              </w:rPr>
              <w:footnoteReference w:id="7"/>
            </w:r>
          </w:p>
          <w:p w14:paraId="64416F35" w14:textId="2C1F78A3"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sz w:val="20"/>
                <w:szCs w:val="20"/>
                <w:lang w:val="en-GB"/>
              </w:rPr>
              <w:t>SG: AUD11.9bn (2024)</w:t>
            </w:r>
            <w:r w:rsidRPr="00731DDC">
              <w:rPr>
                <w:rStyle w:val="FootnoteReference"/>
                <w:sz w:val="20"/>
                <w:szCs w:val="20"/>
                <w:lang w:val="en-GB"/>
              </w:rPr>
              <w:footnoteReference w:id="8"/>
            </w:r>
          </w:p>
        </w:tc>
        <w:tc>
          <w:tcPr>
            <w:tcW w:w="2268" w:type="dxa"/>
            <w:shd w:val="clear" w:color="auto" w:fill="auto"/>
            <w:vAlign w:val="center"/>
          </w:tcPr>
          <w:p w14:paraId="3D54371F"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Autonomous and Intelligent Systems (A/IS) P7000 SER</w:t>
            </w:r>
            <w:r w:rsidRPr="00731DDC">
              <w:rPr>
                <w:rStyle w:val="FootnoteReference"/>
                <w:rFonts w:ascii="Calibri" w:eastAsia="Calibri" w:hAnsi="Calibri" w:cs="Arial"/>
                <w:sz w:val="20"/>
                <w:szCs w:val="21"/>
                <w:lang w:val="en-GB"/>
              </w:rPr>
              <w:footnoteReference w:id="9"/>
            </w:r>
          </w:p>
          <w:p w14:paraId="62D36532"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ITU-T Y.3172</w:t>
            </w:r>
            <w:r w:rsidRPr="00731DDC">
              <w:rPr>
                <w:rStyle w:val="FootnoteReference"/>
                <w:rFonts w:ascii="Calibri" w:eastAsia="Calibri" w:hAnsi="Calibri" w:cs="Arial"/>
                <w:sz w:val="20"/>
                <w:szCs w:val="21"/>
                <w:lang w:val="en-GB"/>
              </w:rPr>
              <w:footnoteReference w:id="10"/>
            </w:r>
          </w:p>
        </w:tc>
      </w:tr>
      <w:tr w:rsidR="00C42A2A" w:rsidRPr="00731DDC" w14:paraId="167CE48E" w14:textId="77777777" w:rsidTr="00C9081C">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BAD35CA"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1"/>
                <w:lang w:val="en-GB"/>
              </w:rPr>
              <w:t>Distributed ledger technology (DLT)</w:t>
            </w:r>
          </w:p>
        </w:tc>
        <w:tc>
          <w:tcPr>
            <w:tcW w:w="4253" w:type="dxa"/>
            <w:shd w:val="clear" w:color="auto" w:fill="auto"/>
            <w:vAlign w:val="center"/>
          </w:tcPr>
          <w:p w14:paraId="3EF58589" w14:textId="77777777" w:rsidR="00C42A2A" w:rsidRPr="00731DDC"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0"/>
                <w:lang w:val="en-GB"/>
              </w:rPr>
              <w:t xml:space="preserve">Potential to transform </w:t>
            </w:r>
            <w:r w:rsidRPr="00731DDC">
              <w:rPr>
                <w:rFonts w:ascii="Calibri" w:eastAsia="Calibri" w:hAnsi="Calibri" w:cs="Arial"/>
                <w:sz w:val="20"/>
                <w:szCs w:val="21"/>
                <w:lang w:val="en-GB"/>
              </w:rPr>
              <w:t>supply chains and trade finance, initially in food (providence) and manufacturing, but then throughout.</w:t>
            </w:r>
          </w:p>
        </w:tc>
        <w:tc>
          <w:tcPr>
            <w:tcW w:w="2126" w:type="dxa"/>
            <w:shd w:val="clear" w:color="auto" w:fill="auto"/>
            <w:vAlign w:val="center"/>
          </w:tcPr>
          <w:p w14:paraId="590B0C0C" w14:textId="4E63C701" w:rsidR="00C42A2A" w:rsidRPr="00731DDC"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SG: AUD3.9bn (2024)</w:t>
            </w:r>
            <w:r w:rsidRPr="00731DDC">
              <w:rPr>
                <w:rStyle w:val="FootnoteReference"/>
                <w:rFonts w:ascii="Calibri" w:eastAsia="Calibri" w:hAnsi="Calibri" w:cs="Arial"/>
                <w:sz w:val="20"/>
                <w:szCs w:val="20"/>
                <w:lang w:val="en-GB"/>
              </w:rPr>
              <w:footnoteReference w:id="11"/>
            </w:r>
          </w:p>
        </w:tc>
        <w:tc>
          <w:tcPr>
            <w:tcW w:w="2268" w:type="dxa"/>
            <w:shd w:val="clear" w:color="auto" w:fill="auto"/>
            <w:vAlign w:val="center"/>
          </w:tcPr>
          <w:p w14:paraId="17DA1396" w14:textId="77777777"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ISO/TR 23455:2019</w:t>
            </w:r>
            <w:r w:rsidRPr="00731DDC">
              <w:rPr>
                <w:rStyle w:val="FootnoteReference"/>
                <w:rFonts w:ascii="Calibri" w:eastAsia="Calibri" w:hAnsi="Calibri" w:cs="Arial"/>
                <w:sz w:val="20"/>
                <w:szCs w:val="21"/>
                <w:lang w:val="en-GB"/>
              </w:rPr>
              <w:footnoteReference w:id="12"/>
            </w:r>
          </w:p>
          <w:p w14:paraId="242E1233" w14:textId="77777777"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1"/>
                <w:lang w:val="en-GB"/>
              </w:rPr>
              <w:t>IEEE P2418.1</w:t>
            </w:r>
            <w:r w:rsidRPr="00731DDC">
              <w:rPr>
                <w:rStyle w:val="FootnoteReference"/>
                <w:rFonts w:ascii="Calibri" w:eastAsia="Calibri" w:hAnsi="Calibri" w:cs="Arial"/>
                <w:sz w:val="20"/>
                <w:szCs w:val="21"/>
                <w:lang w:val="en-GB"/>
              </w:rPr>
              <w:footnoteReference w:id="13"/>
            </w:r>
            <w:r w:rsidRPr="00731DDC">
              <w:rPr>
                <w:rFonts w:ascii="Calibri" w:eastAsia="Calibri" w:hAnsi="Calibri" w:cs="Arial"/>
                <w:sz w:val="20"/>
                <w:szCs w:val="21"/>
                <w:lang w:val="en-GB"/>
              </w:rPr>
              <w:t xml:space="preserve"> </w:t>
            </w:r>
          </w:p>
        </w:tc>
      </w:tr>
      <w:tr w:rsidR="00C42A2A" w:rsidRPr="00731DDC" w14:paraId="41794387" w14:textId="77777777" w:rsidTr="00C90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5058CDA3"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1"/>
                <w:lang w:val="en-GB"/>
              </w:rPr>
              <w:t>Smart cities</w:t>
            </w:r>
          </w:p>
        </w:tc>
        <w:tc>
          <w:tcPr>
            <w:tcW w:w="4253" w:type="dxa"/>
            <w:shd w:val="clear" w:color="auto" w:fill="auto"/>
            <w:vAlign w:val="center"/>
          </w:tcPr>
          <w:p w14:paraId="79D5CCF0" w14:textId="77777777"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0"/>
                <w:lang w:val="en-GB"/>
              </w:rPr>
              <w:t xml:space="preserve">Potential to improve systems integrations and </w:t>
            </w:r>
            <w:r w:rsidRPr="00731DDC">
              <w:rPr>
                <w:rFonts w:ascii="Calibri" w:eastAsia="Calibri" w:hAnsi="Calibri" w:cs="Arial"/>
                <w:sz w:val="20"/>
                <w:szCs w:val="21"/>
                <w:lang w:val="en-GB"/>
              </w:rPr>
              <w:t>labour mobility, as well as enhance data externalities in everything from household items and consumption through transportation systems, and climate change.</w:t>
            </w:r>
          </w:p>
        </w:tc>
        <w:tc>
          <w:tcPr>
            <w:tcW w:w="2126" w:type="dxa"/>
            <w:shd w:val="clear" w:color="auto" w:fill="auto"/>
            <w:vAlign w:val="center"/>
          </w:tcPr>
          <w:p w14:paraId="1A241484" w14:textId="64D642C5"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AU: AUD10bn (2030)</w:t>
            </w:r>
            <w:r w:rsidRPr="00731DDC">
              <w:rPr>
                <w:rFonts w:ascii="Calibri" w:eastAsia="Calibri" w:hAnsi="Calibri" w:cs="Arial"/>
                <w:sz w:val="20"/>
                <w:szCs w:val="20"/>
                <w:vertAlign w:val="superscript"/>
                <w:lang w:val="en-GB"/>
              </w:rPr>
              <w:footnoteReference w:id="14"/>
            </w:r>
          </w:p>
        </w:tc>
        <w:tc>
          <w:tcPr>
            <w:tcW w:w="2268" w:type="dxa"/>
            <w:shd w:val="clear" w:color="auto" w:fill="auto"/>
            <w:vAlign w:val="center"/>
          </w:tcPr>
          <w:p w14:paraId="7533D335"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ISO/IEC 20005:2013</w:t>
            </w:r>
            <w:r w:rsidRPr="00731DDC">
              <w:rPr>
                <w:rStyle w:val="FootnoteReference"/>
                <w:rFonts w:ascii="Calibri" w:eastAsia="Calibri" w:hAnsi="Calibri" w:cs="Arial"/>
                <w:sz w:val="20"/>
                <w:szCs w:val="21"/>
                <w:lang w:val="en-GB"/>
              </w:rPr>
              <w:footnoteReference w:id="15"/>
            </w:r>
            <w:r w:rsidRPr="00731DDC">
              <w:rPr>
                <w:rFonts w:ascii="Calibri" w:eastAsia="Calibri" w:hAnsi="Calibri" w:cs="Arial"/>
                <w:sz w:val="20"/>
                <w:szCs w:val="21"/>
                <w:lang w:val="en-GB"/>
              </w:rPr>
              <w:t xml:space="preserve"> </w:t>
            </w:r>
          </w:p>
          <w:p w14:paraId="603A8E7D"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ISO/IEC 29182-7:2015</w:t>
            </w:r>
            <w:r w:rsidRPr="00731DDC">
              <w:rPr>
                <w:rStyle w:val="FootnoteReference"/>
                <w:rFonts w:ascii="Calibri" w:eastAsia="Calibri" w:hAnsi="Calibri" w:cs="Arial"/>
                <w:sz w:val="20"/>
                <w:szCs w:val="21"/>
                <w:lang w:val="en-GB"/>
              </w:rPr>
              <w:footnoteReference w:id="16"/>
            </w:r>
            <w:r w:rsidRPr="00731DDC">
              <w:rPr>
                <w:rFonts w:ascii="Calibri" w:eastAsia="Calibri" w:hAnsi="Calibri" w:cs="Arial"/>
                <w:sz w:val="20"/>
                <w:szCs w:val="21"/>
                <w:lang w:val="en-GB"/>
              </w:rPr>
              <w:t xml:space="preserve"> </w:t>
            </w:r>
          </w:p>
        </w:tc>
      </w:tr>
      <w:tr w:rsidR="00C42A2A" w:rsidRPr="00731DDC" w14:paraId="05E53D0A" w14:textId="77777777" w:rsidTr="00C9081C">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64205E05"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lastRenderedPageBreak/>
              <w:t>Digital identity</w:t>
            </w:r>
          </w:p>
        </w:tc>
        <w:tc>
          <w:tcPr>
            <w:tcW w:w="4253" w:type="dxa"/>
            <w:shd w:val="clear" w:color="auto" w:fill="auto"/>
            <w:vAlign w:val="center"/>
          </w:tcPr>
          <w:p w14:paraId="48C3C6B3" w14:textId="77777777" w:rsidR="00C42A2A" w:rsidRPr="00731DDC" w:rsidRDefault="00C42A2A" w:rsidP="003A2D41">
            <w:pPr>
              <w:pStyle w:val="NormalWeb"/>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Can enable use of almost all other digital technologies, and undergird digital transactions. Should be seen as ‘soft infrastructure’. </w:t>
            </w:r>
          </w:p>
        </w:tc>
        <w:tc>
          <w:tcPr>
            <w:tcW w:w="2126" w:type="dxa"/>
            <w:shd w:val="clear" w:color="auto" w:fill="auto"/>
            <w:vAlign w:val="center"/>
          </w:tcPr>
          <w:p w14:paraId="45147DE9" w14:textId="77777777" w:rsidR="0014208D" w:rsidRPr="00731DDC" w:rsidRDefault="00C42A2A" w:rsidP="0014208D">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731DDC">
              <w:rPr>
                <w:rFonts w:ascii="Calibri" w:eastAsia="Calibri" w:hAnsi="Calibri" w:cs="Calibri"/>
                <w:sz w:val="20"/>
                <w:szCs w:val="20"/>
                <w:lang w:val="en-GB"/>
              </w:rPr>
              <w:t>AU: AUD75.8bn (2030)</w:t>
            </w:r>
            <w:r w:rsidRPr="00731DDC">
              <w:rPr>
                <w:rFonts w:ascii="Calibri" w:eastAsia="Calibri" w:hAnsi="Calibri" w:cs="Calibri"/>
                <w:sz w:val="20"/>
                <w:szCs w:val="20"/>
                <w:vertAlign w:val="superscript"/>
                <w:lang w:val="en-GB"/>
              </w:rPr>
              <w:footnoteReference w:id="17"/>
            </w:r>
          </w:p>
          <w:p w14:paraId="3D38ACF1" w14:textId="0E797871" w:rsidR="00C42A2A" w:rsidRPr="00731DDC" w:rsidRDefault="00C42A2A" w:rsidP="0014208D">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731DDC">
              <w:rPr>
                <w:rFonts w:ascii="Calibri" w:eastAsia="Calibri" w:hAnsi="Calibri" w:cs="Calibri"/>
                <w:sz w:val="20"/>
                <w:szCs w:val="20"/>
                <w:lang w:val="en-GB"/>
              </w:rPr>
              <w:t>SG: AUD</w:t>
            </w:r>
            <w:r w:rsidRPr="00731DDC">
              <w:rPr>
                <w:rFonts w:ascii="Calibri" w:eastAsia="Calibri" w:hAnsi="Calibri" w:cs="Arial"/>
                <w:sz w:val="20"/>
                <w:szCs w:val="20"/>
                <w:lang w:val="en-GB"/>
              </w:rPr>
              <w:t>17.9bn (2030)</w:t>
            </w:r>
            <w:r w:rsidRPr="00731DDC">
              <w:rPr>
                <w:rFonts w:ascii="Calibri" w:eastAsia="Calibri" w:hAnsi="Calibri" w:cs="Arial"/>
                <w:sz w:val="20"/>
                <w:szCs w:val="20"/>
                <w:vertAlign w:val="superscript"/>
                <w:lang w:val="en-GB"/>
              </w:rPr>
              <w:footnoteReference w:id="18"/>
            </w:r>
          </w:p>
        </w:tc>
        <w:tc>
          <w:tcPr>
            <w:tcW w:w="2268" w:type="dxa"/>
            <w:shd w:val="clear" w:color="auto" w:fill="auto"/>
            <w:vAlign w:val="center"/>
          </w:tcPr>
          <w:p w14:paraId="424F738A" w14:textId="77777777"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eastAsia="en-SG"/>
              </w:rPr>
            </w:pPr>
            <w:r w:rsidRPr="00731DDC">
              <w:rPr>
                <w:rFonts w:ascii="Calibri" w:eastAsia="+mn-ea" w:hAnsi="Calibri" w:cs="Calibri"/>
                <w:kern w:val="24"/>
                <w:sz w:val="20"/>
                <w:szCs w:val="20"/>
                <w:lang w:val="en-GB" w:eastAsia="en-SG"/>
              </w:rPr>
              <w:t>ISO/IEC 24760-1:2019</w:t>
            </w:r>
            <w:r w:rsidRPr="00731DDC">
              <w:rPr>
                <w:rStyle w:val="FootnoteReference"/>
                <w:rFonts w:ascii="Calibri" w:eastAsia="+mn-ea" w:hAnsi="Calibri" w:cs="Calibri"/>
                <w:kern w:val="24"/>
                <w:sz w:val="20"/>
                <w:szCs w:val="20"/>
                <w:lang w:val="en-GB" w:eastAsia="en-SG"/>
              </w:rPr>
              <w:footnoteReference w:id="19"/>
            </w:r>
            <w:r w:rsidRPr="00731DDC">
              <w:rPr>
                <w:rFonts w:ascii="Calibri" w:eastAsia="+mn-ea" w:hAnsi="Calibri" w:cs="Calibri"/>
                <w:kern w:val="24"/>
                <w:sz w:val="20"/>
                <w:szCs w:val="20"/>
                <w:lang w:val="en-GB" w:eastAsia="en-SG"/>
              </w:rPr>
              <w:t xml:space="preserve"> </w:t>
            </w:r>
          </w:p>
          <w:p w14:paraId="7D1054BD" w14:textId="77777777"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eastAsia="en-SG"/>
              </w:rPr>
            </w:pPr>
            <w:r w:rsidRPr="00731DDC">
              <w:rPr>
                <w:rFonts w:ascii="Calibri" w:eastAsia="Calibri" w:hAnsi="Calibri" w:cs="Calibri"/>
                <w:sz w:val="20"/>
                <w:szCs w:val="20"/>
                <w:lang w:val="en-GB"/>
              </w:rPr>
              <w:t>ISO</w:t>
            </w:r>
            <w:r w:rsidRPr="00731DDC">
              <w:rPr>
                <w:rFonts w:ascii="Calibri" w:eastAsia="+mn-ea" w:hAnsi="Calibri" w:cs="Calibri"/>
                <w:kern w:val="24"/>
                <w:sz w:val="20"/>
                <w:szCs w:val="20"/>
                <w:lang w:val="en-GB" w:eastAsia="en-SG"/>
              </w:rPr>
              <w:t>/IEC 19784-1:2018</w:t>
            </w:r>
            <w:r w:rsidRPr="00731DDC">
              <w:rPr>
                <w:rStyle w:val="FootnoteReference"/>
                <w:rFonts w:ascii="Calibri" w:eastAsia="+mn-ea" w:hAnsi="Calibri" w:cs="Calibri"/>
                <w:kern w:val="24"/>
                <w:sz w:val="20"/>
                <w:szCs w:val="20"/>
                <w:lang w:val="en-GB" w:eastAsia="en-SG"/>
              </w:rPr>
              <w:footnoteReference w:id="20"/>
            </w:r>
            <w:r w:rsidRPr="00731DDC">
              <w:rPr>
                <w:rFonts w:ascii="Calibri" w:eastAsia="+mn-ea" w:hAnsi="Calibri" w:cs="Calibri"/>
                <w:kern w:val="24"/>
                <w:sz w:val="20"/>
                <w:szCs w:val="20"/>
                <w:lang w:val="en-GB" w:eastAsia="en-SG"/>
              </w:rPr>
              <w:t xml:space="preserve"> </w:t>
            </w:r>
          </w:p>
          <w:p w14:paraId="768FCE2B" w14:textId="77777777"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Calibri"/>
                <w:sz w:val="20"/>
                <w:szCs w:val="20"/>
                <w:lang w:val="en-GB"/>
              </w:rPr>
              <w:t>FIDO</w:t>
            </w:r>
            <w:r w:rsidRPr="00731DDC">
              <w:rPr>
                <w:rFonts w:ascii="Calibri" w:eastAsia="+mn-ea" w:hAnsi="Calibri" w:cs="Calibri"/>
                <w:kern w:val="24"/>
                <w:sz w:val="20"/>
                <w:szCs w:val="20"/>
                <w:lang w:val="en-GB" w:eastAsia="en-SG"/>
              </w:rPr>
              <w:t xml:space="preserve"> Universal Authentication Framework</w:t>
            </w:r>
            <w:r w:rsidRPr="00731DDC">
              <w:rPr>
                <w:rStyle w:val="FootnoteReference"/>
                <w:rFonts w:ascii="Calibri" w:eastAsia="+mn-ea" w:hAnsi="Calibri" w:cs="Calibri"/>
                <w:kern w:val="24"/>
                <w:sz w:val="20"/>
                <w:szCs w:val="20"/>
                <w:lang w:val="en-GB" w:eastAsia="en-SG"/>
              </w:rPr>
              <w:footnoteReference w:id="21"/>
            </w:r>
          </w:p>
        </w:tc>
      </w:tr>
      <w:tr w:rsidR="00C42A2A" w:rsidRPr="00731DDC" w14:paraId="3C47ED53" w14:textId="77777777" w:rsidTr="00C90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6634E06"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 xml:space="preserve">E-payments </w:t>
            </w:r>
          </w:p>
        </w:tc>
        <w:tc>
          <w:tcPr>
            <w:tcW w:w="4253" w:type="dxa"/>
            <w:shd w:val="clear" w:color="auto" w:fill="auto"/>
            <w:vAlign w:val="center"/>
          </w:tcPr>
          <w:p w14:paraId="3E06C76A" w14:textId="5DF5B30C"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Potential to enhance </w:t>
            </w:r>
            <w:r w:rsidRPr="00731DDC">
              <w:rPr>
                <w:rFonts w:ascii="Calibri" w:eastAsia="Calibri" w:hAnsi="Calibri" w:cs="Arial"/>
                <w:i/>
                <w:iCs/>
                <w:sz w:val="20"/>
                <w:szCs w:val="20"/>
                <w:lang w:val="en-GB"/>
              </w:rPr>
              <w:t>all</w:t>
            </w:r>
            <w:r w:rsidRPr="00731DDC">
              <w:rPr>
                <w:rFonts w:ascii="Calibri" w:eastAsia="Calibri" w:hAnsi="Calibri" w:cs="Arial"/>
                <w:sz w:val="20"/>
                <w:szCs w:val="20"/>
                <w:lang w:val="en-GB"/>
              </w:rPr>
              <w:t xml:space="preserve"> aspects of trade, particularly improving trade in e-commerce and fintech sectors.</w:t>
            </w:r>
          </w:p>
          <w:p w14:paraId="64E39C2F" w14:textId="349E883F" w:rsidR="00C42A2A" w:rsidRPr="00731DDC" w:rsidRDefault="00C42A2A" w:rsidP="00D9244E">
            <w:pPr>
              <w:spacing w:afterLines="40" w:after="96"/>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Instant and faster payments, across borders will have profound impacts on trade and consumption</w:t>
            </w:r>
            <w:r w:rsidR="0014208D" w:rsidRPr="00731DDC">
              <w:rPr>
                <w:rFonts w:ascii="Calibri" w:eastAsia="Calibri" w:hAnsi="Calibri" w:cs="Arial"/>
                <w:sz w:val="20"/>
                <w:szCs w:val="20"/>
                <w:lang w:val="en-GB"/>
              </w:rPr>
              <w:t>.</w:t>
            </w:r>
            <w:r w:rsidR="00D9244E" w:rsidRPr="00731DDC">
              <w:rPr>
                <w:rFonts w:ascii="Calibri" w:eastAsia="Calibri" w:hAnsi="Calibri" w:cs="Arial"/>
                <w:sz w:val="20"/>
                <w:szCs w:val="20"/>
                <w:lang w:val="en-GB"/>
              </w:rPr>
              <w:t xml:space="preserve"> QR codes can support online payments for a significant volume of goods and services.</w:t>
            </w:r>
          </w:p>
        </w:tc>
        <w:tc>
          <w:tcPr>
            <w:tcW w:w="2126" w:type="dxa"/>
            <w:shd w:val="clear" w:color="auto" w:fill="auto"/>
            <w:vAlign w:val="center"/>
          </w:tcPr>
          <w:p w14:paraId="0DACA9F2" w14:textId="650E4A69"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AU: AUD36.4bn (2020)</w:t>
            </w:r>
            <w:r w:rsidRPr="00731DDC">
              <w:rPr>
                <w:rStyle w:val="FootnoteReference"/>
                <w:rFonts w:ascii="Calibri" w:eastAsia="Calibri" w:hAnsi="Calibri" w:cs="Arial"/>
                <w:sz w:val="20"/>
                <w:szCs w:val="20"/>
                <w:lang w:val="en-GB"/>
              </w:rPr>
              <w:footnoteReference w:id="22"/>
            </w:r>
          </w:p>
          <w:p w14:paraId="34006229" w14:textId="7049834C"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SG: AUD12.1bn (2025)</w:t>
            </w:r>
            <w:r w:rsidRPr="00731DDC">
              <w:rPr>
                <w:rStyle w:val="FootnoteReference"/>
                <w:rFonts w:ascii="Calibri" w:eastAsia="Calibri" w:hAnsi="Calibri" w:cs="Arial"/>
                <w:sz w:val="20"/>
                <w:szCs w:val="20"/>
                <w:lang w:val="en-GB"/>
              </w:rPr>
              <w:footnoteReference w:id="23"/>
            </w:r>
          </w:p>
          <w:p w14:paraId="0DC2900C" w14:textId="77777777" w:rsidR="00C42A2A" w:rsidRPr="00731DDC" w:rsidRDefault="00C42A2A" w:rsidP="003A2D41">
            <w:pPr>
              <w:pStyle w:val="NormalWeb"/>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lang w:val="en-GB"/>
              </w:rPr>
            </w:pPr>
          </w:p>
        </w:tc>
        <w:tc>
          <w:tcPr>
            <w:tcW w:w="2268" w:type="dxa"/>
            <w:shd w:val="clear" w:color="auto" w:fill="auto"/>
            <w:vAlign w:val="center"/>
          </w:tcPr>
          <w:p w14:paraId="7C1CC4F8"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0"/>
                <w:lang w:val="en-GB"/>
              </w:rPr>
              <w:t>ISO 20022</w:t>
            </w:r>
            <w:r w:rsidRPr="00731DDC">
              <w:rPr>
                <w:rStyle w:val="FootnoteReference"/>
                <w:rFonts w:ascii="Calibri" w:eastAsia="Calibri" w:hAnsi="Calibri" w:cs="Arial"/>
                <w:sz w:val="20"/>
                <w:szCs w:val="20"/>
                <w:lang w:val="en-GB"/>
              </w:rPr>
              <w:footnoteReference w:id="24"/>
            </w:r>
            <w:r w:rsidRPr="00731DDC">
              <w:rPr>
                <w:rFonts w:ascii="Calibri" w:eastAsia="Calibri" w:hAnsi="Calibri" w:cs="Arial"/>
                <w:sz w:val="20"/>
                <w:szCs w:val="20"/>
                <w:lang w:val="en-GB"/>
              </w:rPr>
              <w:t xml:space="preserve"> </w:t>
            </w:r>
          </w:p>
          <w:p w14:paraId="56ACBFD3" w14:textId="0EF12980"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EMVCo</w:t>
            </w:r>
            <w:r w:rsidRPr="00731DDC">
              <w:rPr>
                <w:sz w:val="20"/>
                <w:szCs w:val="20"/>
                <w:lang w:val="en-GB"/>
              </w:rPr>
              <w:t xml:space="preserve"> Technical Specifications</w:t>
            </w:r>
            <w:r w:rsidRPr="00731DDC">
              <w:rPr>
                <w:sz w:val="20"/>
                <w:szCs w:val="20"/>
                <w:vertAlign w:val="superscript"/>
                <w:lang w:val="en-GB"/>
              </w:rPr>
              <w:footnoteReference w:id="25"/>
            </w:r>
            <w:r w:rsidRPr="00731DDC">
              <w:rPr>
                <w:sz w:val="20"/>
                <w:szCs w:val="20"/>
                <w:lang w:val="en-GB"/>
              </w:rPr>
              <w:t xml:space="preserve"> </w:t>
            </w:r>
          </w:p>
        </w:tc>
      </w:tr>
      <w:tr w:rsidR="00C42A2A" w:rsidRPr="00731DDC" w14:paraId="34BC74EC" w14:textId="77777777" w:rsidTr="00C9081C">
        <w:trPr>
          <w:trHeight w:val="1452"/>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2E6863AB"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lastRenderedPageBreak/>
              <w:t>E-invoicing</w:t>
            </w:r>
          </w:p>
        </w:tc>
        <w:tc>
          <w:tcPr>
            <w:tcW w:w="4253" w:type="dxa"/>
            <w:shd w:val="clear" w:color="auto" w:fill="auto"/>
            <w:vAlign w:val="center"/>
          </w:tcPr>
          <w:p w14:paraId="75C45AC7" w14:textId="77777777" w:rsidR="00C42A2A" w:rsidRPr="00731DDC" w:rsidRDefault="00C42A2A" w:rsidP="003A2D41">
            <w:pPr>
              <w:pStyle w:val="NormalWeb"/>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731DDC">
              <w:rPr>
                <w:rFonts w:ascii="Calibri" w:eastAsia="Calibri" w:hAnsi="Calibri" w:cs="Arial"/>
                <w:sz w:val="20"/>
                <w:szCs w:val="20"/>
                <w:lang w:val="en-GB"/>
              </w:rPr>
              <w:t>Invoice a</w:t>
            </w:r>
            <w:r w:rsidRPr="00731DDC">
              <w:rPr>
                <w:rFonts w:ascii="Calibri" w:eastAsia="Calibri" w:hAnsi="Calibri" w:cs="Arial"/>
                <w:bCs/>
                <w:sz w:val="20"/>
                <w:szCs w:val="20"/>
                <w:lang w:val="en-GB"/>
              </w:rPr>
              <w:t>utomatically generated in supplier’s accounting system and transmitted electronically to recipients for automatic processing.</w:t>
            </w:r>
          </w:p>
          <w:p w14:paraId="08DB8553" w14:textId="1488240A" w:rsidR="00C42A2A" w:rsidRPr="00731DDC" w:rsidRDefault="00C42A2A" w:rsidP="00D9244E">
            <w:pPr>
              <w:pStyle w:val="NormalWeb"/>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731DDC">
              <w:rPr>
                <w:rFonts w:asciiTheme="minorHAnsi" w:hAnsiTheme="minorHAnsi" w:cstheme="minorHAnsi"/>
                <w:sz w:val="20"/>
                <w:szCs w:val="20"/>
                <w:lang w:val="en-GB"/>
              </w:rPr>
              <w:t>Significant savings</w:t>
            </w:r>
            <w:r w:rsidR="00AB76B3" w:rsidRPr="00731DDC">
              <w:rPr>
                <w:rFonts w:asciiTheme="minorHAnsi" w:hAnsiTheme="minorHAnsi" w:cstheme="minorHAnsi"/>
                <w:sz w:val="20"/>
                <w:szCs w:val="20"/>
                <w:lang w:val="en-GB"/>
              </w:rPr>
              <w:t>—</w:t>
            </w:r>
            <w:r w:rsidRPr="00731DDC">
              <w:rPr>
                <w:rFonts w:asciiTheme="minorHAnsi" w:hAnsiTheme="minorHAnsi" w:cstheme="minorHAnsi"/>
                <w:sz w:val="20"/>
                <w:szCs w:val="20"/>
                <w:lang w:val="en-GB"/>
              </w:rPr>
              <w:t>time and capital</w:t>
            </w:r>
            <w:r w:rsidR="00AB76B3" w:rsidRPr="00731DDC">
              <w:rPr>
                <w:rFonts w:asciiTheme="minorHAnsi" w:hAnsiTheme="minorHAnsi" w:cstheme="minorHAnsi"/>
                <w:sz w:val="20"/>
                <w:szCs w:val="20"/>
                <w:lang w:val="en-GB"/>
              </w:rPr>
              <w:t>—</w:t>
            </w:r>
            <w:r w:rsidRPr="00731DDC">
              <w:rPr>
                <w:rFonts w:asciiTheme="minorHAnsi" w:hAnsiTheme="minorHAnsi" w:cstheme="minorHAnsi"/>
                <w:sz w:val="20"/>
                <w:szCs w:val="20"/>
                <w:lang w:val="en-GB"/>
              </w:rPr>
              <w:t xml:space="preserve">for </w:t>
            </w:r>
            <w:r w:rsidRPr="00731DDC">
              <w:rPr>
                <w:rFonts w:asciiTheme="minorHAnsi" w:hAnsiTheme="minorHAnsi" w:cstheme="minorHAnsi"/>
                <w:i/>
                <w:iCs/>
                <w:sz w:val="20"/>
                <w:szCs w:val="20"/>
                <w:lang w:val="en-GB"/>
              </w:rPr>
              <w:t>all</w:t>
            </w:r>
            <w:r w:rsidRPr="00731DDC">
              <w:rPr>
                <w:rFonts w:asciiTheme="minorHAnsi" w:hAnsiTheme="minorHAnsi" w:cstheme="minorHAnsi"/>
                <w:sz w:val="20"/>
                <w:szCs w:val="20"/>
                <w:lang w:val="en-GB"/>
              </w:rPr>
              <w:t xml:space="preserve"> sizes of businesses. </w:t>
            </w:r>
          </w:p>
        </w:tc>
        <w:tc>
          <w:tcPr>
            <w:tcW w:w="2126" w:type="dxa"/>
            <w:shd w:val="clear" w:color="auto" w:fill="auto"/>
            <w:vAlign w:val="center"/>
          </w:tcPr>
          <w:p w14:paraId="6DCEA420" w14:textId="622357B0" w:rsidR="00C42A2A" w:rsidRPr="00731DDC" w:rsidRDefault="00C42A2A" w:rsidP="00AB76B3">
            <w:pPr>
              <w:pStyle w:val="NormalWeb"/>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Theme="minorHAnsi" w:hAnsiTheme="minorHAnsi" w:cstheme="minorBidi"/>
                <w:sz w:val="20"/>
                <w:szCs w:val="20"/>
                <w:lang w:val="en-GB"/>
              </w:rPr>
              <w:t xml:space="preserve">AU: </w:t>
            </w:r>
            <w:r w:rsidRPr="00731DDC">
              <w:rPr>
                <w:rFonts w:ascii="Calibri" w:eastAsia="Calibri" w:hAnsi="Calibri" w:cs="Arial"/>
                <w:sz w:val="20"/>
                <w:szCs w:val="20"/>
                <w:lang w:val="en-GB"/>
              </w:rPr>
              <w:t xml:space="preserve">AUD28bn </w:t>
            </w:r>
            <w:r w:rsidR="00AB76B3" w:rsidRPr="00731DDC">
              <w:rPr>
                <w:rFonts w:ascii="Calibri" w:eastAsia="Calibri" w:hAnsi="Calibri" w:cs="Arial"/>
                <w:sz w:val="20"/>
                <w:szCs w:val="20"/>
                <w:lang w:val="en-GB"/>
              </w:rPr>
              <w:t>(2028)</w:t>
            </w:r>
            <w:r w:rsidRPr="00731DDC">
              <w:rPr>
                <w:rFonts w:ascii="Calibri" w:eastAsia="Calibri" w:hAnsi="Calibri" w:cs="Arial"/>
                <w:sz w:val="20"/>
                <w:szCs w:val="20"/>
                <w:vertAlign w:val="superscript"/>
                <w:lang w:val="en-GB"/>
              </w:rPr>
              <w:footnoteReference w:id="26"/>
            </w:r>
          </w:p>
        </w:tc>
        <w:tc>
          <w:tcPr>
            <w:tcW w:w="2268" w:type="dxa"/>
            <w:shd w:val="clear" w:color="auto" w:fill="auto"/>
            <w:vAlign w:val="center"/>
          </w:tcPr>
          <w:p w14:paraId="2B7B5018" w14:textId="40A7B9F9" w:rsidR="00C42A2A"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0"/>
                <w:lang w:val="en-GB"/>
              </w:rPr>
              <w:t>EN16931</w:t>
            </w:r>
            <w:r w:rsidRPr="00731DDC">
              <w:rPr>
                <w:rFonts w:cstheme="minorHAnsi"/>
                <w:sz w:val="20"/>
                <w:szCs w:val="20"/>
                <w:lang w:val="en-GB"/>
              </w:rPr>
              <w:t xml:space="preserve"> (including </w:t>
            </w:r>
            <w:r w:rsidRPr="00731DDC">
              <w:rPr>
                <w:rFonts w:ascii="Calibri" w:eastAsia="Calibri" w:hAnsi="Calibri" w:cs="Arial"/>
                <w:sz w:val="20"/>
                <w:szCs w:val="20"/>
                <w:lang w:val="en-GB"/>
              </w:rPr>
              <w:t>Peppol</w:t>
            </w:r>
            <w:r w:rsidRPr="00731DDC">
              <w:rPr>
                <w:rFonts w:cstheme="minorHAnsi"/>
                <w:sz w:val="20"/>
                <w:szCs w:val="20"/>
                <w:lang w:val="en-GB"/>
              </w:rPr>
              <w:t xml:space="preserve"> BIS Billing 3.0)</w:t>
            </w:r>
            <w:r w:rsidRPr="00731DDC">
              <w:rPr>
                <w:rStyle w:val="FootnoteReference"/>
                <w:rFonts w:cstheme="minorHAnsi"/>
                <w:sz w:val="20"/>
                <w:szCs w:val="20"/>
                <w:lang w:val="en-GB"/>
              </w:rPr>
              <w:footnoteReference w:id="27"/>
            </w:r>
            <w:r w:rsidRPr="00731DDC">
              <w:rPr>
                <w:rFonts w:cstheme="minorHAnsi"/>
                <w:sz w:val="20"/>
                <w:szCs w:val="20"/>
                <w:lang w:val="en-GB"/>
              </w:rPr>
              <w:t xml:space="preserve"> </w:t>
            </w:r>
          </w:p>
        </w:tc>
      </w:tr>
      <w:tr w:rsidR="00C42A2A" w:rsidRPr="00731DDC" w14:paraId="3BD09DFA" w14:textId="77777777" w:rsidTr="00C90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3CDE5129"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IoT</w:t>
            </w:r>
          </w:p>
        </w:tc>
        <w:tc>
          <w:tcPr>
            <w:tcW w:w="4253" w:type="dxa"/>
            <w:shd w:val="clear" w:color="auto" w:fill="auto"/>
            <w:vAlign w:val="center"/>
          </w:tcPr>
          <w:p w14:paraId="1B777B7E" w14:textId="77777777"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Distinct yet complementary technology to smart cities and AI; will drive much of the progress in domestic supply chain and logistics developments; stands to have a transformational impact upon regional and global trade if integrated between countries. </w:t>
            </w:r>
          </w:p>
        </w:tc>
        <w:tc>
          <w:tcPr>
            <w:tcW w:w="2126" w:type="dxa"/>
            <w:shd w:val="clear" w:color="auto" w:fill="auto"/>
            <w:vAlign w:val="center"/>
          </w:tcPr>
          <w:p w14:paraId="3340466C" w14:textId="45DB4C34"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AU: AUD33.7bn (2024)</w:t>
            </w:r>
            <w:r w:rsidRPr="00731DDC">
              <w:rPr>
                <w:rStyle w:val="FootnoteReference"/>
                <w:rFonts w:ascii="Calibri" w:eastAsia="Calibri" w:hAnsi="Calibri" w:cs="Arial"/>
                <w:sz w:val="20"/>
                <w:szCs w:val="20"/>
                <w:lang w:val="en-GB"/>
              </w:rPr>
              <w:footnoteReference w:id="28"/>
            </w:r>
          </w:p>
          <w:p w14:paraId="43DA5C19" w14:textId="0907460E"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hAnsi="Calibri" w:cs="Calibri"/>
                <w:color w:val="E3008C"/>
                <w:sz w:val="20"/>
                <w:szCs w:val="20"/>
                <w:u w:val="single"/>
                <w:shd w:val="clear" w:color="auto" w:fill="FFFFFF"/>
                <w:lang w:val="en-GB"/>
              </w:rPr>
            </w:pPr>
            <w:r w:rsidRPr="00731DDC">
              <w:rPr>
                <w:rFonts w:ascii="Calibri" w:eastAsia="Calibri" w:hAnsi="Calibri" w:cs="Arial"/>
                <w:sz w:val="20"/>
                <w:szCs w:val="20"/>
                <w:lang w:val="en-GB"/>
              </w:rPr>
              <w:t>SG: AUD10.5bn (2024)</w:t>
            </w:r>
            <w:r w:rsidRPr="00731DDC">
              <w:rPr>
                <w:rStyle w:val="FootnoteReference"/>
                <w:rFonts w:ascii="Calibri" w:eastAsia="Calibri" w:hAnsi="Calibri" w:cs="Arial"/>
                <w:sz w:val="20"/>
                <w:szCs w:val="20"/>
                <w:lang w:val="en-GB"/>
              </w:rPr>
              <w:footnoteReference w:id="29"/>
            </w:r>
          </w:p>
        </w:tc>
        <w:tc>
          <w:tcPr>
            <w:tcW w:w="2268" w:type="dxa"/>
            <w:shd w:val="clear" w:color="auto" w:fill="auto"/>
            <w:vAlign w:val="center"/>
          </w:tcPr>
          <w:p w14:paraId="2B0C1422"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IEC 61850:2019 SER</w:t>
            </w:r>
            <w:r w:rsidRPr="00731DDC">
              <w:rPr>
                <w:rStyle w:val="FootnoteReference"/>
                <w:rFonts w:ascii="Calibri" w:eastAsia="Calibri" w:hAnsi="Calibri" w:cs="Arial"/>
                <w:sz w:val="20"/>
                <w:szCs w:val="21"/>
                <w:lang w:val="en-GB"/>
              </w:rPr>
              <w:footnoteReference w:id="30"/>
            </w:r>
            <w:r w:rsidRPr="00731DDC">
              <w:rPr>
                <w:rFonts w:ascii="Calibri" w:eastAsia="Calibri" w:hAnsi="Calibri" w:cs="Arial"/>
                <w:sz w:val="20"/>
                <w:szCs w:val="21"/>
                <w:lang w:val="en-GB"/>
              </w:rPr>
              <w:t xml:space="preserve"> </w:t>
            </w:r>
          </w:p>
          <w:p w14:paraId="096D2928" w14:textId="77777777" w:rsidR="00C42A2A" w:rsidRPr="00731DDC"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1"/>
                <w:lang w:val="en-GB"/>
              </w:rPr>
            </w:pPr>
            <w:r w:rsidRPr="00731DDC">
              <w:rPr>
                <w:rFonts w:ascii="Calibri" w:eastAsia="Calibri" w:hAnsi="Calibri" w:cs="Arial"/>
                <w:sz w:val="20"/>
                <w:szCs w:val="21"/>
                <w:lang w:val="en-GB"/>
              </w:rPr>
              <w:t>IEEE P2418.1</w:t>
            </w:r>
            <w:r w:rsidRPr="00731DDC">
              <w:rPr>
                <w:rStyle w:val="FootnoteReference"/>
                <w:rFonts w:ascii="Calibri" w:eastAsia="Calibri" w:hAnsi="Calibri" w:cs="Arial"/>
                <w:sz w:val="20"/>
                <w:szCs w:val="21"/>
                <w:lang w:val="en-GB"/>
              </w:rPr>
              <w:footnoteReference w:id="31"/>
            </w:r>
            <w:r w:rsidRPr="00731DDC">
              <w:rPr>
                <w:rFonts w:ascii="Calibri" w:eastAsia="Calibri" w:hAnsi="Calibri" w:cs="Arial"/>
                <w:sz w:val="20"/>
                <w:szCs w:val="21"/>
                <w:lang w:val="en-GB"/>
              </w:rPr>
              <w:t xml:space="preserve"> </w:t>
            </w:r>
          </w:p>
        </w:tc>
      </w:tr>
      <w:tr w:rsidR="00C42A2A" w:rsidRPr="00731DDC" w14:paraId="741088DD" w14:textId="77777777" w:rsidTr="00C9081C">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D494D5F"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Data Protection and Privacy</w:t>
            </w:r>
          </w:p>
        </w:tc>
        <w:tc>
          <w:tcPr>
            <w:tcW w:w="4253" w:type="dxa"/>
            <w:shd w:val="clear" w:color="auto" w:fill="auto"/>
            <w:vAlign w:val="center"/>
          </w:tcPr>
          <w:p w14:paraId="102A0F47" w14:textId="2DCBFC50" w:rsidR="00C42A2A" w:rsidRPr="00FF599D"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FF599D">
              <w:rPr>
                <w:rFonts w:ascii="Calibri" w:eastAsia="Calibri" w:hAnsi="Calibri" w:cs="Arial"/>
                <w:sz w:val="20"/>
                <w:szCs w:val="20"/>
                <w:lang w:val="en-GB"/>
              </w:rPr>
              <w:t xml:space="preserve">Robust and consistent </w:t>
            </w:r>
            <w:r w:rsidR="00C572B4" w:rsidRPr="00FF599D">
              <w:rPr>
                <w:rFonts w:ascii="Calibri" w:eastAsia="Calibri" w:hAnsi="Calibri" w:cs="Arial"/>
                <w:sz w:val="20"/>
                <w:szCs w:val="20"/>
                <w:lang w:val="en-GB"/>
              </w:rPr>
              <w:t xml:space="preserve">data protection and </w:t>
            </w:r>
            <w:r w:rsidRPr="00FF599D">
              <w:rPr>
                <w:rFonts w:ascii="Calibri" w:eastAsia="Calibri" w:hAnsi="Calibri" w:cs="Arial"/>
                <w:sz w:val="20"/>
                <w:szCs w:val="20"/>
                <w:lang w:val="en-GB"/>
              </w:rPr>
              <w:t xml:space="preserve">privacy </w:t>
            </w:r>
            <w:r w:rsidR="00C572B4" w:rsidRPr="00FF599D">
              <w:rPr>
                <w:rFonts w:ascii="Calibri" w:eastAsia="Calibri" w:hAnsi="Calibri" w:cs="Arial"/>
                <w:sz w:val="20"/>
                <w:szCs w:val="20"/>
                <w:lang w:val="en-GB"/>
              </w:rPr>
              <w:t xml:space="preserve">measures </w:t>
            </w:r>
            <w:r w:rsidRPr="00FF599D">
              <w:rPr>
                <w:rFonts w:ascii="Calibri" w:eastAsia="Calibri" w:hAnsi="Calibri" w:cs="Arial"/>
                <w:sz w:val="20"/>
                <w:szCs w:val="20"/>
                <w:lang w:val="en-GB"/>
              </w:rPr>
              <w:t>increase community trust in all types of digital initiatives, driving adoption and use.</w:t>
            </w:r>
          </w:p>
          <w:p w14:paraId="3898E17F" w14:textId="56A748D5" w:rsidR="00C42A2A" w:rsidRPr="00156AB2" w:rsidRDefault="00C42A2A" w:rsidP="00D9244E">
            <w:pPr>
              <w:spacing w:afterLines="40" w:after="96"/>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FF599D">
              <w:rPr>
                <w:rFonts w:ascii="Calibri" w:eastAsia="Calibri" w:hAnsi="Calibri" w:cs="Arial"/>
                <w:sz w:val="20"/>
                <w:szCs w:val="20"/>
                <w:lang w:val="en-GB"/>
              </w:rPr>
              <w:t>Enables companies to expand operations</w:t>
            </w:r>
            <w:r w:rsidR="00C572B4" w:rsidRPr="00FF599D">
              <w:rPr>
                <w:rFonts w:ascii="Calibri" w:eastAsia="Calibri" w:hAnsi="Calibri" w:cs="Arial"/>
                <w:sz w:val="20"/>
                <w:szCs w:val="20"/>
                <w:lang w:val="en-GB"/>
              </w:rPr>
              <w:t>,</w:t>
            </w:r>
            <w:r w:rsidRPr="00FF599D">
              <w:rPr>
                <w:rFonts w:ascii="Calibri" w:eastAsia="Calibri" w:hAnsi="Calibri" w:cs="Arial"/>
                <w:sz w:val="20"/>
                <w:szCs w:val="20"/>
                <w:lang w:val="en-GB"/>
              </w:rPr>
              <w:t xml:space="preserve"> share </w:t>
            </w:r>
            <w:r w:rsidR="00C572B4" w:rsidRPr="00FF599D">
              <w:rPr>
                <w:rFonts w:ascii="Calibri" w:eastAsia="Calibri" w:hAnsi="Calibri" w:cs="Arial"/>
                <w:sz w:val="20"/>
                <w:szCs w:val="20"/>
                <w:lang w:val="en-GB"/>
              </w:rPr>
              <w:t xml:space="preserve">and use </w:t>
            </w:r>
            <w:r w:rsidRPr="00FF599D">
              <w:rPr>
                <w:rFonts w:ascii="Calibri" w:eastAsia="Calibri" w:hAnsi="Calibri" w:cs="Arial"/>
                <w:sz w:val="20"/>
                <w:szCs w:val="20"/>
                <w:lang w:val="en-GB"/>
              </w:rPr>
              <w:t>data in an efficient and secure manner</w:t>
            </w:r>
            <w:r w:rsidRPr="00156AB2">
              <w:rPr>
                <w:rFonts w:ascii="Calibri" w:eastAsia="Calibri" w:hAnsi="Calibri" w:cs="Arial"/>
                <w:sz w:val="20"/>
                <w:szCs w:val="20"/>
                <w:lang w:val="en-GB"/>
              </w:rPr>
              <w:t>.</w:t>
            </w:r>
          </w:p>
        </w:tc>
        <w:tc>
          <w:tcPr>
            <w:tcW w:w="2126" w:type="dxa"/>
            <w:shd w:val="clear" w:color="auto" w:fill="auto"/>
            <w:vAlign w:val="center"/>
          </w:tcPr>
          <w:p w14:paraId="5C0FA2A5" w14:textId="2F5BC1BE" w:rsidR="00C42A2A" w:rsidRPr="00156AB2"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en-GB"/>
              </w:rPr>
            </w:pPr>
            <w:r w:rsidRPr="00156AB2">
              <w:rPr>
                <w:sz w:val="20"/>
                <w:szCs w:val="20"/>
                <w:lang w:val="en-GB"/>
              </w:rPr>
              <w:t xml:space="preserve">AU: </w:t>
            </w:r>
            <w:r w:rsidR="00084038" w:rsidRPr="00156AB2">
              <w:rPr>
                <w:sz w:val="20"/>
                <w:szCs w:val="20"/>
                <w:lang w:val="en-GB"/>
              </w:rPr>
              <w:t xml:space="preserve">Costs businesses on average </w:t>
            </w:r>
            <w:r w:rsidRPr="00156AB2">
              <w:rPr>
                <w:sz w:val="20"/>
                <w:szCs w:val="20"/>
                <w:lang w:val="en-GB"/>
              </w:rPr>
              <w:t>AUD332,004</w:t>
            </w:r>
            <w:r w:rsidR="00084038" w:rsidRPr="00156AB2">
              <w:rPr>
                <w:sz w:val="20"/>
                <w:szCs w:val="20"/>
                <w:lang w:val="en-GB"/>
              </w:rPr>
              <w:t xml:space="preserve"> (2020)</w:t>
            </w:r>
            <w:r w:rsidRPr="00156AB2">
              <w:rPr>
                <w:rStyle w:val="FootnoteReference"/>
                <w:sz w:val="20"/>
                <w:szCs w:val="20"/>
                <w:shd w:val="clear" w:color="auto" w:fill="FFFFFF"/>
                <w:lang w:val="en-GB"/>
              </w:rPr>
              <w:footnoteReference w:id="32"/>
            </w:r>
          </w:p>
          <w:p w14:paraId="407735CE" w14:textId="6164A008" w:rsidR="00C42A2A" w:rsidRPr="00156AB2"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rStyle w:val="CommentReference"/>
                <w:sz w:val="20"/>
                <w:szCs w:val="20"/>
                <w:shd w:val="clear" w:color="auto" w:fill="FFFFFF"/>
                <w:lang w:val="en-GB"/>
              </w:rPr>
            </w:pPr>
            <w:r w:rsidRPr="00156AB2">
              <w:rPr>
                <w:sz w:val="20"/>
                <w:szCs w:val="20"/>
                <w:lang w:val="en-GB"/>
              </w:rPr>
              <w:lastRenderedPageBreak/>
              <w:t xml:space="preserve">SG: </w:t>
            </w:r>
            <w:r w:rsidR="00084038" w:rsidRPr="00156AB2">
              <w:rPr>
                <w:sz w:val="20"/>
                <w:szCs w:val="20"/>
                <w:lang w:val="en-GB"/>
              </w:rPr>
              <w:t xml:space="preserve">Costs businesses </w:t>
            </w:r>
            <w:r w:rsidRPr="00156AB2">
              <w:rPr>
                <w:sz w:val="20"/>
                <w:szCs w:val="20"/>
                <w:lang w:val="en-GB"/>
              </w:rPr>
              <w:t>AUD1.68mn</w:t>
            </w:r>
            <w:r w:rsidR="00084038" w:rsidRPr="00156AB2">
              <w:rPr>
                <w:sz w:val="20"/>
                <w:szCs w:val="20"/>
                <w:lang w:val="en-GB"/>
              </w:rPr>
              <w:t xml:space="preserve"> per breach (2020)</w:t>
            </w:r>
            <w:r w:rsidRPr="00156AB2">
              <w:rPr>
                <w:rStyle w:val="FootnoteReference"/>
                <w:sz w:val="20"/>
                <w:szCs w:val="20"/>
                <w:shd w:val="clear" w:color="auto" w:fill="FFFFFF"/>
                <w:lang w:val="en-GB"/>
              </w:rPr>
              <w:footnoteReference w:id="33"/>
            </w:r>
          </w:p>
        </w:tc>
        <w:tc>
          <w:tcPr>
            <w:tcW w:w="2268" w:type="dxa"/>
            <w:shd w:val="clear" w:color="auto" w:fill="auto"/>
            <w:vAlign w:val="center"/>
          </w:tcPr>
          <w:p w14:paraId="3858006B" w14:textId="77777777" w:rsidR="00C42A2A" w:rsidRPr="00156AB2"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SG"/>
              </w:rPr>
            </w:pPr>
            <w:r w:rsidRPr="00156AB2">
              <w:rPr>
                <w:rFonts w:eastAsia="Calibri" w:cstheme="minorHAnsi"/>
                <w:kern w:val="24"/>
                <w:sz w:val="20"/>
                <w:szCs w:val="20"/>
                <w:lang w:val="en-GB" w:eastAsia="en-SG"/>
              </w:rPr>
              <w:lastRenderedPageBreak/>
              <w:t>ISO/IEC 27018:2019</w:t>
            </w:r>
            <w:r w:rsidRPr="00156AB2">
              <w:rPr>
                <w:rStyle w:val="FootnoteReference"/>
                <w:rFonts w:eastAsia="Calibri" w:cstheme="minorHAnsi"/>
                <w:kern w:val="24"/>
                <w:sz w:val="20"/>
                <w:szCs w:val="20"/>
                <w:lang w:val="en-GB" w:eastAsia="en-SG"/>
              </w:rPr>
              <w:footnoteReference w:id="34"/>
            </w:r>
          </w:p>
          <w:p w14:paraId="2314E7E2" w14:textId="77777777" w:rsidR="00C42A2A" w:rsidRPr="00156AB2"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1"/>
                <w:lang w:val="en-GB"/>
              </w:rPr>
            </w:pPr>
            <w:r w:rsidRPr="00156AB2">
              <w:rPr>
                <w:rFonts w:eastAsia="Calibri" w:cstheme="minorHAnsi"/>
                <w:kern w:val="24"/>
                <w:sz w:val="20"/>
                <w:szCs w:val="20"/>
                <w:lang w:val="en-GB" w:eastAsia="en-SG"/>
              </w:rPr>
              <w:t>ISO/IEC 27701:2019</w:t>
            </w:r>
            <w:r w:rsidRPr="00156AB2">
              <w:rPr>
                <w:rStyle w:val="FootnoteReference"/>
                <w:rFonts w:eastAsia="Calibri" w:cstheme="minorHAnsi"/>
                <w:kern w:val="24"/>
                <w:sz w:val="20"/>
                <w:szCs w:val="20"/>
                <w:lang w:val="en-GB" w:eastAsia="en-SG"/>
              </w:rPr>
              <w:footnoteReference w:id="35"/>
            </w:r>
            <w:r w:rsidRPr="00156AB2">
              <w:rPr>
                <w:rFonts w:eastAsia="Calibri" w:cstheme="minorHAnsi"/>
                <w:kern w:val="24"/>
                <w:sz w:val="20"/>
                <w:szCs w:val="20"/>
                <w:lang w:val="en-GB" w:eastAsia="en-SG"/>
              </w:rPr>
              <w:t xml:space="preserve"> (including ISO/IEC 27001 and ISO/IEC 27002)</w:t>
            </w:r>
          </w:p>
        </w:tc>
      </w:tr>
      <w:tr w:rsidR="00C42A2A" w:rsidRPr="00731DDC" w14:paraId="76183AC4" w14:textId="77777777" w:rsidTr="00C90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395F763B" w14:textId="4E3DA9FC"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Cross-</w:t>
            </w:r>
            <w:r w:rsidR="00D048BE">
              <w:rPr>
                <w:rFonts w:ascii="Calibri" w:eastAsia="Calibri" w:hAnsi="Calibri" w:cs="Arial"/>
                <w:sz w:val="20"/>
                <w:szCs w:val="20"/>
                <w:lang w:val="en-GB"/>
              </w:rPr>
              <w:t>b</w:t>
            </w:r>
            <w:r w:rsidRPr="00731DDC">
              <w:rPr>
                <w:rFonts w:ascii="Calibri" w:eastAsia="Calibri" w:hAnsi="Calibri" w:cs="Arial"/>
                <w:sz w:val="20"/>
                <w:szCs w:val="20"/>
                <w:lang w:val="en-GB"/>
              </w:rPr>
              <w:t>order Data</w:t>
            </w:r>
          </w:p>
        </w:tc>
        <w:tc>
          <w:tcPr>
            <w:tcW w:w="4253" w:type="dxa"/>
            <w:shd w:val="clear" w:color="auto" w:fill="auto"/>
            <w:vAlign w:val="center"/>
          </w:tcPr>
          <w:p w14:paraId="1E47774C" w14:textId="38E392E8"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sz w:val="20"/>
                <w:szCs w:val="20"/>
                <w:lang w:val="en-GB"/>
              </w:rPr>
            </w:pPr>
            <w:r w:rsidRPr="00731DDC">
              <w:rPr>
                <w:rFonts w:ascii="Calibri" w:eastAsia="Calibri" w:hAnsi="Calibri" w:cs="Arial"/>
                <w:sz w:val="20"/>
                <w:szCs w:val="20"/>
                <w:lang w:val="en-GB"/>
              </w:rPr>
              <w:t>Fundamental to building digital economy through trade growth and enhancement;</w:t>
            </w:r>
            <w:r w:rsidR="00D9244E" w:rsidRPr="00731DDC">
              <w:rPr>
                <w:rFonts w:ascii="Calibri" w:eastAsia="Calibri" w:hAnsi="Calibri" w:cs="Arial"/>
                <w:sz w:val="20"/>
                <w:szCs w:val="20"/>
                <w:lang w:val="en-GB"/>
              </w:rPr>
              <w:t xml:space="preserve"> </w:t>
            </w:r>
            <w:r w:rsidRPr="00731DDC">
              <w:rPr>
                <w:rFonts w:ascii="Calibri" w:eastAsia="Calibri" w:hAnsi="Calibri" w:cs="Arial"/>
                <w:sz w:val="20"/>
                <w:szCs w:val="20"/>
                <w:lang w:val="en-GB"/>
              </w:rPr>
              <w:t xml:space="preserve">disproportionately beneficial to SMEs and sole traders. </w:t>
            </w:r>
          </w:p>
        </w:tc>
        <w:tc>
          <w:tcPr>
            <w:tcW w:w="2126" w:type="dxa"/>
            <w:shd w:val="clear" w:color="auto" w:fill="auto"/>
            <w:vAlign w:val="center"/>
          </w:tcPr>
          <w:p w14:paraId="36B86B7D" w14:textId="0318C0B6" w:rsidR="00C42A2A" w:rsidRPr="00731DDC" w:rsidRDefault="00C42A2A" w:rsidP="003A2D41">
            <w:pPr>
              <w:spacing w:before="40"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EF689A">
              <w:rPr>
                <w:rFonts w:ascii="Calibri" w:eastAsia="Calibri" w:hAnsi="Calibri" w:cs="Arial"/>
                <w:sz w:val="20"/>
                <w:szCs w:val="20"/>
                <w:lang w:val="en-GB"/>
              </w:rPr>
              <w:t>Data flows</w:t>
            </w:r>
            <w:r w:rsidR="000876DF">
              <w:rPr>
                <w:rFonts w:ascii="Calibri" w:eastAsia="Calibri" w:hAnsi="Calibri" w:cs="Arial"/>
                <w:sz w:val="20"/>
                <w:szCs w:val="20"/>
                <w:lang w:val="en-GB"/>
              </w:rPr>
              <w:t xml:space="preserve"> directly</w:t>
            </w:r>
            <w:r w:rsidRPr="00EF689A">
              <w:rPr>
                <w:rFonts w:ascii="Calibri" w:eastAsia="Calibri" w:hAnsi="Calibri" w:cs="Arial"/>
                <w:sz w:val="20"/>
                <w:szCs w:val="20"/>
                <w:lang w:val="en-GB"/>
              </w:rPr>
              <w:t xml:space="preserve"> increased global GDP by </w:t>
            </w:r>
            <w:r w:rsidR="00EF689A" w:rsidRPr="00EF689A">
              <w:rPr>
                <w:rFonts w:ascii="Calibri" w:eastAsia="Calibri" w:hAnsi="Calibri" w:cs="Arial"/>
                <w:sz w:val="20"/>
                <w:szCs w:val="20"/>
                <w:lang w:val="en-GB"/>
              </w:rPr>
              <w:t>3</w:t>
            </w:r>
            <w:r w:rsidRPr="00EF689A">
              <w:rPr>
                <w:rFonts w:ascii="Calibri" w:eastAsia="Calibri" w:hAnsi="Calibri" w:cs="Arial"/>
                <w:sz w:val="20"/>
                <w:szCs w:val="20"/>
                <w:lang w:val="en-GB"/>
              </w:rPr>
              <w:t xml:space="preserve">% </w:t>
            </w:r>
            <w:r w:rsidR="006B7011" w:rsidRPr="00EF689A">
              <w:rPr>
                <w:rFonts w:ascii="Calibri" w:eastAsia="Calibri" w:hAnsi="Calibri" w:cs="Arial"/>
                <w:sz w:val="20"/>
                <w:szCs w:val="20"/>
                <w:lang w:val="en-GB"/>
              </w:rPr>
              <w:t>(2016)</w:t>
            </w:r>
            <w:r w:rsidRPr="00EF689A">
              <w:rPr>
                <w:rStyle w:val="FootnoteReference"/>
                <w:rFonts w:ascii="Calibri" w:eastAsia="Calibri" w:hAnsi="Calibri" w:cs="Arial"/>
                <w:sz w:val="20"/>
                <w:szCs w:val="20"/>
                <w:lang w:val="en-GB"/>
              </w:rPr>
              <w:footnoteReference w:id="36"/>
            </w:r>
          </w:p>
        </w:tc>
        <w:tc>
          <w:tcPr>
            <w:tcW w:w="2268" w:type="dxa"/>
            <w:shd w:val="clear" w:color="auto" w:fill="auto"/>
            <w:vAlign w:val="center"/>
          </w:tcPr>
          <w:p w14:paraId="20C8A23A" w14:textId="77777777" w:rsidR="00C42A2A" w:rsidRDefault="00C42A2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22624:2020</w:t>
            </w:r>
            <w:r w:rsidRPr="00731DDC">
              <w:rPr>
                <w:rStyle w:val="FootnoteReference"/>
                <w:rFonts w:ascii="Calibri" w:eastAsia="Calibri" w:hAnsi="Calibri" w:cs="Arial"/>
                <w:sz w:val="20"/>
                <w:szCs w:val="20"/>
                <w:lang w:val="en-GB"/>
              </w:rPr>
              <w:footnoteReference w:id="37"/>
            </w:r>
          </w:p>
          <w:p w14:paraId="14CF7716" w14:textId="2EDAABD9" w:rsidR="00F12507" w:rsidRPr="00731DDC" w:rsidRDefault="00BC398A" w:rsidP="001F09E1">
            <w:pPr>
              <w:pStyle w:val="ListParagraph"/>
              <w:numPr>
                <w:ilvl w:val="0"/>
                <w:numId w:val="13"/>
              </w:numPr>
              <w:spacing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APEC CBPR System</w:t>
            </w:r>
            <w:r>
              <w:rPr>
                <w:rStyle w:val="FootnoteReference"/>
                <w:rFonts w:ascii="Calibri" w:eastAsia="Calibri" w:hAnsi="Calibri" w:cs="Arial"/>
                <w:sz w:val="20"/>
                <w:szCs w:val="20"/>
                <w:lang w:val="en-GB"/>
              </w:rPr>
              <w:footnoteReference w:id="38"/>
            </w:r>
          </w:p>
        </w:tc>
      </w:tr>
      <w:tr w:rsidR="00C42A2A" w:rsidRPr="00731DDC" w14:paraId="7C018462" w14:textId="77777777" w:rsidTr="00C9081C">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1A935EC0" w14:textId="77777777" w:rsidR="00C42A2A" w:rsidRPr="00731DDC" w:rsidRDefault="00C42A2A" w:rsidP="003A2D41">
            <w:pPr>
              <w:spacing w:before="40" w:afterLines="40" w:after="96"/>
              <w:rPr>
                <w:rFonts w:ascii="Calibri" w:eastAsia="Calibri" w:hAnsi="Calibri" w:cs="Arial"/>
                <w:sz w:val="20"/>
                <w:szCs w:val="20"/>
                <w:lang w:val="en-GB"/>
              </w:rPr>
            </w:pPr>
            <w:r w:rsidRPr="00731DDC">
              <w:rPr>
                <w:rFonts w:ascii="Calibri" w:eastAsia="Calibri" w:hAnsi="Calibri" w:cs="Arial"/>
                <w:sz w:val="20"/>
                <w:szCs w:val="20"/>
                <w:lang w:val="en-GB"/>
              </w:rPr>
              <w:t>Data Portability</w:t>
            </w:r>
          </w:p>
        </w:tc>
        <w:tc>
          <w:tcPr>
            <w:tcW w:w="4253" w:type="dxa"/>
            <w:shd w:val="clear" w:color="auto" w:fill="auto"/>
            <w:vAlign w:val="center"/>
          </w:tcPr>
          <w:p w14:paraId="22A6B4CF" w14:textId="77777777" w:rsidR="00C42A2A" w:rsidRPr="00731DDC"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rFonts w:ascii="Calibri" w:eastAsia="Calibri" w:hAnsi="Calibri" w:cs="Arial"/>
                <w:sz w:val="20"/>
                <w:szCs w:val="20"/>
                <w:lang w:val="en-GB"/>
              </w:rPr>
              <w:t xml:space="preserve">Required for ensuring competitive access to data pools and data resources, and that consumers are not faced with technology lock-in. </w:t>
            </w:r>
          </w:p>
        </w:tc>
        <w:tc>
          <w:tcPr>
            <w:tcW w:w="2126" w:type="dxa"/>
            <w:shd w:val="clear" w:color="auto" w:fill="auto"/>
            <w:vAlign w:val="center"/>
          </w:tcPr>
          <w:p w14:paraId="5DA1CD30" w14:textId="0C344B4D" w:rsidR="00C42A2A" w:rsidRPr="00731DDC" w:rsidRDefault="00C42A2A" w:rsidP="003A2D41">
            <w:pPr>
              <w:spacing w:before="40"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AU: </w:t>
            </w:r>
            <w:r w:rsidR="005A1ED4" w:rsidRPr="00731DDC">
              <w:rPr>
                <w:rFonts w:ascii="Calibri" w:eastAsia="Calibri" w:hAnsi="Calibri" w:cs="Arial"/>
                <w:sz w:val="20"/>
                <w:szCs w:val="20"/>
                <w:lang w:val="en-GB"/>
              </w:rPr>
              <w:t>AUD64bn per annum (2018)</w:t>
            </w:r>
            <w:r w:rsidR="005A1ED4" w:rsidRPr="00731DDC">
              <w:rPr>
                <w:rFonts w:ascii="Calibri" w:eastAsia="Calibri" w:hAnsi="Calibri" w:cs="Arial"/>
                <w:sz w:val="20"/>
                <w:szCs w:val="20"/>
                <w:vertAlign w:val="superscript"/>
                <w:lang w:val="en-GB"/>
              </w:rPr>
              <w:footnoteReference w:id="39"/>
            </w:r>
          </w:p>
        </w:tc>
        <w:tc>
          <w:tcPr>
            <w:tcW w:w="2268" w:type="dxa"/>
            <w:shd w:val="clear" w:color="auto" w:fill="auto"/>
            <w:vAlign w:val="center"/>
          </w:tcPr>
          <w:p w14:paraId="7846A468" w14:textId="2F2BCF26" w:rsidR="00C9081C" w:rsidRDefault="00C9081C"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C9081C">
              <w:rPr>
                <w:rFonts w:ascii="Calibri" w:eastAsia="Calibri" w:hAnsi="Calibri" w:cs="Arial"/>
                <w:sz w:val="20"/>
                <w:szCs w:val="20"/>
                <w:lang w:val="en-GB"/>
              </w:rPr>
              <w:t>ISO/IEC 38505-1:2017</w:t>
            </w:r>
            <w:r w:rsidRPr="00C9081C">
              <w:rPr>
                <w:rFonts w:ascii="Calibri" w:eastAsia="Calibri" w:hAnsi="Calibri" w:cs="Arial"/>
                <w:sz w:val="20"/>
                <w:szCs w:val="20"/>
                <w:vertAlign w:val="superscript"/>
                <w:lang w:val="en-GB"/>
              </w:rPr>
              <w:footnoteReference w:id="40"/>
            </w:r>
          </w:p>
          <w:p w14:paraId="03E6AD16" w14:textId="65D0046D" w:rsidR="00DB7D71" w:rsidRPr="00731DDC" w:rsidRDefault="00DB7D71"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38505-1:2017</w:t>
            </w:r>
            <w:r w:rsidR="007C3AB8" w:rsidRPr="00731DDC">
              <w:rPr>
                <w:vertAlign w:val="superscript"/>
                <w:lang w:val="en-GB"/>
              </w:rPr>
              <w:footnoteReference w:id="41"/>
            </w:r>
          </w:p>
          <w:p w14:paraId="5B3E3198" w14:textId="6574A0F9" w:rsidR="00984F56" w:rsidRPr="00731DDC" w:rsidRDefault="00C42A2A" w:rsidP="001F09E1">
            <w:pPr>
              <w:pStyle w:val="ListParagraph"/>
              <w:numPr>
                <w:ilvl w:val="0"/>
                <w:numId w:val="13"/>
              </w:numPr>
              <w:spacing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ISO/TS 23029:2020</w:t>
            </w:r>
            <w:r w:rsidRPr="00731DDC">
              <w:rPr>
                <w:rStyle w:val="FootnoteReference"/>
                <w:rFonts w:ascii="Calibri" w:eastAsia="Calibri" w:hAnsi="Calibri" w:cs="Arial"/>
                <w:sz w:val="20"/>
                <w:szCs w:val="20"/>
                <w:lang w:val="en-GB"/>
              </w:rPr>
              <w:footnoteReference w:id="42"/>
            </w:r>
          </w:p>
        </w:tc>
      </w:tr>
      <w:bookmarkEnd w:id="13"/>
    </w:tbl>
    <w:p w14:paraId="6140A095" w14:textId="77777777" w:rsidR="00C42A2A" w:rsidRPr="00731DDC" w:rsidRDefault="00C42A2A" w:rsidP="00C42A2A">
      <w:pPr>
        <w:spacing w:line="276" w:lineRule="auto"/>
        <w:rPr>
          <w:lang w:val="en-GB"/>
        </w:rPr>
        <w:sectPr w:rsidR="00C42A2A" w:rsidRPr="00731DDC" w:rsidSect="0014208D">
          <w:pgSz w:w="11906" w:h="16838" w:code="9"/>
          <w:pgMar w:top="1160" w:right="1440" w:bottom="1440" w:left="1440" w:header="720" w:footer="720" w:gutter="0"/>
          <w:cols w:space="720"/>
          <w:titlePg/>
          <w:docGrid w:linePitch="360"/>
        </w:sectPr>
      </w:pPr>
    </w:p>
    <w:p w14:paraId="075D4D13" w14:textId="69A5FA37" w:rsidR="00C42A2A" w:rsidRPr="00731DDC" w:rsidRDefault="00C42A2A" w:rsidP="00C42A2A">
      <w:pPr>
        <w:pStyle w:val="Heading1"/>
        <w:spacing w:after="160" w:line="276" w:lineRule="auto"/>
        <w:contextualSpacing/>
        <w:rPr>
          <w:lang w:val="en-GB"/>
        </w:rPr>
      </w:pPr>
      <w:bookmarkStart w:id="15" w:name="_Toc51167311"/>
      <w:r w:rsidRPr="00731DDC">
        <w:rPr>
          <w:lang w:val="en-GB"/>
        </w:rPr>
        <w:lastRenderedPageBreak/>
        <w:t>Introduction</w:t>
      </w:r>
      <w:bookmarkEnd w:id="15"/>
    </w:p>
    <w:p w14:paraId="21627652" w14:textId="77777777" w:rsidR="00C42A2A" w:rsidRPr="00731DDC" w:rsidRDefault="00C42A2A" w:rsidP="005F4075">
      <w:pPr>
        <w:rPr>
          <w:lang w:val="en-GB"/>
        </w:rPr>
      </w:pPr>
      <w:r w:rsidRPr="00731DDC">
        <w:rPr>
          <w:lang w:val="en-GB"/>
        </w:rPr>
        <w:t>The digital economies of Australia and Singapore have been growing rapidly and the two countries are strong trading partners. However, there is significant scope for harnessing national digitalisation efforts to further increase, accelerate and amplify overall trade between the two economies. Greater use of new and emerging technologies is not only creating trade opportunities in digital goods and services, it is also increasing trade in physical goods and services that can be exchanged seamlessly through enhanced digital enablers. Australia-Singapore cooperation in digital standards will facilitate trade with interoperable technologies.</w:t>
      </w:r>
    </w:p>
    <w:p w14:paraId="5961E5E7" w14:textId="77777777" w:rsidR="00C42A2A" w:rsidRPr="00731DDC" w:rsidRDefault="00C42A2A" w:rsidP="005F4075">
      <w:pPr>
        <w:rPr>
          <w:rFonts w:cstheme="minorHAnsi"/>
          <w:color w:val="000000"/>
          <w:szCs w:val="22"/>
          <w:lang w:val="en-GB"/>
        </w:rPr>
      </w:pPr>
      <w:r w:rsidRPr="00731DDC">
        <w:rPr>
          <w:rFonts w:cstheme="minorHAnsi"/>
          <w:color w:val="000000"/>
          <w:szCs w:val="22"/>
          <w:lang w:val="en-GB"/>
        </w:rPr>
        <w:t xml:space="preserve">Without proactive cooperation, trade between the two countries risks not being maximised. The global trade environment is increasingly becoming divergent—particularly in regard to the development of digital economies and data flows; and these trends have been exacerbated by the current pandemic crisis. This has been leading to an emerging rush of independently developed standards (and proposed or potential standards), touching upon a wide and cross-cutting array of commercial and trade areas. Problematically, a number of such standards are being promoted and promulgated outside of accepted, collaborative, and multilateral international standards setting processes. This wider use of domestic standards could very likely increase compliance costs, restrict market access, and fragment the landscape for digital trade. Such barriers to trade would diminish trade opportunities across the Indo-Pacific region and with other trading partners. </w:t>
      </w:r>
    </w:p>
    <w:p w14:paraId="1BBDBF03" w14:textId="264004BD" w:rsidR="00C42A2A" w:rsidRPr="00731DDC" w:rsidRDefault="00947649" w:rsidP="005F4075">
      <w:pPr>
        <w:rPr>
          <w:rFonts w:cstheme="minorHAnsi"/>
          <w:color w:val="000000"/>
          <w:szCs w:val="22"/>
          <w:lang w:val="en-GB"/>
        </w:rPr>
      </w:pPr>
      <w:r>
        <w:rPr>
          <w:rFonts w:cstheme="minorHAnsi"/>
          <w:color w:val="000000"/>
          <w:szCs w:val="22"/>
          <w:lang w:val="en-GB"/>
        </w:rPr>
        <w:t>In order t</w:t>
      </w:r>
      <w:r w:rsidR="00C42A2A" w:rsidRPr="00731DDC">
        <w:rPr>
          <w:rFonts w:cstheme="minorHAnsi"/>
          <w:color w:val="000000"/>
          <w:szCs w:val="22"/>
          <w:lang w:val="en-GB"/>
        </w:rPr>
        <w:t xml:space="preserve">o foster the growth potential of digital trade between Australia and Singapore, we </w:t>
      </w:r>
      <w:r>
        <w:rPr>
          <w:rFonts w:cstheme="minorHAnsi"/>
          <w:color w:val="000000"/>
          <w:szCs w:val="22"/>
          <w:lang w:val="en-GB"/>
        </w:rPr>
        <w:t xml:space="preserve">recommend consideration of </w:t>
      </w:r>
      <w:r w:rsidR="00C42A2A" w:rsidRPr="00731DDC">
        <w:rPr>
          <w:rFonts w:cstheme="minorHAnsi"/>
          <w:color w:val="000000"/>
          <w:szCs w:val="22"/>
          <w:lang w:val="en-GB"/>
        </w:rPr>
        <w:t xml:space="preserve">two key requirements: </w:t>
      </w:r>
    </w:p>
    <w:p w14:paraId="5955A5BD" w14:textId="37604C2B" w:rsidR="00C42A2A" w:rsidRPr="00731DDC" w:rsidRDefault="00C42A2A" w:rsidP="001F09E1">
      <w:pPr>
        <w:pStyle w:val="NormalWeb"/>
        <w:numPr>
          <w:ilvl w:val="0"/>
          <w:numId w:val="30"/>
        </w:numPr>
        <w:spacing w:before="100" w:beforeAutospacing="1" w:after="160" w:line="276" w:lineRule="auto"/>
        <w:rPr>
          <w:rFonts w:asciiTheme="minorHAnsi" w:hAnsiTheme="minorHAnsi" w:cstheme="minorHAnsi"/>
          <w:color w:val="000000"/>
          <w:sz w:val="22"/>
          <w:szCs w:val="22"/>
          <w:lang w:val="en-GB"/>
        </w:rPr>
      </w:pPr>
      <w:r w:rsidRPr="00731DDC">
        <w:rPr>
          <w:rFonts w:asciiTheme="minorHAnsi" w:hAnsiTheme="minorHAnsi" w:cstheme="minorHAnsi"/>
          <w:color w:val="000000"/>
          <w:sz w:val="22"/>
          <w:szCs w:val="22"/>
          <w:lang w:val="en-GB"/>
        </w:rPr>
        <w:t xml:space="preserve">Adoption of a </w:t>
      </w:r>
      <w:r w:rsidRPr="00731DDC">
        <w:rPr>
          <w:rFonts w:asciiTheme="minorHAnsi" w:hAnsiTheme="minorHAnsi" w:cstheme="minorHAnsi"/>
          <w:i/>
          <w:iCs/>
          <w:color w:val="000000"/>
          <w:sz w:val="22"/>
          <w:szCs w:val="22"/>
          <w:lang w:val="en-GB"/>
        </w:rPr>
        <w:t>holistic</w:t>
      </w:r>
      <w:r w:rsidRPr="00731DDC">
        <w:rPr>
          <w:rFonts w:asciiTheme="minorHAnsi" w:hAnsiTheme="minorHAnsi" w:cstheme="minorHAnsi"/>
          <w:color w:val="000000"/>
          <w:sz w:val="22"/>
          <w:szCs w:val="22"/>
          <w:lang w:val="en-GB"/>
        </w:rPr>
        <w:t xml:space="preserve"> approach to digital trade and digital trade standards. In particular this means focusing upon the interoperability of digital processes and applications; </w:t>
      </w:r>
    </w:p>
    <w:p w14:paraId="45C420B9" w14:textId="77777777" w:rsidR="00C42A2A" w:rsidRPr="00731DDC" w:rsidRDefault="00C42A2A" w:rsidP="001F09E1">
      <w:pPr>
        <w:pStyle w:val="NormalWeb"/>
        <w:numPr>
          <w:ilvl w:val="0"/>
          <w:numId w:val="30"/>
        </w:numPr>
        <w:spacing w:before="100" w:beforeAutospacing="1" w:after="160" w:line="276" w:lineRule="auto"/>
        <w:rPr>
          <w:rFonts w:asciiTheme="minorHAnsi" w:hAnsiTheme="minorHAnsi" w:cstheme="minorHAnsi"/>
          <w:color w:val="000000"/>
          <w:sz w:val="22"/>
          <w:szCs w:val="22"/>
          <w:lang w:val="en-GB"/>
        </w:rPr>
      </w:pPr>
      <w:r w:rsidRPr="00731DDC">
        <w:rPr>
          <w:rFonts w:asciiTheme="minorHAnsi" w:hAnsiTheme="minorHAnsi" w:cstheme="minorHAnsi"/>
          <w:color w:val="000000"/>
          <w:sz w:val="22"/>
          <w:szCs w:val="22"/>
          <w:lang w:val="en-GB"/>
        </w:rPr>
        <w:t xml:space="preserve">Alignment of regulatory and governance frameworks that facilitate trade. In particular this means recognising the more agile process and use of standards to facilitate digital technology use, and ensuring mutual recognition processes are established and fit for purpose. </w:t>
      </w:r>
    </w:p>
    <w:p w14:paraId="1028239D" w14:textId="01028BC0" w:rsidR="00C42A2A" w:rsidRPr="00731DDC" w:rsidRDefault="00C42A2A" w:rsidP="005F4075">
      <w:pPr>
        <w:rPr>
          <w:lang w:val="en-GB"/>
        </w:rPr>
      </w:pPr>
      <w:r w:rsidRPr="00731DDC">
        <w:rPr>
          <w:lang w:val="en-GB"/>
        </w:rPr>
        <w:t xml:space="preserve">Both </w:t>
      </w:r>
      <w:r w:rsidR="00D16508">
        <w:rPr>
          <w:lang w:val="en-GB"/>
        </w:rPr>
        <w:t>of these considerations are further</w:t>
      </w:r>
      <w:r w:rsidR="00D16508" w:rsidRPr="00731DDC">
        <w:rPr>
          <w:lang w:val="en-GB"/>
        </w:rPr>
        <w:t xml:space="preserve"> </w:t>
      </w:r>
      <w:r w:rsidRPr="00731DDC">
        <w:rPr>
          <w:lang w:val="en-GB"/>
        </w:rPr>
        <w:t xml:space="preserve">elaborated </w:t>
      </w:r>
      <w:r w:rsidR="00D16508">
        <w:rPr>
          <w:lang w:val="en-GB"/>
        </w:rPr>
        <w:t xml:space="preserve">on </w:t>
      </w:r>
      <w:r w:rsidRPr="00731DDC">
        <w:rPr>
          <w:lang w:val="en-GB"/>
        </w:rPr>
        <w:t xml:space="preserve">in the report. However, the key objective should be fewer barriers to trade, and capturing the efficiencies of digitalisation through ensuring the necessary scale and scope are enabled. Achievement of this objective leads to lower costs, more transactions and greater economic benefit. A third important benefit is the guiding example that such a cooperative approach between Singapore and Australia can provide to other trading partners. </w:t>
      </w:r>
    </w:p>
    <w:p w14:paraId="53D10A4A" w14:textId="15849CD7" w:rsidR="00193CA1" w:rsidRPr="00731DDC" w:rsidRDefault="00C42A2A" w:rsidP="005F4075">
      <w:pPr>
        <w:rPr>
          <w:lang w:val="en-GB"/>
        </w:rPr>
      </w:pPr>
      <w:r w:rsidRPr="00731DDC">
        <w:rPr>
          <w:lang w:val="en-GB"/>
        </w:rPr>
        <w:t>The strengthening of digital trade and cooperation on international standards in the region has increased in importance as a result of the COVID-19 pandemic. As discussed in Box 1 below, not only has the demand and use of digital technologies been critical in enabling working and learning from home, but has assisted government agencies to fast-track financial support to boost the economy. COVID-19 has raised the importance of standards to help businesses digitalise and adapt quickly to</w:t>
      </w:r>
      <w:r w:rsidR="00193CA1" w:rsidRPr="00731DDC">
        <w:rPr>
          <w:lang w:val="en-GB"/>
        </w:rPr>
        <w:t xml:space="preserve"> </w:t>
      </w:r>
      <w:r w:rsidRPr="00731DDC">
        <w:rPr>
          <w:lang w:val="en-GB"/>
        </w:rPr>
        <w:t>disruptions. In Singapore, the government has made over 40 international and Singapore standards across different areas, freely available to help enterprises mitigate the impact of COVID-19.</w:t>
      </w:r>
      <w:r w:rsidRPr="00731DDC">
        <w:rPr>
          <w:rStyle w:val="FootnoteReference"/>
          <w:lang w:val="en-GB"/>
        </w:rPr>
        <w:footnoteReference w:id="43"/>
      </w:r>
    </w:p>
    <w:p w14:paraId="485F47D2" w14:textId="765E9876" w:rsidR="00C42A2A" w:rsidRPr="00731DDC" w:rsidRDefault="00C42A2A" w:rsidP="007C0781">
      <w:pPr>
        <w:pStyle w:val="Caption"/>
        <w:rPr>
          <w:lang w:val="en-GB"/>
        </w:rPr>
      </w:pPr>
      <w:r w:rsidRPr="00731DDC">
        <w:rPr>
          <w:lang w:val="en-GB"/>
        </w:rPr>
        <w:lastRenderedPageBreak/>
        <w:t xml:space="preserve">Box </w:t>
      </w:r>
      <w:r w:rsidRPr="00731DDC">
        <w:rPr>
          <w:lang w:val="en-GB"/>
        </w:rPr>
        <w:fldChar w:fldCharType="begin"/>
      </w:r>
      <w:r w:rsidRPr="00731DDC">
        <w:rPr>
          <w:lang w:val="en-GB"/>
        </w:rPr>
        <w:instrText xml:space="preserve"> SEQ Box \* ARABIC </w:instrText>
      </w:r>
      <w:r w:rsidRPr="00731DDC">
        <w:rPr>
          <w:lang w:val="en-GB"/>
        </w:rPr>
        <w:fldChar w:fldCharType="separate"/>
      </w:r>
      <w:r w:rsidR="00C9081C">
        <w:rPr>
          <w:noProof/>
          <w:lang w:val="en-GB"/>
        </w:rPr>
        <w:t>1</w:t>
      </w:r>
      <w:r w:rsidRPr="00731DDC">
        <w:rPr>
          <w:lang w:val="en-GB"/>
        </w:rPr>
        <w:fldChar w:fldCharType="end"/>
      </w:r>
      <w:r w:rsidRPr="00731DDC">
        <w:rPr>
          <w:lang w:val="en-GB"/>
        </w:rPr>
        <w:t>: Impact of COVID-19</w:t>
      </w:r>
    </w:p>
    <w:tbl>
      <w:tblPr>
        <w:tblStyle w:val="TableGrid"/>
        <w:tblW w:w="0" w:type="auto"/>
        <w:jc w:val="center"/>
        <w:shd w:val="clear" w:color="auto" w:fill="D9E2F3" w:themeFill="accent1" w:themeFillTint="33"/>
        <w:tblLook w:val="04A0" w:firstRow="1" w:lastRow="0" w:firstColumn="1" w:lastColumn="0" w:noHBand="0" w:noVBand="1"/>
      </w:tblPr>
      <w:tblGrid>
        <w:gridCol w:w="9016"/>
      </w:tblGrid>
      <w:tr w:rsidR="00C42A2A" w:rsidRPr="00731DDC" w14:paraId="4E643962" w14:textId="77777777" w:rsidTr="006907BE">
        <w:trPr>
          <w:jc w:val="center"/>
        </w:trPr>
        <w:tc>
          <w:tcPr>
            <w:tcW w:w="9016"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0A531125" w14:textId="77777777" w:rsidR="00C42A2A" w:rsidRPr="00731DDC" w:rsidRDefault="00C42A2A" w:rsidP="006907BE">
            <w:pPr>
              <w:spacing w:after="40"/>
              <w:rPr>
                <w:rFonts w:eastAsiaTheme="minorEastAsia"/>
                <w:lang w:val="en-GB"/>
              </w:rPr>
            </w:pPr>
            <w:r w:rsidRPr="00731DDC">
              <w:rPr>
                <w:lang w:val="en-GB"/>
              </w:rPr>
              <w:t>Since the start of 2020, the novel Coronavirus Disease 2019 (COVID-19) pandemic has resulted in many countries including Australia and Singapore implementing measures that restrict the movement of people, goods and services. As a result, cross-border trade has suffered.</w:t>
            </w:r>
          </w:p>
          <w:p w14:paraId="2FC5615B" w14:textId="77777777" w:rsidR="00C42A2A" w:rsidRPr="00731DDC" w:rsidRDefault="00C42A2A" w:rsidP="006907BE">
            <w:pPr>
              <w:pStyle w:val="Tablelist"/>
              <w:numPr>
                <w:ilvl w:val="0"/>
                <w:numId w:val="0"/>
              </w:numPr>
              <w:ind w:left="28" w:hanging="48"/>
              <w:rPr>
                <w:lang w:val="en-GB"/>
              </w:rPr>
            </w:pPr>
            <w:r w:rsidRPr="00731DDC">
              <w:rPr>
                <w:lang w:val="en-GB"/>
              </w:rPr>
              <w:t>However, the COVID-19 crisis has highlighted the critical role that digital technologies play keeping the economy moving during the pandemic. For example, digital technology has provided economic and social stability for individuals:</w:t>
            </w:r>
          </w:p>
          <w:p w14:paraId="42349A47" w14:textId="77777777" w:rsidR="00C42A2A" w:rsidRPr="00731DDC" w:rsidRDefault="00C42A2A" w:rsidP="006907BE">
            <w:pPr>
              <w:pStyle w:val="Tablelist"/>
              <w:ind w:left="318" w:hanging="318"/>
              <w:rPr>
                <w:lang w:val="en-GB"/>
              </w:rPr>
            </w:pPr>
            <w:r w:rsidRPr="00731DDC">
              <w:rPr>
                <w:lang w:val="en-GB"/>
              </w:rPr>
              <w:t>Working or studying from home, or for those simply isolated in their homes during lockdowns;</w:t>
            </w:r>
          </w:p>
          <w:p w14:paraId="770F74CD" w14:textId="544EFF74" w:rsidR="00C42A2A" w:rsidRPr="00731DDC" w:rsidRDefault="00C42A2A" w:rsidP="006907BE">
            <w:pPr>
              <w:pStyle w:val="Tablelist"/>
              <w:ind w:left="318" w:hanging="318"/>
              <w:rPr>
                <w:lang w:val="en-GB"/>
              </w:rPr>
            </w:pPr>
            <w:r w:rsidRPr="00731DDC">
              <w:rPr>
                <w:lang w:val="en-GB"/>
              </w:rPr>
              <w:t>In urgent need of medical attention, or seeking medical advice, through telemedicine;</w:t>
            </w:r>
          </w:p>
          <w:p w14:paraId="2700C29A" w14:textId="75AAE053" w:rsidR="00C42A2A" w:rsidRPr="00731DDC" w:rsidRDefault="00C42A2A" w:rsidP="006907BE">
            <w:pPr>
              <w:pStyle w:val="Tablelist"/>
              <w:ind w:left="318" w:hanging="318"/>
              <w:rPr>
                <w:lang w:val="en-GB"/>
              </w:rPr>
            </w:pPr>
            <w:r w:rsidRPr="00731DDC">
              <w:rPr>
                <w:lang w:val="en-GB"/>
              </w:rPr>
              <w:t>Ordering essential services, food and goods purchased online, through a marketplace, or app;</w:t>
            </w:r>
          </w:p>
          <w:p w14:paraId="63365799" w14:textId="77777777" w:rsidR="00C42A2A" w:rsidRPr="00731DDC" w:rsidRDefault="00C42A2A" w:rsidP="006907BE">
            <w:pPr>
              <w:pStyle w:val="Tablelist"/>
              <w:ind w:left="318" w:hanging="318"/>
              <w:rPr>
                <w:lang w:val="en-GB"/>
              </w:rPr>
            </w:pPr>
            <w:r w:rsidRPr="00731DDC">
              <w:rPr>
                <w:lang w:val="en-GB"/>
              </w:rPr>
              <w:t>Processing payments, including remittances, government disbursements.</w:t>
            </w:r>
          </w:p>
          <w:p w14:paraId="36CB77A0" w14:textId="77777777" w:rsidR="00C42A2A" w:rsidRPr="00731DDC" w:rsidRDefault="00C42A2A" w:rsidP="006907BE">
            <w:pPr>
              <w:pStyle w:val="Tablelist"/>
              <w:numPr>
                <w:ilvl w:val="0"/>
                <w:numId w:val="0"/>
              </w:numPr>
              <w:ind w:left="318"/>
              <w:rPr>
                <w:rFonts w:eastAsiaTheme="minorEastAsia"/>
                <w:lang w:val="en-GB"/>
              </w:rPr>
            </w:pPr>
          </w:p>
          <w:p w14:paraId="36B9164F" w14:textId="77777777" w:rsidR="00C42A2A" w:rsidRPr="00731DDC" w:rsidRDefault="00C42A2A" w:rsidP="006907BE">
            <w:pPr>
              <w:pStyle w:val="Tablelist"/>
              <w:numPr>
                <w:ilvl w:val="0"/>
                <w:numId w:val="0"/>
              </w:numPr>
              <w:ind w:left="360" w:hanging="360"/>
              <w:rPr>
                <w:rFonts w:eastAsiaTheme="minorEastAsia"/>
                <w:lang w:val="en-GB"/>
              </w:rPr>
            </w:pPr>
            <w:r w:rsidRPr="00731DDC">
              <w:rPr>
                <w:lang w:val="en-GB"/>
              </w:rPr>
              <w:t>COVID-19 has:</w:t>
            </w:r>
          </w:p>
          <w:p w14:paraId="75999EBA" w14:textId="376CD287" w:rsidR="00C42A2A" w:rsidRPr="00731DDC" w:rsidRDefault="00C42A2A" w:rsidP="006907BE">
            <w:pPr>
              <w:pStyle w:val="Tablelist"/>
              <w:ind w:left="318" w:hanging="318"/>
              <w:rPr>
                <w:lang w:val="en-GB"/>
              </w:rPr>
            </w:pPr>
            <w:r w:rsidRPr="00731DDC">
              <w:rPr>
                <w:lang w:val="en-GB"/>
              </w:rPr>
              <w:t>Accelerated the adoption of digital technologies—from improving transparency and enabling greater supply chain flexibility to real-time response abilities, and automating processes both online and remotely.</w:t>
            </w:r>
          </w:p>
          <w:p w14:paraId="216B3118" w14:textId="77777777" w:rsidR="00C42A2A" w:rsidRPr="00731DDC" w:rsidRDefault="00C42A2A" w:rsidP="006907BE">
            <w:pPr>
              <w:pStyle w:val="Tablelist"/>
              <w:ind w:left="318" w:hanging="318"/>
              <w:rPr>
                <w:lang w:val="en-GB"/>
              </w:rPr>
            </w:pPr>
            <w:r w:rsidRPr="00731DDC">
              <w:rPr>
                <w:lang w:val="en-GB"/>
              </w:rPr>
              <w:t>Reinforced the need to have enabling processes in place—to ensure, for example, both the widespread use of track-and-trace apps and the requirement for privacy and security features.</w:t>
            </w:r>
          </w:p>
          <w:p w14:paraId="2847325F" w14:textId="64D560FA" w:rsidR="00C42A2A" w:rsidRPr="00731DDC" w:rsidRDefault="00C42A2A" w:rsidP="006907BE">
            <w:pPr>
              <w:pStyle w:val="Tablelist"/>
              <w:ind w:left="318" w:hanging="318"/>
              <w:rPr>
                <w:lang w:val="en-GB"/>
              </w:rPr>
            </w:pPr>
            <w:r w:rsidRPr="00731DDC">
              <w:rPr>
                <w:lang w:val="en-GB"/>
              </w:rPr>
              <w:t>Required coordination across the world for many essential measures—from coordinated plans to keep vital supply chains open to the exchange of information on ways to combat the virus, to financial and technical assistance.</w:t>
            </w:r>
          </w:p>
        </w:tc>
      </w:tr>
    </w:tbl>
    <w:p w14:paraId="75FA3A64" w14:textId="77777777" w:rsidR="00C42A2A" w:rsidRPr="00731DDC" w:rsidRDefault="00C42A2A" w:rsidP="00C42A2A">
      <w:pPr>
        <w:rPr>
          <w:lang w:val="en-GB"/>
        </w:rPr>
      </w:pPr>
    </w:p>
    <w:p w14:paraId="4CBA7B42" w14:textId="77777777" w:rsidR="006907BE" w:rsidRDefault="006907BE">
      <w:pPr>
        <w:spacing w:before="0" w:after="0"/>
        <w:rPr>
          <w:rFonts w:eastAsiaTheme="majorEastAsia" w:cstheme="majorBidi"/>
          <w:b/>
          <w:bCs/>
          <w:color w:val="2F5496" w:themeColor="accent1" w:themeShade="BF"/>
          <w:sz w:val="24"/>
          <w:szCs w:val="28"/>
          <w:lang w:val="en-GB"/>
        </w:rPr>
      </w:pPr>
      <w:r>
        <w:rPr>
          <w:lang w:val="en-GB"/>
        </w:rPr>
        <w:br w:type="page"/>
      </w:r>
    </w:p>
    <w:p w14:paraId="1B9F0DB5" w14:textId="68F65226" w:rsidR="00C42A2A" w:rsidRPr="00731DDC" w:rsidRDefault="00C42A2A" w:rsidP="006907BE">
      <w:pPr>
        <w:pStyle w:val="Heading1"/>
        <w:spacing w:line="276" w:lineRule="auto"/>
        <w:rPr>
          <w:lang w:val="en-GB"/>
        </w:rPr>
      </w:pPr>
      <w:bookmarkStart w:id="16" w:name="_Toc51167312"/>
      <w:r w:rsidRPr="00731DDC">
        <w:rPr>
          <w:lang w:val="en-GB"/>
        </w:rPr>
        <w:lastRenderedPageBreak/>
        <w:t>Background and Objectives</w:t>
      </w:r>
      <w:bookmarkEnd w:id="16"/>
    </w:p>
    <w:p w14:paraId="3FDDAA80" w14:textId="63176FB1" w:rsidR="00C42A2A" w:rsidRPr="00731DDC" w:rsidRDefault="00C42A2A" w:rsidP="005F4075">
      <w:pPr>
        <w:rPr>
          <w:lang w:val="en-GB"/>
        </w:rPr>
      </w:pPr>
      <w:r w:rsidRPr="00731DDC">
        <w:rPr>
          <w:lang w:val="en-GB"/>
        </w:rPr>
        <w:t xml:space="preserve">As part of our ‘deep dive’ into digital trade between Australia and Singapore we analysed areas of the digital economy and digital trade development in the two economies, </w:t>
      </w:r>
      <w:r w:rsidR="00D16508">
        <w:rPr>
          <w:lang w:val="en-GB"/>
        </w:rPr>
        <w:t xml:space="preserve">in order </w:t>
      </w:r>
      <w:r w:rsidRPr="00731DDC">
        <w:rPr>
          <w:lang w:val="en-GB"/>
        </w:rPr>
        <w:t>to identify areas of mutual interest and opportunity</w:t>
      </w:r>
      <w:r w:rsidR="00D16508">
        <w:rPr>
          <w:lang w:val="en-GB"/>
        </w:rPr>
        <w:t>, and recommend priorities for cooperation</w:t>
      </w:r>
      <w:r w:rsidRPr="00731DDC">
        <w:rPr>
          <w:lang w:val="en-GB"/>
        </w:rPr>
        <w:t>. Th</w:t>
      </w:r>
      <w:r w:rsidR="00D16508">
        <w:rPr>
          <w:lang w:val="en-GB"/>
        </w:rPr>
        <w:t>is report</w:t>
      </w:r>
      <w:r w:rsidRPr="00731DDC">
        <w:rPr>
          <w:lang w:val="en-GB"/>
        </w:rPr>
        <w:t xml:space="preserve"> </w:t>
      </w:r>
      <w:r w:rsidR="00D16508">
        <w:rPr>
          <w:lang w:val="en-GB"/>
        </w:rPr>
        <w:t>aims to highlight</w:t>
      </w:r>
      <w:r w:rsidRPr="00731DDC">
        <w:rPr>
          <w:lang w:val="en-GB"/>
        </w:rPr>
        <w:t xml:space="preserve"> prioritised digital trade standards that the Australian and Singapore governments could consider </w:t>
      </w:r>
      <w:r w:rsidRPr="00731DDC">
        <w:rPr>
          <w:i/>
          <w:lang w:val="en-GB"/>
        </w:rPr>
        <w:t>jointly</w:t>
      </w:r>
      <w:r w:rsidRPr="00731DDC">
        <w:rPr>
          <w:lang w:val="en-GB"/>
        </w:rPr>
        <w:t xml:space="preserve"> focusing on, to facilitate digital trade and accelerate growth between the two countries.</w:t>
      </w:r>
    </w:p>
    <w:p w14:paraId="35E2D0DC" w14:textId="77777777" w:rsidR="00C42A2A" w:rsidRPr="00731DDC" w:rsidRDefault="00C42A2A" w:rsidP="005F4075">
      <w:pPr>
        <w:rPr>
          <w:lang w:val="en-GB"/>
        </w:rPr>
      </w:pPr>
      <w:r w:rsidRPr="00731DDC">
        <w:rPr>
          <w:lang w:val="en-GB"/>
        </w:rPr>
        <w:t>This report outlines:</w:t>
      </w:r>
    </w:p>
    <w:p w14:paraId="59735206" w14:textId="77777777" w:rsidR="00C42A2A" w:rsidRPr="00731DDC" w:rsidRDefault="00C42A2A" w:rsidP="001F09E1">
      <w:pPr>
        <w:pStyle w:val="ListParagraph"/>
        <w:numPr>
          <w:ilvl w:val="0"/>
          <w:numId w:val="19"/>
        </w:numPr>
        <w:spacing w:before="0" w:after="160" w:line="276" w:lineRule="auto"/>
        <w:contextualSpacing/>
        <w:rPr>
          <w:lang w:val="en-GB"/>
        </w:rPr>
      </w:pPr>
      <w:r w:rsidRPr="00731DDC">
        <w:rPr>
          <w:lang w:val="en-GB"/>
        </w:rPr>
        <w:t xml:space="preserve">The areas of economic activity </w:t>
      </w:r>
      <w:r w:rsidRPr="00731DDC">
        <w:rPr>
          <w:i/>
          <w:lang w:val="en-GB"/>
        </w:rPr>
        <w:t>digital trade</w:t>
      </w:r>
      <w:r w:rsidRPr="00731DDC">
        <w:rPr>
          <w:lang w:val="en-GB"/>
        </w:rPr>
        <w:t xml:space="preserve"> encompass given the increasing pervasiveness of digitalisation;</w:t>
      </w:r>
    </w:p>
    <w:p w14:paraId="381EA2AC" w14:textId="77777777" w:rsidR="00C42A2A" w:rsidRPr="00731DDC" w:rsidRDefault="00C42A2A" w:rsidP="001F09E1">
      <w:pPr>
        <w:pStyle w:val="ListParagraph"/>
        <w:numPr>
          <w:ilvl w:val="0"/>
          <w:numId w:val="19"/>
        </w:numPr>
        <w:spacing w:before="0" w:after="160" w:line="276" w:lineRule="auto"/>
        <w:contextualSpacing/>
        <w:rPr>
          <w:lang w:val="en-GB"/>
        </w:rPr>
      </w:pPr>
      <w:r w:rsidRPr="00731DDC">
        <w:rPr>
          <w:lang w:val="en-GB"/>
        </w:rPr>
        <w:t>Some initial empirical scoping of the size of digital trade between Australia and Singapore in the short- to medium-term;</w:t>
      </w:r>
    </w:p>
    <w:p w14:paraId="0A5368F2" w14:textId="77777777" w:rsidR="00C42A2A" w:rsidRPr="00731DDC" w:rsidRDefault="00C42A2A" w:rsidP="001F09E1">
      <w:pPr>
        <w:pStyle w:val="ListParagraph"/>
        <w:numPr>
          <w:ilvl w:val="0"/>
          <w:numId w:val="19"/>
        </w:numPr>
        <w:spacing w:before="0" w:after="160" w:line="276" w:lineRule="auto"/>
        <w:contextualSpacing/>
        <w:rPr>
          <w:lang w:val="en-GB"/>
        </w:rPr>
      </w:pPr>
      <w:r w:rsidRPr="00731DDC">
        <w:rPr>
          <w:lang w:val="en-GB"/>
        </w:rPr>
        <w:t>Areas of mutual interest and opportunity in digital trade;</w:t>
      </w:r>
    </w:p>
    <w:p w14:paraId="3CEDB1D4" w14:textId="77777777" w:rsidR="00C42A2A" w:rsidRPr="00731DDC" w:rsidRDefault="00C42A2A" w:rsidP="001F09E1">
      <w:pPr>
        <w:pStyle w:val="ListParagraph"/>
        <w:numPr>
          <w:ilvl w:val="0"/>
          <w:numId w:val="19"/>
        </w:numPr>
        <w:spacing w:before="0" w:after="160" w:line="276" w:lineRule="auto"/>
        <w:contextualSpacing/>
        <w:rPr>
          <w:lang w:val="en-GB"/>
        </w:rPr>
      </w:pPr>
      <w:r w:rsidRPr="00731DDC">
        <w:rPr>
          <w:lang w:val="en-GB"/>
        </w:rPr>
        <w:t>The increasing focus on the use of standards when it comes to enabling digital economy development and digital trade growth; and</w:t>
      </w:r>
    </w:p>
    <w:p w14:paraId="7A9FC82D" w14:textId="2062E398" w:rsidR="00C42A2A" w:rsidRPr="006907BE" w:rsidRDefault="00C42A2A" w:rsidP="001F09E1">
      <w:pPr>
        <w:pStyle w:val="ListParagraph"/>
        <w:numPr>
          <w:ilvl w:val="0"/>
          <w:numId w:val="19"/>
        </w:numPr>
        <w:spacing w:before="0" w:after="160" w:line="276" w:lineRule="auto"/>
        <w:contextualSpacing/>
        <w:rPr>
          <w:lang w:val="en-GB"/>
        </w:rPr>
      </w:pPr>
      <w:r w:rsidRPr="00731DDC">
        <w:rPr>
          <w:lang w:val="en-GB"/>
        </w:rPr>
        <w:t>An initial set of areas of digital trade standards to be focused upon and prioritised</w:t>
      </w:r>
      <w:r w:rsidR="00D16508">
        <w:rPr>
          <w:lang w:val="en-GB"/>
        </w:rPr>
        <w:t xml:space="preserve"> for cooperation</w:t>
      </w:r>
      <w:r w:rsidRPr="00731DDC">
        <w:rPr>
          <w:lang w:val="en-GB"/>
        </w:rPr>
        <w:t xml:space="preserve">. </w:t>
      </w:r>
      <w:bookmarkStart w:id="17" w:name="_Hlk31382975"/>
    </w:p>
    <w:p w14:paraId="5ECF63DA" w14:textId="042B1119" w:rsidR="00C42A2A" w:rsidRPr="00731DDC" w:rsidRDefault="00C42A2A" w:rsidP="006907BE">
      <w:pPr>
        <w:pStyle w:val="Heading2"/>
        <w:spacing w:line="276" w:lineRule="auto"/>
        <w:rPr>
          <w:b w:val="0"/>
          <w:bCs w:val="0"/>
          <w:lang w:val="en-GB"/>
        </w:rPr>
      </w:pPr>
      <w:bookmarkStart w:id="18" w:name="_Toc51167313"/>
      <w:r w:rsidRPr="00731DDC">
        <w:rPr>
          <w:lang w:val="en-GB"/>
        </w:rPr>
        <w:t>Trade Relationship between Australia-Singapore</w:t>
      </w:r>
      <w:bookmarkEnd w:id="18"/>
      <w:r w:rsidRPr="00731DDC">
        <w:rPr>
          <w:lang w:val="en-GB"/>
        </w:rPr>
        <w:t xml:space="preserve"> </w:t>
      </w:r>
      <w:bookmarkEnd w:id="17"/>
    </w:p>
    <w:p w14:paraId="553685A0" w14:textId="77777777" w:rsidR="00C42A2A" w:rsidRPr="00731DDC" w:rsidRDefault="00C42A2A" w:rsidP="005F4075">
      <w:pPr>
        <w:rPr>
          <w:lang w:val="en-GB"/>
        </w:rPr>
      </w:pPr>
      <w:r w:rsidRPr="00731DDC">
        <w:rPr>
          <w:lang w:val="en-GB"/>
        </w:rPr>
        <w:t>Australia and Singapore have enjoyed a strong trade partnership</w:t>
      </w:r>
      <w:r w:rsidRPr="00731DDC">
        <w:rPr>
          <w:bCs/>
          <w:lang w:val="en-GB"/>
        </w:rPr>
        <w:t xml:space="preserve">. </w:t>
      </w:r>
      <w:r w:rsidRPr="00731DDC">
        <w:rPr>
          <w:lang w:val="en-GB"/>
        </w:rPr>
        <w:t>Singapore is Australia’s fifth largest trade partner and bilateral trade was estimated to be AUD25.9bn in 2019.</w:t>
      </w:r>
      <w:r w:rsidRPr="00731DDC">
        <w:rPr>
          <w:rStyle w:val="FootnoteReference"/>
          <w:lang w:val="en-GB"/>
        </w:rPr>
        <w:footnoteReference w:id="44"/>
      </w:r>
      <w:r w:rsidRPr="00731DDC">
        <w:rPr>
          <w:lang w:val="en-GB"/>
        </w:rPr>
        <w:t xml:space="preserve"> Singapore is Australia’s sixth largest investor with AUD85.4bn</w:t>
      </w:r>
      <w:r w:rsidRPr="00731DDC">
        <w:rPr>
          <w:rStyle w:val="FootnoteReference"/>
          <w:lang w:val="en-GB"/>
        </w:rPr>
        <w:footnoteReference w:id="45"/>
      </w:r>
      <w:r w:rsidRPr="00731DDC">
        <w:rPr>
          <w:lang w:val="en-GB"/>
        </w:rPr>
        <w:t xml:space="preserve"> worth of investments in 2019.  Australia is equally important to Singapore, being its fourth largest trading partner for exports.</w:t>
      </w:r>
      <w:r w:rsidRPr="00731DDC">
        <w:rPr>
          <w:rStyle w:val="FootnoteReference"/>
          <w:lang w:val="en-GB"/>
        </w:rPr>
        <w:footnoteReference w:id="46"/>
      </w:r>
    </w:p>
    <w:p w14:paraId="27B12664" w14:textId="77777777" w:rsidR="00C42A2A" w:rsidRPr="00731DDC" w:rsidRDefault="00C42A2A" w:rsidP="005F4075">
      <w:pPr>
        <w:rPr>
          <w:lang w:val="en-GB"/>
        </w:rPr>
      </w:pPr>
      <w:r w:rsidRPr="00731DDC">
        <w:rPr>
          <w:lang w:val="en-GB"/>
        </w:rPr>
        <w:t>The partnership is built on principles of mutual respect and cooperation, to the gain of both economies. Several key components have led to this successful collaboration:</w:t>
      </w:r>
    </w:p>
    <w:p w14:paraId="521A86F2" w14:textId="77777777" w:rsidR="00C42A2A" w:rsidRPr="00731DDC" w:rsidRDefault="00C42A2A" w:rsidP="001F09E1">
      <w:pPr>
        <w:pStyle w:val="ListParagraph"/>
        <w:numPr>
          <w:ilvl w:val="0"/>
          <w:numId w:val="21"/>
        </w:numPr>
        <w:spacing w:before="0" w:after="160" w:line="276" w:lineRule="auto"/>
        <w:rPr>
          <w:lang w:val="en-GB"/>
        </w:rPr>
      </w:pPr>
      <w:r w:rsidRPr="00731DDC">
        <w:rPr>
          <w:lang w:val="en-GB"/>
        </w:rPr>
        <w:t>Formalisation</w:t>
      </w:r>
      <w:r w:rsidRPr="00731DDC">
        <w:rPr>
          <w:rFonts w:ascii="Calibri" w:eastAsia="Calibri" w:hAnsi="Calibri" w:cs="Calibri"/>
          <w:b/>
          <w:bCs/>
          <w:lang w:val="en-GB"/>
        </w:rPr>
        <w:t xml:space="preserve"> of trade agreements and partnerships</w:t>
      </w:r>
      <w:r w:rsidRPr="00731DDC">
        <w:rPr>
          <w:rFonts w:ascii="Calibri" w:eastAsia="Calibri" w:hAnsi="Calibri" w:cs="Calibri"/>
          <w:lang w:val="en-GB"/>
        </w:rPr>
        <w:t xml:space="preserve"> such as Australia-Singapore Free Trade Agreement (established 28 Jul 2003), and the Australia-Singapore Comprehensive Strategic Partnership (CSP) established 29 June 2015, the Australia and Singapore Digital Cooperation Initiative  (announced 7 Jun 2019), and participating in the same regional cooperation pacts such as the Comprehensive and Progressive Agreement for Trans-Pacific Partnership (CPTPP);</w:t>
      </w:r>
    </w:p>
    <w:p w14:paraId="5EB7C9BA" w14:textId="77777777" w:rsidR="00C42A2A" w:rsidRPr="00731DDC" w:rsidRDefault="00C42A2A" w:rsidP="001F09E1">
      <w:pPr>
        <w:pStyle w:val="ListParagraph"/>
        <w:numPr>
          <w:ilvl w:val="0"/>
          <w:numId w:val="21"/>
        </w:numPr>
        <w:spacing w:before="0" w:after="160" w:line="276" w:lineRule="auto"/>
        <w:rPr>
          <w:lang w:val="en-GB"/>
        </w:rPr>
      </w:pPr>
      <w:r w:rsidRPr="00731DDC">
        <w:rPr>
          <w:rFonts w:ascii="Calibri" w:eastAsia="Calibri" w:hAnsi="Calibri" w:cs="Calibri"/>
          <w:b/>
          <w:bCs/>
          <w:lang w:val="en-GB"/>
        </w:rPr>
        <w:lastRenderedPageBreak/>
        <w:t>Refinement and adjustments to existing arrangements</w:t>
      </w:r>
      <w:r w:rsidRPr="00731DDC">
        <w:rPr>
          <w:rFonts w:ascii="Calibri" w:eastAsia="Calibri" w:hAnsi="Calibri" w:cs="Calibri"/>
          <w:lang w:val="en-GB"/>
        </w:rPr>
        <w:t xml:space="preserve">, for example, the Third Review of the trade agreement was concluded on 6 May 2016 and was enacted into force on 1 Dec 2017; and </w:t>
      </w:r>
    </w:p>
    <w:p w14:paraId="4BC2E047" w14:textId="77777777" w:rsidR="00C42A2A" w:rsidRPr="00731DDC" w:rsidRDefault="00C42A2A" w:rsidP="001F09E1">
      <w:pPr>
        <w:pStyle w:val="ListParagraph"/>
        <w:numPr>
          <w:ilvl w:val="0"/>
          <w:numId w:val="21"/>
        </w:numPr>
        <w:spacing w:before="0" w:after="160" w:line="276" w:lineRule="auto"/>
        <w:rPr>
          <w:lang w:val="en-GB"/>
        </w:rPr>
      </w:pPr>
      <w:r w:rsidRPr="00731DDC">
        <w:rPr>
          <w:rFonts w:ascii="Calibri" w:eastAsia="Calibri" w:hAnsi="Calibri" w:cs="Calibri"/>
          <w:b/>
          <w:bCs/>
          <w:lang w:val="en-GB"/>
        </w:rPr>
        <w:t>Committed activities</w:t>
      </w:r>
      <w:r w:rsidRPr="00731DDC">
        <w:rPr>
          <w:rFonts w:ascii="Calibri" w:eastAsia="Calibri" w:hAnsi="Calibri" w:cs="Calibri"/>
          <w:lang w:val="en-GB"/>
        </w:rPr>
        <w:t xml:space="preserve"> to enable dialogue and cooperation on trade enablement mechanisms, especially its technical aspects, such as participation in the International Standards Organisations (ISO) technical committees and working groups, and World Trade Organisation (WTO) trade standards discussions.</w:t>
      </w:r>
    </w:p>
    <w:p w14:paraId="0E22D95D" w14:textId="77777777" w:rsidR="00C42A2A" w:rsidRPr="00731DDC" w:rsidRDefault="00C42A2A" w:rsidP="005F4075">
      <w:pPr>
        <w:rPr>
          <w:lang w:val="en-GB"/>
        </w:rPr>
      </w:pPr>
      <w:r w:rsidRPr="00731DDC">
        <w:rPr>
          <w:lang w:val="en-GB"/>
        </w:rPr>
        <w:t xml:space="preserve">Building on the partnership of the two countries recently, Australia and Singapore successfully negotiated a </w:t>
      </w:r>
      <w:r w:rsidRPr="00731DDC">
        <w:rPr>
          <w:b/>
          <w:bCs/>
          <w:lang w:val="en-GB"/>
        </w:rPr>
        <w:t>Digital Economy Agreement (DEA</w:t>
      </w:r>
      <w:r w:rsidRPr="00731DDC">
        <w:rPr>
          <w:lang w:val="en-GB"/>
        </w:rPr>
        <w:t>)</w:t>
      </w:r>
      <w:r w:rsidRPr="00731DDC">
        <w:rPr>
          <w:rStyle w:val="FootnoteReference"/>
          <w:lang w:val="en-GB"/>
        </w:rPr>
        <w:footnoteReference w:id="47"/>
      </w:r>
      <w:r w:rsidRPr="00731DDC">
        <w:rPr>
          <w:lang w:val="en-GB"/>
        </w:rPr>
        <w:t xml:space="preserve"> which aims to deepen bilateral collaboration on digital trade and connectivity.  T</w:t>
      </w:r>
      <w:r w:rsidRPr="00731DDC">
        <w:rPr>
          <w:rFonts w:eastAsia="Times New Roman"/>
          <w:color w:val="000000"/>
          <w:lang w:val="en-GB"/>
        </w:rPr>
        <w:t xml:space="preserve">he DEA is anticipated to facilitate end-to-end digital trade, including e-invoicing, e-payments, digital identities, and e-certification of exports. In addition, it will seek to establish cooperation in areas such as data protection, cross-border data flows, fintech and AI. </w:t>
      </w:r>
    </w:p>
    <w:p w14:paraId="7B88D4CE" w14:textId="77777777" w:rsidR="006907BE" w:rsidRDefault="006907BE">
      <w:pPr>
        <w:spacing w:before="0" w:after="0"/>
        <w:rPr>
          <w:rFonts w:eastAsiaTheme="majorEastAsia" w:cstheme="majorBidi"/>
          <w:b/>
          <w:bCs/>
          <w:color w:val="2F5496" w:themeColor="accent1" w:themeShade="BF"/>
          <w:sz w:val="24"/>
          <w:szCs w:val="28"/>
          <w:lang w:val="en-GB"/>
        </w:rPr>
      </w:pPr>
      <w:bookmarkStart w:id="19" w:name="_Hlk37151156"/>
      <w:r>
        <w:rPr>
          <w:lang w:val="en-GB"/>
        </w:rPr>
        <w:br w:type="page"/>
      </w:r>
    </w:p>
    <w:p w14:paraId="69F988E5" w14:textId="28D481EB" w:rsidR="00C42A2A" w:rsidRPr="00731DDC" w:rsidRDefault="00C42A2A" w:rsidP="00C42A2A">
      <w:pPr>
        <w:pStyle w:val="Heading1"/>
        <w:spacing w:before="0" w:after="160" w:line="276" w:lineRule="auto"/>
        <w:rPr>
          <w:lang w:val="en-GB"/>
        </w:rPr>
      </w:pPr>
      <w:bookmarkStart w:id="20" w:name="_Toc51167314"/>
      <w:r w:rsidRPr="00731DDC">
        <w:rPr>
          <w:lang w:val="en-GB"/>
        </w:rPr>
        <w:lastRenderedPageBreak/>
        <w:t>Digital Trade Growth</w:t>
      </w:r>
      <w:bookmarkEnd w:id="20"/>
    </w:p>
    <w:p w14:paraId="2505974E" w14:textId="77777777" w:rsidR="00C42A2A" w:rsidRPr="00731DDC" w:rsidRDefault="00C42A2A" w:rsidP="005F4075">
      <w:pPr>
        <w:rPr>
          <w:lang w:val="en-GB"/>
        </w:rPr>
      </w:pPr>
      <w:bookmarkStart w:id="21" w:name="_Hlk37147592"/>
      <w:bookmarkStart w:id="22" w:name="_Hlk31383114"/>
      <w:bookmarkEnd w:id="19"/>
      <w:r w:rsidRPr="00731DDC">
        <w:rPr>
          <w:lang w:val="en-GB"/>
        </w:rPr>
        <w:t xml:space="preserve">Growth trajectories can be seen in both Singapore and Australia. </w:t>
      </w:r>
      <w:bookmarkStart w:id="23" w:name="_Hlk32837166"/>
      <w:r w:rsidRPr="00731DDC">
        <w:rPr>
          <w:lang w:val="en-GB"/>
        </w:rPr>
        <w:t>The Australian Bureau of Statistics estimated that Australia’s digital economy grew from approximately AUD79bn in 2012–13 to AUD93.5bn in 2016–17.</w:t>
      </w:r>
      <w:r w:rsidRPr="00731DDC">
        <w:rPr>
          <w:rStyle w:val="FootnoteReference"/>
          <w:lang w:val="en-GB"/>
        </w:rPr>
        <w:footnoteReference w:id="48"/>
      </w:r>
      <w:r w:rsidRPr="00731DDC">
        <w:rPr>
          <w:lang w:val="en-GB"/>
        </w:rPr>
        <w:t xml:space="preserve"> </w:t>
      </w:r>
      <w:r w:rsidRPr="00731DDC">
        <w:rPr>
          <w:rFonts w:ascii="Calibri" w:eastAsia="Calibri" w:hAnsi="Calibri" w:cs="Arial"/>
          <w:lang w:val="en-GB"/>
        </w:rPr>
        <w:t>Singapore’s digital economy is estimated to have reached USD12bn in 2019 (AUD18.3bn).</w:t>
      </w:r>
      <w:r w:rsidRPr="00731DDC">
        <w:rPr>
          <w:rStyle w:val="FootnoteReference"/>
          <w:rFonts w:ascii="Calibri" w:eastAsia="Calibri" w:hAnsi="Calibri" w:cs="Arial"/>
          <w:lang w:val="en-GB"/>
        </w:rPr>
        <w:footnoteReference w:id="49"/>
      </w:r>
      <w:r w:rsidRPr="00731DDC">
        <w:rPr>
          <w:rFonts w:ascii="Calibri" w:eastAsia="Calibri" w:hAnsi="Calibri" w:cs="Arial"/>
          <w:lang w:val="en-GB"/>
        </w:rPr>
        <w:t xml:space="preserve"> </w:t>
      </w:r>
    </w:p>
    <w:bookmarkEnd w:id="21"/>
    <w:bookmarkEnd w:id="22"/>
    <w:bookmarkEnd w:id="23"/>
    <w:p w14:paraId="628A4434" w14:textId="77777777" w:rsidR="00C42A2A" w:rsidRPr="00731DDC" w:rsidRDefault="00C42A2A" w:rsidP="005F4075">
      <w:pPr>
        <w:rPr>
          <w:rFonts w:ascii="Calibri" w:eastAsia="Calibri" w:hAnsi="Calibri" w:cs="Arial"/>
          <w:lang w:val="en-GB"/>
        </w:rPr>
      </w:pPr>
      <w:r w:rsidRPr="00731DDC">
        <w:rPr>
          <w:rFonts w:ascii="Calibri" w:eastAsia="Calibri" w:hAnsi="Calibri" w:cs="Arial"/>
          <w:lang w:val="en-GB"/>
        </w:rPr>
        <w:t>As digitalisation efforts take centre stage in both economies, the adoption of digital technologies has been increasing by individuals and firms alike. In Australia, export sectors like finance, health, transport, mining are using technologies like robotics, AI, sensors.</w:t>
      </w:r>
    </w:p>
    <w:p w14:paraId="6D6779EC" w14:textId="77777777" w:rsidR="00C42A2A" w:rsidRPr="00731DDC" w:rsidRDefault="00C42A2A" w:rsidP="005F4075">
      <w:pPr>
        <w:rPr>
          <w:rFonts w:ascii="Calibri" w:eastAsia="Calibri" w:hAnsi="Calibri" w:cs="Arial"/>
          <w:lang w:val="en-GB"/>
        </w:rPr>
      </w:pPr>
      <w:r w:rsidRPr="00731DDC">
        <w:rPr>
          <w:rFonts w:ascii="Calibri" w:eastAsia="Calibri" w:hAnsi="Calibri" w:cs="Arial"/>
          <w:lang w:val="en-GB"/>
        </w:rPr>
        <w:t xml:space="preserve">Singapore has encouraged government agencies and businesses to digitally transform and developed </w:t>
      </w:r>
      <w:r w:rsidRPr="00731DDC">
        <w:rPr>
          <w:shd w:val="clear" w:color="auto" w:fill="FFFFFF"/>
          <w:lang w:val="en-GB"/>
        </w:rPr>
        <w:t>Industry Transformation Maps (ITMs) for 23 industries under six clusters between 2016 and 2018.</w:t>
      </w:r>
      <w:r w:rsidRPr="00731DDC">
        <w:rPr>
          <w:rStyle w:val="FootnoteReference"/>
          <w:shd w:val="clear" w:color="auto" w:fill="FFFFFF"/>
          <w:lang w:val="en-GB"/>
        </w:rPr>
        <w:footnoteReference w:id="50"/>
      </w:r>
      <w:r w:rsidRPr="00731DDC">
        <w:rPr>
          <w:shd w:val="clear" w:color="auto" w:fill="FFFFFF"/>
          <w:lang w:val="en-GB"/>
        </w:rPr>
        <w:t xml:space="preserve"> Each ITM integrates productivity improvement, innovation, internationalisation and skills development to promote growth and competitiveness. Research estimates that by 2021, digital transformation will add an estimated AUD15.32bn to Singapore’s GDP, and increase the growth rate by 0.6% annually.</w:t>
      </w:r>
      <w:r w:rsidRPr="00731DDC">
        <w:rPr>
          <w:rStyle w:val="FootnoteReference"/>
          <w:shd w:val="clear" w:color="auto" w:fill="FFFFFF"/>
          <w:lang w:val="en-GB"/>
        </w:rPr>
        <w:footnoteReference w:id="51"/>
      </w:r>
      <w:r w:rsidRPr="00731DDC">
        <w:rPr>
          <w:shd w:val="clear" w:color="auto" w:fill="FFFFFF"/>
          <w:lang w:val="en-GB"/>
        </w:rPr>
        <w:t xml:space="preserve"> </w:t>
      </w:r>
      <w:r w:rsidRPr="00731DDC">
        <w:rPr>
          <w:rFonts w:ascii="Calibri" w:eastAsia="Calibri" w:hAnsi="Calibri" w:cs="Arial"/>
          <w:lang w:val="en-GB"/>
        </w:rPr>
        <w:t>With Internet penetration at 88% and 84% in Australia and Singapore respectively, greater adoption of advanced digital technologies, improvements in productivity and access to markets will create new trade possibilities.</w:t>
      </w:r>
      <w:r w:rsidRPr="00731DDC">
        <w:rPr>
          <w:rStyle w:val="FootnoteReference"/>
          <w:rFonts w:ascii="Calibri" w:eastAsia="Calibri" w:hAnsi="Calibri" w:cs="Arial"/>
          <w:lang w:val="en-GB"/>
        </w:rPr>
        <w:footnoteReference w:id="52"/>
      </w:r>
      <w:r w:rsidRPr="00731DDC">
        <w:rPr>
          <w:rFonts w:ascii="Calibri" w:eastAsia="Calibri" w:hAnsi="Calibri" w:cs="Arial"/>
          <w:lang w:val="en-GB"/>
        </w:rPr>
        <w:t xml:space="preserve"> </w:t>
      </w:r>
      <w:bookmarkStart w:id="24" w:name="_Hlk31877222"/>
      <w:r w:rsidRPr="00731DDC">
        <w:rPr>
          <w:rFonts w:ascii="Calibri" w:eastAsia="Calibri" w:hAnsi="Calibri" w:cs="Arial"/>
          <w:lang w:val="en-GB"/>
        </w:rPr>
        <w:t>It is estimated that mobile technology will be worth AUD65bn to the Australian economy by 2023, as a result of labour and capital productivity improvements.</w:t>
      </w:r>
      <w:r w:rsidRPr="00731DDC">
        <w:rPr>
          <w:rStyle w:val="FootnoteReference"/>
          <w:rFonts w:ascii="Calibri" w:eastAsia="Calibri" w:hAnsi="Calibri" w:cs="Arial"/>
          <w:lang w:val="en-GB"/>
        </w:rPr>
        <w:footnoteReference w:id="53"/>
      </w:r>
      <w:r w:rsidRPr="00731DDC">
        <w:rPr>
          <w:rFonts w:ascii="Calibri" w:eastAsia="Calibri" w:hAnsi="Calibri" w:cs="Arial"/>
          <w:lang w:val="en-GB"/>
        </w:rPr>
        <w:t xml:space="preserve"> The contribution of digital to GDP is expected to grow 40% between 2018 and 2023, with new business opportunities continuing to be generated by the roll out of 5G mobile technology. </w:t>
      </w:r>
    </w:p>
    <w:bookmarkEnd w:id="24"/>
    <w:p w14:paraId="35BD3651" w14:textId="77777777" w:rsidR="00C42A2A" w:rsidRPr="00731DDC" w:rsidRDefault="00C42A2A" w:rsidP="005F4075">
      <w:pPr>
        <w:rPr>
          <w:lang w:val="en-GB"/>
        </w:rPr>
      </w:pPr>
      <w:r w:rsidRPr="00731DDC">
        <w:rPr>
          <w:lang w:val="en-GB"/>
        </w:rPr>
        <w:t>However, both countries are pursuing their own national strategies to grow their digital economies and there are significant opportunities to work together to achieve a coordinated approach on digital standards that will allow for faster implementation  of current and new technologies that can accelerate the benefits of trade. For instance, the Australian government has recognised the strong relationship with Singapore and has highlighted trading opportunities in industries like aerospace, healthcare and aged care, infrastructure, building and construction, business services, technology (including fintech, medtech and edutech), education (VET, skills development, research), and food and beverages.</w:t>
      </w:r>
      <w:r w:rsidRPr="00731DDC">
        <w:rPr>
          <w:rStyle w:val="FootnoteReference"/>
          <w:lang w:val="en-GB"/>
        </w:rPr>
        <w:footnoteReference w:id="54"/>
      </w:r>
      <w:r w:rsidRPr="00731DDC">
        <w:rPr>
          <w:lang w:val="en-GB"/>
        </w:rPr>
        <w:t xml:space="preserve"> Each of these sectors are undergoing digital transformation and have scope for closer economic integration between the two economies.</w:t>
      </w:r>
    </w:p>
    <w:p w14:paraId="36D98456" w14:textId="77777777" w:rsidR="00C42A2A" w:rsidRPr="00731DDC" w:rsidRDefault="00C42A2A" w:rsidP="005F4075">
      <w:pPr>
        <w:rPr>
          <w:lang w:val="en-GB"/>
        </w:rPr>
      </w:pPr>
      <w:r w:rsidRPr="00731DDC">
        <w:rPr>
          <w:lang w:val="en-GB"/>
        </w:rPr>
        <w:lastRenderedPageBreak/>
        <w:t xml:space="preserve">First, to truly understand the impact of digitalisation on trade, one must first understand what value is being captured in an economic assessment. To fully gauge the impact of digital trade, one must capture </w:t>
      </w:r>
      <w:r w:rsidRPr="00731DDC">
        <w:rPr>
          <w:i/>
          <w:lang w:val="en-GB"/>
        </w:rPr>
        <w:t>both</w:t>
      </w:r>
      <w:r w:rsidRPr="00731DDC">
        <w:rPr>
          <w:lang w:val="en-GB"/>
        </w:rPr>
        <w:t xml:space="preserve"> the digitalisation of an ever-increasing flow of </w:t>
      </w:r>
      <w:r w:rsidRPr="00731DDC">
        <w:rPr>
          <w:i/>
          <w:iCs/>
          <w:lang w:val="en-GB"/>
        </w:rPr>
        <w:t>tangible</w:t>
      </w:r>
      <w:r w:rsidRPr="00731DDC">
        <w:rPr>
          <w:lang w:val="en-GB"/>
        </w:rPr>
        <w:t xml:space="preserve"> goods and service, </w:t>
      </w:r>
      <w:r w:rsidRPr="00731DDC">
        <w:rPr>
          <w:i/>
          <w:lang w:val="en-GB"/>
        </w:rPr>
        <w:t>and</w:t>
      </w:r>
      <w:r w:rsidRPr="00731DDC">
        <w:rPr>
          <w:lang w:val="en-GB"/>
        </w:rPr>
        <w:t xml:space="preserve"> the exchange of </w:t>
      </w:r>
      <w:r w:rsidRPr="00731DDC">
        <w:rPr>
          <w:iCs/>
          <w:lang w:val="en-GB"/>
        </w:rPr>
        <w:t>new</w:t>
      </w:r>
      <w:r w:rsidRPr="00731DDC">
        <w:rPr>
          <w:lang w:val="en-GB"/>
        </w:rPr>
        <w:t xml:space="preserve"> </w:t>
      </w:r>
      <w:r w:rsidRPr="00731DDC">
        <w:rPr>
          <w:i/>
          <w:iCs/>
          <w:lang w:val="en-GB"/>
        </w:rPr>
        <w:t>digital</w:t>
      </w:r>
      <w:r w:rsidRPr="00731DDC">
        <w:rPr>
          <w:lang w:val="en-GB"/>
        </w:rPr>
        <w:t xml:space="preserve"> goods and services in and out of the two countries. </w:t>
      </w:r>
    </w:p>
    <w:p w14:paraId="51B6B8F3" w14:textId="77777777" w:rsidR="00C42A2A" w:rsidRPr="00731DDC" w:rsidRDefault="00C42A2A" w:rsidP="005F4075">
      <w:pPr>
        <w:rPr>
          <w:rFonts w:ascii="Calibri" w:eastAsia="Calibri" w:hAnsi="Calibri" w:cs="Arial"/>
          <w:lang w:val="en-GB"/>
        </w:rPr>
      </w:pPr>
      <w:r w:rsidRPr="00731DDC">
        <w:rPr>
          <w:rFonts w:ascii="Calibri" w:eastAsia="Calibri" w:hAnsi="Calibri" w:cs="Arial"/>
          <w:lang w:val="en-GB"/>
        </w:rPr>
        <w:t>The following sections examine the definition and key components of digital trade.</w:t>
      </w:r>
    </w:p>
    <w:p w14:paraId="69E216B8" w14:textId="289976A5" w:rsidR="00C42A2A" w:rsidRPr="00731DDC" w:rsidRDefault="00C42A2A" w:rsidP="00C42A2A">
      <w:pPr>
        <w:pStyle w:val="Heading2"/>
        <w:spacing w:before="0" w:line="276" w:lineRule="auto"/>
        <w:rPr>
          <w:lang w:val="en-GB"/>
        </w:rPr>
      </w:pPr>
      <w:bookmarkStart w:id="25" w:name="_Toc51167315"/>
      <w:r w:rsidRPr="00731DDC">
        <w:rPr>
          <w:lang w:val="en-GB"/>
        </w:rPr>
        <w:t>Defining Digital Trade</w:t>
      </w:r>
      <w:bookmarkEnd w:id="25"/>
    </w:p>
    <w:p w14:paraId="218E85E2" w14:textId="12B9AFE5" w:rsidR="00C42A2A" w:rsidRPr="00731DDC" w:rsidRDefault="00C42A2A" w:rsidP="005F4075">
      <w:pPr>
        <w:rPr>
          <w:lang w:val="en-GB"/>
        </w:rPr>
      </w:pPr>
      <w:r w:rsidRPr="00731DDC">
        <w:rPr>
          <w:lang w:val="en-GB"/>
        </w:rPr>
        <w:t>‘Digital trade’ is a relatively young and developing aspect of trade and many of the broader implications of it are not yet fully understood. This can in part be explained by the absence of a common understanding and measure of the impact of digitalisation, and the need to use a narrower definition of digital trade to identify, size, and sometimes determine public policy.</w:t>
      </w:r>
      <w:r w:rsidRPr="00731DDC">
        <w:rPr>
          <w:rStyle w:val="FootnoteReference"/>
          <w:lang w:val="en-GB"/>
        </w:rPr>
        <w:footnoteReference w:id="55"/>
      </w:r>
      <w:r w:rsidRPr="00731DDC">
        <w:rPr>
          <w:lang w:val="en-GB"/>
        </w:rPr>
        <w:t xml:space="preserve"> Several efforts to characterise digital trade are described in </w:t>
      </w:r>
      <w:r w:rsidRPr="00731DDC">
        <w:rPr>
          <w:lang w:val="en-GB"/>
        </w:rPr>
        <w:fldChar w:fldCharType="begin"/>
      </w:r>
      <w:r w:rsidRPr="00731DDC">
        <w:rPr>
          <w:lang w:val="en-GB"/>
        </w:rPr>
        <w:instrText xml:space="preserve"> REF _Ref40901954 \h  \* MERGEFORMAT </w:instrText>
      </w:r>
      <w:r w:rsidRPr="00731DDC">
        <w:rPr>
          <w:lang w:val="en-GB"/>
        </w:rPr>
      </w:r>
      <w:r w:rsidRPr="00731DDC">
        <w:rPr>
          <w:lang w:val="en-GB"/>
        </w:rPr>
        <w:fldChar w:fldCharType="separate"/>
      </w:r>
      <w:r w:rsidR="00C9081C" w:rsidRPr="00731DDC">
        <w:rPr>
          <w:lang w:val="en-GB"/>
        </w:rPr>
        <w:t xml:space="preserve">Box </w:t>
      </w:r>
      <w:r w:rsidR="00C9081C">
        <w:rPr>
          <w:lang w:val="en-GB"/>
        </w:rPr>
        <w:t>2</w:t>
      </w:r>
      <w:r w:rsidRPr="00731DDC">
        <w:rPr>
          <w:lang w:val="en-GB"/>
        </w:rPr>
        <w:fldChar w:fldCharType="end"/>
      </w:r>
      <w:r w:rsidRPr="00731DDC">
        <w:rPr>
          <w:lang w:val="en-GB"/>
        </w:rPr>
        <w:t xml:space="preserve"> for context. Our research leads us to define digital trade to include all aspects of the economy. </w:t>
      </w:r>
    </w:p>
    <w:p w14:paraId="73B2FE4C" w14:textId="77777777" w:rsidR="00C42A2A" w:rsidRPr="00731DDC" w:rsidRDefault="00C42A2A" w:rsidP="005F4075">
      <w:pPr>
        <w:rPr>
          <w:lang w:val="en-GB"/>
        </w:rPr>
      </w:pPr>
      <w:r w:rsidRPr="00731DDC">
        <w:rPr>
          <w:lang w:val="en-GB"/>
        </w:rPr>
        <w:t xml:space="preserve">Digital technologies are serving to expand existing markets </w:t>
      </w:r>
      <w:r w:rsidRPr="00731DDC">
        <w:rPr>
          <w:i/>
          <w:iCs/>
          <w:lang w:val="en-GB"/>
        </w:rPr>
        <w:t>and</w:t>
      </w:r>
      <w:r w:rsidRPr="00731DDC">
        <w:rPr>
          <w:lang w:val="en-GB"/>
        </w:rPr>
        <w:t xml:space="preserve"> create new trade possibilities, in both cases, contributing to the creation of new jobs, increased labour opportunities and wages, and contributing to a higher standard of living. For instance, the OECD in developing a framework for digital trade highlights that digital technology is changing how countries trade, in terms of the speed, scope and scale, as well as increasing the value of trade.</w:t>
      </w:r>
      <w:r w:rsidRPr="00731DDC">
        <w:rPr>
          <w:rStyle w:val="FootnoteReference"/>
          <w:lang w:val="en-GB"/>
        </w:rPr>
        <w:footnoteReference w:id="56"/>
      </w:r>
      <w:r w:rsidRPr="00731DDC">
        <w:rPr>
          <w:lang w:val="en-GB"/>
        </w:rPr>
        <w:t xml:space="preserve"> </w:t>
      </w:r>
    </w:p>
    <w:p w14:paraId="34D2A997" w14:textId="77777777" w:rsidR="00C42A2A" w:rsidRPr="00731DDC" w:rsidRDefault="00C42A2A" w:rsidP="005F4075">
      <w:pPr>
        <w:rPr>
          <w:lang w:val="en-GB"/>
        </w:rPr>
      </w:pPr>
      <w:r w:rsidRPr="00731DDC">
        <w:rPr>
          <w:lang w:val="en-GB"/>
        </w:rPr>
        <w:t>The term ‘digital trade’ is sometimes used interchangeably with that of ‘e-commerce’, or other similar proxies,</w:t>
      </w:r>
      <w:r w:rsidRPr="00731DDC">
        <w:rPr>
          <w:b/>
          <w:bCs/>
          <w:lang w:val="en-GB"/>
        </w:rPr>
        <w:t xml:space="preserve"> digital trade in fact has far broader scope, encompassing the increasing digitalisation of almost all economic and social sectors, the use of digital technologies in supply chains and logistics, the invention of new, commercially valuable communications and market access channels, and the value of the data that is created, transferred, and processed</w:t>
      </w:r>
      <w:r w:rsidRPr="00243CD8">
        <w:rPr>
          <w:lang w:val="en-GB"/>
        </w:rPr>
        <w:t>—</w:t>
      </w:r>
      <w:r w:rsidRPr="00731DDC">
        <w:rPr>
          <w:bCs/>
          <w:lang w:val="en-GB"/>
        </w:rPr>
        <w:t>not least because the data itself is increasingly both an asset input into the supply chain process, and is being traded as its own discernible commodity.</w:t>
      </w:r>
    </w:p>
    <w:p w14:paraId="10C0C2A0" w14:textId="4907F84C" w:rsidR="00C42A2A" w:rsidRPr="00731DDC" w:rsidRDefault="00C42A2A" w:rsidP="007C0781">
      <w:pPr>
        <w:pStyle w:val="Caption"/>
        <w:rPr>
          <w:lang w:val="en-GB"/>
        </w:rPr>
      </w:pPr>
      <w:bookmarkStart w:id="26" w:name="_Ref40901954"/>
      <w:r w:rsidRPr="00731DDC">
        <w:rPr>
          <w:lang w:val="en-GB"/>
        </w:rPr>
        <w:t xml:space="preserve">Box </w:t>
      </w:r>
      <w:r w:rsidRPr="00731DDC">
        <w:rPr>
          <w:lang w:val="en-GB"/>
        </w:rPr>
        <w:fldChar w:fldCharType="begin"/>
      </w:r>
      <w:r w:rsidRPr="00731DDC">
        <w:rPr>
          <w:lang w:val="en-GB"/>
        </w:rPr>
        <w:instrText xml:space="preserve"> SEQ Box \* ARABIC </w:instrText>
      </w:r>
      <w:r w:rsidRPr="00731DDC">
        <w:rPr>
          <w:lang w:val="en-GB"/>
        </w:rPr>
        <w:fldChar w:fldCharType="separate"/>
      </w:r>
      <w:r w:rsidR="00C9081C">
        <w:rPr>
          <w:noProof/>
          <w:lang w:val="en-GB"/>
        </w:rPr>
        <w:t>2</w:t>
      </w:r>
      <w:r w:rsidRPr="00731DDC">
        <w:rPr>
          <w:lang w:val="en-GB"/>
        </w:rPr>
        <w:fldChar w:fldCharType="end"/>
      </w:r>
      <w:bookmarkEnd w:id="26"/>
      <w:r w:rsidRPr="00731DDC">
        <w:rPr>
          <w:lang w:val="en-GB"/>
        </w:rPr>
        <w:t>: Illustrative Digital Trade Definitions</w:t>
      </w:r>
    </w:p>
    <w:tbl>
      <w:tblPr>
        <w:tblStyle w:val="TableGrid"/>
        <w:tblW w:w="0" w:type="auto"/>
        <w:jc w:val="center"/>
        <w:shd w:val="clear" w:color="auto" w:fill="D9E2F3" w:themeFill="accent1" w:themeFillTint="33"/>
        <w:tblLook w:val="04A0" w:firstRow="1" w:lastRow="0" w:firstColumn="1" w:lastColumn="0" w:noHBand="0" w:noVBand="1"/>
      </w:tblPr>
      <w:tblGrid>
        <w:gridCol w:w="9016"/>
      </w:tblGrid>
      <w:tr w:rsidR="00C42A2A" w:rsidRPr="00731DDC" w14:paraId="06305D19" w14:textId="77777777" w:rsidTr="006907BE">
        <w:trPr>
          <w:jc w:val="center"/>
        </w:trPr>
        <w:tc>
          <w:tcPr>
            <w:tcW w:w="9016"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4DF73384" w14:textId="77777777" w:rsidR="00C42A2A" w:rsidRPr="00731DDC" w:rsidRDefault="00C42A2A" w:rsidP="00BA1194">
            <w:pPr>
              <w:pStyle w:val="Tablelist"/>
              <w:spacing w:before="0" w:after="160" w:line="276" w:lineRule="auto"/>
              <w:ind w:left="318" w:hanging="318"/>
              <w:rPr>
                <w:lang w:val="en-GB"/>
              </w:rPr>
            </w:pPr>
            <w:bookmarkStart w:id="27" w:name="_Hlk38986670"/>
            <w:r w:rsidRPr="00731DDC">
              <w:rPr>
                <w:lang w:val="en-GB"/>
              </w:rPr>
              <w:t xml:space="preserve">The </w:t>
            </w:r>
            <w:r w:rsidRPr="00731DDC">
              <w:rPr>
                <w:b/>
                <w:bCs/>
                <w:lang w:val="en-GB"/>
              </w:rPr>
              <w:t>Organisation for Economic Co-operation and Development (OECD)</w:t>
            </w:r>
            <w:r w:rsidRPr="00731DDC">
              <w:rPr>
                <w:lang w:val="en-GB"/>
              </w:rPr>
              <w:t xml:space="preserve"> has perhaps the closest definition used by this report which recognises digital trade as “digitally-enabled transactions of trade in goods and services that can either be digitally or physically delivered, and that involve consumers, firms, and governments.”</w:t>
            </w:r>
            <w:r w:rsidRPr="00731DDC">
              <w:rPr>
                <w:rStyle w:val="FootnoteReference"/>
                <w:color w:val="000000"/>
                <w:lang w:val="en-GB"/>
              </w:rPr>
              <w:footnoteReference w:id="57"/>
            </w:r>
            <w:r w:rsidRPr="00731DDC">
              <w:rPr>
                <w:lang w:val="en-GB"/>
              </w:rPr>
              <w:t xml:space="preserve"> It considers that all forms of digital trade are enabled by digital technologies, but not all digital trade is digitally delivered. The OECD also highlights that underpinning digital trade is the movement of data which can facilitate new supply models, like cloud computing, the Internet of Things (IoT), and 3D/additive manufacturing.</w:t>
            </w:r>
          </w:p>
          <w:p w14:paraId="1F801C0F" w14:textId="77777777" w:rsidR="00C42A2A" w:rsidRPr="00731DDC" w:rsidRDefault="00C42A2A" w:rsidP="00BA1194">
            <w:pPr>
              <w:pStyle w:val="Tablelist"/>
              <w:spacing w:before="0" w:after="160" w:line="276" w:lineRule="auto"/>
              <w:ind w:left="312"/>
              <w:rPr>
                <w:lang w:val="en-GB"/>
              </w:rPr>
            </w:pPr>
            <w:r w:rsidRPr="00731DDC">
              <w:rPr>
                <w:lang w:val="en-GB"/>
              </w:rPr>
              <w:lastRenderedPageBreak/>
              <w:t xml:space="preserve">The </w:t>
            </w:r>
            <w:r w:rsidRPr="00731DDC">
              <w:rPr>
                <w:b/>
                <w:bCs/>
                <w:lang w:val="en-GB"/>
              </w:rPr>
              <w:t>World Trade Organisation</w:t>
            </w:r>
            <w:r w:rsidRPr="00731DDC">
              <w:rPr>
                <w:lang w:val="en-GB"/>
              </w:rPr>
              <w:t xml:space="preserve"> </w:t>
            </w:r>
            <w:r w:rsidRPr="00731DDC">
              <w:rPr>
                <w:b/>
                <w:bCs/>
                <w:lang w:val="en-GB"/>
              </w:rPr>
              <w:t>(WTO)</w:t>
            </w:r>
            <w:r w:rsidRPr="00731DDC">
              <w:rPr>
                <w:lang w:val="en-GB"/>
              </w:rPr>
              <w:t xml:space="preserve"> uses the term “electronic commerce” instead of “digital trade”, and defines it as “the trade of goods and services using the Internet, including the transmission of information and data across borders.”</w:t>
            </w:r>
            <w:r w:rsidRPr="00731DDC">
              <w:rPr>
                <w:rStyle w:val="FootnoteReference"/>
                <w:rFonts w:eastAsia="Calibri" w:cs="Arial"/>
                <w:lang w:val="en-GB"/>
              </w:rPr>
              <w:footnoteReference w:id="58"/>
            </w:r>
          </w:p>
          <w:p w14:paraId="10C11B68" w14:textId="77777777" w:rsidR="00C42A2A" w:rsidRPr="00731DDC" w:rsidRDefault="00C42A2A" w:rsidP="00BA1194">
            <w:pPr>
              <w:pStyle w:val="Tablelist"/>
              <w:spacing w:before="0" w:after="160" w:line="276" w:lineRule="auto"/>
              <w:ind w:left="312"/>
              <w:rPr>
                <w:lang w:val="en-GB"/>
              </w:rPr>
            </w:pPr>
            <w:r w:rsidRPr="00731DDC">
              <w:rPr>
                <w:lang w:val="en-GB"/>
              </w:rPr>
              <w:t xml:space="preserve">The </w:t>
            </w:r>
            <w:r w:rsidRPr="00731DDC">
              <w:rPr>
                <w:b/>
                <w:bCs/>
                <w:lang w:val="en-GB"/>
              </w:rPr>
              <w:t xml:space="preserve">United States International Trade Commission (USITC) </w:t>
            </w:r>
            <w:r w:rsidRPr="00731DDC">
              <w:rPr>
                <w:lang w:val="en-GB"/>
              </w:rPr>
              <w:t>defines digital trade as the delivery of goods and services over digital networks, including the use of digital goods and services as well as online sales of goods and services over e-commerce platforms.</w:t>
            </w:r>
            <w:r w:rsidRPr="00731DDC">
              <w:rPr>
                <w:rStyle w:val="FootnoteReference"/>
                <w:lang w:val="en-GB"/>
              </w:rPr>
              <w:footnoteReference w:id="59"/>
            </w:r>
          </w:p>
          <w:p w14:paraId="5B4521D9" w14:textId="77777777" w:rsidR="00C42A2A" w:rsidRPr="00731DDC" w:rsidRDefault="00C42A2A" w:rsidP="00BA1194">
            <w:pPr>
              <w:pStyle w:val="Tablelist"/>
              <w:spacing w:before="0" w:after="0" w:line="276" w:lineRule="auto"/>
              <w:ind w:left="312"/>
              <w:rPr>
                <w:szCs w:val="22"/>
                <w:lang w:val="en-GB"/>
              </w:rPr>
            </w:pPr>
            <w:r w:rsidRPr="00731DDC">
              <w:rPr>
                <w:lang w:val="en-GB"/>
              </w:rPr>
              <w:t xml:space="preserve">The </w:t>
            </w:r>
            <w:r w:rsidRPr="00731DDC">
              <w:rPr>
                <w:b/>
                <w:bCs/>
                <w:lang w:val="en-GB"/>
              </w:rPr>
              <w:t>UNESCAP report, ‘International Trade in the Digital Age’</w:t>
            </w:r>
            <w:r w:rsidRPr="00731DDC">
              <w:rPr>
                <w:lang w:val="en-GB"/>
              </w:rPr>
              <w:t>, states “digital trade” is broadly understood as “e-commerce” [the report acknowledges there is no formal definition of “e-commerce”]. It goes on to note, “[yet,] the use of automated data exchange systems, cloud computing, big data and open source operating systems can help businesses run international supply chain management more efficiently. However, the use of digital technology in trade activities can, in fact, go beyond online buying/selling; the term “digital trade” [also] refers to the use of digital technologies to facilitate businesses without limiting it to just online sales or purchases.”</w:t>
            </w:r>
          </w:p>
        </w:tc>
      </w:tr>
    </w:tbl>
    <w:bookmarkEnd w:id="27"/>
    <w:p w14:paraId="56085ED8" w14:textId="71505ED3" w:rsidR="00C42A2A" w:rsidRPr="00731DDC" w:rsidRDefault="00C42A2A" w:rsidP="006907BE">
      <w:pPr>
        <w:pStyle w:val="Heading3"/>
        <w:rPr>
          <w:lang w:val="en-GB"/>
        </w:rPr>
      </w:pPr>
      <w:r w:rsidRPr="00731DDC">
        <w:rPr>
          <w:lang w:val="en-GB"/>
        </w:rPr>
        <w:lastRenderedPageBreak/>
        <w:t>Four components of digital trade</w:t>
      </w:r>
    </w:p>
    <w:p w14:paraId="1A2B59D1" w14:textId="77777777" w:rsidR="00C42A2A" w:rsidRPr="00731DDC" w:rsidRDefault="00C42A2A" w:rsidP="005F4075">
      <w:pPr>
        <w:rPr>
          <w:lang w:val="en-GB"/>
        </w:rPr>
      </w:pPr>
      <w:r w:rsidRPr="00731DDC">
        <w:rPr>
          <w:lang w:val="en-GB"/>
        </w:rPr>
        <w:t xml:space="preserve">There are four components of digital trade for which economic impact ought to be measured. These categories are not mutually exclusive and may in combination be a part of a single transaction, product or service. In addition, with the ever-expanding use of digital technologies, there will be an ongoing shift as the proportion of digital goods and services to tangible products continues to grow. </w:t>
      </w:r>
    </w:p>
    <w:p w14:paraId="0C215622" w14:textId="77777777" w:rsidR="00C42A2A" w:rsidRPr="00731DDC" w:rsidRDefault="00C42A2A" w:rsidP="005F4075">
      <w:pPr>
        <w:rPr>
          <w:lang w:val="en-GB"/>
        </w:rPr>
      </w:pPr>
      <w:bookmarkStart w:id="29" w:name="_Hlk37262583"/>
      <w:r w:rsidRPr="00731DDC">
        <w:rPr>
          <w:lang w:val="en-GB"/>
        </w:rPr>
        <w:t>Based on our research and analysis, we consider digital trade to include the following:</w:t>
      </w:r>
      <w:r w:rsidRPr="00731DDC">
        <w:rPr>
          <w:rStyle w:val="FootnoteReference"/>
          <w:lang w:val="en-GB"/>
        </w:rPr>
        <w:footnoteReference w:id="60"/>
      </w:r>
    </w:p>
    <w:p w14:paraId="75F21A75" w14:textId="3053CC7F" w:rsidR="00C42A2A" w:rsidRPr="00731DDC" w:rsidRDefault="00C42A2A" w:rsidP="001F09E1">
      <w:pPr>
        <w:pStyle w:val="ListParagraph"/>
        <w:numPr>
          <w:ilvl w:val="0"/>
          <w:numId w:val="22"/>
        </w:numPr>
        <w:spacing w:before="0" w:after="160" w:line="276" w:lineRule="auto"/>
        <w:rPr>
          <w:lang w:val="en-GB"/>
        </w:rPr>
      </w:pPr>
      <w:r w:rsidRPr="00731DDC">
        <w:rPr>
          <w:b/>
          <w:bCs/>
          <w:lang w:val="en-GB"/>
        </w:rPr>
        <w:t>Digital goods and services</w:t>
      </w:r>
      <w:r w:rsidRPr="00731DDC">
        <w:rPr>
          <w:lang w:val="en-GB"/>
        </w:rPr>
        <w:t>: We describe this component to include</w:t>
      </w:r>
      <w:r w:rsidR="00193CA1" w:rsidRPr="00731DDC">
        <w:rPr>
          <w:lang w:val="en-GB"/>
        </w:rPr>
        <w:t>:</w:t>
      </w:r>
      <w:r w:rsidRPr="00731DDC">
        <w:rPr>
          <w:lang w:val="en-GB"/>
        </w:rPr>
        <w:t xml:space="preserve"> </w:t>
      </w:r>
    </w:p>
    <w:p w14:paraId="63EDFEFA" w14:textId="104B0AC5" w:rsidR="00C42A2A" w:rsidRPr="00F85413" w:rsidRDefault="00C42A2A" w:rsidP="001F09E1">
      <w:pPr>
        <w:pStyle w:val="ListParagraph"/>
        <w:numPr>
          <w:ilvl w:val="1"/>
          <w:numId w:val="22"/>
        </w:numPr>
        <w:spacing w:before="0" w:after="160" w:line="276" w:lineRule="auto"/>
        <w:rPr>
          <w:lang w:val="en-GB"/>
        </w:rPr>
      </w:pPr>
      <w:r w:rsidRPr="00731DDC">
        <w:rPr>
          <w:rStyle w:val="normaltextrun"/>
          <w:rFonts w:ascii="Calibri" w:hAnsi="Calibri" w:cs="Calibri"/>
          <w:shd w:val="clear" w:color="auto" w:fill="FFFFFF"/>
          <w:lang w:val="en-GB"/>
        </w:rPr>
        <w:t>Digital goods that are shipped electronically to the consumer through e-mail or download from the Internet. This is in line with the definitions used by the Productivity Commission in New Zealand and Australia in its joint report on growing the digital economy.</w:t>
      </w:r>
      <w:r w:rsidR="00193CA1" w:rsidRPr="00731DDC">
        <w:rPr>
          <w:rStyle w:val="FootnoteReference"/>
          <w:rFonts w:ascii="Calibri" w:hAnsi="Calibri" w:cs="Calibri"/>
          <w:shd w:val="clear" w:color="auto" w:fill="FFFFFF"/>
          <w:lang w:val="en-GB"/>
        </w:rPr>
        <w:footnoteReference w:id="61"/>
      </w:r>
      <w:r w:rsidR="00193CA1" w:rsidRPr="00731DDC">
        <w:rPr>
          <w:rStyle w:val="textrun"/>
          <w:rFonts w:ascii="Calibri" w:hAnsi="Calibri" w:cs="Calibri"/>
          <w:sz w:val="17"/>
          <w:szCs w:val="17"/>
          <w:shd w:val="clear" w:color="auto" w:fill="FFFFFF"/>
          <w:vertAlign w:val="superscript"/>
          <w:lang w:val="en-GB"/>
        </w:rPr>
        <w:t xml:space="preserve"> </w:t>
      </w:r>
      <w:r w:rsidR="00F85413" w:rsidRPr="00731DDC">
        <w:rPr>
          <w:lang w:val="en-GB"/>
        </w:rPr>
        <w:t xml:space="preserve">We adopt this definition and describe </w:t>
      </w:r>
      <w:r w:rsidR="00F85413" w:rsidRPr="00F85413">
        <w:rPr>
          <w:lang w:val="en-GB"/>
        </w:rPr>
        <w:t>digital goods</w:t>
      </w:r>
      <w:r w:rsidR="00F85413" w:rsidRPr="00731DDC">
        <w:rPr>
          <w:lang w:val="en-GB"/>
        </w:rPr>
        <w:t xml:space="preserve"> as those that are stored, delivered and used in electronic format. </w:t>
      </w:r>
      <w:r w:rsidRPr="00731DDC">
        <w:rPr>
          <w:rStyle w:val="normaltextrun"/>
          <w:rFonts w:ascii="Calibri" w:hAnsi="Calibri" w:cs="Calibri"/>
          <w:shd w:val="clear" w:color="auto" w:fill="FFFFFF"/>
          <w:lang w:val="en-GB"/>
        </w:rPr>
        <w:t xml:space="preserve">Examples of digital goods include e-publishing, music files, software, digital images, Web site templates, </w:t>
      </w:r>
      <w:r w:rsidRPr="00F85413">
        <w:rPr>
          <w:rStyle w:val="normaltextrun"/>
          <w:rFonts w:ascii="Calibri" w:hAnsi="Calibri" w:cs="Calibri"/>
          <w:shd w:val="clear" w:color="auto" w:fill="FFFFFF"/>
          <w:lang w:val="en-GB"/>
        </w:rPr>
        <w:t>manuals in electronic format, and any item which can be electronically stored in a file or multiple files. It can also include digital content which can be news, as well as the intellectual property rights of the content.</w:t>
      </w:r>
    </w:p>
    <w:p w14:paraId="3C5B9C0E" w14:textId="17436A20" w:rsidR="00C42A2A" w:rsidRPr="00731DDC" w:rsidRDefault="00C42A2A" w:rsidP="001F09E1">
      <w:pPr>
        <w:pStyle w:val="ListParagraph"/>
        <w:numPr>
          <w:ilvl w:val="1"/>
          <w:numId w:val="22"/>
        </w:numPr>
        <w:spacing w:before="0" w:after="160" w:line="276" w:lineRule="auto"/>
        <w:rPr>
          <w:lang w:val="en-GB"/>
        </w:rPr>
      </w:pPr>
      <w:r w:rsidRPr="00F85413">
        <w:rPr>
          <w:rStyle w:val="normaltextrun"/>
          <w:rFonts w:ascii="Calibri" w:hAnsi="Calibri" w:cs="Calibri"/>
          <w:lang w:val="en-GB"/>
        </w:rPr>
        <w:t>D</w:t>
      </w:r>
      <w:r w:rsidRPr="00F85413">
        <w:rPr>
          <w:rStyle w:val="normaltextrun"/>
          <w:rFonts w:ascii="Calibri" w:hAnsi="Calibri" w:cs="Calibri"/>
          <w:shd w:val="clear" w:color="auto" w:fill="FFFFFF"/>
          <w:lang w:val="en-GB"/>
        </w:rPr>
        <w:t>igitally</w:t>
      </w:r>
      <w:r w:rsidRPr="00F85413">
        <w:rPr>
          <w:lang w:val="en-GB"/>
        </w:rPr>
        <w:t xml:space="preserve"> enabled purchases of digital services</w:t>
      </w:r>
      <w:r w:rsidR="00F85413" w:rsidRPr="00F85413">
        <w:rPr>
          <w:lang w:val="en-GB"/>
        </w:rPr>
        <w:t>—a</w:t>
      </w:r>
      <w:r w:rsidRPr="00F85413">
        <w:rPr>
          <w:lang w:val="en-GB"/>
        </w:rPr>
        <w:t>s defined by the OECD</w:t>
      </w:r>
      <w:r w:rsidRPr="00F85413">
        <w:rPr>
          <w:rStyle w:val="FootnoteReference"/>
          <w:lang w:val="en-GB"/>
        </w:rPr>
        <w:footnoteReference w:id="62"/>
      </w:r>
      <w:r w:rsidR="00F85413" w:rsidRPr="00F85413">
        <w:rPr>
          <w:lang w:val="en-GB"/>
        </w:rPr>
        <w:t>—</w:t>
      </w:r>
      <w:r w:rsidRPr="00F85413">
        <w:rPr>
          <w:lang w:val="en-GB"/>
        </w:rPr>
        <w:t>considered to be a service, delivered via the Internet (platform or</w:t>
      </w:r>
      <w:r w:rsidRPr="00731DDC">
        <w:rPr>
          <w:lang w:val="en-GB"/>
        </w:rPr>
        <w:t xml:space="preserve"> email), or an electronic network and is </w:t>
      </w:r>
      <w:r w:rsidRPr="00731DDC">
        <w:rPr>
          <w:lang w:val="en-GB"/>
        </w:rPr>
        <w:lastRenderedPageBreak/>
        <w:t xml:space="preserve">impossible to provide in the absence of information technology. Examples include cloud computing services, digital video telephony services. </w:t>
      </w:r>
    </w:p>
    <w:p w14:paraId="217E99C2" w14:textId="77777777" w:rsidR="00C42A2A" w:rsidRPr="00731DDC" w:rsidRDefault="00C42A2A" w:rsidP="001F09E1">
      <w:pPr>
        <w:pStyle w:val="ListParagraph"/>
        <w:numPr>
          <w:ilvl w:val="0"/>
          <w:numId w:val="22"/>
        </w:numPr>
        <w:spacing w:before="0" w:after="160" w:line="276" w:lineRule="auto"/>
        <w:rPr>
          <w:lang w:val="en-GB"/>
        </w:rPr>
      </w:pPr>
      <w:r w:rsidRPr="00731DDC">
        <w:rPr>
          <w:b/>
          <w:bCs/>
          <w:lang w:val="en-GB"/>
        </w:rPr>
        <w:t>Digital delivery (full or partial) of tangible goods and services:</w:t>
      </w:r>
      <w:r w:rsidRPr="00731DDC">
        <w:rPr>
          <w:lang w:val="en-GB"/>
        </w:rPr>
        <w:t xml:space="preserve">  As defined by the OECD, the delivery and purchase of a product can be online and could be via a digital platform. However, the good or service is consumed physically. This component is growing as the supply of tangible goods and services in a number of industry sectors is increasingly being digitalised. </w:t>
      </w:r>
    </w:p>
    <w:p w14:paraId="10DD64B2" w14:textId="77777777" w:rsidR="00C42A2A" w:rsidRPr="00731DDC" w:rsidRDefault="00C42A2A" w:rsidP="001F09E1">
      <w:pPr>
        <w:pStyle w:val="ListParagraph"/>
        <w:numPr>
          <w:ilvl w:val="0"/>
          <w:numId w:val="22"/>
        </w:numPr>
        <w:spacing w:before="0" w:after="160" w:line="276" w:lineRule="auto"/>
        <w:rPr>
          <w:lang w:val="en-GB"/>
        </w:rPr>
      </w:pPr>
      <w:r w:rsidRPr="00731DDC">
        <w:rPr>
          <w:b/>
          <w:bCs/>
          <w:lang w:val="en-GB"/>
        </w:rPr>
        <w:t>Digital enablers of trade</w:t>
      </w:r>
      <w:r w:rsidRPr="00731DDC">
        <w:rPr>
          <w:lang w:val="en-GB"/>
        </w:rPr>
        <w:t xml:space="preserve">: The OECD defines this component as the hard and soft infrastructure, (cables and wires, platforms and devices) to regulations that protect data and IT systems like digital logistics systems, goods tracking, privacy and cybersecurity, which support digital trade transactions. In this report, we consider four key digital enablers that increase the capabilities and reliability of the systems and technology, that can be deployed to support all forms of digital trade. </w:t>
      </w:r>
    </w:p>
    <w:p w14:paraId="186CC381" w14:textId="19D8F49D" w:rsidR="00C42A2A" w:rsidRPr="00F85413" w:rsidRDefault="00C42A2A" w:rsidP="001F09E1">
      <w:pPr>
        <w:pStyle w:val="ListParagraph"/>
        <w:numPr>
          <w:ilvl w:val="0"/>
          <w:numId w:val="10"/>
        </w:numPr>
        <w:spacing w:before="0" w:after="160" w:line="276" w:lineRule="auto"/>
        <w:rPr>
          <w:lang w:val="en-GB"/>
        </w:rPr>
      </w:pPr>
      <w:r w:rsidRPr="00F85413">
        <w:rPr>
          <w:b/>
          <w:bCs/>
          <w:lang w:val="en-GB"/>
        </w:rPr>
        <w:t>Connectivity</w:t>
      </w:r>
      <w:r w:rsidRPr="00F85413">
        <w:rPr>
          <w:lang w:val="en-GB"/>
        </w:rPr>
        <w:t>: gives all users a means to access services, content and communications. The movement of goods and services can be facilitated by virtual networks and platforms that can communicate with one another.</w:t>
      </w:r>
    </w:p>
    <w:p w14:paraId="1F94E03E" w14:textId="29E8E370" w:rsidR="00C42A2A" w:rsidRPr="00F85413" w:rsidRDefault="00C42A2A" w:rsidP="001F09E1">
      <w:pPr>
        <w:pStyle w:val="ListParagraph"/>
        <w:numPr>
          <w:ilvl w:val="0"/>
          <w:numId w:val="10"/>
        </w:numPr>
        <w:spacing w:before="0" w:after="160" w:line="276" w:lineRule="auto"/>
        <w:rPr>
          <w:lang w:val="en-GB"/>
        </w:rPr>
      </w:pPr>
      <w:r w:rsidRPr="00F85413">
        <w:rPr>
          <w:b/>
          <w:bCs/>
          <w:lang w:val="en-GB"/>
        </w:rPr>
        <w:t>Digital Identities</w:t>
      </w:r>
      <w:r w:rsidRPr="00F85413">
        <w:rPr>
          <w:lang w:val="en-GB"/>
        </w:rPr>
        <w:t>: provides the ability to validate the parties to a transaction and audit and authenticate those transactions in all parts of the digital trade process.</w:t>
      </w:r>
    </w:p>
    <w:p w14:paraId="2D6B5CBA" w14:textId="0A62FB45" w:rsidR="00C42A2A" w:rsidRPr="00F85413" w:rsidRDefault="00C42A2A" w:rsidP="001F09E1">
      <w:pPr>
        <w:pStyle w:val="ListParagraph"/>
        <w:numPr>
          <w:ilvl w:val="0"/>
          <w:numId w:val="10"/>
        </w:numPr>
        <w:spacing w:before="0" w:after="160" w:line="276" w:lineRule="auto"/>
        <w:rPr>
          <w:lang w:val="en-GB"/>
        </w:rPr>
      </w:pPr>
      <w:r w:rsidRPr="00F85413">
        <w:rPr>
          <w:b/>
          <w:bCs/>
          <w:lang w:val="en-GB"/>
        </w:rPr>
        <w:t>Digital Payments</w:t>
      </w:r>
      <w:r w:rsidRPr="00F85413">
        <w:rPr>
          <w:lang w:val="en-GB"/>
        </w:rPr>
        <w:t xml:space="preserve">: </w:t>
      </w:r>
      <w:r w:rsidR="00F85413" w:rsidRPr="00F85413">
        <w:rPr>
          <w:lang w:val="en-GB"/>
        </w:rPr>
        <w:t>w</w:t>
      </w:r>
      <w:r w:rsidRPr="00F85413">
        <w:rPr>
          <w:lang w:val="en-GB"/>
        </w:rPr>
        <w:t xml:space="preserve">hether on smartphones or online, digital payments can provide increased efficiency, speed, transparency and security by increasing accountability and tracking and reducing the scope for fraud. </w:t>
      </w:r>
    </w:p>
    <w:p w14:paraId="0AD119E0" w14:textId="77777777" w:rsidR="00C42A2A" w:rsidRPr="00F85413" w:rsidRDefault="00C42A2A" w:rsidP="001F09E1">
      <w:pPr>
        <w:pStyle w:val="ListParagraph"/>
        <w:numPr>
          <w:ilvl w:val="0"/>
          <w:numId w:val="10"/>
        </w:numPr>
        <w:spacing w:before="0" w:after="160" w:line="276" w:lineRule="auto"/>
        <w:rPr>
          <w:lang w:val="en-GB"/>
        </w:rPr>
      </w:pPr>
      <w:r w:rsidRPr="00F85413">
        <w:rPr>
          <w:b/>
          <w:bCs/>
          <w:lang w:val="en-GB"/>
        </w:rPr>
        <w:t>Cybersecurity and Privacy</w:t>
      </w:r>
      <w:r w:rsidRPr="00F85413">
        <w:rPr>
          <w:lang w:val="en-GB"/>
        </w:rPr>
        <w:t>: refers to a broad range of issues related to privacy protection, piracy and theft, censorship, and national security. Such measures are essential in developing user confidence that the systems are secure and incorporate appropriate privacy protections.</w:t>
      </w:r>
    </w:p>
    <w:p w14:paraId="12DA52BC" w14:textId="77777777" w:rsidR="00C42A2A" w:rsidRPr="00731DDC" w:rsidRDefault="00C42A2A" w:rsidP="001F09E1">
      <w:pPr>
        <w:pStyle w:val="ListParagraph"/>
        <w:numPr>
          <w:ilvl w:val="0"/>
          <w:numId w:val="22"/>
        </w:numPr>
        <w:spacing w:before="0" w:after="160" w:line="276" w:lineRule="auto"/>
        <w:rPr>
          <w:lang w:val="en-GB"/>
        </w:rPr>
      </w:pPr>
      <w:r w:rsidRPr="00731DDC">
        <w:rPr>
          <w:b/>
          <w:bCs/>
          <w:lang w:val="en-GB"/>
        </w:rPr>
        <w:t xml:space="preserve">Emerging digital technologies: </w:t>
      </w:r>
      <w:r w:rsidRPr="00731DDC">
        <w:rPr>
          <w:lang w:val="en-GB"/>
        </w:rPr>
        <w:t>Technologies that are transforming, or have the potential  to transform aspects of trade practices. This component is defined as new technologies that are currently developing or will be developed over the next five to ten years, and which will substantially alter the business and social environment. Examples of emerging areas include 5G, blockchain technology, AI and IoT.</w:t>
      </w:r>
    </w:p>
    <w:p w14:paraId="5CA4BE27" w14:textId="598A5FC6" w:rsidR="00C42A2A" w:rsidRPr="00731DDC" w:rsidRDefault="00C42A2A" w:rsidP="005F4075">
      <w:pPr>
        <w:rPr>
          <w:lang w:val="en-GB"/>
        </w:rPr>
      </w:pPr>
      <w:r w:rsidRPr="00731DDC">
        <w:rPr>
          <w:lang w:val="en-GB"/>
        </w:rPr>
        <w:t>The above definitions of digital trade are adopted throughout this report. In applying this comprehensive definition of digital trade, we are able to better identi</w:t>
      </w:r>
      <w:r w:rsidR="00375089">
        <w:rPr>
          <w:lang w:val="en-GB"/>
        </w:rPr>
        <w:t>f</w:t>
      </w:r>
      <w:r w:rsidRPr="00731DDC">
        <w:rPr>
          <w:lang w:val="en-GB"/>
        </w:rPr>
        <w:t xml:space="preserve">y and </w:t>
      </w:r>
      <w:r w:rsidR="00375089">
        <w:rPr>
          <w:lang w:val="en-GB"/>
        </w:rPr>
        <w:t>recommend priorit</w:t>
      </w:r>
      <w:r w:rsidR="00947CE0">
        <w:rPr>
          <w:lang w:val="en-GB"/>
        </w:rPr>
        <w:t>ies for cooperation</w:t>
      </w:r>
      <w:r w:rsidRPr="00731DDC">
        <w:rPr>
          <w:lang w:val="en-GB"/>
        </w:rPr>
        <w:t xml:space="preserve"> between Australia and Singapore.</w:t>
      </w:r>
    </w:p>
    <w:p w14:paraId="371FBF6D" w14:textId="479E6450" w:rsidR="00C42A2A" w:rsidRPr="00731DDC" w:rsidRDefault="00C42A2A" w:rsidP="00C42A2A">
      <w:pPr>
        <w:pStyle w:val="Heading3"/>
        <w:spacing w:before="0" w:line="276" w:lineRule="auto"/>
        <w:rPr>
          <w:lang w:val="en-GB"/>
        </w:rPr>
      </w:pPr>
      <w:r w:rsidRPr="00731DDC">
        <w:rPr>
          <w:lang w:val="en-GB"/>
        </w:rPr>
        <w:t>Digitalisation of Supply Chains</w:t>
      </w:r>
    </w:p>
    <w:p w14:paraId="57FF8998" w14:textId="39BD4DDA" w:rsidR="00C42A2A" w:rsidRPr="00731DDC" w:rsidRDefault="00C42A2A" w:rsidP="005F4075">
      <w:pPr>
        <w:rPr>
          <w:lang w:val="en-GB"/>
        </w:rPr>
      </w:pPr>
      <w:r w:rsidRPr="00731DDC">
        <w:rPr>
          <w:lang w:val="en-GB"/>
        </w:rPr>
        <w:t xml:space="preserve">The supply chain for cross-border trade is being transformed through digital technologies and online platforms that facilitate the trade process. </w:t>
      </w:r>
      <w:r w:rsidRPr="00731DDC">
        <w:rPr>
          <w:lang w:val="en-GB"/>
        </w:rPr>
        <w:fldChar w:fldCharType="begin"/>
      </w:r>
      <w:r w:rsidRPr="00731DDC">
        <w:rPr>
          <w:lang w:val="en-GB"/>
        </w:rPr>
        <w:instrText xml:space="preserve"> REF _Ref40897409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2</w:t>
      </w:r>
      <w:r w:rsidRPr="00731DDC">
        <w:rPr>
          <w:lang w:val="en-GB"/>
        </w:rPr>
        <w:fldChar w:fldCharType="end"/>
      </w:r>
      <w:r w:rsidRPr="00731DDC">
        <w:rPr>
          <w:lang w:val="en-GB"/>
        </w:rPr>
        <w:t xml:space="preserve"> below summarises the key aspects of trade and the different types of goods and services that are traded.</w:t>
      </w:r>
    </w:p>
    <w:p w14:paraId="014E73A0" w14:textId="3FDCE835" w:rsidR="00C42A2A" w:rsidRPr="00731DDC" w:rsidRDefault="00C42A2A" w:rsidP="007C0781">
      <w:pPr>
        <w:pStyle w:val="Caption"/>
        <w:rPr>
          <w:lang w:val="en-GB"/>
        </w:rPr>
      </w:pPr>
      <w:bookmarkStart w:id="30" w:name="_Ref40897409"/>
      <w:r w:rsidRPr="00731DDC">
        <w:rPr>
          <w:lang w:val="en-GB"/>
        </w:rPr>
        <w:lastRenderedPageBreak/>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2</w:t>
      </w:r>
      <w:r w:rsidRPr="00731DDC">
        <w:rPr>
          <w:lang w:val="en-GB"/>
        </w:rPr>
        <w:fldChar w:fldCharType="end"/>
      </w:r>
      <w:bookmarkEnd w:id="30"/>
      <w:r w:rsidRPr="00731DDC">
        <w:rPr>
          <w:lang w:val="en-GB"/>
        </w:rPr>
        <w:t xml:space="preserve">: Supply </w:t>
      </w:r>
      <w:r w:rsidR="00193CA1" w:rsidRPr="00731DDC">
        <w:rPr>
          <w:lang w:val="en-GB"/>
        </w:rPr>
        <w:t>C</w:t>
      </w:r>
      <w:r w:rsidRPr="00731DDC">
        <w:rPr>
          <w:lang w:val="en-GB"/>
        </w:rPr>
        <w:t xml:space="preserve">hain for Digital and Tangible Goods and Services </w:t>
      </w:r>
    </w:p>
    <w:p w14:paraId="39B667B7" w14:textId="3698B09F" w:rsidR="00C42A2A" w:rsidRPr="00731DDC" w:rsidRDefault="00C67A59" w:rsidP="00C67A59">
      <w:pPr>
        <w:jc w:val="center"/>
        <w:rPr>
          <w:lang w:val="en-GB"/>
        </w:rPr>
      </w:pPr>
      <w:r w:rsidRPr="00731DDC">
        <w:rPr>
          <w:noProof/>
          <w:lang w:val="en-AU" w:eastAsia="en-AU"/>
        </w:rPr>
        <w:drawing>
          <wp:inline distT="0" distB="0" distL="0" distR="0" wp14:anchorId="54DEF1EA" wp14:editId="21011C65">
            <wp:extent cx="5317624" cy="2711835"/>
            <wp:effectExtent l="0" t="0" r="3810" b="0"/>
            <wp:docPr id="17" name="Picture 1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ck&#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329989" cy="2718141"/>
                    </a:xfrm>
                    <a:prstGeom prst="rect">
                      <a:avLst/>
                    </a:prstGeom>
                  </pic:spPr>
                </pic:pic>
              </a:graphicData>
            </a:graphic>
          </wp:inline>
        </w:drawing>
      </w:r>
    </w:p>
    <w:p w14:paraId="25B59FDD" w14:textId="77777777" w:rsidR="00C42A2A" w:rsidRPr="00731DDC" w:rsidRDefault="00C42A2A" w:rsidP="005F4075">
      <w:pPr>
        <w:rPr>
          <w:lang w:val="en-GB"/>
        </w:rPr>
      </w:pPr>
      <w:r w:rsidRPr="00731DDC">
        <w:rPr>
          <w:lang w:val="en-GB"/>
        </w:rPr>
        <w:t>The supply chain shown is adapted from the United Nations Centre for Trade Facilitation and Electronic Business Buy Ship Model.</w:t>
      </w:r>
      <w:r w:rsidRPr="00731DDC">
        <w:rPr>
          <w:rStyle w:val="FootnoteReference"/>
          <w:lang w:val="en-GB"/>
        </w:rPr>
        <w:footnoteReference w:id="63"/>
      </w:r>
      <w:r w:rsidRPr="00731DDC">
        <w:rPr>
          <w:lang w:val="en-GB"/>
        </w:rPr>
        <w:t xml:space="preserve"> The United Nations Model identifies the key commercial, logistical, regulatory and payment procedures involved in the international supply chain and provides an overview of the information exchanged between the parties throughout its various steps.</w:t>
      </w:r>
    </w:p>
    <w:p w14:paraId="43C2B20F" w14:textId="3E22A8E7" w:rsidR="00C42A2A" w:rsidRPr="00731DDC" w:rsidRDefault="00C42A2A" w:rsidP="005F4075">
      <w:pPr>
        <w:rPr>
          <w:lang w:val="en-GB"/>
        </w:rPr>
      </w:pPr>
      <w:r w:rsidRPr="00731DDC">
        <w:rPr>
          <w:lang w:val="en-GB"/>
        </w:rPr>
        <w:t xml:space="preserve">The Model has been revised to show the impact of digitalisation as per </w:t>
      </w:r>
      <w:r w:rsidRPr="00731DDC">
        <w:rPr>
          <w:lang w:val="en-GB"/>
        </w:rPr>
        <w:fldChar w:fldCharType="begin"/>
      </w:r>
      <w:r w:rsidRPr="00731DDC">
        <w:rPr>
          <w:lang w:val="en-GB"/>
        </w:rPr>
        <w:instrText xml:space="preserve"> REF _Ref40897409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2</w:t>
      </w:r>
      <w:r w:rsidRPr="00731DDC">
        <w:rPr>
          <w:lang w:val="en-GB"/>
        </w:rPr>
        <w:fldChar w:fldCharType="end"/>
      </w:r>
      <w:r w:rsidRPr="00731DDC">
        <w:rPr>
          <w:lang w:val="en-GB"/>
        </w:rPr>
        <w:t>. It outlines how tangible/digital inputs are used to produce tangible/digital goods or services which are ordered by customers and distributed across borders with the relevant customs and border control. Customs interactions for both the exporter and importer can be made more efficient through digitalisation.</w:t>
      </w:r>
    </w:p>
    <w:p w14:paraId="1F35BBF3" w14:textId="77777777" w:rsidR="00C42A2A" w:rsidRPr="00731DDC" w:rsidRDefault="00C42A2A" w:rsidP="005F4075">
      <w:pPr>
        <w:rPr>
          <w:lang w:val="en-GB"/>
        </w:rPr>
      </w:pPr>
      <w:r w:rsidRPr="00731DDC">
        <w:rPr>
          <w:lang w:val="en-GB"/>
        </w:rPr>
        <w:t xml:space="preserve">The above </w:t>
      </w:r>
      <w:r w:rsidRPr="00731DDC">
        <w:rPr>
          <w:b/>
          <w:bCs/>
          <w:lang w:val="en-GB"/>
        </w:rPr>
        <w:t>digital enablers</w:t>
      </w:r>
      <w:r w:rsidRPr="00731DDC">
        <w:rPr>
          <w:lang w:val="en-GB"/>
        </w:rPr>
        <w:t xml:space="preserve"> are used at different parts of the supply chain to help facilitate the trade process and manage and protect the </w:t>
      </w:r>
      <w:r w:rsidRPr="00731DDC">
        <w:rPr>
          <w:b/>
          <w:bCs/>
          <w:lang w:val="en-GB"/>
        </w:rPr>
        <w:t>flow of data</w:t>
      </w:r>
      <w:r w:rsidRPr="00731DDC">
        <w:rPr>
          <w:lang w:val="en-GB"/>
        </w:rPr>
        <w:t xml:space="preserve"> between participants, platforms and technologies.</w:t>
      </w:r>
    </w:p>
    <w:p w14:paraId="6B780C3A" w14:textId="77777777" w:rsidR="00C42A2A" w:rsidRPr="00731DDC" w:rsidRDefault="00C42A2A" w:rsidP="00C42A2A">
      <w:pPr>
        <w:spacing w:line="276" w:lineRule="auto"/>
        <w:rPr>
          <w:lang w:val="en-GB"/>
        </w:rPr>
      </w:pPr>
    </w:p>
    <w:p w14:paraId="2D413A6A" w14:textId="77777777" w:rsidR="006907BE" w:rsidRDefault="006907BE">
      <w:pPr>
        <w:spacing w:before="0" w:after="0"/>
        <w:rPr>
          <w:rFonts w:eastAsiaTheme="majorEastAsia" w:cstheme="majorBidi"/>
          <w:b/>
          <w:bCs/>
          <w:color w:val="2F5496" w:themeColor="accent1" w:themeShade="BF"/>
          <w:sz w:val="24"/>
          <w:szCs w:val="28"/>
          <w:lang w:val="en-GB"/>
        </w:rPr>
      </w:pPr>
      <w:bookmarkStart w:id="31" w:name="_Hlk38749715"/>
      <w:bookmarkEnd w:id="29"/>
      <w:r>
        <w:rPr>
          <w:lang w:val="en-GB"/>
        </w:rPr>
        <w:br w:type="page"/>
      </w:r>
    </w:p>
    <w:p w14:paraId="7779FAB0" w14:textId="4B58EB21" w:rsidR="00C42A2A" w:rsidRPr="00731DDC" w:rsidRDefault="00C42A2A" w:rsidP="00C42A2A">
      <w:pPr>
        <w:pStyle w:val="Heading1"/>
        <w:spacing w:after="160"/>
        <w:rPr>
          <w:lang w:val="en-GB"/>
        </w:rPr>
      </w:pPr>
      <w:bookmarkStart w:id="32" w:name="_Toc51167316"/>
      <w:r w:rsidRPr="00731DDC">
        <w:rPr>
          <w:lang w:val="en-GB"/>
        </w:rPr>
        <w:lastRenderedPageBreak/>
        <w:t>Benefits of Digital Trade</w:t>
      </w:r>
      <w:bookmarkEnd w:id="32"/>
      <w:r w:rsidRPr="00731DDC">
        <w:rPr>
          <w:lang w:val="en-GB"/>
        </w:rPr>
        <w:t xml:space="preserve"> </w:t>
      </w:r>
    </w:p>
    <w:p w14:paraId="1D932840" w14:textId="249A62C6" w:rsidR="00C42A2A" w:rsidRPr="00731DDC" w:rsidRDefault="00C42A2A" w:rsidP="005F4075">
      <w:pPr>
        <w:rPr>
          <w:lang w:val="en-GB"/>
        </w:rPr>
      </w:pPr>
      <w:bookmarkStart w:id="33" w:name="_Hlk38272057"/>
      <w:r w:rsidRPr="00731DDC">
        <w:rPr>
          <w:lang w:val="en-GB"/>
        </w:rPr>
        <w:t>Existing and emerging technologies are changing the scope, speed and scale of trade, creating new ‘digital’ trade opportunities.</w:t>
      </w:r>
      <w:r w:rsidRPr="00731DDC">
        <w:rPr>
          <w:rStyle w:val="FootnoteReference"/>
          <w:lang w:val="en-GB"/>
        </w:rPr>
        <w:footnoteReference w:id="64"/>
      </w:r>
      <w:r w:rsidRPr="00731DDC">
        <w:rPr>
          <w:lang w:val="en-GB"/>
        </w:rPr>
        <w:t xml:space="preserve"> </w:t>
      </w:r>
      <w:r w:rsidR="00947CE0">
        <w:rPr>
          <w:lang w:val="en-GB"/>
        </w:rPr>
        <w:t>D</w:t>
      </w:r>
      <w:r w:rsidRPr="00731DDC">
        <w:rPr>
          <w:lang w:val="en-GB"/>
        </w:rPr>
        <w:t>igitalisation</w:t>
      </w:r>
      <w:r w:rsidR="00947CE0">
        <w:rPr>
          <w:lang w:val="en-GB"/>
        </w:rPr>
        <w:t xml:space="preserve"> has resulted in two types of benefits</w:t>
      </w:r>
      <w:r w:rsidRPr="00731DDC">
        <w:rPr>
          <w:lang w:val="en-GB"/>
        </w:rPr>
        <w:t>:</w:t>
      </w:r>
    </w:p>
    <w:p w14:paraId="317BF1E6" w14:textId="77777777" w:rsidR="00C42A2A" w:rsidRPr="00731DDC" w:rsidRDefault="00C42A2A" w:rsidP="001F09E1">
      <w:pPr>
        <w:pStyle w:val="ListParagraph"/>
        <w:numPr>
          <w:ilvl w:val="0"/>
          <w:numId w:val="11"/>
        </w:numPr>
        <w:spacing w:before="0" w:after="160" w:line="276" w:lineRule="auto"/>
        <w:rPr>
          <w:lang w:val="en-GB"/>
        </w:rPr>
      </w:pPr>
      <w:r w:rsidRPr="00731DDC">
        <w:rPr>
          <w:b/>
          <w:bCs/>
          <w:lang w:val="en-GB"/>
        </w:rPr>
        <w:t>Product improvements</w:t>
      </w:r>
      <w:r w:rsidRPr="00731DDC">
        <w:rPr>
          <w:lang w:val="en-GB"/>
        </w:rPr>
        <w:t xml:space="preserve"> where there are new or higher quality products and services available for trading and/or at less cost; and/or</w:t>
      </w:r>
    </w:p>
    <w:p w14:paraId="7AFBC570" w14:textId="77777777" w:rsidR="00C42A2A" w:rsidRPr="00731DDC" w:rsidRDefault="00C42A2A" w:rsidP="001F09E1">
      <w:pPr>
        <w:pStyle w:val="ListParagraph"/>
        <w:numPr>
          <w:ilvl w:val="0"/>
          <w:numId w:val="11"/>
        </w:numPr>
        <w:spacing w:before="0" w:after="160" w:line="276" w:lineRule="auto"/>
        <w:rPr>
          <w:lang w:val="en-GB"/>
        </w:rPr>
      </w:pPr>
      <w:r w:rsidRPr="00731DDC">
        <w:rPr>
          <w:b/>
          <w:bCs/>
          <w:lang w:val="en-GB"/>
        </w:rPr>
        <w:t>Process improvements</w:t>
      </w:r>
      <w:r w:rsidRPr="00731DDC">
        <w:rPr>
          <w:lang w:val="en-GB"/>
        </w:rPr>
        <w:t xml:space="preserve"> through supply chain efficiencies and stages of supply chain are bypassed or made more seamless through digitalisation.</w:t>
      </w:r>
    </w:p>
    <w:p w14:paraId="27D2656E" w14:textId="77777777" w:rsidR="00C42A2A" w:rsidRPr="00731DDC" w:rsidRDefault="00C42A2A" w:rsidP="005F4075">
      <w:pPr>
        <w:rPr>
          <w:lang w:val="en-GB"/>
        </w:rPr>
      </w:pPr>
      <w:r w:rsidRPr="00731DDC">
        <w:rPr>
          <w:lang w:val="en-GB"/>
        </w:rPr>
        <w:t>Digitalisation has also created new business models like online platforms that act as intermediaries in connecting different groups of customers. For instance, there are platforms that are business-to-consumer like the e-commerce retailer Amazon, trade platforms that connect exporters and importers and government platforms to facilitate seamless e-government services like the Networked Trade Platform in Singapore</w:t>
      </w:r>
      <w:r w:rsidRPr="00731DDC">
        <w:rPr>
          <w:rStyle w:val="FootnoteReference"/>
          <w:lang w:val="en-GB"/>
        </w:rPr>
        <w:footnoteReference w:id="65"/>
      </w:r>
      <w:r w:rsidRPr="00731DDC">
        <w:rPr>
          <w:lang w:val="en-GB"/>
        </w:rPr>
        <w:t xml:space="preserve"> and the Single Window Project in Australia which allows businesses to fulfil border clearance requirements across all agencies through a single digital entry point. </w:t>
      </w:r>
      <w:bookmarkStart w:id="34" w:name="_Hlk45012799"/>
      <w:r w:rsidRPr="00731DDC">
        <w:rPr>
          <w:lang w:val="en-GB"/>
        </w:rPr>
        <w:t>Singapore is also working with forward looking countries to realise an open global digital infrastructure called the Business sans Borders (BSB) meta-hub</w:t>
      </w:r>
      <w:r w:rsidRPr="00731DDC">
        <w:rPr>
          <w:vertAlign w:val="superscript"/>
          <w:lang w:val="en-GB"/>
        </w:rPr>
        <w:footnoteReference w:id="66"/>
      </w:r>
      <w:r w:rsidRPr="00731DDC">
        <w:rPr>
          <w:lang w:val="en-GB"/>
        </w:rPr>
        <w:t xml:space="preserve"> that will aid platforms, governments and SMEs to increase domestic and cross border connectivity opportunities for trade and business services</w:t>
      </w:r>
      <w:bookmarkEnd w:id="34"/>
      <w:r w:rsidRPr="00731DDC">
        <w:rPr>
          <w:lang w:val="en-GB"/>
        </w:rPr>
        <w:t>.</w:t>
      </w:r>
    </w:p>
    <w:p w14:paraId="4D89FDA9" w14:textId="22C5F66A" w:rsidR="00C42A2A" w:rsidRPr="00731DDC" w:rsidRDefault="00C42A2A" w:rsidP="00C42A2A">
      <w:pPr>
        <w:pStyle w:val="Heading2"/>
        <w:rPr>
          <w:lang w:val="en-GB"/>
        </w:rPr>
      </w:pPr>
      <w:bookmarkStart w:id="35" w:name="_Toc51167317"/>
      <w:bookmarkEnd w:id="33"/>
      <w:r w:rsidRPr="00731DDC">
        <w:rPr>
          <w:lang w:val="en-GB"/>
        </w:rPr>
        <w:t>Creation of New Goods and Services</w:t>
      </w:r>
      <w:bookmarkEnd w:id="35"/>
    </w:p>
    <w:p w14:paraId="41D507EC" w14:textId="77777777" w:rsidR="00C42A2A" w:rsidRPr="00731DDC" w:rsidRDefault="00C42A2A" w:rsidP="005F4075">
      <w:pPr>
        <w:rPr>
          <w:lang w:val="en-GB"/>
        </w:rPr>
      </w:pPr>
      <w:r w:rsidRPr="00731DDC">
        <w:rPr>
          <w:lang w:val="en-GB"/>
        </w:rPr>
        <w:t xml:space="preserve">Digital goods and services have led to the creation of new products (e-books, apps and software) and services (cloud computing, video telephony), which can be sold to Internet users via mobile or desktop, all around the world. As a result, businesses of all sizes, can access a large customer base, with no distribution costs and benefit from economies of scale and scope. For example, over the past decade, the growing use and capability of smartphones has led to a number of different mobile apps being developed and sold, serving different purposes like business, travel, leisure, health or entertainment. </w:t>
      </w:r>
    </w:p>
    <w:p w14:paraId="249DC62C" w14:textId="77777777" w:rsidR="00C42A2A" w:rsidRPr="00731DDC" w:rsidRDefault="00C42A2A" w:rsidP="005F4075">
      <w:pPr>
        <w:rPr>
          <w:lang w:val="en-GB"/>
        </w:rPr>
      </w:pPr>
      <w:r w:rsidRPr="00731DDC">
        <w:rPr>
          <w:lang w:val="en-GB"/>
        </w:rPr>
        <w:t>In the future, digitalisation and advanced technologies could create products like AVs. The use of advanced technology in developing driverless cars is likely to open up new industries, not just for the vehicle itself but also for software components, creating new jobs and trade channels. The global AV and near-AV industry is estimated by McKinsey to be worth USD1.9 trillion by 2025 (AUD2.9 trillion).</w:t>
      </w:r>
      <w:r w:rsidRPr="00731DDC">
        <w:rPr>
          <w:rStyle w:val="FootnoteReference"/>
          <w:lang w:val="en-GB"/>
        </w:rPr>
        <w:footnoteReference w:id="67"/>
      </w:r>
      <w:r w:rsidRPr="00731DDC">
        <w:rPr>
          <w:lang w:val="en-GB"/>
        </w:rPr>
        <w:t xml:space="preserve">  </w:t>
      </w:r>
    </w:p>
    <w:p w14:paraId="53C84CDE" w14:textId="40212E72" w:rsidR="00C42A2A" w:rsidRPr="00731DDC" w:rsidRDefault="00C42A2A" w:rsidP="007C0781">
      <w:pPr>
        <w:pStyle w:val="Heading2"/>
        <w:rPr>
          <w:lang w:val="en-GB"/>
        </w:rPr>
      </w:pPr>
      <w:bookmarkStart w:id="36" w:name="_Toc51167318"/>
      <w:r w:rsidRPr="00731DDC">
        <w:rPr>
          <w:lang w:val="en-GB"/>
        </w:rPr>
        <w:t>Faster Delivery of Existing Goods and Services</w:t>
      </w:r>
      <w:bookmarkEnd w:id="36"/>
    </w:p>
    <w:p w14:paraId="4639B40B" w14:textId="77777777" w:rsidR="00C42A2A" w:rsidRPr="00731DDC" w:rsidRDefault="00C42A2A" w:rsidP="005F4075">
      <w:pPr>
        <w:rPr>
          <w:lang w:val="en-GB"/>
        </w:rPr>
      </w:pPr>
      <w:r w:rsidRPr="00731DDC">
        <w:rPr>
          <w:lang w:val="en-GB"/>
        </w:rPr>
        <w:t>Digitalisation is helping the supply chain become more efficient, helping tangible goods and services move faster across borders and meet "just in time" delivery. Greater information sharing through digital connections is enabling more efficient coordination of activities along global value chains, helping businesses and consumers track packages and facilitating border crossings. For example, online platforms can help customs and border processes and electronic payment of duties and fees with cargo declarations.</w:t>
      </w:r>
    </w:p>
    <w:p w14:paraId="2EBCEA35" w14:textId="77777777" w:rsidR="00C42A2A" w:rsidRPr="00731DDC" w:rsidRDefault="00C42A2A" w:rsidP="005F4075">
      <w:pPr>
        <w:rPr>
          <w:lang w:val="en-GB"/>
        </w:rPr>
      </w:pPr>
      <w:r w:rsidRPr="00731DDC">
        <w:rPr>
          <w:lang w:val="en-GB"/>
        </w:rPr>
        <w:lastRenderedPageBreak/>
        <w:t>At the same time, the delivery of goods and services have become faster as technology allows supply chains to be safer. Data flows between different industry participants in the supply chain can take place in a secure manner. Greater security minimises supply chain disruptions like trade-based money laundering, false declarations including valuation or classification of goods, false certificates and declarations of origin.  Such disruptions can result in a slower movement of goods due to delays in submitting and examining the necessary documents.</w:t>
      </w:r>
    </w:p>
    <w:p w14:paraId="2071AF6C" w14:textId="77777777" w:rsidR="00C42A2A" w:rsidRPr="00731DDC" w:rsidRDefault="00C42A2A" w:rsidP="005F4075">
      <w:pPr>
        <w:rPr>
          <w:lang w:val="en-GB"/>
        </w:rPr>
      </w:pPr>
      <w:r w:rsidRPr="00731DDC">
        <w:rPr>
          <w:lang w:val="en-GB"/>
        </w:rPr>
        <w:t xml:space="preserve">Trade in services are benefitting from digital technologies and increased data. A key benefit is providing faster, convenient and 'on demand', services, so that consumers can have instant access to the services they need when they need them. The most established service sector that has transformed is the retail sector. E-commerce allows businesses and consumers to shop online, beyond borders, rather than in-store in their local vicinity. Other traditional services are also being digitalised. For example, access to education is being transformed by (among other initiatives) Massive Open Online Courses (MOOCs), which allow students to attend online classes of unlimited size, from a wide range of institutions, across the globe. Healthcare is also transforming digitally, facilitating real-time access to healthcare providers and expanding in-institution (hospital or clinic) to in-home care like telemedicine. </w:t>
      </w:r>
    </w:p>
    <w:p w14:paraId="4463969B" w14:textId="526D87C0" w:rsidR="00C42A2A" w:rsidRPr="00731DDC" w:rsidRDefault="00C42A2A" w:rsidP="00C42A2A">
      <w:pPr>
        <w:pStyle w:val="Heading2"/>
        <w:rPr>
          <w:lang w:val="en-GB"/>
        </w:rPr>
      </w:pPr>
      <w:bookmarkStart w:id="37" w:name="_Toc24124936"/>
      <w:bookmarkStart w:id="38" w:name="_Toc24124945"/>
      <w:bookmarkStart w:id="39" w:name="_Toc24124949"/>
      <w:bookmarkStart w:id="40" w:name="_Toc24124953"/>
      <w:bookmarkStart w:id="41" w:name="_Toc51167319"/>
      <w:bookmarkStart w:id="42" w:name="_Toc24124956"/>
      <w:bookmarkEnd w:id="31"/>
      <w:bookmarkEnd w:id="37"/>
      <w:bookmarkEnd w:id="38"/>
      <w:bookmarkEnd w:id="39"/>
      <w:bookmarkEnd w:id="40"/>
      <w:r w:rsidRPr="00731DDC">
        <w:rPr>
          <w:lang w:val="en-GB"/>
        </w:rPr>
        <w:t>Emerging Technologies in Digital Trade</w:t>
      </w:r>
      <w:bookmarkEnd w:id="41"/>
      <w:r w:rsidRPr="00731DDC">
        <w:rPr>
          <w:lang w:val="en-GB"/>
        </w:rPr>
        <w:t xml:space="preserve"> </w:t>
      </w:r>
    </w:p>
    <w:bookmarkEnd w:id="42"/>
    <w:p w14:paraId="3B958004" w14:textId="77777777" w:rsidR="00C42A2A" w:rsidRPr="00731DDC" w:rsidRDefault="00C42A2A" w:rsidP="005F4075">
      <w:pPr>
        <w:rPr>
          <w:lang w:val="en-GB"/>
        </w:rPr>
      </w:pPr>
      <w:r w:rsidRPr="00731DDC">
        <w:rPr>
          <w:lang w:val="en-GB"/>
        </w:rPr>
        <w:t>Emerging digital technologies and business models based thereon will have a greater impact than what has been seen previously with the Internet and, more recently, cloud computing and mobile devices. The emerging technologies discussed in this report are:</w:t>
      </w:r>
    </w:p>
    <w:p w14:paraId="715CECC5" w14:textId="77777777" w:rsidR="00C42A2A" w:rsidRPr="00731DDC" w:rsidRDefault="00C42A2A" w:rsidP="001F09E1">
      <w:pPr>
        <w:pStyle w:val="ListParagraph"/>
        <w:numPr>
          <w:ilvl w:val="0"/>
          <w:numId w:val="12"/>
        </w:numPr>
        <w:spacing w:before="0" w:after="160" w:line="276" w:lineRule="auto"/>
        <w:rPr>
          <w:iCs/>
          <w:lang w:val="en-GB"/>
        </w:rPr>
      </w:pPr>
      <w:r w:rsidRPr="00731DDC">
        <w:rPr>
          <w:b/>
          <w:bCs/>
          <w:iCs/>
          <w:lang w:val="en-GB"/>
        </w:rPr>
        <w:t xml:space="preserve">5G </w:t>
      </w:r>
      <w:r w:rsidRPr="00731DDC">
        <w:rPr>
          <w:iCs/>
          <w:lang w:val="en-GB"/>
        </w:rPr>
        <w:t xml:space="preserve">when fully deployed is designed to transmit data at dramatically higher speeds and volumes than previous wireless systems. This will allow for new services and products delivered in real-time. 5G will enable other emerging technologies such as logistics management, operation of AVs (ships, loading systems or personal vehicles). It will also facilitate digital financial transactions, access to new mass-audience, personalised online services, real-time video for the delivery of remote medicine, or commands for remote additive manufacturing. </w:t>
      </w:r>
    </w:p>
    <w:p w14:paraId="14F4412C" w14:textId="77777777" w:rsidR="00C42A2A" w:rsidRPr="00731DDC" w:rsidRDefault="00C42A2A" w:rsidP="001F09E1">
      <w:pPr>
        <w:pStyle w:val="ListParagraph"/>
        <w:numPr>
          <w:ilvl w:val="0"/>
          <w:numId w:val="12"/>
        </w:numPr>
        <w:spacing w:before="0" w:after="160" w:line="276" w:lineRule="auto"/>
        <w:rPr>
          <w:iCs/>
          <w:lang w:val="en-GB"/>
        </w:rPr>
      </w:pPr>
      <w:r w:rsidRPr="00731DDC">
        <w:rPr>
          <w:b/>
          <w:bCs/>
          <w:iCs/>
          <w:lang w:val="en-GB"/>
        </w:rPr>
        <w:t>I</w:t>
      </w:r>
      <w:r w:rsidRPr="00731DDC">
        <w:rPr>
          <w:b/>
          <w:bCs/>
          <w:lang w:val="en-GB"/>
        </w:rPr>
        <w:t>oT</w:t>
      </w:r>
      <w:r w:rsidRPr="00731DDC">
        <w:rPr>
          <w:iCs/>
          <w:lang w:val="en-GB"/>
        </w:rPr>
        <w:t xml:space="preserve"> applications have the potential to increase operational efficiency and revenue generation, and are being actively applied in logistics and supply chain functions. IoT technologies enhance visibility in the supply chain and provide better location tracking and prediction of arrival time, offering the possibility of managing routes and speed in real-time. This minimises losses and avoids misplaced or delayed shipments and deliveries. IoT may also be used in better fleet and fuel cost management, providing timely information on delivery vehicles, drivers, and traffic.</w:t>
      </w:r>
    </w:p>
    <w:p w14:paraId="7974F558" w14:textId="77777777" w:rsidR="00C42A2A" w:rsidRPr="00731DDC" w:rsidRDefault="00C42A2A" w:rsidP="001F09E1">
      <w:pPr>
        <w:pStyle w:val="ListParagraph"/>
        <w:numPr>
          <w:ilvl w:val="0"/>
          <w:numId w:val="12"/>
        </w:numPr>
        <w:spacing w:before="0" w:after="160" w:line="276" w:lineRule="auto"/>
        <w:rPr>
          <w:lang w:val="en-GB"/>
        </w:rPr>
      </w:pPr>
      <w:r w:rsidRPr="00731DDC">
        <w:rPr>
          <w:b/>
          <w:bCs/>
          <w:lang w:val="en-GB"/>
        </w:rPr>
        <w:t xml:space="preserve">DLT/Blockchain </w:t>
      </w:r>
      <w:r w:rsidRPr="00731DDC">
        <w:rPr>
          <w:lang w:val="en-GB"/>
        </w:rPr>
        <w:t>is widely expected to increase efficiencies and trust across the logistics process, improving trade finance, customs collaboration transportation management, goods tracing, procurement and many other aspects of global trade. According to the World Economic Forum, the costs of processing trade documents can be as much as 20% of those of shifting goods.</w:t>
      </w:r>
      <w:r w:rsidRPr="00731DDC">
        <w:rPr>
          <w:rStyle w:val="FootnoteReference"/>
          <w:lang w:val="en-GB"/>
        </w:rPr>
        <w:footnoteReference w:id="68"/>
      </w:r>
      <w:r w:rsidRPr="00731DDC">
        <w:rPr>
          <w:lang w:val="en-GB"/>
        </w:rPr>
        <w:t xml:space="preserve"> DLT could assist in reducing those costs by adopting paperless trading with secure verification.</w:t>
      </w:r>
    </w:p>
    <w:p w14:paraId="16F5324C" w14:textId="77777777" w:rsidR="00C42A2A" w:rsidRPr="00731DDC" w:rsidRDefault="00C42A2A" w:rsidP="001F09E1">
      <w:pPr>
        <w:pStyle w:val="ListParagraph"/>
        <w:numPr>
          <w:ilvl w:val="0"/>
          <w:numId w:val="12"/>
        </w:numPr>
        <w:spacing w:before="0" w:after="160" w:line="276" w:lineRule="auto"/>
        <w:rPr>
          <w:iCs/>
          <w:lang w:val="en-GB"/>
        </w:rPr>
      </w:pPr>
      <w:r w:rsidRPr="00731DDC">
        <w:rPr>
          <w:b/>
          <w:bCs/>
          <w:iCs/>
          <w:lang w:val="en-GB"/>
        </w:rPr>
        <w:t>3D (Additive) Printing</w:t>
      </w:r>
      <w:r w:rsidRPr="00731DDC">
        <w:rPr>
          <w:iCs/>
          <w:lang w:val="en-GB"/>
        </w:rPr>
        <w:t xml:space="preserve"> allows for mass production of high-quality products in a short amount of time. In addition, the technology could lead to a future where more goods are manufactured near the final </w:t>
      </w:r>
      <w:r w:rsidRPr="00731DDC">
        <w:rPr>
          <w:iCs/>
          <w:lang w:val="en-GB"/>
        </w:rPr>
        <w:lastRenderedPageBreak/>
        <w:t xml:space="preserve">consumer, and the goods are shipped from that manufacturing plant on a “built to order” basis. This manufacturing process could apply to small items such as nails and medical implants and to larger products such as machines (e.g. the machines to build new products) and even buildings </w:t>
      </w:r>
    </w:p>
    <w:p w14:paraId="579754DD" w14:textId="77777777" w:rsidR="00C42A2A" w:rsidRPr="00731DDC" w:rsidRDefault="00C42A2A" w:rsidP="001F09E1">
      <w:pPr>
        <w:pStyle w:val="ListParagraph"/>
        <w:numPr>
          <w:ilvl w:val="0"/>
          <w:numId w:val="12"/>
        </w:numPr>
        <w:spacing w:before="0" w:after="160" w:line="276" w:lineRule="auto"/>
        <w:rPr>
          <w:iCs/>
          <w:lang w:val="en-GB"/>
        </w:rPr>
      </w:pPr>
      <w:r w:rsidRPr="00731DDC">
        <w:rPr>
          <w:b/>
          <w:bCs/>
          <w:iCs/>
          <w:lang w:val="en-GB"/>
        </w:rPr>
        <w:t xml:space="preserve">AI </w:t>
      </w:r>
      <w:r w:rsidRPr="00731DDC">
        <w:rPr>
          <w:iCs/>
          <w:lang w:val="en-GB"/>
        </w:rPr>
        <w:t>will play an ever-increasing role in trade, in particular, the manufacturing process, in ensuring the efficacy of the supply chain, authorising a transaction, or controlling the flow of goods, through data management and operations controls such as those used in a port.</w:t>
      </w:r>
    </w:p>
    <w:p w14:paraId="639F9885" w14:textId="77777777" w:rsidR="00C42A2A" w:rsidRPr="00731DDC" w:rsidRDefault="00C42A2A" w:rsidP="00C42A2A">
      <w:pPr>
        <w:rPr>
          <w:lang w:val="en-GB"/>
        </w:rPr>
      </w:pPr>
      <w:bookmarkStart w:id="44" w:name="_Hlk37237967"/>
      <w:bookmarkStart w:id="45" w:name="_Hlk38750109"/>
    </w:p>
    <w:p w14:paraId="2BFFBA96" w14:textId="77777777" w:rsidR="006907BE" w:rsidRDefault="006907BE">
      <w:pPr>
        <w:spacing w:before="0" w:after="0"/>
        <w:rPr>
          <w:rFonts w:eastAsiaTheme="majorEastAsia" w:cstheme="majorBidi"/>
          <w:b/>
          <w:bCs/>
          <w:color w:val="2F5496" w:themeColor="accent1" w:themeShade="BF"/>
          <w:sz w:val="24"/>
          <w:szCs w:val="28"/>
          <w:lang w:val="en-GB"/>
        </w:rPr>
      </w:pPr>
      <w:r>
        <w:rPr>
          <w:lang w:val="en-GB"/>
        </w:rPr>
        <w:br w:type="page"/>
      </w:r>
    </w:p>
    <w:p w14:paraId="7CAB1847" w14:textId="3A6ABDCA" w:rsidR="00C42A2A" w:rsidRPr="00731DDC" w:rsidRDefault="00C42A2A" w:rsidP="00C42A2A">
      <w:pPr>
        <w:pStyle w:val="Heading1"/>
        <w:spacing w:after="160"/>
        <w:rPr>
          <w:lang w:val="en-GB"/>
        </w:rPr>
      </w:pPr>
      <w:bookmarkStart w:id="46" w:name="_Toc51167320"/>
      <w:r w:rsidRPr="00731DDC">
        <w:rPr>
          <w:lang w:val="en-GB"/>
        </w:rPr>
        <w:lastRenderedPageBreak/>
        <w:t>Measuring Australia and Singapore’s Digital Trade</w:t>
      </w:r>
      <w:bookmarkEnd w:id="46"/>
    </w:p>
    <w:p w14:paraId="4ACF668F" w14:textId="77777777" w:rsidR="00C42A2A" w:rsidRPr="00731DDC" w:rsidRDefault="00C42A2A" w:rsidP="00243CD8">
      <w:pPr>
        <w:rPr>
          <w:lang w:val="en-GB"/>
        </w:rPr>
      </w:pPr>
      <w:r w:rsidRPr="00731DDC">
        <w:rPr>
          <w:lang w:val="en-GB"/>
        </w:rPr>
        <w:t xml:space="preserve">Given the four components of digital trade defined in Section 4, it is important to measure the economic value of each component so as to better understand the extent of the opportunities that lie ahead, and how standards can play a key role in multiplying the benefits of trade and technology. </w:t>
      </w:r>
    </w:p>
    <w:p w14:paraId="119E6514" w14:textId="77777777" w:rsidR="00C42A2A" w:rsidRPr="00731DDC" w:rsidRDefault="00C42A2A" w:rsidP="00243CD8">
      <w:pPr>
        <w:rPr>
          <w:lang w:val="en-GB"/>
        </w:rPr>
      </w:pPr>
      <w:r w:rsidRPr="00731DDC">
        <w:rPr>
          <w:lang w:val="en-GB"/>
        </w:rPr>
        <w:t>There is no study that measures all aspects of digital trade and this is no surprise given its complexity, variation in definitions and availability of data, as well as, the rapid developments in digital transformation and business models around the world. For example, a book can be sold overseas in different ways using different forms of digital technology at each part of the supply chain process. It could be sold by a publisher to a physical bookstore that sells it online to a customer overseas. Alternatively, it could be sold by a global e-commerce platform like Amazon or it could be traded as an e-book where purchase, distribution and consumption is all online. As such the cross-border sale of products between Australia and Singapore could potentially fall into more than one of component of digital trade and separate statistics on the value of those different book sales would be required.</w:t>
      </w:r>
    </w:p>
    <w:p w14:paraId="04985DAD" w14:textId="77777777" w:rsidR="00C42A2A" w:rsidRPr="00731DDC" w:rsidRDefault="00C42A2A" w:rsidP="00243CD8">
      <w:pPr>
        <w:rPr>
          <w:lang w:val="en-GB"/>
        </w:rPr>
      </w:pPr>
      <w:r w:rsidRPr="00731DDC">
        <w:rPr>
          <w:lang w:val="en-GB"/>
        </w:rPr>
        <w:t>Given the challenges with measurement, we find that there are many studies that have used various methods to estimate the value of a subset of what we can comprehensively identify as digital trade.</w:t>
      </w:r>
    </w:p>
    <w:p w14:paraId="644E6C2B" w14:textId="77777777" w:rsidR="00C42A2A" w:rsidRPr="00731DDC" w:rsidRDefault="00C42A2A" w:rsidP="00243CD8">
      <w:pPr>
        <w:rPr>
          <w:lang w:val="en-GB"/>
        </w:rPr>
      </w:pPr>
      <w:r w:rsidRPr="00731DDC">
        <w:rPr>
          <w:lang w:val="en-GB"/>
        </w:rPr>
        <w:t>A literature review has been carried out to identify key estimates of categories in each of the four components of digital trade for Australia and Singapore. This section presents and discusses our findings and their limitations.</w:t>
      </w:r>
    </w:p>
    <w:p w14:paraId="2F98A1E9" w14:textId="08BB268B" w:rsidR="00C42A2A" w:rsidRPr="00731DDC" w:rsidRDefault="00C42A2A" w:rsidP="00C42A2A">
      <w:pPr>
        <w:pStyle w:val="Heading2"/>
        <w:rPr>
          <w:lang w:val="en-GB"/>
        </w:rPr>
      </w:pPr>
      <w:bookmarkStart w:id="47" w:name="_Toc51167321"/>
      <w:r w:rsidRPr="00731DDC">
        <w:rPr>
          <w:lang w:val="en-GB"/>
        </w:rPr>
        <w:t>Value of Digital Trade in Australia and Singapore</w:t>
      </w:r>
      <w:bookmarkEnd w:id="47"/>
    </w:p>
    <w:p w14:paraId="0D883DE4" w14:textId="47A67333" w:rsidR="00C42A2A" w:rsidRPr="00731DDC" w:rsidRDefault="00C42A2A" w:rsidP="005F4075">
      <w:pPr>
        <w:rPr>
          <w:lang w:val="en-GB"/>
        </w:rPr>
      </w:pPr>
      <w:r w:rsidRPr="00731DDC">
        <w:rPr>
          <w:lang w:val="en-GB"/>
        </w:rPr>
        <w:t>To estimate the size of the components of digital trade of Australia and Singapore, two time periods are taken—current and future. For the current time period, estimates range from 2015 to 2019, and the future time period estimates range from 2020 to 2030. The four components of digital trade—</w:t>
      </w:r>
      <w:r w:rsidRPr="00731DDC">
        <w:rPr>
          <w:b/>
          <w:bCs/>
          <w:i/>
          <w:iCs/>
          <w:lang w:val="en-GB"/>
        </w:rPr>
        <w:t>digital goods and services, tangible goods and services delivered digitally, digital enablers and emerging technologies</w:t>
      </w:r>
      <w:r w:rsidRPr="00731DDC">
        <w:rPr>
          <w:lang w:val="en-GB"/>
        </w:rPr>
        <w:t xml:space="preserve">—are summed together to arrive at a total digital trade estimate for each time period. As shown in </w:t>
      </w:r>
      <w:r w:rsidRPr="00731DDC">
        <w:rPr>
          <w:lang w:val="en-GB"/>
        </w:rPr>
        <w:fldChar w:fldCharType="begin"/>
      </w:r>
      <w:r w:rsidRPr="00731DDC">
        <w:rPr>
          <w:lang w:val="en-GB"/>
        </w:rPr>
        <w:instrText xml:space="preserve"> REF _Ref40902168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3</w:t>
      </w:r>
      <w:r w:rsidRPr="00731DDC">
        <w:rPr>
          <w:lang w:val="en-GB"/>
        </w:rPr>
        <w:fldChar w:fldCharType="end"/>
      </w:r>
      <w:r w:rsidRPr="00731DDC">
        <w:rPr>
          <w:lang w:val="en-GB"/>
        </w:rPr>
        <w:t xml:space="preserve">, the components of digital trade in Australia at the minimum can be estimated to be </w:t>
      </w:r>
      <w:r w:rsidRPr="00731DDC">
        <w:rPr>
          <w:b/>
          <w:bCs/>
          <w:lang w:val="en-GB"/>
        </w:rPr>
        <w:t>AUD134.75bn,</w:t>
      </w:r>
      <w:r w:rsidRPr="00731DDC">
        <w:rPr>
          <w:lang w:val="en-GB"/>
        </w:rPr>
        <w:t xml:space="preserve"> which could rise to a projected </w:t>
      </w:r>
      <w:r w:rsidRPr="00731DDC">
        <w:rPr>
          <w:b/>
          <w:bCs/>
          <w:lang w:val="en-GB"/>
        </w:rPr>
        <w:t>AUD216.21bn</w:t>
      </w:r>
      <w:r w:rsidRPr="00731DDC">
        <w:rPr>
          <w:lang w:val="en-GB"/>
        </w:rPr>
        <w:t xml:space="preserve">. For Singapore, the components of digital trade could increase from </w:t>
      </w:r>
      <w:r w:rsidRPr="00731DDC">
        <w:rPr>
          <w:b/>
          <w:bCs/>
          <w:lang w:val="en-GB"/>
        </w:rPr>
        <w:t>AUD56.26bn</w:t>
      </w:r>
      <w:r w:rsidRPr="00731DDC">
        <w:rPr>
          <w:lang w:val="en-GB"/>
        </w:rPr>
        <w:t xml:space="preserve"> to a projected </w:t>
      </w:r>
      <w:r w:rsidRPr="00731DDC">
        <w:rPr>
          <w:b/>
          <w:bCs/>
          <w:lang w:val="en-GB"/>
        </w:rPr>
        <w:t>AUD95.62bn</w:t>
      </w:r>
      <w:r w:rsidRPr="00731DDC">
        <w:rPr>
          <w:lang w:val="en-GB"/>
        </w:rPr>
        <w:t>.</w:t>
      </w:r>
      <w:r w:rsidRPr="00731DDC">
        <w:rPr>
          <w:rStyle w:val="FootnoteReference"/>
          <w:lang w:val="en-GB"/>
        </w:rPr>
        <w:footnoteReference w:id="69"/>
      </w:r>
      <w:r w:rsidRPr="00731DDC">
        <w:rPr>
          <w:lang w:val="en-GB"/>
        </w:rPr>
        <w:t xml:space="preserve"> This shows that economic value of digital trade has the potential to increase </w:t>
      </w:r>
      <w:r w:rsidRPr="00731DDC">
        <w:rPr>
          <w:b/>
          <w:bCs/>
          <w:lang w:val="en-GB"/>
        </w:rPr>
        <w:t>60%</w:t>
      </w:r>
      <w:r w:rsidRPr="00731DDC">
        <w:rPr>
          <w:lang w:val="en-GB"/>
        </w:rPr>
        <w:t xml:space="preserve"> and </w:t>
      </w:r>
      <w:r w:rsidRPr="00731DDC">
        <w:rPr>
          <w:b/>
          <w:bCs/>
          <w:lang w:val="en-GB"/>
        </w:rPr>
        <w:t>70%</w:t>
      </w:r>
      <w:r w:rsidRPr="00731DDC">
        <w:rPr>
          <w:lang w:val="en-GB"/>
        </w:rPr>
        <w:t xml:space="preserve"> for Australia and Singapore respectively. Details of digital trade components for both countries are </w:t>
      </w:r>
      <w:r w:rsidR="00947CE0">
        <w:rPr>
          <w:lang w:val="en-GB"/>
        </w:rPr>
        <w:t>set out</w:t>
      </w:r>
      <w:r w:rsidR="00947CE0" w:rsidRPr="00731DDC">
        <w:rPr>
          <w:lang w:val="en-GB"/>
        </w:rPr>
        <w:t xml:space="preserve"> </w:t>
      </w:r>
      <w:r w:rsidRPr="00373B8F">
        <w:rPr>
          <w:lang w:val="en-GB"/>
        </w:rPr>
        <w:t xml:space="preserve">in Appendix </w:t>
      </w:r>
      <w:r w:rsidR="00373B8F" w:rsidRPr="00373B8F">
        <w:rPr>
          <w:lang w:val="en-GB"/>
        </w:rPr>
        <w:t>I</w:t>
      </w:r>
      <w:r w:rsidRPr="00373B8F">
        <w:rPr>
          <w:lang w:val="en-GB"/>
        </w:rPr>
        <w:t>.</w:t>
      </w:r>
      <w:r w:rsidRPr="00731DDC">
        <w:rPr>
          <w:lang w:val="en-GB"/>
        </w:rPr>
        <w:t xml:space="preserve"> </w:t>
      </w:r>
    </w:p>
    <w:p w14:paraId="3EBB09ED" w14:textId="4CE3D0D7" w:rsidR="00C42A2A" w:rsidRPr="00731DDC" w:rsidRDefault="00C42A2A" w:rsidP="007C0781">
      <w:pPr>
        <w:pStyle w:val="Caption"/>
        <w:rPr>
          <w:lang w:val="en-GB"/>
        </w:rPr>
      </w:pPr>
      <w:bookmarkStart w:id="48" w:name="_Ref40902168"/>
      <w:r w:rsidRPr="00731DDC">
        <w:rPr>
          <w:lang w:val="en-GB"/>
        </w:rPr>
        <w:lastRenderedPageBreak/>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3</w:t>
      </w:r>
      <w:r w:rsidRPr="00731DDC">
        <w:rPr>
          <w:lang w:val="en-GB"/>
        </w:rPr>
        <w:fldChar w:fldCharType="end"/>
      </w:r>
      <w:bookmarkEnd w:id="48"/>
      <w:r w:rsidRPr="00731DDC">
        <w:rPr>
          <w:lang w:val="en-GB"/>
        </w:rPr>
        <w:t>: Current and Future Digital Trade of Australia and Singapore (AUD</w:t>
      </w:r>
      <w:r w:rsidR="007C0781" w:rsidRPr="00731DDC">
        <w:rPr>
          <w:lang w:val="en-GB"/>
        </w:rPr>
        <w:t>bn</w:t>
      </w:r>
      <w:r w:rsidRPr="00731DDC">
        <w:rPr>
          <w:lang w:val="en-GB"/>
        </w:rPr>
        <w:t>)</w:t>
      </w:r>
    </w:p>
    <w:p w14:paraId="2878A87C" w14:textId="77777777" w:rsidR="00C42A2A" w:rsidRPr="00731DDC" w:rsidRDefault="00C42A2A" w:rsidP="00C42A2A">
      <w:pPr>
        <w:spacing w:line="276" w:lineRule="auto"/>
        <w:jc w:val="center"/>
        <w:rPr>
          <w:lang w:val="en-GB"/>
        </w:rPr>
      </w:pPr>
      <w:r w:rsidRPr="00731DDC">
        <w:rPr>
          <w:noProof/>
          <w:lang w:val="en-AU" w:eastAsia="en-AU"/>
        </w:rPr>
        <w:drawing>
          <wp:inline distT="0" distB="0" distL="0" distR="0" wp14:anchorId="10A44532" wp14:editId="08FF4AE3">
            <wp:extent cx="5212716" cy="3617390"/>
            <wp:effectExtent l="0" t="0" r="6985" b="2540"/>
            <wp:docPr id="1130292057"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5212716" cy="3617390"/>
                    </a:xfrm>
                    <a:prstGeom prst="rect">
                      <a:avLst/>
                    </a:prstGeom>
                  </pic:spPr>
                </pic:pic>
              </a:graphicData>
            </a:graphic>
          </wp:inline>
        </w:drawing>
      </w:r>
    </w:p>
    <w:p w14:paraId="37E4594A" w14:textId="77777777" w:rsidR="00C42A2A" w:rsidRPr="00731DDC" w:rsidRDefault="00C42A2A" w:rsidP="007C0781">
      <w:pPr>
        <w:rPr>
          <w:lang w:val="en-GB"/>
        </w:rPr>
      </w:pPr>
    </w:p>
    <w:p w14:paraId="4E424738" w14:textId="05E6C6C3" w:rsidR="00C42A2A" w:rsidRPr="00731DDC" w:rsidRDefault="00C42A2A" w:rsidP="00C42A2A">
      <w:pPr>
        <w:pStyle w:val="Heading3"/>
        <w:spacing w:line="276" w:lineRule="auto"/>
        <w:rPr>
          <w:lang w:val="en-GB"/>
        </w:rPr>
      </w:pPr>
      <w:r w:rsidRPr="00731DDC">
        <w:rPr>
          <w:lang w:val="en-GB"/>
        </w:rPr>
        <w:t>Digital Goods and Services</w:t>
      </w:r>
    </w:p>
    <w:p w14:paraId="5FB3194A" w14:textId="579E33FC" w:rsidR="00C42A2A" w:rsidRPr="00731DDC" w:rsidRDefault="00947CE0" w:rsidP="00243CD8">
      <w:pPr>
        <w:rPr>
          <w:lang w:val="en-GB"/>
        </w:rPr>
      </w:pPr>
      <w:r>
        <w:rPr>
          <w:lang w:val="en-GB"/>
        </w:rPr>
        <w:fldChar w:fldCharType="begin"/>
      </w:r>
      <w:r>
        <w:rPr>
          <w:lang w:val="en-GB"/>
        </w:rPr>
        <w:instrText xml:space="preserve"> REF _Ref51066879 \h </w:instrText>
      </w:r>
      <w:r>
        <w:rPr>
          <w:lang w:val="en-GB"/>
        </w:rPr>
      </w:r>
      <w:r>
        <w:rPr>
          <w:lang w:val="en-GB"/>
        </w:rPr>
        <w:fldChar w:fldCharType="separate"/>
      </w:r>
      <w:r w:rsidRPr="00731DDC">
        <w:rPr>
          <w:lang w:val="en-GB"/>
        </w:rPr>
        <w:t xml:space="preserve">Table </w:t>
      </w:r>
      <w:r>
        <w:rPr>
          <w:noProof/>
          <w:lang w:val="en-GB"/>
        </w:rPr>
        <w:t>2</w:t>
      </w:r>
      <w:r>
        <w:rPr>
          <w:lang w:val="en-GB"/>
        </w:rPr>
        <w:fldChar w:fldCharType="end"/>
      </w:r>
      <w:r>
        <w:rPr>
          <w:lang w:val="en-GB"/>
        </w:rPr>
        <w:t xml:space="preserve"> </w:t>
      </w:r>
      <w:r w:rsidR="00C42A2A" w:rsidRPr="00731DDC">
        <w:rPr>
          <w:lang w:val="en-GB"/>
        </w:rPr>
        <w:t>below shows the projected value of key examples of digital goods and services in Australia and Singapore. The software industry in Australia and Singapore are projected to grow at a CAGR of 9% and 10% respectively between 2018 and 2022, with market value in both countries surpassing AUD20bn by 2022. The market size of public cloud computing services, including Infrastructure as a Service (IaaS), Platform as a Service (PaaS), and Software as a Service (SaaS), is forecast to expand at a higher rate of 17-20% in the next three years totalling AUD18.87bn for the two countries.</w:t>
      </w:r>
    </w:p>
    <w:p w14:paraId="74DE25F0" w14:textId="77777777" w:rsidR="00C42A2A" w:rsidRPr="00731DDC" w:rsidRDefault="00C42A2A" w:rsidP="00243CD8">
      <w:pPr>
        <w:rPr>
          <w:lang w:val="en-GB"/>
        </w:rPr>
      </w:pPr>
      <w:r w:rsidRPr="00731DDC">
        <w:rPr>
          <w:lang w:val="en-GB"/>
        </w:rPr>
        <w:t xml:space="preserve">Comprising video games, OTT media content, digital music, e-books and e-magazines, digital media services will experience an average CAGR of 4% between 2020 and 2024, generating estimated market revenue of AUD2.3bn and AUD460m respectively for Australia and Singapore. The market for digital advertising, defined as marketing messages, general advertisement displays, classifieds delivered online, will see moderate growth to reach AUD11.12bn (7.1%) in Australia and AUD610m (8.4%) in Singapore by 2022. </w:t>
      </w:r>
    </w:p>
    <w:p w14:paraId="09626446" w14:textId="77777777" w:rsidR="00C42A2A" w:rsidRPr="00731DDC" w:rsidRDefault="00C42A2A" w:rsidP="00243CD8">
      <w:pPr>
        <w:rPr>
          <w:lang w:val="en-GB"/>
        </w:rPr>
      </w:pPr>
      <w:r w:rsidRPr="00731DDC">
        <w:rPr>
          <w:lang w:val="en-GB"/>
        </w:rPr>
        <w:t>Altogether the values of these key digital goods and services will amount to AUD49.72bn and AUD26.17bn for the two countries by 2024 and these projections have not taken into consideration the impact of COVID-19 where services such as video-conferencing, data storage, cloud computing services become vital and demand for digital media services could surge substantially when people are confined to their homes during lockdown.</w:t>
      </w:r>
    </w:p>
    <w:p w14:paraId="1EAD7D1E" w14:textId="2E3D6AC3" w:rsidR="00C42A2A" w:rsidRPr="00731DDC" w:rsidRDefault="00C42A2A" w:rsidP="007C0781">
      <w:pPr>
        <w:pStyle w:val="Caption"/>
        <w:rPr>
          <w:lang w:val="en-GB"/>
        </w:rPr>
      </w:pPr>
      <w:bookmarkStart w:id="49" w:name="_Ref51066879"/>
      <w:r w:rsidRPr="00731DDC">
        <w:rPr>
          <w:lang w:val="en-GB"/>
        </w:rPr>
        <w:lastRenderedPageBreak/>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2</w:t>
      </w:r>
      <w:r w:rsidRPr="00731DDC">
        <w:rPr>
          <w:lang w:val="en-GB"/>
        </w:rPr>
        <w:fldChar w:fldCharType="end"/>
      </w:r>
      <w:bookmarkEnd w:id="49"/>
      <w:r w:rsidRPr="00731DDC">
        <w:rPr>
          <w:lang w:val="en-GB"/>
        </w:rPr>
        <w:t>: Digital Goods and Services (2020-2030)</w:t>
      </w:r>
    </w:p>
    <w:tbl>
      <w:tblPr>
        <w:tblStyle w:val="GridTable4-Accent11"/>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6A0" w:firstRow="1" w:lastRow="0" w:firstColumn="1" w:lastColumn="0" w:noHBand="1" w:noVBand="1"/>
      </w:tblPr>
      <w:tblGrid>
        <w:gridCol w:w="3005"/>
        <w:gridCol w:w="3005"/>
        <w:gridCol w:w="3006"/>
      </w:tblGrid>
      <w:tr w:rsidR="00C42A2A" w:rsidRPr="00731DDC" w14:paraId="1C1FB545" w14:textId="77777777" w:rsidTr="006907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vAlign w:val="center"/>
          </w:tcPr>
          <w:p w14:paraId="00A59768" w14:textId="77777777" w:rsidR="00C42A2A" w:rsidRPr="00731DDC" w:rsidRDefault="00C42A2A" w:rsidP="007C0781">
            <w:pPr>
              <w:keepNext/>
              <w:spacing w:before="40" w:after="40" w:line="276" w:lineRule="auto"/>
              <w:jc w:val="center"/>
              <w:rPr>
                <w:sz w:val="20"/>
                <w:szCs w:val="20"/>
                <w:lang w:val="en-GB"/>
              </w:rPr>
            </w:pPr>
            <w:r w:rsidRPr="00731DDC">
              <w:rPr>
                <w:sz w:val="20"/>
                <w:szCs w:val="20"/>
                <w:lang w:val="en-GB"/>
              </w:rPr>
              <w:t>Industry</w:t>
            </w:r>
          </w:p>
        </w:tc>
        <w:tc>
          <w:tcPr>
            <w:tcW w:w="3005" w:type="dxa"/>
            <w:tcBorders>
              <w:top w:val="none" w:sz="0" w:space="0" w:color="auto"/>
              <w:left w:val="none" w:sz="0" w:space="0" w:color="auto"/>
              <w:bottom w:val="none" w:sz="0" w:space="0" w:color="auto"/>
              <w:right w:val="none" w:sz="0" w:space="0" w:color="auto"/>
            </w:tcBorders>
            <w:vAlign w:val="center"/>
          </w:tcPr>
          <w:p w14:paraId="6BAE2A66" w14:textId="77777777" w:rsidR="00C42A2A" w:rsidRPr="00731DDC" w:rsidRDefault="00C42A2A" w:rsidP="007C0781">
            <w:pPr>
              <w:keepNext/>
              <w:spacing w:before="40" w:after="4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Australia</w:t>
            </w:r>
          </w:p>
        </w:tc>
        <w:tc>
          <w:tcPr>
            <w:tcW w:w="3006" w:type="dxa"/>
            <w:tcBorders>
              <w:top w:val="none" w:sz="0" w:space="0" w:color="auto"/>
              <w:left w:val="none" w:sz="0" w:space="0" w:color="auto"/>
              <w:bottom w:val="none" w:sz="0" w:space="0" w:color="auto"/>
              <w:right w:val="none" w:sz="0" w:space="0" w:color="auto"/>
            </w:tcBorders>
            <w:vAlign w:val="center"/>
          </w:tcPr>
          <w:p w14:paraId="139D7F0C" w14:textId="77777777" w:rsidR="00C42A2A" w:rsidRPr="00731DDC" w:rsidRDefault="00C42A2A" w:rsidP="007C0781">
            <w:pPr>
              <w:keepNext/>
              <w:spacing w:before="40" w:after="40"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Singapore</w:t>
            </w:r>
          </w:p>
        </w:tc>
      </w:tr>
      <w:tr w:rsidR="00C42A2A" w:rsidRPr="00731DDC" w14:paraId="6937260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0779DD9B" w14:textId="2E529C7E" w:rsidR="00C42A2A" w:rsidRPr="00731DDC" w:rsidRDefault="00C42A2A" w:rsidP="007C0781">
            <w:pPr>
              <w:keepNext/>
              <w:spacing w:before="40" w:after="40" w:line="276" w:lineRule="auto"/>
              <w:rPr>
                <w:sz w:val="20"/>
                <w:szCs w:val="20"/>
                <w:lang w:val="en-GB"/>
              </w:rPr>
            </w:pPr>
            <w:r w:rsidRPr="00731DDC">
              <w:rPr>
                <w:b w:val="0"/>
                <w:bCs w:val="0"/>
                <w:i/>
                <w:iCs/>
                <w:sz w:val="20"/>
                <w:szCs w:val="20"/>
                <w:lang w:val="en-GB"/>
              </w:rPr>
              <w:t>(AUD</w:t>
            </w:r>
            <w:r w:rsidR="007C0781" w:rsidRPr="00731DDC">
              <w:rPr>
                <w:b w:val="0"/>
                <w:bCs w:val="0"/>
                <w:i/>
                <w:iCs/>
                <w:sz w:val="20"/>
                <w:szCs w:val="20"/>
                <w:lang w:val="en-GB"/>
              </w:rPr>
              <w:t xml:space="preserve"> b</w:t>
            </w:r>
            <w:r w:rsidR="006907BE">
              <w:rPr>
                <w:b w:val="0"/>
                <w:bCs w:val="0"/>
                <w:i/>
                <w:iCs/>
                <w:sz w:val="20"/>
                <w:szCs w:val="20"/>
                <w:lang w:val="en-GB"/>
              </w:rPr>
              <w:t>illions</w:t>
            </w:r>
            <w:r w:rsidRPr="00731DDC">
              <w:rPr>
                <w:b w:val="0"/>
                <w:bCs w:val="0"/>
                <w:i/>
                <w:iCs/>
                <w:sz w:val="20"/>
                <w:szCs w:val="20"/>
                <w:lang w:val="en-GB"/>
              </w:rPr>
              <w:t>)</w:t>
            </w:r>
          </w:p>
        </w:tc>
      </w:tr>
      <w:tr w:rsidR="00C42A2A" w:rsidRPr="00731DDC" w14:paraId="06567525"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3B9ABAA" w14:textId="77777777" w:rsidR="00C42A2A" w:rsidRPr="00731DDC" w:rsidRDefault="00C42A2A" w:rsidP="007C0781">
            <w:pPr>
              <w:keepNext/>
              <w:spacing w:before="40" w:after="40" w:line="276" w:lineRule="auto"/>
              <w:rPr>
                <w:sz w:val="20"/>
                <w:szCs w:val="20"/>
                <w:lang w:val="en-GB"/>
              </w:rPr>
            </w:pPr>
            <w:r w:rsidRPr="00731DDC">
              <w:rPr>
                <w:sz w:val="20"/>
                <w:szCs w:val="20"/>
                <w:lang w:val="en-GB"/>
              </w:rPr>
              <w:t>Software</w:t>
            </w:r>
          </w:p>
        </w:tc>
        <w:tc>
          <w:tcPr>
            <w:tcW w:w="3005" w:type="dxa"/>
          </w:tcPr>
          <w:p w14:paraId="04FB4E30" w14:textId="77777777" w:rsidR="00C42A2A" w:rsidRPr="00731DDC" w:rsidRDefault="00C42A2A" w:rsidP="007C0781">
            <w:pPr>
              <w:keepNex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21.20</w:t>
            </w:r>
          </w:p>
        </w:tc>
        <w:tc>
          <w:tcPr>
            <w:tcW w:w="3006" w:type="dxa"/>
          </w:tcPr>
          <w:p w14:paraId="37F3281B" w14:textId="77777777" w:rsidR="00C42A2A" w:rsidRPr="00731DDC" w:rsidRDefault="00C42A2A" w:rsidP="007C0781">
            <w:pPr>
              <w:keepNex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20.38</w:t>
            </w:r>
          </w:p>
        </w:tc>
      </w:tr>
      <w:tr w:rsidR="00C42A2A" w:rsidRPr="00731DDC" w14:paraId="4195BE1F"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DD8BE0B" w14:textId="77777777" w:rsidR="00C42A2A" w:rsidRPr="00731DDC" w:rsidRDefault="00C42A2A" w:rsidP="007C0781">
            <w:pPr>
              <w:keepNext/>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Cloud computing </w:t>
            </w:r>
          </w:p>
        </w:tc>
        <w:tc>
          <w:tcPr>
            <w:tcW w:w="3005" w:type="dxa"/>
          </w:tcPr>
          <w:p w14:paraId="3EFF8F47" w14:textId="77777777" w:rsidR="00C42A2A" w:rsidRPr="00731DDC" w:rsidRDefault="00C42A2A" w:rsidP="007C0781">
            <w:pPr>
              <w:keepNex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14.15</w:t>
            </w:r>
          </w:p>
        </w:tc>
        <w:tc>
          <w:tcPr>
            <w:tcW w:w="3006" w:type="dxa"/>
          </w:tcPr>
          <w:p w14:paraId="6D28641E" w14:textId="77777777" w:rsidR="00C42A2A" w:rsidRPr="00731DDC" w:rsidRDefault="00C42A2A" w:rsidP="007C0781">
            <w:pPr>
              <w:keepNex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4.72</w:t>
            </w:r>
          </w:p>
        </w:tc>
      </w:tr>
      <w:tr w:rsidR="00C42A2A" w:rsidRPr="00731DDC" w14:paraId="1735DDD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28AB8268"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Videoconferencing</w:t>
            </w:r>
          </w:p>
        </w:tc>
        <w:tc>
          <w:tcPr>
            <w:tcW w:w="3005" w:type="dxa"/>
          </w:tcPr>
          <w:p w14:paraId="56B68CC6"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0.98</w:t>
            </w:r>
          </w:p>
        </w:tc>
        <w:tc>
          <w:tcPr>
            <w:tcW w:w="3006" w:type="dxa"/>
          </w:tcPr>
          <w:p w14:paraId="34435C3A"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NA</w:t>
            </w:r>
          </w:p>
        </w:tc>
      </w:tr>
      <w:tr w:rsidR="00C42A2A" w:rsidRPr="00731DDC" w14:paraId="46E0CD4F"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88B25A5"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Video games</w:t>
            </w:r>
          </w:p>
        </w:tc>
        <w:tc>
          <w:tcPr>
            <w:tcW w:w="3005" w:type="dxa"/>
          </w:tcPr>
          <w:p w14:paraId="5D2FDD71"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0.69</w:t>
            </w:r>
          </w:p>
        </w:tc>
        <w:tc>
          <w:tcPr>
            <w:tcW w:w="3006" w:type="dxa"/>
          </w:tcPr>
          <w:p w14:paraId="104F223A"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0.18</w:t>
            </w:r>
          </w:p>
        </w:tc>
      </w:tr>
      <w:tr w:rsidR="00C42A2A" w:rsidRPr="00731DDC" w14:paraId="3BBFEEB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931190E"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Video-on-demand</w:t>
            </w:r>
          </w:p>
        </w:tc>
        <w:tc>
          <w:tcPr>
            <w:tcW w:w="3005" w:type="dxa"/>
          </w:tcPr>
          <w:p w14:paraId="2B9B0142"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0.61</w:t>
            </w:r>
          </w:p>
        </w:tc>
        <w:tc>
          <w:tcPr>
            <w:tcW w:w="3006" w:type="dxa"/>
          </w:tcPr>
          <w:p w14:paraId="748C0C47"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0.13</w:t>
            </w:r>
          </w:p>
        </w:tc>
      </w:tr>
      <w:tr w:rsidR="00C42A2A" w:rsidRPr="00731DDC" w14:paraId="145190B9"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4D34A92F"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e-Publishing</w:t>
            </w:r>
          </w:p>
        </w:tc>
        <w:tc>
          <w:tcPr>
            <w:tcW w:w="3005" w:type="dxa"/>
          </w:tcPr>
          <w:p w14:paraId="784B4258"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0.35</w:t>
            </w:r>
          </w:p>
        </w:tc>
        <w:tc>
          <w:tcPr>
            <w:tcW w:w="3006" w:type="dxa"/>
          </w:tcPr>
          <w:p w14:paraId="7A3D14BD"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0.06</w:t>
            </w:r>
          </w:p>
        </w:tc>
      </w:tr>
      <w:tr w:rsidR="00C42A2A" w:rsidRPr="00731DDC" w14:paraId="708AB811"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1829B8A4"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Digital music</w:t>
            </w:r>
          </w:p>
        </w:tc>
        <w:tc>
          <w:tcPr>
            <w:tcW w:w="3005" w:type="dxa"/>
          </w:tcPr>
          <w:p w14:paraId="139D1E3C"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0.63</w:t>
            </w:r>
          </w:p>
        </w:tc>
        <w:tc>
          <w:tcPr>
            <w:tcW w:w="3006" w:type="dxa"/>
          </w:tcPr>
          <w:p w14:paraId="0D9D8F2F"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0.09</w:t>
            </w:r>
          </w:p>
        </w:tc>
      </w:tr>
      <w:tr w:rsidR="00C42A2A" w:rsidRPr="00731DDC" w14:paraId="2E0E98CE"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14C454A5"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Digital advertising </w:t>
            </w:r>
          </w:p>
        </w:tc>
        <w:tc>
          <w:tcPr>
            <w:tcW w:w="3005" w:type="dxa"/>
          </w:tcPr>
          <w:p w14:paraId="4AF00A25"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11.12</w:t>
            </w:r>
          </w:p>
        </w:tc>
        <w:tc>
          <w:tcPr>
            <w:tcW w:w="3006" w:type="dxa"/>
          </w:tcPr>
          <w:p w14:paraId="75C1FCDD"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0.61</w:t>
            </w:r>
          </w:p>
        </w:tc>
      </w:tr>
      <w:tr w:rsidR="00C42A2A" w:rsidRPr="00731DDC" w14:paraId="4E0B9A55"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D9E2F3" w:themeFill="accent1" w:themeFillTint="33"/>
          </w:tcPr>
          <w:p w14:paraId="0108EDAF"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Total</w:t>
            </w:r>
          </w:p>
        </w:tc>
        <w:tc>
          <w:tcPr>
            <w:tcW w:w="3005" w:type="dxa"/>
            <w:shd w:val="clear" w:color="auto" w:fill="D9E2F3" w:themeFill="accent1" w:themeFillTint="33"/>
          </w:tcPr>
          <w:p w14:paraId="4E92F3B1"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themeColor="text1"/>
                <w:sz w:val="20"/>
                <w:szCs w:val="20"/>
                <w:lang w:val="en-GB"/>
              </w:rPr>
              <w:t>49.72</w:t>
            </w:r>
          </w:p>
        </w:tc>
        <w:tc>
          <w:tcPr>
            <w:tcW w:w="3006" w:type="dxa"/>
            <w:shd w:val="clear" w:color="auto" w:fill="D9E2F3" w:themeFill="accent1" w:themeFillTint="33"/>
          </w:tcPr>
          <w:p w14:paraId="769BB214"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sz w:val="20"/>
                <w:szCs w:val="20"/>
                <w:lang w:val="en-GB"/>
              </w:rPr>
              <w:t>26.17</w:t>
            </w:r>
          </w:p>
        </w:tc>
      </w:tr>
    </w:tbl>
    <w:p w14:paraId="7E15860C" w14:textId="14D8B507" w:rsidR="00C42A2A" w:rsidRPr="00731DDC" w:rsidRDefault="00C42A2A" w:rsidP="006907BE">
      <w:pPr>
        <w:spacing w:line="276" w:lineRule="auto"/>
        <w:ind w:left="426"/>
        <w:rPr>
          <w:i/>
          <w:iCs/>
          <w:sz w:val="18"/>
          <w:szCs w:val="18"/>
          <w:lang w:val="en-GB"/>
        </w:rPr>
      </w:pPr>
      <w:r w:rsidRPr="00731DDC">
        <w:rPr>
          <w:i/>
          <w:iCs/>
          <w:sz w:val="18"/>
          <w:szCs w:val="18"/>
          <w:lang w:val="en-GB"/>
        </w:rPr>
        <w:t xml:space="preserve">Note: See Appendix </w:t>
      </w:r>
      <w:r w:rsidR="006907BE">
        <w:rPr>
          <w:i/>
          <w:iCs/>
          <w:sz w:val="18"/>
          <w:szCs w:val="18"/>
          <w:lang w:val="en-GB"/>
        </w:rPr>
        <w:t>I</w:t>
      </w:r>
      <w:r w:rsidRPr="00731DDC">
        <w:rPr>
          <w:i/>
          <w:iCs/>
          <w:sz w:val="18"/>
          <w:szCs w:val="18"/>
          <w:lang w:val="en-GB"/>
        </w:rPr>
        <w:t xml:space="preserve"> for the detailed projections and references</w:t>
      </w:r>
    </w:p>
    <w:p w14:paraId="1AC46BE1" w14:textId="5ABB09D2" w:rsidR="00C42A2A" w:rsidRPr="00731DDC" w:rsidRDefault="00C42A2A" w:rsidP="00C42A2A">
      <w:pPr>
        <w:pStyle w:val="Heading3"/>
        <w:spacing w:line="276" w:lineRule="auto"/>
        <w:rPr>
          <w:lang w:val="en-GB"/>
        </w:rPr>
      </w:pPr>
      <w:r w:rsidRPr="00731DDC">
        <w:rPr>
          <w:lang w:val="en-GB"/>
        </w:rPr>
        <w:t>Tangible Goods and Services Delivered Digitally</w:t>
      </w:r>
    </w:p>
    <w:p w14:paraId="7C6B5167" w14:textId="6B3D2249" w:rsidR="00C42A2A" w:rsidRPr="00731DDC" w:rsidRDefault="00947CE0" w:rsidP="00243CD8">
      <w:pPr>
        <w:rPr>
          <w:lang w:val="en-GB"/>
        </w:rPr>
      </w:pPr>
      <w:r>
        <w:rPr>
          <w:lang w:val="en-GB"/>
        </w:rPr>
        <w:fldChar w:fldCharType="begin"/>
      </w:r>
      <w:r>
        <w:rPr>
          <w:lang w:val="en-GB"/>
        </w:rPr>
        <w:instrText xml:space="preserve"> REF _Ref51066918 \h </w:instrText>
      </w:r>
      <w:r>
        <w:rPr>
          <w:lang w:val="en-GB"/>
        </w:rPr>
      </w:r>
      <w:r>
        <w:rPr>
          <w:lang w:val="en-GB"/>
        </w:rPr>
        <w:fldChar w:fldCharType="separate"/>
      </w:r>
      <w:r w:rsidRPr="00731DDC">
        <w:rPr>
          <w:lang w:val="en-GB"/>
        </w:rPr>
        <w:t xml:space="preserve">Table </w:t>
      </w:r>
      <w:r>
        <w:rPr>
          <w:noProof/>
          <w:lang w:val="en-GB"/>
        </w:rPr>
        <w:t>3</w:t>
      </w:r>
      <w:r>
        <w:rPr>
          <w:lang w:val="en-GB"/>
        </w:rPr>
        <w:fldChar w:fldCharType="end"/>
      </w:r>
      <w:r>
        <w:rPr>
          <w:lang w:val="en-GB"/>
        </w:rPr>
        <w:t xml:space="preserve"> </w:t>
      </w:r>
      <w:r w:rsidR="00C42A2A" w:rsidRPr="00731DDC">
        <w:rPr>
          <w:lang w:val="en-GB"/>
        </w:rPr>
        <w:t xml:space="preserve">below shows the projected value of key industry sectors that have already been significantly digitalised in Australia and Singapore. With high levels of Internet penetration and smartphone ownership, and consumers increasingly comfortable in shopping online, e-commerce is booming in both Australia and Singapore. In the coming years it is expected to grow at a CAGR of 5% and 9.1% respectively. </w:t>
      </w:r>
    </w:p>
    <w:p w14:paraId="3C1EE53D" w14:textId="77777777" w:rsidR="00C42A2A" w:rsidRPr="00731DDC" w:rsidRDefault="00C42A2A" w:rsidP="00243CD8">
      <w:pPr>
        <w:rPr>
          <w:lang w:val="en-GB"/>
        </w:rPr>
      </w:pPr>
      <w:r w:rsidRPr="00731DDC">
        <w:rPr>
          <w:lang w:val="en-GB"/>
        </w:rPr>
        <w:t>Accessibility and affordability of ride-hailing services has seen the market grow exponentially in the past few years. Intense competition, especially in Australia, will see companies offer deeper discounts and promotions to rein in customers. The market is expected to grow at 2.9% and 4.5% in Australia and Singapore respectively.</w:t>
      </w:r>
    </w:p>
    <w:p w14:paraId="084D22B7" w14:textId="77777777" w:rsidR="00C42A2A" w:rsidRPr="00731DDC" w:rsidRDefault="00C42A2A" w:rsidP="00243CD8">
      <w:pPr>
        <w:rPr>
          <w:lang w:val="en-GB"/>
        </w:rPr>
      </w:pPr>
      <w:r w:rsidRPr="00731DDC">
        <w:rPr>
          <w:lang w:val="en-GB"/>
        </w:rPr>
        <w:t xml:space="preserve">Digital Financial Services is a dynamic and innovative sector in both countries. In Australia, they are measured as a combination of digital payments and alternative financing markets which are expected to reach AUD36.44bn in 2020, with the former expected to grow at a CAGR of 3.7%, whereas the latter will see a growth rate of 88%. The Digital Financial Services market in Singapore is expected to reach AUD12.13bn in 2025, at a CAGR of 14%. </w:t>
      </w:r>
    </w:p>
    <w:p w14:paraId="123979E2" w14:textId="77777777" w:rsidR="00C42A2A" w:rsidRPr="00731DDC" w:rsidRDefault="00C42A2A" w:rsidP="00243CD8">
      <w:pPr>
        <w:rPr>
          <w:lang w:val="en-GB"/>
        </w:rPr>
      </w:pPr>
      <w:r w:rsidRPr="00731DDC">
        <w:rPr>
          <w:lang w:val="en-GB"/>
        </w:rPr>
        <w:t xml:space="preserve">Online travel and E-services are other categories that will continue to experience rapid growth and expansion in the coming years. E-services for instance, includes online event tickets, fitness wearables and apps, online dating services, and online food delivery. They are expected to grow at a CAGR of 6.4 and 10.2 % of Australia and Singapore respectively. </w:t>
      </w:r>
    </w:p>
    <w:p w14:paraId="42059DCE" w14:textId="54EB005D" w:rsidR="00C42A2A" w:rsidRPr="00731DDC" w:rsidRDefault="00C42A2A" w:rsidP="007C0781">
      <w:pPr>
        <w:pStyle w:val="Caption"/>
        <w:rPr>
          <w:lang w:val="en-GB"/>
        </w:rPr>
      </w:pPr>
      <w:bookmarkStart w:id="50" w:name="_Ref51066918"/>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3</w:t>
      </w:r>
      <w:r w:rsidRPr="00731DDC">
        <w:rPr>
          <w:lang w:val="en-GB"/>
        </w:rPr>
        <w:fldChar w:fldCharType="end"/>
      </w:r>
      <w:bookmarkEnd w:id="50"/>
      <w:r w:rsidRPr="00731DDC">
        <w:rPr>
          <w:lang w:val="en-GB"/>
        </w:rPr>
        <w:t>: Tangible Goods and Services Delivered Digitally (2020-2030)</w:t>
      </w:r>
    </w:p>
    <w:tbl>
      <w:tblPr>
        <w:tblStyle w:val="GridTable4-Accent11"/>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6A0" w:firstRow="1" w:lastRow="0" w:firstColumn="1" w:lastColumn="0" w:noHBand="1" w:noVBand="1"/>
      </w:tblPr>
      <w:tblGrid>
        <w:gridCol w:w="3004"/>
        <w:gridCol w:w="3006"/>
        <w:gridCol w:w="3006"/>
      </w:tblGrid>
      <w:tr w:rsidR="00C42A2A" w:rsidRPr="00731DDC" w14:paraId="434465C9" w14:textId="77777777" w:rsidTr="006907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04" w:type="dxa"/>
            <w:tcBorders>
              <w:top w:val="none" w:sz="0" w:space="0" w:color="auto"/>
              <w:left w:val="none" w:sz="0" w:space="0" w:color="auto"/>
              <w:bottom w:val="none" w:sz="0" w:space="0" w:color="auto"/>
              <w:right w:val="none" w:sz="0" w:space="0" w:color="auto"/>
            </w:tcBorders>
            <w:vAlign w:val="center"/>
          </w:tcPr>
          <w:p w14:paraId="6C83C558" w14:textId="77777777" w:rsidR="00C42A2A" w:rsidRPr="00731DDC" w:rsidRDefault="00C42A2A" w:rsidP="007C0781">
            <w:pPr>
              <w:keepNext/>
              <w:spacing w:before="40" w:after="40"/>
              <w:jc w:val="center"/>
              <w:rPr>
                <w:sz w:val="20"/>
                <w:szCs w:val="20"/>
                <w:lang w:val="en-GB"/>
              </w:rPr>
            </w:pPr>
            <w:r w:rsidRPr="00731DDC">
              <w:rPr>
                <w:sz w:val="20"/>
                <w:szCs w:val="20"/>
                <w:lang w:val="en-GB"/>
              </w:rPr>
              <w:t>Industry</w:t>
            </w:r>
          </w:p>
        </w:tc>
        <w:tc>
          <w:tcPr>
            <w:tcW w:w="3006" w:type="dxa"/>
            <w:tcBorders>
              <w:top w:val="none" w:sz="0" w:space="0" w:color="auto"/>
              <w:left w:val="none" w:sz="0" w:space="0" w:color="auto"/>
              <w:bottom w:val="none" w:sz="0" w:space="0" w:color="auto"/>
              <w:right w:val="none" w:sz="0" w:space="0" w:color="auto"/>
            </w:tcBorders>
          </w:tcPr>
          <w:p w14:paraId="1636B52F" w14:textId="77777777" w:rsidR="00C42A2A" w:rsidRPr="00731DDC" w:rsidRDefault="00C42A2A" w:rsidP="007C0781">
            <w:pPr>
              <w:keepNext/>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Australia</w:t>
            </w:r>
          </w:p>
        </w:tc>
        <w:tc>
          <w:tcPr>
            <w:tcW w:w="3006" w:type="dxa"/>
            <w:tcBorders>
              <w:top w:val="none" w:sz="0" w:space="0" w:color="auto"/>
              <w:left w:val="none" w:sz="0" w:space="0" w:color="auto"/>
              <w:bottom w:val="none" w:sz="0" w:space="0" w:color="auto"/>
              <w:right w:val="none" w:sz="0" w:space="0" w:color="auto"/>
            </w:tcBorders>
          </w:tcPr>
          <w:p w14:paraId="4BD19B6C" w14:textId="77777777" w:rsidR="00C42A2A" w:rsidRPr="00731DDC" w:rsidRDefault="00C42A2A" w:rsidP="007C0781">
            <w:pPr>
              <w:keepNext/>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Singapore</w:t>
            </w:r>
          </w:p>
        </w:tc>
      </w:tr>
      <w:tr w:rsidR="00C42A2A" w:rsidRPr="00731DDC" w14:paraId="05066CC9"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3201AAE9" w14:textId="60279988" w:rsidR="00C42A2A" w:rsidRPr="00731DDC" w:rsidRDefault="00C42A2A" w:rsidP="007C0781">
            <w:pPr>
              <w:keepNext/>
              <w:spacing w:before="40" w:after="40"/>
              <w:rPr>
                <w:b w:val="0"/>
                <w:bCs w:val="0"/>
                <w:i/>
                <w:iCs/>
                <w:sz w:val="20"/>
                <w:szCs w:val="20"/>
                <w:lang w:val="en-GB"/>
              </w:rPr>
            </w:pPr>
            <w:r w:rsidRPr="00731DDC">
              <w:rPr>
                <w:b w:val="0"/>
                <w:bCs w:val="0"/>
                <w:i/>
                <w:iCs/>
                <w:sz w:val="20"/>
                <w:szCs w:val="20"/>
                <w:lang w:val="en-GB"/>
              </w:rPr>
              <w:t>(AUD</w:t>
            </w:r>
            <w:r w:rsidR="007C0781" w:rsidRPr="00731DDC">
              <w:rPr>
                <w:b w:val="0"/>
                <w:bCs w:val="0"/>
                <w:i/>
                <w:iCs/>
                <w:sz w:val="20"/>
                <w:szCs w:val="20"/>
                <w:lang w:val="en-GB"/>
              </w:rPr>
              <w:t xml:space="preserve"> b</w:t>
            </w:r>
            <w:r w:rsidR="006907BE">
              <w:rPr>
                <w:b w:val="0"/>
                <w:bCs w:val="0"/>
                <w:i/>
                <w:iCs/>
                <w:sz w:val="20"/>
                <w:szCs w:val="20"/>
                <w:lang w:val="en-GB"/>
              </w:rPr>
              <w:t>illio</w:t>
            </w:r>
            <w:r w:rsidR="007C0781" w:rsidRPr="00731DDC">
              <w:rPr>
                <w:b w:val="0"/>
                <w:bCs w:val="0"/>
                <w:i/>
                <w:iCs/>
                <w:sz w:val="20"/>
                <w:szCs w:val="20"/>
                <w:lang w:val="en-GB"/>
              </w:rPr>
              <w:t>n</w:t>
            </w:r>
            <w:r w:rsidR="006907BE">
              <w:rPr>
                <w:b w:val="0"/>
                <w:bCs w:val="0"/>
                <w:i/>
                <w:iCs/>
                <w:sz w:val="20"/>
                <w:szCs w:val="20"/>
                <w:lang w:val="en-GB"/>
              </w:rPr>
              <w:t>s</w:t>
            </w:r>
            <w:r w:rsidRPr="00731DDC">
              <w:rPr>
                <w:b w:val="0"/>
                <w:bCs w:val="0"/>
                <w:i/>
                <w:iCs/>
                <w:sz w:val="20"/>
                <w:szCs w:val="20"/>
                <w:lang w:val="en-GB"/>
              </w:rPr>
              <w:t>)</w:t>
            </w:r>
          </w:p>
        </w:tc>
      </w:tr>
      <w:tr w:rsidR="00C42A2A" w:rsidRPr="00731DDC" w14:paraId="26C36E5E"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tcPr>
          <w:p w14:paraId="62882113" w14:textId="77777777" w:rsidR="00C42A2A" w:rsidRPr="00731DDC" w:rsidRDefault="00C42A2A" w:rsidP="007C0781">
            <w:pPr>
              <w:keepNext/>
              <w:spacing w:before="40" w:after="40"/>
              <w:rPr>
                <w:rFonts w:ascii="Calibri" w:hAnsi="Calibri" w:cs="Calibri"/>
                <w:color w:val="000000"/>
                <w:sz w:val="20"/>
                <w:szCs w:val="20"/>
                <w:lang w:val="en-GB"/>
              </w:rPr>
            </w:pPr>
            <w:r w:rsidRPr="00731DDC">
              <w:rPr>
                <w:rFonts w:ascii="Calibri" w:hAnsi="Calibri" w:cs="Calibri"/>
                <w:color w:val="000000"/>
                <w:sz w:val="20"/>
                <w:szCs w:val="20"/>
                <w:lang w:val="en-GB"/>
              </w:rPr>
              <w:t>E-commerce </w:t>
            </w:r>
          </w:p>
        </w:tc>
        <w:tc>
          <w:tcPr>
            <w:tcW w:w="3006" w:type="dxa"/>
          </w:tcPr>
          <w:p w14:paraId="1B69CFBD" w14:textId="77777777" w:rsidR="00C42A2A" w:rsidRPr="00731DDC" w:rsidRDefault="00C42A2A" w:rsidP="007C0781">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37.36</w:t>
            </w:r>
          </w:p>
        </w:tc>
        <w:tc>
          <w:tcPr>
            <w:tcW w:w="3006" w:type="dxa"/>
          </w:tcPr>
          <w:p w14:paraId="45534679" w14:textId="77777777" w:rsidR="00C42A2A" w:rsidRPr="00731DDC" w:rsidRDefault="00C42A2A" w:rsidP="007C0781">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5.31</w:t>
            </w:r>
          </w:p>
        </w:tc>
      </w:tr>
      <w:tr w:rsidR="00C42A2A" w:rsidRPr="00731DDC" w14:paraId="394213C1"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tcPr>
          <w:p w14:paraId="326DE0E5"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Ride Hailing &amp; Taxi</w:t>
            </w:r>
          </w:p>
        </w:tc>
        <w:tc>
          <w:tcPr>
            <w:tcW w:w="3006" w:type="dxa"/>
          </w:tcPr>
          <w:p w14:paraId="3C597560"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5.05</w:t>
            </w:r>
          </w:p>
        </w:tc>
        <w:tc>
          <w:tcPr>
            <w:tcW w:w="3006" w:type="dxa"/>
          </w:tcPr>
          <w:p w14:paraId="4EF8C8F4"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1.89</w:t>
            </w:r>
          </w:p>
        </w:tc>
      </w:tr>
      <w:tr w:rsidR="00C42A2A" w:rsidRPr="00731DDC" w14:paraId="7A432F63"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tcPr>
          <w:p w14:paraId="36FCA828"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Digital Finance Services</w:t>
            </w:r>
          </w:p>
        </w:tc>
        <w:tc>
          <w:tcPr>
            <w:tcW w:w="3006" w:type="dxa"/>
          </w:tcPr>
          <w:p w14:paraId="15CBE698"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36.44</w:t>
            </w:r>
          </w:p>
        </w:tc>
        <w:tc>
          <w:tcPr>
            <w:tcW w:w="3006" w:type="dxa"/>
          </w:tcPr>
          <w:p w14:paraId="4A5A0373"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12.13</w:t>
            </w:r>
          </w:p>
        </w:tc>
      </w:tr>
      <w:tr w:rsidR="00C42A2A" w:rsidRPr="00731DDC" w14:paraId="0E67B81C"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tcPr>
          <w:p w14:paraId="7E7DD648"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Online Travel</w:t>
            </w:r>
          </w:p>
        </w:tc>
        <w:tc>
          <w:tcPr>
            <w:tcW w:w="3006" w:type="dxa"/>
          </w:tcPr>
          <w:p w14:paraId="3C9288F5"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8.45</w:t>
            </w:r>
          </w:p>
        </w:tc>
        <w:tc>
          <w:tcPr>
            <w:tcW w:w="3006" w:type="dxa"/>
          </w:tcPr>
          <w:p w14:paraId="5C9D0222"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14.82</w:t>
            </w:r>
          </w:p>
        </w:tc>
      </w:tr>
      <w:tr w:rsidR="00C42A2A" w:rsidRPr="00731DDC" w14:paraId="6DC55D5F"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tcPr>
          <w:p w14:paraId="3C0EB0E9"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t>E-services</w:t>
            </w:r>
          </w:p>
        </w:tc>
        <w:tc>
          <w:tcPr>
            <w:tcW w:w="3006" w:type="dxa"/>
          </w:tcPr>
          <w:p w14:paraId="1AA5B0F7"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5.93</w:t>
            </w:r>
          </w:p>
        </w:tc>
        <w:tc>
          <w:tcPr>
            <w:tcW w:w="3006" w:type="dxa"/>
          </w:tcPr>
          <w:p w14:paraId="6182B0CC"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1.19</w:t>
            </w:r>
          </w:p>
        </w:tc>
      </w:tr>
      <w:tr w:rsidR="00C42A2A" w:rsidRPr="00731DDC" w14:paraId="52898AFC"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4" w:type="dxa"/>
            <w:shd w:val="clear" w:color="auto" w:fill="D9E2F3" w:themeFill="accent1" w:themeFillTint="33"/>
          </w:tcPr>
          <w:p w14:paraId="479BE87E" w14:textId="77777777" w:rsidR="00C42A2A" w:rsidRPr="00731DDC" w:rsidRDefault="00C42A2A" w:rsidP="007C0781">
            <w:pPr>
              <w:spacing w:before="40" w:after="40" w:line="276" w:lineRule="auto"/>
              <w:rPr>
                <w:rFonts w:ascii="Calibri" w:hAnsi="Calibri" w:cs="Calibri"/>
                <w:color w:val="000000"/>
                <w:sz w:val="20"/>
                <w:szCs w:val="20"/>
                <w:lang w:val="en-GB"/>
              </w:rPr>
            </w:pPr>
            <w:r w:rsidRPr="00731DDC">
              <w:rPr>
                <w:rFonts w:ascii="Calibri" w:hAnsi="Calibri" w:cs="Calibri"/>
                <w:color w:val="000000"/>
                <w:sz w:val="20"/>
                <w:szCs w:val="20"/>
                <w:lang w:val="en-GB"/>
              </w:rPr>
              <w:lastRenderedPageBreak/>
              <w:t xml:space="preserve">Total </w:t>
            </w:r>
          </w:p>
        </w:tc>
        <w:tc>
          <w:tcPr>
            <w:tcW w:w="3006" w:type="dxa"/>
            <w:shd w:val="clear" w:color="auto" w:fill="D9E2F3" w:themeFill="accent1" w:themeFillTint="33"/>
          </w:tcPr>
          <w:p w14:paraId="433301AA"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sz w:val="20"/>
                <w:szCs w:val="20"/>
                <w:lang w:val="en-GB"/>
              </w:rPr>
              <w:t>93.23</w:t>
            </w:r>
          </w:p>
        </w:tc>
        <w:tc>
          <w:tcPr>
            <w:tcW w:w="3006" w:type="dxa"/>
            <w:shd w:val="clear" w:color="auto" w:fill="D9E2F3" w:themeFill="accent1" w:themeFillTint="33"/>
          </w:tcPr>
          <w:p w14:paraId="16D3B313" w14:textId="77777777" w:rsidR="00C42A2A" w:rsidRPr="00731DDC" w:rsidRDefault="00C42A2A" w:rsidP="007C078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sz w:val="20"/>
                <w:szCs w:val="20"/>
                <w:lang w:val="en-GB"/>
              </w:rPr>
              <w:t>35.34</w:t>
            </w:r>
          </w:p>
        </w:tc>
      </w:tr>
    </w:tbl>
    <w:p w14:paraId="01A5D066" w14:textId="1FE3484C" w:rsidR="00C42A2A" w:rsidRPr="00731DDC" w:rsidRDefault="00C42A2A" w:rsidP="006907BE">
      <w:pPr>
        <w:spacing w:line="276" w:lineRule="auto"/>
        <w:ind w:left="426"/>
        <w:rPr>
          <w:i/>
          <w:iCs/>
          <w:sz w:val="18"/>
          <w:szCs w:val="18"/>
          <w:lang w:val="en-GB"/>
        </w:rPr>
      </w:pPr>
      <w:r w:rsidRPr="00731DDC">
        <w:rPr>
          <w:i/>
          <w:iCs/>
          <w:sz w:val="18"/>
          <w:szCs w:val="18"/>
          <w:lang w:val="en-GB"/>
        </w:rPr>
        <w:t xml:space="preserve">Noted: See Appendix </w:t>
      </w:r>
      <w:r w:rsidR="006907BE">
        <w:rPr>
          <w:i/>
          <w:iCs/>
          <w:sz w:val="18"/>
          <w:szCs w:val="18"/>
          <w:lang w:val="en-GB"/>
        </w:rPr>
        <w:t>I</w:t>
      </w:r>
      <w:r w:rsidRPr="00731DDC">
        <w:rPr>
          <w:i/>
          <w:iCs/>
          <w:sz w:val="18"/>
          <w:szCs w:val="18"/>
          <w:lang w:val="en-GB"/>
        </w:rPr>
        <w:t xml:space="preserve"> for the detailed projections and references</w:t>
      </w:r>
    </w:p>
    <w:p w14:paraId="0190CDCA" w14:textId="31DCA0D1" w:rsidR="00C42A2A" w:rsidRPr="00731DDC" w:rsidRDefault="00947CE0" w:rsidP="005F4075">
      <w:pPr>
        <w:rPr>
          <w:lang w:val="en-GB"/>
        </w:rPr>
      </w:pPr>
      <w:r>
        <w:rPr>
          <w:lang w:val="en-GB"/>
        </w:rPr>
        <w:fldChar w:fldCharType="begin"/>
      </w:r>
      <w:r>
        <w:rPr>
          <w:lang w:val="en-GB"/>
        </w:rPr>
        <w:instrText xml:space="preserve"> REF _Ref51066918 \h </w:instrText>
      </w:r>
      <w:r>
        <w:rPr>
          <w:lang w:val="en-GB"/>
        </w:rPr>
      </w:r>
      <w:r>
        <w:rPr>
          <w:lang w:val="en-GB"/>
        </w:rPr>
        <w:fldChar w:fldCharType="separate"/>
      </w:r>
      <w:r w:rsidRPr="00731DDC">
        <w:rPr>
          <w:lang w:val="en-GB"/>
        </w:rPr>
        <w:t xml:space="preserve">Table </w:t>
      </w:r>
      <w:r>
        <w:rPr>
          <w:noProof/>
          <w:lang w:val="en-GB"/>
        </w:rPr>
        <w:t>3</w:t>
      </w:r>
      <w:r>
        <w:rPr>
          <w:lang w:val="en-GB"/>
        </w:rPr>
        <w:fldChar w:fldCharType="end"/>
      </w:r>
      <w:r>
        <w:rPr>
          <w:lang w:val="en-GB"/>
        </w:rPr>
        <w:t xml:space="preserve"> </w:t>
      </w:r>
      <w:r w:rsidR="00C42A2A" w:rsidRPr="00731DDC">
        <w:rPr>
          <w:lang w:val="en-GB"/>
        </w:rPr>
        <w:t xml:space="preserve">above reflects two factors: (1) these sectors are expanding due to digitalisation and increased digital trade, and (2) traditional trade in Australia and Singapore is also currently leveraging the use of digital technologies. In both cases, the two countries have the potential to further accelerate economic growth as they become more digitalised and take greater advantage of digital trade enablers. </w:t>
      </w:r>
    </w:p>
    <w:p w14:paraId="2B337A07" w14:textId="78124398" w:rsidR="00C42A2A" w:rsidRPr="00731DDC" w:rsidRDefault="00C42A2A" w:rsidP="005F4075">
      <w:pPr>
        <w:rPr>
          <w:lang w:val="en-GB"/>
        </w:rPr>
      </w:pPr>
      <w:r w:rsidRPr="00731DDC">
        <w:rPr>
          <w:lang w:val="en-GB"/>
        </w:rPr>
        <w:t>In addition to the sectors highlighted above, there are several other sectors that are increasingly using digital technology to improve their product and services. Some of these sectors are of particular relevance to Australia and Singapore.</w:t>
      </w:r>
      <w:r w:rsidRPr="00731DDC">
        <w:rPr>
          <w:rStyle w:val="FootnoteReference"/>
          <w:lang w:val="en-GB"/>
        </w:rPr>
        <w:footnoteReference w:id="70"/>
      </w:r>
      <w:r w:rsidRPr="00731DDC">
        <w:rPr>
          <w:lang w:val="en-GB"/>
        </w:rPr>
        <w:t xml:space="preserve"> For instance, healthcare and education services are sectors whether there are current and future trade opportunities between the countries. Energy, food and agricultural sectors are where Australia has a comparative advantage and exports to Singapore. Electronic manufacturing is where Singapore has its comparative advantage and exports to Australia. The economic impact of these technologies in key sectors is highlighted in </w:t>
      </w:r>
      <w:r w:rsidR="00947CE0">
        <w:rPr>
          <w:lang w:val="en-GB"/>
        </w:rPr>
        <w:fldChar w:fldCharType="begin"/>
      </w:r>
      <w:r w:rsidR="00947CE0">
        <w:rPr>
          <w:lang w:val="en-GB"/>
        </w:rPr>
        <w:instrText xml:space="preserve"> REF _Ref51066964 \h </w:instrText>
      </w:r>
      <w:r w:rsidR="00947CE0">
        <w:rPr>
          <w:lang w:val="en-GB"/>
        </w:rPr>
      </w:r>
      <w:r w:rsidR="00947CE0">
        <w:rPr>
          <w:lang w:val="en-GB"/>
        </w:rPr>
        <w:fldChar w:fldCharType="separate"/>
      </w:r>
      <w:r w:rsidR="00947CE0" w:rsidRPr="00731DDC">
        <w:rPr>
          <w:lang w:val="en-GB"/>
        </w:rPr>
        <w:t xml:space="preserve">Table </w:t>
      </w:r>
      <w:r w:rsidR="00947CE0">
        <w:rPr>
          <w:noProof/>
          <w:lang w:val="en-GB"/>
        </w:rPr>
        <w:t>4</w:t>
      </w:r>
      <w:r w:rsidR="00947CE0">
        <w:rPr>
          <w:lang w:val="en-GB"/>
        </w:rPr>
        <w:fldChar w:fldCharType="end"/>
      </w:r>
      <w:r w:rsidR="00947CE0">
        <w:rPr>
          <w:lang w:val="en-GB"/>
        </w:rPr>
        <w:t xml:space="preserve"> </w:t>
      </w:r>
      <w:r w:rsidRPr="00731DDC">
        <w:rPr>
          <w:lang w:val="en-GB"/>
        </w:rPr>
        <w:t xml:space="preserve">below. </w:t>
      </w:r>
    </w:p>
    <w:p w14:paraId="70DD287F" w14:textId="356B49AE" w:rsidR="00C42A2A" w:rsidRPr="00731DDC" w:rsidRDefault="00C42A2A" w:rsidP="007C0781">
      <w:pPr>
        <w:pStyle w:val="Caption"/>
        <w:rPr>
          <w:lang w:val="en-GB"/>
        </w:rPr>
      </w:pPr>
      <w:bookmarkStart w:id="51" w:name="_Ref51066964"/>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4</w:t>
      </w:r>
      <w:r w:rsidRPr="00731DDC">
        <w:rPr>
          <w:lang w:val="en-GB"/>
        </w:rPr>
        <w:fldChar w:fldCharType="end"/>
      </w:r>
      <w:bookmarkEnd w:id="51"/>
      <w:r w:rsidRPr="00731DDC">
        <w:rPr>
          <w:lang w:val="en-GB"/>
        </w:rPr>
        <w:t>: Key Sectors being Digitalised (2020-2030)</w:t>
      </w:r>
    </w:p>
    <w:tbl>
      <w:tblPr>
        <w:tblStyle w:val="GridTable4-Accent11"/>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6A0" w:firstRow="1" w:lastRow="0" w:firstColumn="1" w:lastColumn="0" w:noHBand="1" w:noVBand="1"/>
      </w:tblPr>
      <w:tblGrid>
        <w:gridCol w:w="1574"/>
        <w:gridCol w:w="3666"/>
        <w:gridCol w:w="1843"/>
        <w:gridCol w:w="1933"/>
      </w:tblGrid>
      <w:tr w:rsidR="00C42A2A" w:rsidRPr="00731DDC" w14:paraId="38DE4C92" w14:textId="77777777" w:rsidTr="006515B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74" w:type="dxa"/>
            <w:tcBorders>
              <w:top w:val="none" w:sz="0" w:space="0" w:color="auto"/>
              <w:left w:val="none" w:sz="0" w:space="0" w:color="auto"/>
              <w:bottom w:val="none" w:sz="0" w:space="0" w:color="auto"/>
              <w:right w:val="none" w:sz="0" w:space="0" w:color="auto"/>
            </w:tcBorders>
            <w:vAlign w:val="center"/>
          </w:tcPr>
          <w:p w14:paraId="6F678030" w14:textId="77777777" w:rsidR="00C42A2A" w:rsidRPr="00731DDC" w:rsidRDefault="00C42A2A" w:rsidP="007C0781">
            <w:pPr>
              <w:spacing w:before="40" w:after="40"/>
              <w:jc w:val="center"/>
              <w:rPr>
                <w:sz w:val="20"/>
                <w:szCs w:val="20"/>
                <w:lang w:val="en-GB"/>
              </w:rPr>
            </w:pPr>
            <w:r w:rsidRPr="00731DDC">
              <w:rPr>
                <w:sz w:val="20"/>
                <w:szCs w:val="20"/>
                <w:lang w:val="en-GB"/>
              </w:rPr>
              <w:t>Industry</w:t>
            </w:r>
          </w:p>
        </w:tc>
        <w:tc>
          <w:tcPr>
            <w:tcW w:w="3666" w:type="dxa"/>
            <w:tcBorders>
              <w:top w:val="none" w:sz="0" w:space="0" w:color="auto"/>
              <w:left w:val="none" w:sz="0" w:space="0" w:color="auto"/>
              <w:bottom w:val="none" w:sz="0" w:space="0" w:color="auto"/>
              <w:right w:val="none" w:sz="0" w:space="0" w:color="auto"/>
            </w:tcBorders>
          </w:tcPr>
          <w:p w14:paraId="70ADB72F" w14:textId="77777777" w:rsidR="00C42A2A" w:rsidRPr="00731DDC" w:rsidRDefault="00C42A2A" w:rsidP="007C0781">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Examples of Digitalisation/Technology </w:t>
            </w:r>
          </w:p>
        </w:tc>
        <w:tc>
          <w:tcPr>
            <w:tcW w:w="1843" w:type="dxa"/>
            <w:tcBorders>
              <w:top w:val="none" w:sz="0" w:space="0" w:color="auto"/>
              <w:left w:val="none" w:sz="0" w:space="0" w:color="auto"/>
              <w:bottom w:val="none" w:sz="0" w:space="0" w:color="auto"/>
              <w:right w:val="none" w:sz="0" w:space="0" w:color="auto"/>
            </w:tcBorders>
            <w:vAlign w:val="center"/>
          </w:tcPr>
          <w:p w14:paraId="535968C1" w14:textId="77777777" w:rsidR="00C42A2A" w:rsidRPr="00731DDC" w:rsidRDefault="00C42A2A" w:rsidP="007C0781">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Australia</w:t>
            </w:r>
          </w:p>
        </w:tc>
        <w:tc>
          <w:tcPr>
            <w:tcW w:w="1933" w:type="dxa"/>
            <w:tcBorders>
              <w:top w:val="none" w:sz="0" w:space="0" w:color="auto"/>
              <w:left w:val="none" w:sz="0" w:space="0" w:color="auto"/>
              <w:bottom w:val="none" w:sz="0" w:space="0" w:color="auto"/>
              <w:right w:val="none" w:sz="0" w:space="0" w:color="auto"/>
            </w:tcBorders>
            <w:vAlign w:val="center"/>
          </w:tcPr>
          <w:p w14:paraId="2814967F" w14:textId="77777777" w:rsidR="00C42A2A" w:rsidRPr="00731DDC" w:rsidRDefault="00C42A2A" w:rsidP="007C0781">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Singapore</w:t>
            </w:r>
          </w:p>
        </w:tc>
      </w:tr>
      <w:tr w:rsidR="00C42A2A" w:rsidRPr="00731DDC" w14:paraId="1592587C" w14:textId="77777777" w:rsidTr="007C0781">
        <w:trPr>
          <w:jc w:val="center"/>
        </w:trPr>
        <w:tc>
          <w:tcPr>
            <w:cnfStyle w:val="001000000000" w:firstRow="0" w:lastRow="0" w:firstColumn="1" w:lastColumn="0" w:oddVBand="0" w:evenVBand="0" w:oddHBand="0" w:evenHBand="0" w:firstRowFirstColumn="0" w:firstRowLastColumn="0" w:lastRowFirstColumn="0" w:lastRowLastColumn="0"/>
            <w:tcW w:w="9016" w:type="dxa"/>
            <w:gridSpan w:val="4"/>
            <w:vAlign w:val="center"/>
          </w:tcPr>
          <w:p w14:paraId="432C4CFD" w14:textId="03A9D1F5" w:rsidR="00C42A2A" w:rsidRPr="00731DDC" w:rsidRDefault="00C42A2A" w:rsidP="007C0781">
            <w:pPr>
              <w:spacing w:before="40" w:after="40"/>
              <w:rPr>
                <w:b w:val="0"/>
                <w:bCs w:val="0"/>
                <w:i/>
                <w:iCs/>
                <w:sz w:val="20"/>
                <w:szCs w:val="20"/>
                <w:lang w:val="en-GB"/>
              </w:rPr>
            </w:pPr>
            <w:r w:rsidRPr="00731DDC">
              <w:rPr>
                <w:b w:val="0"/>
                <w:bCs w:val="0"/>
                <w:i/>
                <w:iCs/>
                <w:sz w:val="20"/>
                <w:szCs w:val="20"/>
                <w:lang w:val="en-GB"/>
              </w:rPr>
              <w:t xml:space="preserve">(AUD </w:t>
            </w:r>
            <w:r w:rsidR="007C0781" w:rsidRPr="00731DDC">
              <w:rPr>
                <w:b w:val="0"/>
                <w:bCs w:val="0"/>
                <w:i/>
                <w:iCs/>
                <w:sz w:val="20"/>
                <w:szCs w:val="20"/>
                <w:lang w:val="en-GB"/>
              </w:rPr>
              <w:t>b</w:t>
            </w:r>
            <w:r w:rsidR="006907BE">
              <w:rPr>
                <w:b w:val="0"/>
                <w:bCs w:val="0"/>
                <w:i/>
                <w:iCs/>
                <w:sz w:val="20"/>
                <w:szCs w:val="20"/>
                <w:lang w:val="en-GB"/>
              </w:rPr>
              <w:t>illio</w:t>
            </w:r>
            <w:r w:rsidR="007C0781" w:rsidRPr="00731DDC">
              <w:rPr>
                <w:b w:val="0"/>
                <w:bCs w:val="0"/>
                <w:i/>
                <w:iCs/>
                <w:sz w:val="20"/>
                <w:szCs w:val="20"/>
                <w:lang w:val="en-GB"/>
              </w:rPr>
              <w:t>n</w:t>
            </w:r>
            <w:r w:rsidR="006907BE">
              <w:rPr>
                <w:b w:val="0"/>
                <w:bCs w:val="0"/>
                <w:i/>
                <w:iCs/>
                <w:sz w:val="20"/>
                <w:szCs w:val="20"/>
                <w:lang w:val="en-GB"/>
              </w:rPr>
              <w:t>s</w:t>
            </w:r>
            <w:r w:rsidRPr="00731DDC">
              <w:rPr>
                <w:b w:val="0"/>
                <w:bCs w:val="0"/>
                <w:i/>
                <w:iCs/>
                <w:sz w:val="20"/>
                <w:szCs w:val="20"/>
                <w:lang w:val="en-GB"/>
              </w:rPr>
              <w:t>)</w:t>
            </w:r>
          </w:p>
        </w:tc>
      </w:tr>
      <w:tr w:rsidR="00C42A2A" w:rsidRPr="00731DDC" w14:paraId="39F03FD5"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2A5946F8" w14:textId="77777777" w:rsidR="00C42A2A" w:rsidRPr="00731DDC" w:rsidRDefault="00C42A2A" w:rsidP="007C0781">
            <w:pPr>
              <w:spacing w:before="40" w:after="40"/>
              <w:jc w:val="center"/>
              <w:rPr>
                <w:sz w:val="20"/>
                <w:szCs w:val="20"/>
                <w:lang w:val="en-GB"/>
              </w:rPr>
            </w:pPr>
            <w:r w:rsidRPr="00731DDC">
              <w:rPr>
                <w:sz w:val="20"/>
                <w:szCs w:val="20"/>
                <w:lang w:val="en-GB"/>
              </w:rPr>
              <w:t>Healthcare</w:t>
            </w:r>
          </w:p>
        </w:tc>
        <w:tc>
          <w:tcPr>
            <w:tcW w:w="3666" w:type="dxa"/>
          </w:tcPr>
          <w:p w14:paraId="3E045B3B"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Digital transformation through telemedicine, AI enabled medical devices, 3D printing of medical tools, and blockchain electronic health records.</w:t>
            </w:r>
          </w:p>
        </w:tc>
        <w:tc>
          <w:tcPr>
            <w:tcW w:w="1843" w:type="dxa"/>
            <w:vAlign w:val="center"/>
          </w:tcPr>
          <w:p w14:paraId="482CB6AE"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Medical technology market to reach 19.78bn by 2023</w:t>
            </w:r>
          </w:p>
        </w:tc>
        <w:tc>
          <w:tcPr>
            <w:tcW w:w="1933" w:type="dxa"/>
            <w:vAlign w:val="center"/>
          </w:tcPr>
          <w:p w14:paraId="76691FA7"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Medical technology manufacturing to reach 17.55bn by 2023</w:t>
            </w:r>
          </w:p>
        </w:tc>
      </w:tr>
      <w:tr w:rsidR="00C42A2A" w:rsidRPr="00731DDC" w14:paraId="6CBECE3A"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50CD9316" w14:textId="77777777" w:rsidR="00C42A2A" w:rsidRPr="00731DDC" w:rsidRDefault="00C42A2A" w:rsidP="007C0781">
            <w:pPr>
              <w:spacing w:before="40" w:after="40"/>
              <w:jc w:val="center"/>
              <w:rPr>
                <w:sz w:val="20"/>
                <w:szCs w:val="20"/>
                <w:lang w:val="en-GB"/>
              </w:rPr>
            </w:pPr>
            <w:r w:rsidRPr="00731DDC">
              <w:rPr>
                <w:sz w:val="20"/>
                <w:szCs w:val="20"/>
                <w:lang w:val="en-GB"/>
              </w:rPr>
              <w:t>Education</w:t>
            </w:r>
          </w:p>
        </w:tc>
        <w:tc>
          <w:tcPr>
            <w:tcW w:w="3666" w:type="dxa"/>
          </w:tcPr>
          <w:p w14:paraId="7990A27B"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Education apps and digital platforms for educational content. Also includes mobile e-learning, learning management system, podcasts, rapid e-learning, virtual classroom and application simulation tool.</w:t>
            </w:r>
          </w:p>
        </w:tc>
        <w:tc>
          <w:tcPr>
            <w:tcW w:w="1843" w:type="dxa"/>
            <w:vAlign w:val="center"/>
          </w:tcPr>
          <w:p w14:paraId="3CB653AD"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Online education market to reach 9.43bn by 2024</w:t>
            </w:r>
          </w:p>
        </w:tc>
        <w:tc>
          <w:tcPr>
            <w:tcW w:w="1933" w:type="dxa"/>
            <w:vAlign w:val="center"/>
          </w:tcPr>
          <w:p w14:paraId="39B4EB97"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NA</w:t>
            </w:r>
          </w:p>
        </w:tc>
      </w:tr>
      <w:tr w:rsidR="00C42A2A" w:rsidRPr="00731DDC" w14:paraId="075AF435"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6EFA871F" w14:textId="77777777" w:rsidR="00C42A2A" w:rsidRPr="00731DDC" w:rsidRDefault="00C42A2A" w:rsidP="007C0781">
            <w:pPr>
              <w:spacing w:before="40" w:after="40"/>
              <w:jc w:val="center"/>
              <w:rPr>
                <w:sz w:val="20"/>
                <w:szCs w:val="20"/>
                <w:lang w:val="en-GB"/>
              </w:rPr>
            </w:pPr>
            <w:r w:rsidRPr="00731DDC">
              <w:rPr>
                <w:sz w:val="20"/>
                <w:szCs w:val="20"/>
                <w:lang w:val="en-GB"/>
              </w:rPr>
              <w:t>Energy and Resources</w:t>
            </w:r>
          </w:p>
        </w:tc>
        <w:tc>
          <w:tcPr>
            <w:tcW w:w="3666" w:type="dxa"/>
          </w:tcPr>
          <w:p w14:paraId="1C1E9A70"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highlight w:val="yellow"/>
                <w:lang w:val="en-GB"/>
              </w:rPr>
            </w:pPr>
            <w:r w:rsidRPr="00731DDC">
              <w:rPr>
                <w:sz w:val="20"/>
                <w:szCs w:val="20"/>
                <w:lang w:val="en-GB"/>
              </w:rPr>
              <w:t xml:space="preserve">Digital innovations to optimize supply and demand management, maintenance, workforce management, transmission and distribution, collection and analysis of data through smart meters and sensors. </w:t>
            </w:r>
          </w:p>
        </w:tc>
        <w:tc>
          <w:tcPr>
            <w:tcW w:w="1843" w:type="dxa"/>
            <w:vAlign w:val="center"/>
          </w:tcPr>
          <w:p w14:paraId="5D177CFF"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sz w:val="20"/>
                <w:szCs w:val="20"/>
                <w:lang w:val="en-GB"/>
              </w:rPr>
              <w:t xml:space="preserve">Mining sector profits to improve by </w:t>
            </w:r>
            <w:r w:rsidRPr="00731DDC">
              <w:rPr>
                <w:rFonts w:ascii="Calibri" w:hAnsi="Calibri" w:cs="Calibri"/>
                <w:color w:val="000000"/>
                <w:sz w:val="20"/>
                <w:szCs w:val="20"/>
                <w:lang w:val="en-GB"/>
              </w:rPr>
              <w:t>40bn by 2025</w:t>
            </w:r>
          </w:p>
        </w:tc>
        <w:tc>
          <w:tcPr>
            <w:tcW w:w="1933" w:type="dxa"/>
            <w:vAlign w:val="center"/>
          </w:tcPr>
          <w:p w14:paraId="69233952"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sz w:val="20"/>
                <w:szCs w:val="20"/>
                <w:lang w:val="en-GB"/>
              </w:rPr>
              <w:t xml:space="preserve">Energy and Chemicals industry value added of </w:t>
            </w:r>
            <w:r w:rsidRPr="00731DDC">
              <w:rPr>
                <w:rFonts w:ascii="Calibri" w:hAnsi="Calibri" w:cs="Calibri"/>
                <w:color w:val="000000"/>
                <w:sz w:val="20"/>
                <w:szCs w:val="20"/>
                <w:lang w:val="en-GB"/>
              </w:rPr>
              <w:t>12.52bn by 2025</w:t>
            </w:r>
          </w:p>
        </w:tc>
      </w:tr>
      <w:tr w:rsidR="00C42A2A" w:rsidRPr="00731DDC" w14:paraId="792E38CE"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47573A91" w14:textId="77777777" w:rsidR="00C42A2A" w:rsidRPr="00731DDC" w:rsidRDefault="00C42A2A" w:rsidP="007C0781">
            <w:pPr>
              <w:spacing w:before="40" w:after="40"/>
              <w:jc w:val="center"/>
              <w:rPr>
                <w:sz w:val="20"/>
                <w:szCs w:val="20"/>
                <w:lang w:val="en-GB"/>
              </w:rPr>
            </w:pPr>
            <w:r w:rsidRPr="00731DDC">
              <w:rPr>
                <w:sz w:val="20"/>
                <w:szCs w:val="20"/>
                <w:lang w:val="en-GB"/>
              </w:rPr>
              <w:t>Food and Agriculture</w:t>
            </w:r>
          </w:p>
        </w:tc>
        <w:tc>
          <w:tcPr>
            <w:tcW w:w="3666" w:type="dxa"/>
          </w:tcPr>
          <w:p w14:paraId="786EB80B"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Farm equipment automation, satellite data and sensors for input optimization and monitoring of crops, logistics technologies and advanced analytics for better farm to market access, traceability and reduced food wastage.  </w:t>
            </w:r>
          </w:p>
        </w:tc>
        <w:tc>
          <w:tcPr>
            <w:tcW w:w="1843" w:type="dxa"/>
            <w:vAlign w:val="center"/>
          </w:tcPr>
          <w:p w14:paraId="4A97895D"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Value of agriculture production to increase by 20.30bn by 2023</w:t>
            </w:r>
          </w:p>
          <w:p w14:paraId="327D88EE"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933" w:type="dxa"/>
            <w:vAlign w:val="center"/>
          </w:tcPr>
          <w:p w14:paraId="14FAEBA1"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NA</w:t>
            </w:r>
          </w:p>
        </w:tc>
      </w:tr>
      <w:tr w:rsidR="00C42A2A" w:rsidRPr="00731DDC" w14:paraId="52DF5444"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7D463550" w14:textId="77777777" w:rsidR="00C42A2A" w:rsidRPr="00731DDC" w:rsidRDefault="00C42A2A" w:rsidP="007C0781">
            <w:pPr>
              <w:spacing w:before="40" w:after="40"/>
              <w:jc w:val="center"/>
              <w:rPr>
                <w:sz w:val="20"/>
                <w:szCs w:val="20"/>
                <w:lang w:val="en-GB"/>
              </w:rPr>
            </w:pPr>
            <w:r w:rsidRPr="00731DDC">
              <w:rPr>
                <w:sz w:val="20"/>
                <w:szCs w:val="20"/>
                <w:lang w:val="en-GB"/>
              </w:rPr>
              <w:t>Electronics Manufacturing</w:t>
            </w:r>
          </w:p>
        </w:tc>
        <w:tc>
          <w:tcPr>
            <w:tcW w:w="3666" w:type="dxa"/>
          </w:tcPr>
          <w:p w14:paraId="09782F48"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Technologies that impact supply chains to support planning, logistics, smart procurement, warehousing and advanced analytics. </w:t>
            </w:r>
          </w:p>
        </w:tc>
        <w:tc>
          <w:tcPr>
            <w:tcW w:w="1843" w:type="dxa"/>
            <w:vAlign w:val="center"/>
          </w:tcPr>
          <w:p w14:paraId="62BAA250"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NA</w:t>
            </w:r>
          </w:p>
        </w:tc>
        <w:tc>
          <w:tcPr>
            <w:tcW w:w="1933" w:type="dxa"/>
            <w:vAlign w:val="center"/>
          </w:tcPr>
          <w:p w14:paraId="2CF1CA01"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Manufacturing value added of </w:t>
            </w:r>
            <w:r w:rsidRPr="00731DDC">
              <w:rPr>
                <w:rFonts w:ascii="Calibri" w:hAnsi="Calibri" w:cs="Calibri"/>
                <w:color w:val="000000"/>
                <w:sz w:val="20"/>
                <w:szCs w:val="20"/>
                <w:lang w:val="en-GB"/>
              </w:rPr>
              <w:t>21.89bn by 2020</w:t>
            </w:r>
          </w:p>
        </w:tc>
      </w:tr>
      <w:tr w:rsidR="00C42A2A" w:rsidRPr="00731DDC" w14:paraId="7B59325C" w14:textId="77777777" w:rsidTr="006515BA">
        <w:trPr>
          <w:jc w:val="center"/>
        </w:trPr>
        <w:tc>
          <w:tcPr>
            <w:cnfStyle w:val="001000000000" w:firstRow="0" w:lastRow="0" w:firstColumn="1" w:lastColumn="0" w:oddVBand="0" w:evenVBand="0" w:oddHBand="0" w:evenHBand="0" w:firstRowFirstColumn="0" w:firstRowLastColumn="0" w:lastRowFirstColumn="0" w:lastRowLastColumn="0"/>
            <w:tcW w:w="1574" w:type="dxa"/>
            <w:vAlign w:val="center"/>
          </w:tcPr>
          <w:p w14:paraId="5CB08E9E" w14:textId="77777777" w:rsidR="00C42A2A" w:rsidRPr="00731DDC" w:rsidRDefault="00C42A2A" w:rsidP="007C0781">
            <w:pPr>
              <w:spacing w:before="40" w:after="40"/>
              <w:jc w:val="center"/>
              <w:rPr>
                <w:sz w:val="20"/>
                <w:szCs w:val="20"/>
                <w:lang w:val="en-GB"/>
              </w:rPr>
            </w:pPr>
            <w:r w:rsidRPr="00731DDC">
              <w:rPr>
                <w:sz w:val="20"/>
                <w:szCs w:val="20"/>
                <w:lang w:val="en-GB"/>
              </w:rPr>
              <w:lastRenderedPageBreak/>
              <w:t>Jobs</w:t>
            </w:r>
          </w:p>
        </w:tc>
        <w:tc>
          <w:tcPr>
            <w:tcW w:w="3666" w:type="dxa"/>
          </w:tcPr>
          <w:p w14:paraId="7C5C1C09" w14:textId="77777777" w:rsidR="00C42A2A" w:rsidRPr="00731DDC" w:rsidRDefault="00C42A2A" w:rsidP="007C0781">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Digital marketplaces and tools that connect individuals with work opportunities.</w:t>
            </w:r>
          </w:p>
        </w:tc>
        <w:tc>
          <w:tcPr>
            <w:tcW w:w="1843" w:type="dxa"/>
            <w:vAlign w:val="center"/>
          </w:tcPr>
          <w:p w14:paraId="74AC80E6"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Online talent platforms impact on GDP by </w:t>
            </w:r>
            <w:r w:rsidRPr="00731DDC">
              <w:rPr>
                <w:rFonts w:ascii="Calibri" w:hAnsi="Calibri" w:cs="Calibri"/>
                <w:color w:val="000000"/>
                <w:sz w:val="20"/>
                <w:szCs w:val="20"/>
                <w:lang w:val="en-GB"/>
              </w:rPr>
              <w:t>37.74bn</w:t>
            </w:r>
          </w:p>
        </w:tc>
        <w:tc>
          <w:tcPr>
            <w:tcW w:w="1933" w:type="dxa"/>
            <w:vAlign w:val="center"/>
          </w:tcPr>
          <w:p w14:paraId="18D9ECAC" w14:textId="77777777" w:rsidR="00C42A2A" w:rsidRPr="00731DDC" w:rsidRDefault="00C42A2A" w:rsidP="007C078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 xml:space="preserve">Online talent platforms impact on GDP by </w:t>
            </w:r>
            <w:r w:rsidRPr="00731DDC">
              <w:rPr>
                <w:rFonts w:ascii="Calibri" w:hAnsi="Calibri" w:cs="Calibri"/>
                <w:color w:val="000000"/>
                <w:sz w:val="20"/>
                <w:szCs w:val="20"/>
                <w:lang w:val="en-GB"/>
              </w:rPr>
              <w:t>12.13bn</w:t>
            </w:r>
          </w:p>
        </w:tc>
      </w:tr>
    </w:tbl>
    <w:p w14:paraId="6F0CAE6B" w14:textId="3A2A2634" w:rsidR="00C42A2A" w:rsidRPr="00731DDC" w:rsidRDefault="00C42A2A" w:rsidP="006907BE">
      <w:pPr>
        <w:spacing w:line="276" w:lineRule="auto"/>
        <w:ind w:left="426"/>
        <w:rPr>
          <w:i/>
          <w:iCs/>
          <w:sz w:val="18"/>
          <w:szCs w:val="18"/>
          <w:lang w:val="en-GB"/>
        </w:rPr>
      </w:pPr>
      <w:r w:rsidRPr="00731DDC">
        <w:rPr>
          <w:i/>
          <w:iCs/>
          <w:sz w:val="18"/>
          <w:szCs w:val="18"/>
          <w:lang w:val="en-GB"/>
        </w:rPr>
        <w:t xml:space="preserve">Note: See Appendix </w:t>
      </w:r>
      <w:r w:rsidR="006907BE">
        <w:rPr>
          <w:i/>
          <w:iCs/>
          <w:sz w:val="18"/>
          <w:szCs w:val="18"/>
          <w:lang w:val="en-GB"/>
        </w:rPr>
        <w:t>I</w:t>
      </w:r>
      <w:r w:rsidRPr="00731DDC">
        <w:rPr>
          <w:i/>
          <w:iCs/>
          <w:sz w:val="18"/>
          <w:szCs w:val="18"/>
          <w:lang w:val="en-GB"/>
        </w:rPr>
        <w:t xml:space="preserve"> for the detailed projections and references</w:t>
      </w:r>
    </w:p>
    <w:p w14:paraId="548C2F6A" w14:textId="626ABBC3" w:rsidR="00C42A2A" w:rsidRPr="00731DDC" w:rsidRDefault="00C42A2A" w:rsidP="00C42A2A">
      <w:pPr>
        <w:pStyle w:val="Heading3"/>
        <w:rPr>
          <w:lang w:val="en-GB"/>
        </w:rPr>
      </w:pPr>
      <w:r w:rsidRPr="00731DDC">
        <w:rPr>
          <w:lang w:val="en-GB"/>
        </w:rPr>
        <w:t>Digital Enablers</w:t>
      </w:r>
    </w:p>
    <w:p w14:paraId="2103C8C1" w14:textId="6FB81DF8" w:rsidR="00C42A2A" w:rsidRPr="00731DDC" w:rsidRDefault="00C42A2A" w:rsidP="005F4075">
      <w:pPr>
        <w:rPr>
          <w:lang w:val="en-GB"/>
        </w:rPr>
      </w:pPr>
      <w:r w:rsidRPr="00731DDC">
        <w:rPr>
          <w:lang w:val="en-GB"/>
        </w:rPr>
        <w:t xml:space="preserve">We identified digital enablers that can support digital transactions, either by reducing costs, preventing fraud and corruption or increasing sales. </w:t>
      </w:r>
      <w:r w:rsidR="00947CE0">
        <w:rPr>
          <w:lang w:val="en-GB"/>
        </w:rPr>
        <w:fldChar w:fldCharType="begin"/>
      </w:r>
      <w:r w:rsidR="00947CE0">
        <w:rPr>
          <w:lang w:val="en-GB"/>
        </w:rPr>
        <w:instrText xml:space="preserve"> REF _Ref51066982 \h </w:instrText>
      </w:r>
      <w:r w:rsidR="00947CE0">
        <w:rPr>
          <w:lang w:val="en-GB"/>
        </w:rPr>
      </w:r>
      <w:r w:rsidR="00947CE0">
        <w:rPr>
          <w:lang w:val="en-GB"/>
        </w:rPr>
        <w:fldChar w:fldCharType="separate"/>
      </w:r>
      <w:r w:rsidR="00947CE0" w:rsidRPr="00731DDC">
        <w:rPr>
          <w:lang w:val="en-GB"/>
        </w:rPr>
        <w:t xml:space="preserve">Table </w:t>
      </w:r>
      <w:r w:rsidR="00947CE0">
        <w:rPr>
          <w:noProof/>
          <w:lang w:val="en-GB"/>
        </w:rPr>
        <w:t>5</w:t>
      </w:r>
      <w:r w:rsidR="00947CE0">
        <w:rPr>
          <w:lang w:val="en-GB"/>
        </w:rPr>
        <w:fldChar w:fldCharType="end"/>
      </w:r>
      <w:r w:rsidR="00947CE0">
        <w:rPr>
          <w:lang w:val="en-GB"/>
        </w:rPr>
        <w:t xml:space="preserve"> </w:t>
      </w:r>
      <w:r w:rsidRPr="00731DDC">
        <w:rPr>
          <w:lang w:val="en-GB"/>
        </w:rPr>
        <w:t>below seeks to provide some estimates of the benefits that these enablers provide.</w:t>
      </w:r>
    </w:p>
    <w:p w14:paraId="29396663" w14:textId="5EB5D93E" w:rsidR="00C42A2A" w:rsidRPr="00731DDC" w:rsidRDefault="00C42A2A" w:rsidP="007C0781">
      <w:pPr>
        <w:pStyle w:val="Caption"/>
        <w:rPr>
          <w:lang w:val="en-GB"/>
        </w:rPr>
      </w:pPr>
      <w:bookmarkStart w:id="52" w:name="_Ref51066982"/>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5</w:t>
      </w:r>
      <w:r w:rsidRPr="00731DDC">
        <w:rPr>
          <w:lang w:val="en-GB"/>
        </w:rPr>
        <w:fldChar w:fldCharType="end"/>
      </w:r>
      <w:bookmarkEnd w:id="52"/>
      <w:r w:rsidRPr="00731DDC">
        <w:rPr>
          <w:lang w:val="en-GB"/>
        </w:rPr>
        <w:t>: Digital Enablers (2020-2030)</w:t>
      </w:r>
    </w:p>
    <w:tbl>
      <w:tblPr>
        <w:tblStyle w:val="GridTable4-Accent11"/>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6A0" w:firstRow="1" w:lastRow="0" w:firstColumn="1" w:lastColumn="0" w:noHBand="1" w:noVBand="1"/>
      </w:tblPr>
      <w:tblGrid>
        <w:gridCol w:w="3005"/>
        <w:gridCol w:w="3005"/>
        <w:gridCol w:w="3006"/>
      </w:tblGrid>
      <w:tr w:rsidR="00C42A2A" w:rsidRPr="00731DDC" w14:paraId="5E7F46A1" w14:textId="77777777" w:rsidTr="006907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vAlign w:val="center"/>
          </w:tcPr>
          <w:p w14:paraId="1A19A861" w14:textId="77777777" w:rsidR="00C42A2A" w:rsidRPr="00731DDC" w:rsidRDefault="00C42A2A" w:rsidP="006515BA">
            <w:pPr>
              <w:spacing w:before="40" w:after="40"/>
              <w:jc w:val="center"/>
              <w:rPr>
                <w:sz w:val="20"/>
                <w:szCs w:val="20"/>
                <w:lang w:val="en-GB"/>
              </w:rPr>
            </w:pPr>
            <w:r w:rsidRPr="00731DDC">
              <w:rPr>
                <w:sz w:val="20"/>
                <w:szCs w:val="20"/>
                <w:lang w:val="en-GB"/>
              </w:rPr>
              <w:t>Industry</w:t>
            </w:r>
          </w:p>
        </w:tc>
        <w:tc>
          <w:tcPr>
            <w:tcW w:w="3005" w:type="dxa"/>
            <w:tcBorders>
              <w:top w:val="none" w:sz="0" w:space="0" w:color="auto"/>
              <w:left w:val="none" w:sz="0" w:space="0" w:color="auto"/>
              <w:bottom w:val="none" w:sz="0" w:space="0" w:color="auto"/>
              <w:right w:val="none" w:sz="0" w:space="0" w:color="auto"/>
            </w:tcBorders>
          </w:tcPr>
          <w:p w14:paraId="655D3E7E" w14:textId="77777777" w:rsidR="00C42A2A" w:rsidRPr="00731DDC" w:rsidRDefault="00C42A2A" w:rsidP="006515BA">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Australia</w:t>
            </w:r>
          </w:p>
        </w:tc>
        <w:tc>
          <w:tcPr>
            <w:tcW w:w="3006" w:type="dxa"/>
            <w:tcBorders>
              <w:top w:val="none" w:sz="0" w:space="0" w:color="auto"/>
              <w:left w:val="none" w:sz="0" w:space="0" w:color="auto"/>
              <w:bottom w:val="none" w:sz="0" w:space="0" w:color="auto"/>
              <w:right w:val="none" w:sz="0" w:space="0" w:color="auto"/>
            </w:tcBorders>
          </w:tcPr>
          <w:p w14:paraId="45335CE3" w14:textId="77777777" w:rsidR="00C42A2A" w:rsidRPr="00731DDC" w:rsidRDefault="00C42A2A" w:rsidP="006515BA">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Singapore</w:t>
            </w:r>
          </w:p>
        </w:tc>
      </w:tr>
      <w:tr w:rsidR="00C42A2A" w:rsidRPr="00731DDC" w14:paraId="5C593579"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tcPr>
          <w:p w14:paraId="53C58A58" w14:textId="71FCC2B9" w:rsidR="00C42A2A" w:rsidRPr="00731DDC" w:rsidRDefault="00C42A2A" w:rsidP="006515BA">
            <w:pPr>
              <w:spacing w:before="40" w:after="40"/>
              <w:rPr>
                <w:sz w:val="20"/>
                <w:szCs w:val="20"/>
                <w:lang w:val="en-GB"/>
              </w:rPr>
            </w:pPr>
            <w:r w:rsidRPr="00731DDC">
              <w:rPr>
                <w:b w:val="0"/>
                <w:bCs w:val="0"/>
                <w:i/>
                <w:iCs/>
                <w:sz w:val="20"/>
                <w:szCs w:val="20"/>
                <w:lang w:val="en-GB"/>
              </w:rPr>
              <w:t xml:space="preserve">(AUD </w:t>
            </w:r>
            <w:r w:rsidR="006515BA" w:rsidRPr="00731DDC">
              <w:rPr>
                <w:b w:val="0"/>
                <w:bCs w:val="0"/>
                <w:i/>
                <w:iCs/>
                <w:sz w:val="20"/>
                <w:szCs w:val="20"/>
                <w:lang w:val="en-GB"/>
              </w:rPr>
              <w:t>bn</w:t>
            </w:r>
            <w:r w:rsidRPr="00731DDC">
              <w:rPr>
                <w:b w:val="0"/>
                <w:bCs w:val="0"/>
                <w:i/>
                <w:iCs/>
                <w:sz w:val="20"/>
                <w:szCs w:val="20"/>
                <w:lang w:val="en-GB"/>
              </w:rPr>
              <w:t>)</w:t>
            </w:r>
          </w:p>
        </w:tc>
      </w:tr>
      <w:tr w:rsidR="00C42A2A" w:rsidRPr="00731DDC" w14:paraId="062DE26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65654530" w14:textId="77777777" w:rsidR="00C42A2A" w:rsidRPr="00731DDC" w:rsidRDefault="00C42A2A" w:rsidP="006515BA">
            <w:pPr>
              <w:spacing w:before="40" w:after="40"/>
              <w:rPr>
                <w:sz w:val="20"/>
                <w:szCs w:val="20"/>
                <w:lang w:val="en-GB"/>
              </w:rPr>
            </w:pPr>
            <w:r w:rsidRPr="00731DDC">
              <w:rPr>
                <w:sz w:val="20"/>
                <w:szCs w:val="20"/>
                <w:lang w:val="en-GB"/>
              </w:rPr>
              <w:t>IT Equipment</w:t>
            </w:r>
          </w:p>
        </w:tc>
        <w:tc>
          <w:tcPr>
            <w:tcW w:w="3005" w:type="dxa"/>
            <w:vAlign w:val="center"/>
          </w:tcPr>
          <w:p w14:paraId="791C214B"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10.31</w:t>
            </w:r>
          </w:p>
        </w:tc>
        <w:tc>
          <w:tcPr>
            <w:tcW w:w="3006" w:type="dxa"/>
            <w:vAlign w:val="center"/>
          </w:tcPr>
          <w:p w14:paraId="473638CD"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3.05</w:t>
            </w:r>
          </w:p>
        </w:tc>
      </w:tr>
      <w:tr w:rsidR="00C42A2A" w:rsidRPr="00731DDC" w14:paraId="587D9CE5"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29521E72" w14:textId="77777777" w:rsidR="00C42A2A" w:rsidRPr="00731DDC" w:rsidRDefault="00C42A2A" w:rsidP="006515BA">
            <w:pPr>
              <w:spacing w:before="40" w:after="40"/>
              <w:rPr>
                <w:sz w:val="20"/>
                <w:szCs w:val="20"/>
                <w:lang w:val="en-GB"/>
              </w:rPr>
            </w:pPr>
            <w:r w:rsidRPr="00731DDC">
              <w:rPr>
                <w:sz w:val="20"/>
                <w:szCs w:val="20"/>
                <w:lang w:val="en-GB"/>
              </w:rPr>
              <w:t>Cybersecurity</w:t>
            </w:r>
          </w:p>
        </w:tc>
        <w:tc>
          <w:tcPr>
            <w:tcW w:w="3005" w:type="dxa"/>
            <w:vAlign w:val="center"/>
          </w:tcPr>
          <w:p w14:paraId="4E66BD47"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6</w:t>
            </w:r>
          </w:p>
        </w:tc>
        <w:tc>
          <w:tcPr>
            <w:tcW w:w="3006" w:type="dxa"/>
            <w:vAlign w:val="center"/>
          </w:tcPr>
          <w:p w14:paraId="567819AB"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0.99</w:t>
            </w:r>
          </w:p>
        </w:tc>
      </w:tr>
      <w:tr w:rsidR="00C42A2A" w:rsidRPr="00731DDC" w14:paraId="1DF77A2B"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D9E2F3" w:themeFill="accent1" w:themeFillTint="33"/>
          </w:tcPr>
          <w:p w14:paraId="65F8ECFC" w14:textId="77777777" w:rsidR="00C42A2A" w:rsidRPr="00731DDC" w:rsidRDefault="00C42A2A" w:rsidP="006515BA">
            <w:pPr>
              <w:spacing w:before="40" w:after="40"/>
              <w:rPr>
                <w:sz w:val="20"/>
                <w:szCs w:val="20"/>
                <w:lang w:val="en-GB"/>
              </w:rPr>
            </w:pPr>
            <w:r w:rsidRPr="00731DDC">
              <w:rPr>
                <w:sz w:val="20"/>
                <w:szCs w:val="20"/>
                <w:lang w:val="en-GB"/>
              </w:rPr>
              <w:t xml:space="preserve">Total </w:t>
            </w:r>
          </w:p>
        </w:tc>
        <w:tc>
          <w:tcPr>
            <w:tcW w:w="3005" w:type="dxa"/>
            <w:shd w:val="clear" w:color="auto" w:fill="D9E2F3" w:themeFill="accent1" w:themeFillTint="33"/>
            <w:vAlign w:val="center"/>
          </w:tcPr>
          <w:p w14:paraId="19A859B0"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sz w:val="20"/>
                <w:szCs w:val="20"/>
                <w:lang w:val="en-GB"/>
              </w:rPr>
              <w:t>16.31</w:t>
            </w:r>
          </w:p>
        </w:tc>
        <w:tc>
          <w:tcPr>
            <w:tcW w:w="3006" w:type="dxa"/>
            <w:shd w:val="clear" w:color="auto" w:fill="D9E2F3" w:themeFill="accent1" w:themeFillTint="33"/>
            <w:vAlign w:val="center"/>
          </w:tcPr>
          <w:p w14:paraId="6A857C1E"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sz w:val="20"/>
                <w:szCs w:val="20"/>
                <w:lang w:val="en-GB"/>
              </w:rPr>
              <w:t>4.03</w:t>
            </w:r>
          </w:p>
        </w:tc>
      </w:tr>
    </w:tbl>
    <w:p w14:paraId="0F1F7B00" w14:textId="22E19BBB" w:rsidR="00C42A2A" w:rsidRPr="00731DDC" w:rsidRDefault="00C42A2A" w:rsidP="006907BE">
      <w:pPr>
        <w:spacing w:line="276" w:lineRule="auto"/>
        <w:ind w:left="426"/>
        <w:rPr>
          <w:i/>
          <w:iCs/>
          <w:sz w:val="18"/>
          <w:szCs w:val="18"/>
          <w:lang w:val="en-GB"/>
        </w:rPr>
      </w:pPr>
      <w:r w:rsidRPr="00731DDC">
        <w:rPr>
          <w:i/>
          <w:iCs/>
          <w:sz w:val="18"/>
          <w:szCs w:val="18"/>
          <w:lang w:val="en-GB"/>
        </w:rPr>
        <w:t xml:space="preserve">Note: See Appendix </w:t>
      </w:r>
      <w:r w:rsidR="006907BE">
        <w:rPr>
          <w:i/>
          <w:iCs/>
          <w:sz w:val="18"/>
          <w:szCs w:val="18"/>
          <w:lang w:val="en-GB"/>
        </w:rPr>
        <w:t>I</w:t>
      </w:r>
      <w:r w:rsidRPr="00731DDC">
        <w:rPr>
          <w:i/>
          <w:iCs/>
          <w:sz w:val="18"/>
          <w:szCs w:val="18"/>
          <w:lang w:val="en-GB"/>
        </w:rPr>
        <w:t xml:space="preserve"> for the detailed projections and references</w:t>
      </w:r>
    </w:p>
    <w:p w14:paraId="45BE7548" w14:textId="77777777" w:rsidR="00C42A2A" w:rsidRPr="00731DDC" w:rsidRDefault="00C42A2A" w:rsidP="005F4075">
      <w:pPr>
        <w:rPr>
          <w:lang w:val="en-GB"/>
        </w:rPr>
      </w:pPr>
      <w:r w:rsidRPr="00731DDC">
        <w:rPr>
          <w:lang w:val="en-GB"/>
        </w:rPr>
        <w:t>Digital enablers can include the hard and soft infrastructure such as IT equipment, cybersecurity technologies and the provision of digital identification. In the Singapore and Australia context, revenue generated from IT equipment, ranging from desktops, laptops, servers to hardware deployed in networks, and cybersecurity technologies are estimated to be AUD16.3 bn and 4 bn. Apart from making direct contributions to GDP, cybersecurity technologies also save businesses and the economy from incurring huge economic losses. For instance, it is estimated that direct cost associated with cybersecurity incidents can be as high as AUD29bn per year or 1.9% of GDP in Australia</w:t>
      </w:r>
      <w:r w:rsidRPr="00731DDC">
        <w:rPr>
          <w:rStyle w:val="FootnoteReference"/>
          <w:rFonts w:ascii="Calibri" w:eastAsia="Calibri" w:hAnsi="Calibri" w:cs="Calibri"/>
          <w:lang w:val="en-GB"/>
        </w:rPr>
        <w:footnoteReference w:id="71"/>
      </w:r>
      <w:r w:rsidRPr="00731DDC">
        <w:rPr>
          <w:lang w:val="en-GB"/>
        </w:rPr>
        <w:t xml:space="preserve"> and AUD23.5bn in Singapore.</w:t>
      </w:r>
    </w:p>
    <w:p w14:paraId="36A63388" w14:textId="77777777" w:rsidR="00C42A2A" w:rsidRPr="00731DDC" w:rsidRDefault="00C42A2A" w:rsidP="005F4075">
      <w:pPr>
        <w:rPr>
          <w:lang w:val="en-GB"/>
        </w:rPr>
      </w:pPr>
      <w:r w:rsidRPr="00731DDC">
        <w:rPr>
          <w:lang w:val="en-GB"/>
        </w:rPr>
        <w:t>As a critical enabler for the development of a digital economy, the implementation of digital ID programs can unlock economic values in terms of more inclusive access to education, healthcare, financial services and employment; improvement in transparency and rights protection as well as acceleration in digital transformation. In 2030, these accrued economic benefits will be equivalent to 3% of GDP in developed economies and amount to AUD75.8bn and AUD17.9bn in Australia and Singapore respectively based on estimates from McKinsey Global Institute.</w:t>
      </w:r>
      <w:r w:rsidRPr="00731DDC">
        <w:rPr>
          <w:rStyle w:val="FootnoteReference"/>
          <w:rFonts w:ascii="Calibri" w:eastAsia="Calibri" w:hAnsi="Calibri" w:cs="Calibri"/>
          <w:lang w:val="en-GB"/>
        </w:rPr>
        <w:footnoteReference w:id="72"/>
      </w:r>
    </w:p>
    <w:p w14:paraId="2113C339" w14:textId="237AA605" w:rsidR="00C42A2A" w:rsidRPr="00731DDC" w:rsidRDefault="00C42A2A" w:rsidP="00C42A2A">
      <w:pPr>
        <w:pStyle w:val="Heading3"/>
        <w:spacing w:before="0"/>
        <w:rPr>
          <w:lang w:val="en-GB"/>
        </w:rPr>
      </w:pPr>
      <w:r w:rsidRPr="00731DDC">
        <w:rPr>
          <w:lang w:val="en-GB"/>
        </w:rPr>
        <w:lastRenderedPageBreak/>
        <w:t>Emerging Technologies</w:t>
      </w:r>
    </w:p>
    <w:p w14:paraId="0E351AE1" w14:textId="0562A7C3" w:rsidR="00C42A2A" w:rsidRPr="00731DDC" w:rsidRDefault="00C42A2A" w:rsidP="005F4075">
      <w:pPr>
        <w:rPr>
          <w:lang w:val="en-GB"/>
        </w:rPr>
      </w:pPr>
      <w:r w:rsidRPr="00731DDC">
        <w:rPr>
          <w:lang w:val="en-GB"/>
        </w:rPr>
        <w:t xml:space="preserve">Emerging digital technologies present a significant growth opportunity for Australia and Singapore. </w:t>
      </w:r>
      <w:r w:rsidR="00947CE0">
        <w:rPr>
          <w:lang w:val="en-GB"/>
        </w:rPr>
        <w:fldChar w:fldCharType="begin"/>
      </w:r>
      <w:r w:rsidR="00947CE0">
        <w:rPr>
          <w:lang w:val="en-GB"/>
        </w:rPr>
        <w:instrText xml:space="preserve"> REF _Ref51067005 \h </w:instrText>
      </w:r>
      <w:r w:rsidR="00947CE0">
        <w:rPr>
          <w:lang w:val="en-GB"/>
        </w:rPr>
      </w:r>
      <w:r w:rsidR="00947CE0">
        <w:rPr>
          <w:lang w:val="en-GB"/>
        </w:rPr>
        <w:fldChar w:fldCharType="separate"/>
      </w:r>
      <w:r w:rsidR="00947CE0" w:rsidRPr="00731DDC">
        <w:rPr>
          <w:lang w:val="en-GB"/>
        </w:rPr>
        <w:t xml:space="preserve">Table </w:t>
      </w:r>
      <w:r w:rsidR="00947CE0">
        <w:rPr>
          <w:noProof/>
          <w:lang w:val="en-GB"/>
        </w:rPr>
        <w:t>6</w:t>
      </w:r>
      <w:r w:rsidR="00947CE0">
        <w:rPr>
          <w:lang w:val="en-GB"/>
        </w:rPr>
        <w:fldChar w:fldCharType="end"/>
      </w:r>
      <w:r w:rsidR="00947CE0">
        <w:rPr>
          <w:lang w:val="en-GB"/>
        </w:rPr>
        <w:t xml:space="preserve"> </w:t>
      </w:r>
      <w:r w:rsidRPr="00731DDC">
        <w:rPr>
          <w:lang w:val="en-GB"/>
        </w:rPr>
        <w:t xml:space="preserve">below provides some projections of the potential value add to the respective economies. Some of these technologies, such as 5G and 3D printing, will be used in many, if not all industries, enabling growth across sectors and use cases, as well as leading to the development of new business opportunities and business models. For instance, research has suggested that 5G could enable a 48% incremental revenue opportunity for Australian telecom operators by 2026. In Singapore, 5G is expected to be launched in 2020, with over 50 per cent penetration by 2025. This will result in an estimated AUD2.77bn contribution to the economy in 2024. </w:t>
      </w:r>
      <w:r w:rsidRPr="00731DDC">
        <w:rPr>
          <w:rStyle w:val="FootnoteReference"/>
          <w:lang w:val="en-GB"/>
        </w:rPr>
        <w:footnoteReference w:id="73"/>
      </w:r>
    </w:p>
    <w:p w14:paraId="2654F3EB" w14:textId="34CA9046" w:rsidR="00C42A2A" w:rsidRPr="00731DDC" w:rsidRDefault="00C42A2A" w:rsidP="005F4075">
      <w:pPr>
        <w:rPr>
          <w:lang w:val="en-GB"/>
        </w:rPr>
      </w:pPr>
      <w:r w:rsidRPr="00731DDC">
        <w:rPr>
          <w:lang w:val="en-GB"/>
        </w:rPr>
        <w:t>The value of the IoT industry in Australia, which includes platforms, components and applications was worth USD7.9bn in 2018 (AUD10.7bn), and expected to grow at a significant 21% CAGR to reach AUD33.69bn by 2024.</w:t>
      </w:r>
      <w:r w:rsidRPr="00731DDC">
        <w:rPr>
          <w:rStyle w:val="FootnoteReference"/>
          <w:lang w:val="en-GB"/>
        </w:rPr>
        <w:footnoteReference w:id="74"/>
      </w:r>
      <w:r w:rsidRPr="00731DDC">
        <w:rPr>
          <w:lang w:val="en-GB"/>
        </w:rPr>
        <w:t xml:space="preserve"> Research suggests there is an opportunity for Australia to develop an expertise in core elements of the IoT ecosystem, including identity and security, applications, domestic communications and networking, as well as the development of specific IoT hardware that supports industries where Australia has expertise, for instance agriculture or mining.</w:t>
      </w:r>
      <w:r w:rsidRPr="00731DDC">
        <w:rPr>
          <w:rStyle w:val="FootnoteReference"/>
          <w:lang w:val="en-GB"/>
        </w:rPr>
        <w:footnoteReference w:id="75"/>
      </w:r>
      <w:r w:rsidRPr="00731DDC">
        <w:rPr>
          <w:lang w:val="en-GB"/>
        </w:rPr>
        <w:t xml:space="preserve"> For Singapore, the IoT market grows at a  CAGR of 10.7%, estimated to reach AUD10.46bn in 2024.</w:t>
      </w:r>
      <w:r w:rsidRPr="00731DDC">
        <w:rPr>
          <w:rStyle w:val="FootnoteReference"/>
          <w:lang w:val="en-GB"/>
        </w:rPr>
        <w:footnoteReference w:id="76"/>
      </w:r>
      <w:r w:rsidR="00947CE0">
        <w:rPr>
          <w:lang w:val="en-GB"/>
        </w:rPr>
        <w:t xml:space="preserve"> </w:t>
      </w:r>
      <w:r w:rsidRPr="00731DDC">
        <w:rPr>
          <w:lang w:val="en-GB"/>
        </w:rPr>
        <w:t>Favourable infrastructure such as high fibre connectivity, data centres and submarine cables and 5G networks, as well as enabling regulations and policies will likely present more opportunities for growth of the IoT market.</w:t>
      </w:r>
      <w:r w:rsidRPr="00731DDC">
        <w:rPr>
          <w:rStyle w:val="FootnoteReference"/>
          <w:lang w:val="en-GB"/>
        </w:rPr>
        <w:footnoteReference w:id="77"/>
      </w:r>
      <w:r w:rsidRPr="00731DDC">
        <w:rPr>
          <w:lang w:val="en-GB"/>
        </w:rPr>
        <w:t xml:space="preserve"> </w:t>
      </w:r>
    </w:p>
    <w:p w14:paraId="241E5178" w14:textId="77777777" w:rsidR="00C42A2A" w:rsidRPr="00731DDC" w:rsidRDefault="00C42A2A" w:rsidP="005F4075">
      <w:pPr>
        <w:rPr>
          <w:lang w:val="en-GB"/>
        </w:rPr>
      </w:pPr>
      <w:r w:rsidRPr="00731DDC">
        <w:rPr>
          <w:lang w:val="en-GB"/>
        </w:rPr>
        <w:t>Even though blockchain is still in the early stages of adoption, the Singaporean blockchain market has the potential to contribute AUD3.85bn to the economy by 2024, with a CAGR of 15%.</w:t>
      </w:r>
      <w:r w:rsidRPr="00731DDC">
        <w:rPr>
          <w:rStyle w:val="FootnoteReference"/>
          <w:lang w:val="en-GB"/>
        </w:rPr>
        <w:footnoteReference w:id="78"/>
      </w:r>
      <w:r w:rsidRPr="00731DDC">
        <w:rPr>
          <w:lang w:val="en-GB"/>
        </w:rPr>
        <w:t xml:space="preserve"> While the opportunities are limitless, Singapore’s current ecosystem includes businesses concentrating on asset tokenization, transport, insurance, digital identity and mobility. </w:t>
      </w:r>
    </w:p>
    <w:p w14:paraId="3A282CEE" w14:textId="77777777" w:rsidR="00C42A2A" w:rsidRPr="00731DDC" w:rsidRDefault="00C42A2A" w:rsidP="005F4075">
      <w:pPr>
        <w:rPr>
          <w:lang w:val="en-GB"/>
        </w:rPr>
      </w:pPr>
      <w:r w:rsidRPr="00731DDC">
        <w:rPr>
          <w:lang w:val="en-GB"/>
        </w:rPr>
        <w:t>3D printing in Asia Pacific is growing at 18%, and the region is expected to spend AUD4.85bn on it by 2024.</w:t>
      </w:r>
      <w:r w:rsidRPr="00731DDC">
        <w:rPr>
          <w:rStyle w:val="FootnoteReference"/>
          <w:lang w:val="en-GB"/>
        </w:rPr>
        <w:footnoteReference w:id="79"/>
      </w:r>
      <w:r w:rsidRPr="00731DDC">
        <w:rPr>
          <w:lang w:val="en-GB"/>
        </w:rPr>
        <w:t xml:space="preserve"> Both Australia and Singapore will see significant growth in this market in the coming years, with a focus on high-value technologies, and applications in medical, aerospace, marine and defence-related sectors. </w:t>
      </w:r>
    </w:p>
    <w:p w14:paraId="3250731D" w14:textId="77777777" w:rsidR="00C42A2A" w:rsidRPr="00731DDC" w:rsidRDefault="00C42A2A" w:rsidP="005F4075">
      <w:pPr>
        <w:rPr>
          <w:lang w:val="en-GB"/>
        </w:rPr>
      </w:pPr>
      <w:r w:rsidRPr="00731DDC">
        <w:rPr>
          <w:lang w:val="en-GB"/>
        </w:rPr>
        <w:t>AI is a key technology area for both countries. The Australian market is expected to reach AUD1.98bn by 2025, growing at an estimated 22% each year.</w:t>
      </w:r>
      <w:r w:rsidRPr="00731DDC">
        <w:rPr>
          <w:rStyle w:val="FootnoteReference"/>
          <w:lang w:val="en-GB"/>
        </w:rPr>
        <w:footnoteReference w:id="80"/>
      </w:r>
      <w:r w:rsidRPr="00731DDC">
        <w:rPr>
          <w:lang w:val="en-GB"/>
        </w:rPr>
        <w:t xml:space="preserve"> It is already making contributions in education, retail, health and financial services. The Singaporean market on the other hand will grow at a CAGR of 25.3%, to reach an estimated AUD11.89bn by 2024.</w:t>
      </w:r>
      <w:r w:rsidRPr="00731DDC">
        <w:rPr>
          <w:rStyle w:val="FootnoteReference"/>
          <w:lang w:val="en-GB"/>
        </w:rPr>
        <w:footnoteReference w:id="81"/>
      </w:r>
    </w:p>
    <w:p w14:paraId="535CF268" w14:textId="5D10A09C" w:rsidR="00C42A2A" w:rsidRPr="00731DDC" w:rsidRDefault="00C42A2A" w:rsidP="006515BA">
      <w:pPr>
        <w:pStyle w:val="Caption"/>
        <w:rPr>
          <w:lang w:val="en-GB"/>
        </w:rPr>
      </w:pPr>
      <w:bookmarkStart w:id="53" w:name="_Ref51067005"/>
      <w:r w:rsidRPr="00731DDC">
        <w:rPr>
          <w:lang w:val="en-GB"/>
        </w:rPr>
        <w:lastRenderedPageBreak/>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6</w:t>
      </w:r>
      <w:r w:rsidRPr="00731DDC">
        <w:rPr>
          <w:lang w:val="en-GB"/>
        </w:rPr>
        <w:fldChar w:fldCharType="end"/>
      </w:r>
      <w:bookmarkEnd w:id="53"/>
      <w:r w:rsidRPr="00731DDC">
        <w:rPr>
          <w:lang w:val="en-GB"/>
        </w:rPr>
        <w:t xml:space="preserve">: Emerging Transformative Digital Technologies </w:t>
      </w:r>
      <w:r w:rsidRPr="00731DDC">
        <w:rPr>
          <w:i/>
          <w:lang w:val="en-GB"/>
        </w:rPr>
        <w:t>(2020-2030)</w:t>
      </w:r>
    </w:p>
    <w:tbl>
      <w:tblPr>
        <w:tblStyle w:val="GridTable4-Accent11"/>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6A0" w:firstRow="1" w:lastRow="0" w:firstColumn="1" w:lastColumn="0" w:noHBand="1" w:noVBand="1"/>
      </w:tblPr>
      <w:tblGrid>
        <w:gridCol w:w="3005"/>
        <w:gridCol w:w="3005"/>
        <w:gridCol w:w="3006"/>
      </w:tblGrid>
      <w:tr w:rsidR="00C42A2A" w:rsidRPr="00731DDC" w14:paraId="0B2348C3" w14:textId="77777777" w:rsidTr="006907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2FCC5593" w14:textId="77777777" w:rsidR="00C42A2A" w:rsidRPr="00731DDC" w:rsidRDefault="00C42A2A" w:rsidP="006515BA">
            <w:pPr>
              <w:spacing w:before="40" w:after="40"/>
              <w:rPr>
                <w:sz w:val="20"/>
                <w:szCs w:val="20"/>
                <w:lang w:val="en-GB"/>
              </w:rPr>
            </w:pPr>
            <w:r w:rsidRPr="00731DDC">
              <w:rPr>
                <w:sz w:val="20"/>
                <w:szCs w:val="20"/>
                <w:lang w:val="en-GB"/>
              </w:rPr>
              <w:t>Industry</w:t>
            </w:r>
          </w:p>
        </w:tc>
        <w:tc>
          <w:tcPr>
            <w:tcW w:w="3005" w:type="dxa"/>
            <w:tcBorders>
              <w:top w:val="none" w:sz="0" w:space="0" w:color="auto"/>
              <w:left w:val="none" w:sz="0" w:space="0" w:color="auto"/>
              <w:bottom w:val="none" w:sz="0" w:space="0" w:color="auto"/>
              <w:right w:val="none" w:sz="0" w:space="0" w:color="auto"/>
            </w:tcBorders>
          </w:tcPr>
          <w:p w14:paraId="4CFBC16B" w14:textId="77777777" w:rsidR="00C42A2A" w:rsidRPr="00731DDC" w:rsidRDefault="00C42A2A" w:rsidP="006515BA">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Australia</w:t>
            </w:r>
          </w:p>
        </w:tc>
        <w:tc>
          <w:tcPr>
            <w:tcW w:w="3006" w:type="dxa"/>
            <w:tcBorders>
              <w:top w:val="none" w:sz="0" w:space="0" w:color="auto"/>
              <w:left w:val="none" w:sz="0" w:space="0" w:color="auto"/>
              <w:bottom w:val="none" w:sz="0" w:space="0" w:color="auto"/>
              <w:right w:val="none" w:sz="0" w:space="0" w:color="auto"/>
            </w:tcBorders>
          </w:tcPr>
          <w:p w14:paraId="7137F79D" w14:textId="77777777" w:rsidR="00C42A2A" w:rsidRPr="00731DDC" w:rsidRDefault="00C42A2A" w:rsidP="006515BA">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731DDC">
              <w:rPr>
                <w:sz w:val="20"/>
                <w:szCs w:val="20"/>
                <w:lang w:val="en-GB"/>
              </w:rPr>
              <w:t>Singapore</w:t>
            </w:r>
          </w:p>
        </w:tc>
      </w:tr>
      <w:tr w:rsidR="00C42A2A" w:rsidRPr="00731DDC" w14:paraId="32E1540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63AB04BB" w14:textId="6EEB7FD4" w:rsidR="00C42A2A" w:rsidRPr="00731DDC" w:rsidRDefault="00C42A2A" w:rsidP="006515BA">
            <w:pPr>
              <w:spacing w:before="40" w:after="40"/>
              <w:rPr>
                <w:sz w:val="20"/>
                <w:szCs w:val="20"/>
                <w:lang w:val="en-GB"/>
              </w:rPr>
            </w:pPr>
            <w:r w:rsidRPr="00731DDC">
              <w:rPr>
                <w:b w:val="0"/>
                <w:bCs w:val="0"/>
                <w:i/>
                <w:iCs/>
                <w:sz w:val="20"/>
                <w:szCs w:val="20"/>
                <w:lang w:val="en-GB"/>
              </w:rPr>
              <w:t xml:space="preserve">(AUD </w:t>
            </w:r>
            <w:r w:rsidR="006515BA" w:rsidRPr="00731DDC">
              <w:rPr>
                <w:b w:val="0"/>
                <w:bCs w:val="0"/>
                <w:i/>
                <w:iCs/>
                <w:sz w:val="20"/>
                <w:szCs w:val="20"/>
                <w:lang w:val="en-GB"/>
              </w:rPr>
              <w:t>b</w:t>
            </w:r>
            <w:r w:rsidR="006907BE">
              <w:rPr>
                <w:b w:val="0"/>
                <w:bCs w:val="0"/>
                <w:i/>
                <w:iCs/>
                <w:sz w:val="20"/>
                <w:szCs w:val="20"/>
                <w:lang w:val="en-GB"/>
              </w:rPr>
              <w:t>illio</w:t>
            </w:r>
            <w:r w:rsidR="006515BA" w:rsidRPr="00731DDC">
              <w:rPr>
                <w:b w:val="0"/>
                <w:bCs w:val="0"/>
                <w:i/>
                <w:iCs/>
                <w:sz w:val="20"/>
                <w:szCs w:val="20"/>
                <w:lang w:val="en-GB"/>
              </w:rPr>
              <w:t>n</w:t>
            </w:r>
            <w:r w:rsidR="006907BE">
              <w:rPr>
                <w:b w:val="0"/>
                <w:bCs w:val="0"/>
                <w:i/>
                <w:iCs/>
                <w:sz w:val="20"/>
                <w:szCs w:val="20"/>
                <w:lang w:val="en-GB"/>
              </w:rPr>
              <w:t>s</w:t>
            </w:r>
            <w:r w:rsidRPr="00731DDC">
              <w:rPr>
                <w:b w:val="0"/>
                <w:bCs w:val="0"/>
                <w:i/>
                <w:iCs/>
                <w:sz w:val="20"/>
                <w:szCs w:val="20"/>
                <w:lang w:val="en-GB"/>
              </w:rPr>
              <w:t>)</w:t>
            </w:r>
          </w:p>
        </w:tc>
      </w:tr>
      <w:tr w:rsidR="00C42A2A" w:rsidRPr="00731DDC" w14:paraId="52A0E374"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9604438" w14:textId="77777777" w:rsidR="00C42A2A" w:rsidRPr="00731DDC" w:rsidRDefault="00C42A2A" w:rsidP="006515BA">
            <w:pPr>
              <w:spacing w:before="40" w:after="40"/>
              <w:rPr>
                <w:sz w:val="20"/>
                <w:szCs w:val="20"/>
                <w:lang w:val="en-GB"/>
              </w:rPr>
            </w:pPr>
            <w:r w:rsidRPr="00731DDC">
              <w:rPr>
                <w:sz w:val="20"/>
                <w:szCs w:val="20"/>
                <w:lang w:val="en-GB"/>
              </w:rPr>
              <w:t>5G</w:t>
            </w:r>
          </w:p>
        </w:tc>
        <w:tc>
          <w:tcPr>
            <w:tcW w:w="3005" w:type="dxa"/>
            <w:vAlign w:val="center"/>
          </w:tcPr>
          <w:p w14:paraId="4D25BF02"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31DDC">
              <w:rPr>
                <w:rFonts w:ascii="Calibri" w:hAnsi="Calibri" w:cs="Calibri"/>
                <w:sz w:val="20"/>
                <w:szCs w:val="20"/>
                <w:lang w:val="en-GB"/>
              </w:rPr>
              <w:t>18.19</w:t>
            </w:r>
          </w:p>
        </w:tc>
        <w:tc>
          <w:tcPr>
            <w:tcW w:w="3006" w:type="dxa"/>
            <w:vAlign w:val="center"/>
          </w:tcPr>
          <w:p w14:paraId="3C1D7F14"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2.77</w:t>
            </w:r>
          </w:p>
        </w:tc>
      </w:tr>
      <w:tr w:rsidR="00C42A2A" w:rsidRPr="00731DDC" w14:paraId="6F5C40F4"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142B408" w14:textId="77777777" w:rsidR="00C42A2A" w:rsidRPr="00731DDC" w:rsidRDefault="00C42A2A" w:rsidP="006515BA">
            <w:pPr>
              <w:spacing w:before="40" w:after="40"/>
              <w:rPr>
                <w:sz w:val="20"/>
                <w:szCs w:val="20"/>
                <w:lang w:val="en-GB"/>
              </w:rPr>
            </w:pPr>
            <w:r w:rsidRPr="00731DDC">
              <w:rPr>
                <w:sz w:val="20"/>
                <w:szCs w:val="20"/>
                <w:lang w:val="en-GB"/>
              </w:rPr>
              <w:t>IoT</w:t>
            </w:r>
          </w:p>
        </w:tc>
        <w:tc>
          <w:tcPr>
            <w:tcW w:w="3005" w:type="dxa"/>
            <w:vAlign w:val="center"/>
          </w:tcPr>
          <w:p w14:paraId="7701570B"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31DDC">
              <w:rPr>
                <w:rFonts w:ascii="Calibri" w:hAnsi="Calibri" w:cs="Calibri"/>
                <w:sz w:val="20"/>
                <w:szCs w:val="20"/>
                <w:lang w:val="en-GB"/>
              </w:rPr>
              <w:t>33.69</w:t>
            </w:r>
          </w:p>
        </w:tc>
        <w:tc>
          <w:tcPr>
            <w:tcW w:w="3006" w:type="dxa"/>
            <w:vAlign w:val="center"/>
          </w:tcPr>
          <w:p w14:paraId="09752D6C"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10.46</w:t>
            </w:r>
          </w:p>
        </w:tc>
      </w:tr>
      <w:tr w:rsidR="00C42A2A" w:rsidRPr="00731DDC" w14:paraId="58622C1D"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4134BDBD" w14:textId="77777777" w:rsidR="00C42A2A" w:rsidRPr="00731DDC" w:rsidRDefault="00C42A2A" w:rsidP="006515BA">
            <w:pPr>
              <w:spacing w:before="40" w:after="40"/>
              <w:rPr>
                <w:sz w:val="20"/>
                <w:szCs w:val="20"/>
                <w:lang w:val="en-GB"/>
              </w:rPr>
            </w:pPr>
            <w:r w:rsidRPr="00731DDC">
              <w:rPr>
                <w:sz w:val="20"/>
                <w:szCs w:val="20"/>
                <w:lang w:val="en-GB"/>
              </w:rPr>
              <w:t>Blockchain</w:t>
            </w:r>
          </w:p>
        </w:tc>
        <w:tc>
          <w:tcPr>
            <w:tcW w:w="3005" w:type="dxa"/>
            <w:vAlign w:val="center"/>
          </w:tcPr>
          <w:p w14:paraId="1F5FC11F"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0"/>
                <w:szCs w:val="20"/>
                <w:lang w:val="en-GB"/>
              </w:rPr>
            </w:pPr>
            <w:r w:rsidRPr="00731DDC">
              <w:rPr>
                <w:rFonts w:ascii="Calibri" w:hAnsi="Calibri" w:cs="Calibri"/>
                <w:sz w:val="20"/>
                <w:szCs w:val="20"/>
                <w:lang w:val="en-GB"/>
              </w:rPr>
              <w:t>NA</w:t>
            </w:r>
          </w:p>
        </w:tc>
        <w:tc>
          <w:tcPr>
            <w:tcW w:w="3006" w:type="dxa"/>
            <w:vAlign w:val="center"/>
          </w:tcPr>
          <w:p w14:paraId="37808459"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3.85</w:t>
            </w:r>
          </w:p>
        </w:tc>
      </w:tr>
      <w:tr w:rsidR="00C42A2A" w:rsidRPr="00731DDC" w14:paraId="3F1AB7BC"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49432FF3" w14:textId="77777777" w:rsidR="00C42A2A" w:rsidRPr="00731DDC" w:rsidRDefault="00C42A2A" w:rsidP="006515BA">
            <w:pPr>
              <w:spacing w:before="40" w:after="40"/>
              <w:rPr>
                <w:sz w:val="20"/>
                <w:szCs w:val="20"/>
                <w:lang w:val="en-GB"/>
              </w:rPr>
            </w:pPr>
            <w:r w:rsidRPr="00731DDC">
              <w:rPr>
                <w:sz w:val="20"/>
                <w:szCs w:val="20"/>
                <w:lang w:val="en-GB"/>
              </w:rPr>
              <w:t>3D Printing</w:t>
            </w:r>
          </w:p>
        </w:tc>
        <w:tc>
          <w:tcPr>
            <w:tcW w:w="3005" w:type="dxa"/>
            <w:vAlign w:val="center"/>
          </w:tcPr>
          <w:p w14:paraId="319347D5"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31DDC">
              <w:rPr>
                <w:rFonts w:ascii="Calibri" w:hAnsi="Calibri" w:cs="Calibri"/>
                <w:sz w:val="20"/>
                <w:szCs w:val="20"/>
                <w:lang w:val="en-GB"/>
              </w:rPr>
              <w:t>0.24</w:t>
            </w:r>
          </w:p>
        </w:tc>
        <w:tc>
          <w:tcPr>
            <w:tcW w:w="3006" w:type="dxa"/>
            <w:vAlign w:val="center"/>
          </w:tcPr>
          <w:p w14:paraId="7A3785F3"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0.13</w:t>
            </w:r>
          </w:p>
        </w:tc>
      </w:tr>
      <w:tr w:rsidR="00C42A2A" w:rsidRPr="00731DDC" w14:paraId="53581ADE"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F0775E5" w14:textId="77777777" w:rsidR="00C42A2A" w:rsidRPr="00731DDC" w:rsidRDefault="00C42A2A" w:rsidP="006515BA">
            <w:pPr>
              <w:spacing w:before="40" w:after="40"/>
              <w:rPr>
                <w:sz w:val="20"/>
                <w:szCs w:val="20"/>
                <w:lang w:val="en-GB"/>
              </w:rPr>
            </w:pPr>
            <w:r w:rsidRPr="00731DDC">
              <w:rPr>
                <w:sz w:val="20"/>
                <w:szCs w:val="20"/>
                <w:lang w:val="en-GB"/>
              </w:rPr>
              <w:t>AI</w:t>
            </w:r>
          </w:p>
        </w:tc>
        <w:tc>
          <w:tcPr>
            <w:tcW w:w="3005" w:type="dxa"/>
            <w:vAlign w:val="center"/>
          </w:tcPr>
          <w:p w14:paraId="5C42C0C9"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31DDC">
              <w:rPr>
                <w:rFonts w:ascii="Calibri" w:hAnsi="Calibri" w:cs="Calibri"/>
                <w:sz w:val="20"/>
                <w:szCs w:val="20"/>
                <w:lang w:val="en-GB"/>
              </w:rPr>
              <w:t>1.98</w:t>
            </w:r>
          </w:p>
        </w:tc>
        <w:tc>
          <w:tcPr>
            <w:tcW w:w="3006" w:type="dxa"/>
            <w:vAlign w:val="center"/>
          </w:tcPr>
          <w:p w14:paraId="07EABCC2"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themeColor="text1"/>
                <w:sz w:val="20"/>
                <w:szCs w:val="20"/>
                <w:lang w:val="en-GB"/>
              </w:rPr>
              <w:t>11.89</w:t>
            </w:r>
          </w:p>
        </w:tc>
      </w:tr>
      <w:tr w:rsidR="00C42A2A" w:rsidRPr="00731DDC" w14:paraId="47B83FD0"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60B9FEB" w14:textId="77777777" w:rsidR="00C42A2A" w:rsidRPr="00731DDC" w:rsidRDefault="00C42A2A" w:rsidP="006515BA">
            <w:pPr>
              <w:spacing w:before="40" w:after="40"/>
              <w:rPr>
                <w:sz w:val="20"/>
                <w:szCs w:val="20"/>
                <w:lang w:val="en-GB"/>
              </w:rPr>
            </w:pPr>
            <w:r w:rsidRPr="00731DDC">
              <w:rPr>
                <w:sz w:val="20"/>
                <w:szCs w:val="20"/>
                <w:lang w:val="en-GB"/>
              </w:rPr>
              <w:t>Big Data &amp; Analytics</w:t>
            </w:r>
          </w:p>
        </w:tc>
        <w:tc>
          <w:tcPr>
            <w:tcW w:w="3005" w:type="dxa"/>
            <w:vAlign w:val="center"/>
          </w:tcPr>
          <w:p w14:paraId="37030271"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31DDC">
              <w:rPr>
                <w:rFonts w:ascii="Calibri" w:hAnsi="Calibri" w:cs="Calibri"/>
                <w:sz w:val="20"/>
                <w:szCs w:val="20"/>
                <w:lang w:val="en-GB"/>
              </w:rPr>
              <w:t>2.83</w:t>
            </w:r>
          </w:p>
        </w:tc>
        <w:tc>
          <w:tcPr>
            <w:tcW w:w="3006" w:type="dxa"/>
            <w:vAlign w:val="center"/>
          </w:tcPr>
          <w:p w14:paraId="09817D80"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731DDC">
              <w:rPr>
                <w:rFonts w:ascii="Calibri" w:hAnsi="Calibri" w:cs="Calibri"/>
                <w:color w:val="000000"/>
                <w:sz w:val="20"/>
                <w:szCs w:val="20"/>
                <w:lang w:val="en-GB"/>
              </w:rPr>
              <w:t>0.98</w:t>
            </w:r>
          </w:p>
        </w:tc>
      </w:tr>
      <w:tr w:rsidR="00C42A2A" w:rsidRPr="00731DDC" w14:paraId="4496D7D2" w14:textId="77777777" w:rsidTr="006907BE">
        <w:trPr>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D9E2F3" w:themeFill="accent1" w:themeFillTint="33"/>
          </w:tcPr>
          <w:p w14:paraId="0274DDC4" w14:textId="77777777" w:rsidR="00C42A2A" w:rsidRPr="00731DDC" w:rsidRDefault="00C42A2A" w:rsidP="006515BA">
            <w:pPr>
              <w:spacing w:before="40" w:after="40"/>
              <w:rPr>
                <w:sz w:val="20"/>
                <w:szCs w:val="20"/>
                <w:lang w:val="en-GB"/>
              </w:rPr>
            </w:pPr>
            <w:r w:rsidRPr="00731DDC">
              <w:rPr>
                <w:sz w:val="20"/>
                <w:szCs w:val="20"/>
                <w:lang w:val="en-GB"/>
              </w:rPr>
              <w:t>Total</w:t>
            </w:r>
          </w:p>
        </w:tc>
        <w:tc>
          <w:tcPr>
            <w:tcW w:w="3005" w:type="dxa"/>
            <w:shd w:val="clear" w:color="auto" w:fill="D9E2F3" w:themeFill="accent1" w:themeFillTint="33"/>
            <w:vAlign w:val="center"/>
          </w:tcPr>
          <w:p w14:paraId="586C5B74" w14:textId="77777777" w:rsidR="00C42A2A" w:rsidRPr="00731DDC" w:rsidRDefault="00C42A2A" w:rsidP="006515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GB"/>
              </w:rPr>
            </w:pPr>
            <w:r w:rsidRPr="00731DDC">
              <w:rPr>
                <w:rFonts w:ascii="Calibri" w:hAnsi="Calibri" w:cs="Calibri"/>
                <w:b/>
                <w:bCs/>
                <w:sz w:val="20"/>
                <w:szCs w:val="20"/>
                <w:lang w:val="en-GB"/>
              </w:rPr>
              <w:t>56.93</w:t>
            </w:r>
          </w:p>
        </w:tc>
        <w:tc>
          <w:tcPr>
            <w:tcW w:w="3006" w:type="dxa"/>
            <w:shd w:val="clear" w:color="auto" w:fill="D9E2F3" w:themeFill="accent1" w:themeFillTint="33"/>
            <w:vAlign w:val="center"/>
          </w:tcPr>
          <w:p w14:paraId="4FFD5446" w14:textId="77777777" w:rsidR="00C42A2A" w:rsidRPr="00731DDC" w:rsidRDefault="00C42A2A" w:rsidP="006515BA">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rPr>
            </w:pPr>
            <w:r w:rsidRPr="00731DDC">
              <w:rPr>
                <w:rFonts w:ascii="Calibri" w:hAnsi="Calibri" w:cs="Calibri"/>
                <w:b/>
                <w:bCs/>
                <w:color w:val="000000" w:themeColor="text1"/>
                <w:sz w:val="20"/>
                <w:szCs w:val="20"/>
                <w:lang w:val="en-GB"/>
              </w:rPr>
              <w:t>30.09</w:t>
            </w:r>
          </w:p>
        </w:tc>
      </w:tr>
    </w:tbl>
    <w:p w14:paraId="30FCA015" w14:textId="5B682719" w:rsidR="00C42A2A" w:rsidRPr="00731DDC" w:rsidRDefault="00C42A2A" w:rsidP="006907BE">
      <w:pPr>
        <w:spacing w:line="276" w:lineRule="auto"/>
        <w:ind w:left="426"/>
        <w:rPr>
          <w:i/>
          <w:iCs/>
          <w:sz w:val="18"/>
          <w:szCs w:val="18"/>
          <w:lang w:val="en-GB"/>
        </w:rPr>
      </w:pPr>
      <w:r w:rsidRPr="00731DDC">
        <w:rPr>
          <w:i/>
          <w:iCs/>
          <w:sz w:val="18"/>
          <w:szCs w:val="18"/>
          <w:lang w:val="en-GB"/>
        </w:rPr>
        <w:t xml:space="preserve">Note: See Appendix </w:t>
      </w:r>
      <w:r w:rsidR="006907BE">
        <w:rPr>
          <w:i/>
          <w:iCs/>
          <w:sz w:val="18"/>
          <w:szCs w:val="18"/>
          <w:lang w:val="en-GB"/>
        </w:rPr>
        <w:t>I</w:t>
      </w:r>
      <w:r w:rsidRPr="00731DDC">
        <w:rPr>
          <w:i/>
          <w:iCs/>
          <w:sz w:val="18"/>
          <w:szCs w:val="18"/>
          <w:lang w:val="en-GB"/>
        </w:rPr>
        <w:t xml:space="preserve"> for the detailed projections and references</w:t>
      </w:r>
    </w:p>
    <w:p w14:paraId="6696029E" w14:textId="3C5D9346" w:rsidR="00C42A2A" w:rsidRPr="00731DDC" w:rsidRDefault="00C42A2A" w:rsidP="005F4075">
      <w:pPr>
        <w:rPr>
          <w:lang w:val="en-GB"/>
        </w:rPr>
      </w:pPr>
      <w:r w:rsidRPr="00731DDC">
        <w:rPr>
          <w:lang w:val="en-GB"/>
        </w:rPr>
        <w:t xml:space="preserve">The above estimates </w:t>
      </w:r>
      <w:r w:rsidR="00947CE0">
        <w:rPr>
          <w:lang w:val="en-GB"/>
        </w:rPr>
        <w:t xml:space="preserve">in </w:t>
      </w:r>
      <w:r w:rsidR="00947CE0">
        <w:rPr>
          <w:lang w:val="en-GB"/>
        </w:rPr>
        <w:fldChar w:fldCharType="begin"/>
      </w:r>
      <w:r w:rsidR="00947CE0">
        <w:rPr>
          <w:lang w:val="en-GB"/>
        </w:rPr>
        <w:instrText xml:space="preserve"> REF _Ref51067005 \h </w:instrText>
      </w:r>
      <w:r w:rsidR="00947CE0">
        <w:rPr>
          <w:lang w:val="en-GB"/>
        </w:rPr>
      </w:r>
      <w:r w:rsidR="00947CE0">
        <w:rPr>
          <w:lang w:val="en-GB"/>
        </w:rPr>
        <w:fldChar w:fldCharType="separate"/>
      </w:r>
      <w:r w:rsidR="00947CE0" w:rsidRPr="00731DDC">
        <w:rPr>
          <w:lang w:val="en-GB"/>
        </w:rPr>
        <w:t xml:space="preserve">Table </w:t>
      </w:r>
      <w:r w:rsidR="00947CE0">
        <w:rPr>
          <w:noProof/>
          <w:lang w:val="en-GB"/>
        </w:rPr>
        <w:t>6</w:t>
      </w:r>
      <w:r w:rsidR="00947CE0">
        <w:rPr>
          <w:lang w:val="en-GB"/>
        </w:rPr>
        <w:fldChar w:fldCharType="end"/>
      </w:r>
      <w:r w:rsidR="00947CE0">
        <w:rPr>
          <w:lang w:val="en-GB"/>
        </w:rPr>
        <w:t xml:space="preserve"> </w:t>
      </w:r>
      <w:r w:rsidRPr="00731DDC">
        <w:rPr>
          <w:lang w:val="en-GB"/>
        </w:rPr>
        <w:t xml:space="preserve">are based on both countries developing their own national roadmaps for their digital economy. With cooperation, and alignment on standards for new and current technologies, there is scope for new markets and businesses and greater expansion of existing markets, as potential trade barriers are reduced. This would allow increase the scope, speed of trade between Australia and Singapore. </w:t>
      </w:r>
    </w:p>
    <w:p w14:paraId="23EF620F" w14:textId="4D420120" w:rsidR="00C42A2A" w:rsidRPr="00731DDC" w:rsidRDefault="00C42A2A" w:rsidP="00C42A2A">
      <w:pPr>
        <w:pStyle w:val="Heading2"/>
        <w:spacing w:before="0" w:after="160" w:line="276" w:lineRule="auto"/>
        <w:rPr>
          <w:lang w:val="en-GB"/>
        </w:rPr>
      </w:pPr>
      <w:bookmarkStart w:id="54" w:name="_Toc51167322"/>
      <w:r w:rsidRPr="00731DDC">
        <w:rPr>
          <w:lang w:val="en-GB"/>
        </w:rPr>
        <w:t>Limitations to Measuring Digital Trade</w:t>
      </w:r>
      <w:bookmarkEnd w:id="54"/>
    </w:p>
    <w:bookmarkEnd w:id="44"/>
    <w:p w14:paraId="31919A30" w14:textId="77777777" w:rsidR="00C42A2A" w:rsidRPr="00731DDC" w:rsidRDefault="00C42A2A" w:rsidP="005F4075">
      <w:pPr>
        <w:rPr>
          <w:lang w:val="en-GB"/>
        </w:rPr>
      </w:pPr>
      <w:r w:rsidRPr="00731DDC">
        <w:rPr>
          <w:lang w:val="en-GB"/>
        </w:rPr>
        <w:t>There are challenges to measuring the value of digital trade and this too has been recognised at an international level by the United Nations Conference on Trade and Development (UNCTAD), International Monetary Fund (IMF) and the OECD.  An UNCTAD report refers to the challenge of having reliable statistics on the digital economy and its key components and dimensions.</w:t>
      </w:r>
      <w:r w:rsidRPr="00731DDC">
        <w:rPr>
          <w:vertAlign w:val="superscript"/>
          <w:lang w:val="en-GB"/>
        </w:rPr>
        <w:footnoteReference w:id="82"/>
      </w:r>
      <w:r w:rsidRPr="00731DDC">
        <w:rPr>
          <w:lang w:val="en-GB"/>
        </w:rPr>
        <w:t xml:space="preserve"> </w:t>
      </w:r>
    </w:p>
    <w:p w14:paraId="39D4FAE1" w14:textId="77777777" w:rsidR="00C42A2A" w:rsidRPr="00731DDC" w:rsidRDefault="00C42A2A" w:rsidP="005F4075">
      <w:pPr>
        <w:rPr>
          <w:lang w:val="en-GB"/>
        </w:rPr>
      </w:pPr>
      <w:r w:rsidRPr="00731DDC">
        <w:rPr>
          <w:lang w:val="en-GB"/>
        </w:rPr>
        <w:t>The IMF highlights that producers or consumers may struggle to determine whether they engaged in a cross-border transaction, especially if the transaction was intermediated by a local affiliate of a multinational firm and/or if transaction was facilitated by a foreign digital platform intermediating between two resident actors.</w:t>
      </w:r>
      <w:r w:rsidRPr="00731DDC">
        <w:rPr>
          <w:vertAlign w:val="superscript"/>
          <w:lang w:val="en-GB"/>
        </w:rPr>
        <w:footnoteReference w:id="83"/>
      </w:r>
      <w:r w:rsidRPr="00731DDC">
        <w:rPr>
          <w:lang w:val="en-GB"/>
        </w:rPr>
        <w:t xml:space="preserve"> </w:t>
      </w:r>
    </w:p>
    <w:p w14:paraId="3AA9629B" w14:textId="77777777" w:rsidR="00C42A2A" w:rsidRPr="00731DDC" w:rsidRDefault="00C42A2A" w:rsidP="005F4075">
      <w:pPr>
        <w:rPr>
          <w:iCs/>
          <w:lang w:val="en-GB"/>
        </w:rPr>
      </w:pPr>
      <w:r w:rsidRPr="00731DDC">
        <w:rPr>
          <w:lang w:val="en-GB"/>
        </w:rPr>
        <w:t>In addition, the OECD</w:t>
      </w:r>
      <w:r w:rsidRPr="00731DDC">
        <w:rPr>
          <w:vertAlign w:val="superscript"/>
          <w:lang w:val="en-GB"/>
        </w:rPr>
        <w:footnoteReference w:id="84"/>
      </w:r>
      <w:r w:rsidRPr="00731DDC">
        <w:rPr>
          <w:lang w:val="en-GB"/>
        </w:rPr>
        <w:t xml:space="preserve"> notes that: (i) separating digitally enabled from non-digitally enabled transactions can be complex, classification issues can also complicate identifying which sectors are involved in transactions; and (ii) trade flows which do not result in a monetary transaction, but which might support one also pose challenges. Nonetheless, the OECD states that efforts are underway to better reflect digital trade in international trade statistics to assist policymakers. While this a positive step, the OECD recognises that it will take some time before robust measures are identified it recommends proceeding with caution.</w:t>
      </w:r>
    </w:p>
    <w:p w14:paraId="0F38981F" w14:textId="77777777" w:rsidR="00C42A2A" w:rsidRPr="00731DDC" w:rsidRDefault="00C42A2A" w:rsidP="005F4075">
      <w:pPr>
        <w:rPr>
          <w:lang w:val="en-GB"/>
        </w:rPr>
      </w:pPr>
      <w:r w:rsidRPr="00731DDC">
        <w:rPr>
          <w:lang w:val="en-GB"/>
        </w:rPr>
        <w:t xml:space="preserve">For the purposes of this report to estimate the potential value of digital trade between Australia and Singapore, efforts have been made to obtain comparable country estimates from reliable sources. The projections have some limitations including the possibility of double counting. For instance, in some cases a suitable breakdown of statistics has not been available or have not been completely aligned to the definitions applied. In addition, our projected values of the four components of digital trade have included key and obvious categories and sectors that are being digitalised. Our estimates do not include the entire </w:t>
      </w:r>
      <w:r w:rsidRPr="00731DDC">
        <w:rPr>
          <w:lang w:val="en-GB"/>
        </w:rPr>
        <w:lastRenderedPageBreak/>
        <w:t>universe of products and services, in each component, as this would be a challenging exercise and access to such statistics is not available.</w:t>
      </w:r>
    </w:p>
    <w:p w14:paraId="09309F81" w14:textId="77777777" w:rsidR="00C42A2A" w:rsidRPr="00731DDC" w:rsidRDefault="00C42A2A" w:rsidP="00C42A2A">
      <w:pPr>
        <w:spacing w:line="276" w:lineRule="auto"/>
        <w:rPr>
          <w:lang w:val="en-GB"/>
        </w:rPr>
      </w:pPr>
    </w:p>
    <w:p w14:paraId="52521455" w14:textId="77777777" w:rsidR="006907BE" w:rsidRDefault="006907BE">
      <w:pPr>
        <w:spacing w:before="0" w:after="0"/>
        <w:rPr>
          <w:rFonts w:eastAsiaTheme="majorEastAsia" w:cstheme="majorBidi"/>
          <w:b/>
          <w:bCs/>
          <w:color w:val="2F5496" w:themeColor="accent1" w:themeShade="BF"/>
          <w:sz w:val="24"/>
          <w:szCs w:val="28"/>
          <w:lang w:val="en-GB"/>
        </w:rPr>
      </w:pPr>
      <w:bookmarkStart w:id="55" w:name="_Hlk38377172"/>
      <w:bookmarkEnd w:id="45"/>
      <w:r>
        <w:rPr>
          <w:lang w:val="en-GB"/>
        </w:rPr>
        <w:br w:type="page"/>
      </w:r>
    </w:p>
    <w:p w14:paraId="2963BADB" w14:textId="5B93DB54" w:rsidR="00C42A2A" w:rsidRPr="00731DDC" w:rsidRDefault="00C42A2A" w:rsidP="00C42A2A">
      <w:pPr>
        <w:pStyle w:val="Heading1"/>
        <w:spacing w:after="160" w:line="276" w:lineRule="auto"/>
        <w:rPr>
          <w:lang w:val="en-GB"/>
        </w:rPr>
      </w:pPr>
      <w:bookmarkStart w:id="56" w:name="_Toc51167323"/>
      <w:r w:rsidRPr="00731DDC">
        <w:rPr>
          <w:lang w:val="en-GB"/>
        </w:rPr>
        <w:lastRenderedPageBreak/>
        <w:t>The Importance of International Standards in Digital Trade</w:t>
      </w:r>
      <w:bookmarkEnd w:id="56"/>
    </w:p>
    <w:p w14:paraId="720436BA" w14:textId="77777777" w:rsidR="00C42A2A" w:rsidRPr="00731DDC" w:rsidRDefault="00C42A2A" w:rsidP="005F4075">
      <w:pPr>
        <w:rPr>
          <w:lang w:val="en-GB"/>
        </w:rPr>
      </w:pPr>
      <w:r w:rsidRPr="00731DDC">
        <w:rPr>
          <w:lang w:val="en-GB"/>
        </w:rPr>
        <w:t xml:space="preserve">Standards are typically a published document setting out specifications and procedures to ensure consistent implementation of processes, technologies and methods. The use of standards, when developed properly and deployed well, can enable a high benchmark for security, safety, quality and reliability of goods and services being delivered into a market. In turn, the </w:t>
      </w:r>
      <w:r w:rsidRPr="00731DDC">
        <w:rPr>
          <w:i/>
          <w:lang w:val="en-GB"/>
        </w:rPr>
        <w:t xml:space="preserve">implementation </w:t>
      </w:r>
      <w:r w:rsidRPr="00731DDC">
        <w:rPr>
          <w:lang w:val="en-GB"/>
        </w:rPr>
        <w:t>of standards increases the interoperability of the processes, technologies or methods standardised across the range of producers, suppliers and consumers.</w:t>
      </w:r>
    </w:p>
    <w:p w14:paraId="26B46F3D" w14:textId="001A1FFD" w:rsidR="00C42A2A" w:rsidRPr="00731DDC" w:rsidRDefault="00C42A2A" w:rsidP="005F4075">
      <w:pPr>
        <w:rPr>
          <w:lang w:val="en-GB"/>
        </w:rPr>
      </w:pPr>
      <w:r w:rsidRPr="00731DDC">
        <w:rPr>
          <w:lang w:val="en-GB"/>
        </w:rPr>
        <w:t xml:space="preserve">Standards bring benefits to businesses (shown below in </w:t>
      </w:r>
      <w:r w:rsidRPr="00731DDC">
        <w:rPr>
          <w:lang w:val="en-GB"/>
        </w:rPr>
        <w:fldChar w:fldCharType="begin"/>
      </w:r>
      <w:r w:rsidRPr="00731DDC">
        <w:rPr>
          <w:lang w:val="en-GB"/>
        </w:rPr>
        <w:instrText xml:space="preserve"> REF _Ref40902191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4</w:t>
      </w:r>
      <w:r w:rsidRPr="00731DDC">
        <w:rPr>
          <w:lang w:val="en-GB"/>
        </w:rPr>
        <w:fldChar w:fldCharType="end"/>
      </w:r>
      <w:r w:rsidRPr="00731DDC">
        <w:rPr>
          <w:lang w:val="en-GB"/>
        </w:rPr>
        <w:t xml:space="preserve">) in terms of substantially larger (potentially global) markets, reduced costs, standardised processes and compliance, as well as enhanced productivity. By making trade easier and more efficient, they bring benefits to the overall economy. For instance, a report commissioned by the British Standards Institute (BSI) found that standards contributed towards 37.4% of annual productivity growth in the UK, translating to an extra </w:t>
      </w:r>
      <w:r w:rsidRPr="00731DDC">
        <w:rPr>
          <w:rFonts w:cs="Calibri"/>
          <w:lang w:val="en-GB"/>
        </w:rPr>
        <w:t>AUD15.63m</w:t>
      </w:r>
      <w:r w:rsidRPr="00731DDC">
        <w:rPr>
          <w:lang w:val="en-GB"/>
        </w:rPr>
        <w:t xml:space="preserve"> of GDP in 2013. An additional AUD11.63bn exports per year can also be attributed to standards.</w:t>
      </w:r>
      <w:r w:rsidRPr="00731DDC">
        <w:rPr>
          <w:vertAlign w:val="superscript"/>
          <w:lang w:val="en-GB"/>
        </w:rPr>
        <w:footnoteReference w:id="85"/>
      </w:r>
      <w:r w:rsidRPr="00731DDC">
        <w:rPr>
          <w:lang w:val="en-GB"/>
        </w:rPr>
        <w:t xml:space="preserve"> </w:t>
      </w:r>
    </w:p>
    <w:p w14:paraId="731C3FC3" w14:textId="0657F553" w:rsidR="00C42A2A" w:rsidRPr="00731DDC" w:rsidRDefault="00C42A2A" w:rsidP="007C0781">
      <w:pPr>
        <w:pStyle w:val="Caption"/>
        <w:rPr>
          <w:lang w:val="en-GB"/>
        </w:rPr>
      </w:pPr>
      <w:bookmarkStart w:id="57" w:name="_Ref40902191"/>
      <w:r w:rsidRPr="00731DDC">
        <w:rPr>
          <w:lang w:val="en-GB"/>
        </w:rPr>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4</w:t>
      </w:r>
      <w:r w:rsidRPr="00731DDC">
        <w:rPr>
          <w:lang w:val="en-GB"/>
        </w:rPr>
        <w:fldChar w:fldCharType="end"/>
      </w:r>
      <w:bookmarkEnd w:id="57"/>
      <w:r w:rsidRPr="00731DDC">
        <w:rPr>
          <w:lang w:val="en-GB"/>
        </w:rPr>
        <w:t>: Benefits of Standards to Businesses</w:t>
      </w:r>
    </w:p>
    <w:p w14:paraId="1DC71C6B" w14:textId="0A519A9F" w:rsidR="00C42A2A" w:rsidRPr="00731DDC" w:rsidRDefault="00C35518" w:rsidP="00C35518">
      <w:pPr>
        <w:jc w:val="center"/>
        <w:rPr>
          <w:lang w:val="en-GB"/>
        </w:rPr>
      </w:pPr>
      <w:r w:rsidRPr="00731DDC">
        <w:rPr>
          <w:noProof/>
          <w:lang w:val="en-AU" w:eastAsia="en-AU"/>
        </w:rPr>
        <w:drawing>
          <wp:inline distT="0" distB="0" distL="0" distR="0" wp14:anchorId="7A681126" wp14:editId="1F11CBD2">
            <wp:extent cx="4511383" cy="1944304"/>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4546662" cy="1959508"/>
                    </a:xfrm>
                    <a:prstGeom prst="rect">
                      <a:avLst/>
                    </a:prstGeom>
                  </pic:spPr>
                </pic:pic>
              </a:graphicData>
            </a:graphic>
          </wp:inline>
        </w:drawing>
      </w:r>
    </w:p>
    <w:p w14:paraId="7A9A0305" w14:textId="4BD6D239" w:rsidR="00C42A2A" w:rsidRPr="00731DDC" w:rsidRDefault="00C42A2A" w:rsidP="005F4075">
      <w:pPr>
        <w:rPr>
          <w:lang w:val="en-GB"/>
        </w:rPr>
      </w:pPr>
      <w:r w:rsidRPr="00731DDC">
        <w:rPr>
          <w:lang w:val="en-GB"/>
        </w:rPr>
        <w:t xml:space="preserve">International standards facilitate </w:t>
      </w:r>
      <w:r w:rsidRPr="00731DDC">
        <w:rPr>
          <w:b/>
          <w:bCs/>
          <w:lang w:val="en-GB"/>
        </w:rPr>
        <w:t>interconnectivity</w:t>
      </w:r>
      <w:r w:rsidRPr="00731DDC">
        <w:rPr>
          <w:lang w:val="en-GB"/>
        </w:rPr>
        <w:t xml:space="preserve"> and </w:t>
      </w:r>
      <w:r w:rsidRPr="00731DDC">
        <w:rPr>
          <w:b/>
          <w:bCs/>
          <w:lang w:val="en-GB"/>
        </w:rPr>
        <w:t xml:space="preserve">interoperability </w:t>
      </w:r>
      <w:r w:rsidRPr="00731DDC">
        <w:rPr>
          <w:lang w:val="en-GB"/>
        </w:rPr>
        <w:t>by setting out specifications and procedures to ensure consistent implementation of processes, technologies and methods (</w:t>
      </w:r>
      <w:r w:rsidRPr="00731DDC">
        <w:rPr>
          <w:lang w:val="en-GB"/>
        </w:rPr>
        <w:fldChar w:fldCharType="begin"/>
      </w:r>
      <w:r w:rsidRPr="00731DDC">
        <w:rPr>
          <w:lang w:val="en-GB"/>
        </w:rPr>
        <w:instrText xml:space="preserve"> REF _Ref40902236 \h  \* MERGEFORMAT </w:instrText>
      </w:r>
      <w:r w:rsidRPr="00731DDC">
        <w:rPr>
          <w:lang w:val="en-GB"/>
        </w:rPr>
      </w:r>
      <w:r w:rsidRPr="00731DDC">
        <w:rPr>
          <w:lang w:val="en-GB"/>
        </w:rPr>
        <w:fldChar w:fldCharType="separate"/>
      </w:r>
      <w:r w:rsidR="00C9081C" w:rsidRPr="00731DDC">
        <w:rPr>
          <w:lang w:val="en-GB"/>
        </w:rPr>
        <w:t xml:space="preserve">Figure </w:t>
      </w:r>
      <w:r w:rsidR="00C9081C">
        <w:rPr>
          <w:lang w:val="en-GB"/>
        </w:rPr>
        <w:t>5</w:t>
      </w:r>
      <w:r w:rsidRPr="00731DDC">
        <w:rPr>
          <w:lang w:val="en-GB"/>
        </w:rPr>
        <w:fldChar w:fldCharType="end"/>
      </w:r>
      <w:r w:rsidRPr="00731DDC">
        <w:rPr>
          <w:lang w:val="en-GB"/>
        </w:rPr>
        <w:t xml:space="preserve">). Interconnectivity of networks allows traffic to travel across and between networks. This will for instance, enable economies of scale as the fixed costs of infrastructure rollout are spread across a greater level of output bringing about a fall in unit costs. </w:t>
      </w:r>
    </w:p>
    <w:p w14:paraId="0172C1F8" w14:textId="77777777" w:rsidR="00C42A2A" w:rsidRPr="00731DDC" w:rsidRDefault="00C42A2A" w:rsidP="005F4075">
      <w:pPr>
        <w:rPr>
          <w:lang w:val="en-GB"/>
        </w:rPr>
      </w:pPr>
      <w:r w:rsidRPr="00731DDC">
        <w:rPr>
          <w:lang w:val="en-GB"/>
        </w:rPr>
        <w:t xml:space="preserve">Interoperability of systems, software and operating platforms means that traffic can run effectively across different types of networks (e.g. from telecoms to banking to logistics to educational to health networks and so on). This too enables economies of scale, as fixed costs are spread across a wider range of output of different goods and services. Scale is associated with reach—the ability of a system to serve the greatest number of users. Enabling access by those previously unable to benefit from new systems. </w:t>
      </w:r>
    </w:p>
    <w:p w14:paraId="2A87F0FB" w14:textId="1FF1A08D" w:rsidR="00C42A2A" w:rsidRPr="00731DDC" w:rsidRDefault="00C42A2A" w:rsidP="007C0781">
      <w:pPr>
        <w:pStyle w:val="Caption"/>
        <w:rPr>
          <w:lang w:val="en-GB"/>
        </w:rPr>
      </w:pPr>
      <w:bookmarkStart w:id="58" w:name="_Ref40902236"/>
      <w:r w:rsidRPr="00731DDC">
        <w:rPr>
          <w:lang w:val="en-GB"/>
        </w:rPr>
        <w:lastRenderedPageBreak/>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5</w:t>
      </w:r>
      <w:r w:rsidRPr="00731DDC">
        <w:rPr>
          <w:lang w:val="en-GB"/>
        </w:rPr>
        <w:fldChar w:fldCharType="end"/>
      </w:r>
      <w:bookmarkEnd w:id="58"/>
      <w:r w:rsidRPr="00731DDC">
        <w:rPr>
          <w:lang w:val="en-GB"/>
        </w:rPr>
        <w:t>: Progressing Digital Trade Through Standards</w:t>
      </w:r>
    </w:p>
    <w:p w14:paraId="44CD22BB" w14:textId="12D6A8D4" w:rsidR="00DA776D" w:rsidRPr="00731DDC" w:rsidRDefault="00DA776D" w:rsidP="00DA776D">
      <w:pPr>
        <w:jc w:val="center"/>
        <w:rPr>
          <w:lang w:val="en-GB"/>
        </w:rPr>
      </w:pPr>
      <w:r w:rsidRPr="00731DDC">
        <w:rPr>
          <w:noProof/>
          <w:lang w:val="en-AU" w:eastAsia="en-AU"/>
        </w:rPr>
        <w:drawing>
          <wp:inline distT="0" distB="0" distL="0" distR="0" wp14:anchorId="50178F7A" wp14:editId="1065FAAF">
            <wp:extent cx="5230996" cy="1917143"/>
            <wp:effectExtent l="0" t="0" r="0" b="63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243934" cy="1921885"/>
                    </a:xfrm>
                    <a:prstGeom prst="rect">
                      <a:avLst/>
                    </a:prstGeom>
                  </pic:spPr>
                </pic:pic>
              </a:graphicData>
            </a:graphic>
          </wp:inline>
        </w:drawing>
      </w:r>
    </w:p>
    <w:p w14:paraId="484F2D01" w14:textId="77777777" w:rsidR="00C42A2A" w:rsidRPr="00731DDC" w:rsidRDefault="00C42A2A" w:rsidP="005F4075">
      <w:pPr>
        <w:rPr>
          <w:lang w:val="en-GB"/>
        </w:rPr>
      </w:pPr>
      <w:bookmarkStart w:id="59" w:name="_Toc17837122"/>
      <w:r w:rsidRPr="00731DDC">
        <w:rPr>
          <w:lang w:val="en-GB"/>
        </w:rPr>
        <w:t xml:space="preserve">International standards play a key role in aligning rules and processes across borders to minimise both incompatibilities among national approaches as well as regulatory uncertainty. With the development of new industries such as components for AVs or use of new technologies such as blockchain for existing industries—failure to participate in international standards and processes can inevitably lead to product or service incompatibility, causing market inefficiencies. </w:t>
      </w:r>
    </w:p>
    <w:p w14:paraId="207E52B0" w14:textId="77777777" w:rsidR="00C42A2A" w:rsidRPr="00731DDC" w:rsidRDefault="00C42A2A" w:rsidP="005F4075">
      <w:pPr>
        <w:rPr>
          <w:lang w:val="en-GB"/>
        </w:rPr>
      </w:pPr>
      <w:r w:rsidRPr="00731DDC">
        <w:rPr>
          <w:lang w:val="en-GB"/>
        </w:rPr>
        <w:t>Certain new developments in technology will demand greater interoperability to meet the objectives for the innovations. For example, where telecommunication and wireless standards have long been based on distinctive, non-interoperable, national standards (which, for example, in the European Union were developed by national champions as a competitive advantage) the envisioned objective of ubiquitous 5G connectivity requires the adoption of common 5G standards, ensuring compatibility across geopolitical borders. For policymakers in Australia and Singapore, aligning the use of standards will help lower physical and infrastructural costs through economies of scale and lower barriers to information exchange for digital trade. For consumers and enterprises, mass adoption and scale are enabled when devices and apps can work seamlessly regardless of whether they are Australian consumers ordering a product online from Singapore, or Singapore tourists visiting Australia and using a smartphone over a local network to hail a taxi.</w:t>
      </w:r>
    </w:p>
    <w:p w14:paraId="2936DCD1" w14:textId="765DECC5" w:rsidR="00C42A2A" w:rsidRPr="00731DDC" w:rsidRDefault="00C42A2A" w:rsidP="00C42A2A">
      <w:pPr>
        <w:pStyle w:val="Heading2"/>
        <w:spacing w:before="0" w:line="276" w:lineRule="auto"/>
        <w:rPr>
          <w:lang w:val="en-GB"/>
        </w:rPr>
      </w:pPr>
      <w:bookmarkStart w:id="60" w:name="_Toc24124994"/>
      <w:bookmarkStart w:id="61" w:name="_Toc51167324"/>
      <w:bookmarkStart w:id="62" w:name="_Toc38268668"/>
      <w:bookmarkStart w:id="63" w:name="_Toc38839360"/>
      <w:bookmarkEnd w:id="59"/>
      <w:r w:rsidRPr="00731DDC">
        <w:rPr>
          <w:lang w:val="en-GB"/>
        </w:rPr>
        <w:t>Key Stakeholders</w:t>
      </w:r>
      <w:bookmarkEnd w:id="60"/>
      <w:bookmarkEnd w:id="61"/>
      <w:r w:rsidRPr="00731DDC">
        <w:rPr>
          <w:lang w:val="en-GB"/>
        </w:rPr>
        <w:t xml:space="preserve"> </w:t>
      </w:r>
      <w:bookmarkEnd w:id="62"/>
      <w:bookmarkEnd w:id="63"/>
    </w:p>
    <w:p w14:paraId="38C1FE37" w14:textId="77777777" w:rsidR="00C42A2A" w:rsidRPr="00731DDC" w:rsidRDefault="00C42A2A" w:rsidP="005F4075">
      <w:pPr>
        <w:rPr>
          <w:lang w:val="en-GB"/>
        </w:rPr>
      </w:pPr>
      <w:r w:rsidRPr="00731DDC">
        <w:rPr>
          <w:lang w:val="en-GB"/>
        </w:rPr>
        <w:t xml:space="preserve">International standards are developed in a transparent, consensus-based environment, that includes a range of stakeholders. Participants may include technical, legal, regulatory, social, cultural, finance and economic experts participating from affected industry, government, and academia. Given the range of participants and levels of expertise of those participating, the standard-setting process can deliver quicker benefits than the development of long-term regulation. </w:t>
      </w:r>
      <w:bookmarkStart w:id="64" w:name="_Hlk45106425"/>
      <w:r w:rsidRPr="00731DDC">
        <w:rPr>
          <w:lang w:val="en-GB"/>
        </w:rPr>
        <w:t>For example, conformance to international standards involves assessing what devices and equipment need to align with standards. Existing and emerging digital technologies need to be considered based on their use case and application. This suggests that voluntary standards are more suitable than regulations enforced through the rule of law. However, good internationally aligned standards could provide a foundation for future regulations if required.</w:t>
      </w:r>
      <w:bookmarkEnd w:id="64"/>
    </w:p>
    <w:bookmarkEnd w:id="55"/>
    <w:p w14:paraId="054257FB" w14:textId="77777777" w:rsidR="00C42A2A" w:rsidRPr="00731DDC" w:rsidRDefault="00C42A2A" w:rsidP="005F4075">
      <w:pPr>
        <w:rPr>
          <w:lang w:val="en-GB"/>
        </w:rPr>
      </w:pPr>
      <w:r w:rsidRPr="00731DDC">
        <w:rPr>
          <w:lang w:val="en-GB"/>
        </w:rPr>
        <w:t>Depending on the nature of the standard being set, a number of stakeholders is ideal. For example, it may be relevant to have the input from raw material producers, manufacturers, sellers, platform operators, and connectivity and service providers. At different stages there may also be logistics intermediaries involved (such as transport and storage/warehousing), intellectual property licensors and licensees, and health/safety/security experts. Participation of private sector stakeholders—who are oftentimes the early adopters and frequently creators of new technologies—may serve as key participants/delegates in any sound standards setting process.</w:t>
      </w:r>
    </w:p>
    <w:p w14:paraId="5D35DD0C" w14:textId="68116112" w:rsidR="00C42A2A" w:rsidRPr="00731DDC" w:rsidRDefault="00C42A2A" w:rsidP="005F4075">
      <w:pPr>
        <w:rPr>
          <w:lang w:val="en-GB"/>
        </w:rPr>
      </w:pPr>
      <w:r w:rsidRPr="00731DDC">
        <w:rPr>
          <w:lang w:val="en-GB"/>
        </w:rPr>
        <w:t xml:space="preserve">In general, </w:t>
      </w:r>
      <w:r w:rsidR="006515BA" w:rsidRPr="00731DDC">
        <w:rPr>
          <w:lang w:val="en-GB"/>
        </w:rPr>
        <w:fldChar w:fldCharType="begin"/>
      </w:r>
      <w:r w:rsidR="006515BA" w:rsidRPr="00731DDC">
        <w:rPr>
          <w:lang w:val="en-GB"/>
        </w:rPr>
        <w:instrText xml:space="preserve"> REF _Ref47022474 \h </w:instrText>
      </w:r>
      <w:r w:rsidR="005F4075">
        <w:rPr>
          <w:lang w:val="en-GB"/>
        </w:rPr>
        <w:instrText xml:space="preserve"> \* MERGEFORMAT </w:instrText>
      </w:r>
      <w:r w:rsidR="006515BA" w:rsidRPr="00731DDC">
        <w:rPr>
          <w:lang w:val="en-GB"/>
        </w:rPr>
      </w:r>
      <w:r w:rsidR="006515BA" w:rsidRPr="00731DDC">
        <w:rPr>
          <w:lang w:val="en-GB"/>
        </w:rPr>
        <w:fldChar w:fldCharType="separate"/>
      </w:r>
      <w:r w:rsidR="00C9081C" w:rsidRPr="00731DDC">
        <w:rPr>
          <w:lang w:val="en-GB"/>
        </w:rPr>
        <w:t xml:space="preserve">Table </w:t>
      </w:r>
      <w:r w:rsidR="00C9081C">
        <w:rPr>
          <w:noProof/>
          <w:lang w:val="en-GB"/>
        </w:rPr>
        <w:t>7</w:t>
      </w:r>
      <w:r w:rsidR="006515BA" w:rsidRPr="00731DDC">
        <w:rPr>
          <w:lang w:val="en-GB"/>
        </w:rPr>
        <w:fldChar w:fldCharType="end"/>
      </w:r>
      <w:r w:rsidR="006515BA" w:rsidRPr="00731DDC">
        <w:rPr>
          <w:lang w:val="en-GB"/>
        </w:rPr>
        <w:t xml:space="preserve"> categorises </w:t>
      </w:r>
      <w:r w:rsidRPr="00731DDC">
        <w:rPr>
          <w:lang w:val="en-GB"/>
        </w:rPr>
        <w:t>key stakeholders</w:t>
      </w:r>
      <w:r w:rsidR="006515BA" w:rsidRPr="00731DDC">
        <w:rPr>
          <w:lang w:val="en-GB"/>
        </w:rPr>
        <w:t>.</w:t>
      </w:r>
    </w:p>
    <w:p w14:paraId="766DFD48" w14:textId="2F677522" w:rsidR="00C42A2A" w:rsidRPr="00731DDC" w:rsidRDefault="00C42A2A" w:rsidP="007C0781">
      <w:pPr>
        <w:pStyle w:val="Caption"/>
        <w:rPr>
          <w:lang w:val="en-GB"/>
        </w:rPr>
      </w:pPr>
      <w:bookmarkStart w:id="65" w:name="_Ref47022474"/>
      <w:r w:rsidRPr="00731DDC">
        <w:rPr>
          <w:lang w:val="en-GB"/>
        </w:rPr>
        <w:lastRenderedPageBreak/>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7</w:t>
      </w:r>
      <w:r w:rsidRPr="00731DDC">
        <w:rPr>
          <w:lang w:val="en-GB"/>
        </w:rPr>
        <w:fldChar w:fldCharType="end"/>
      </w:r>
      <w:bookmarkEnd w:id="65"/>
      <w:r w:rsidRPr="00731DDC">
        <w:rPr>
          <w:lang w:val="en-GB"/>
        </w:rPr>
        <w:t xml:space="preserve">: Different types of Stakeholders Related to Standards  </w:t>
      </w:r>
    </w:p>
    <w:tbl>
      <w:tblPr>
        <w:tblStyle w:val="TableGrid"/>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980"/>
        <w:gridCol w:w="6980"/>
      </w:tblGrid>
      <w:tr w:rsidR="00C42A2A" w:rsidRPr="00731DDC" w14:paraId="004C6589" w14:textId="77777777" w:rsidTr="005E530A">
        <w:trPr>
          <w:trHeight w:val="394"/>
          <w:tblHeader/>
          <w:jc w:val="center"/>
        </w:trPr>
        <w:tc>
          <w:tcPr>
            <w:tcW w:w="1980" w:type="dxa"/>
            <w:shd w:val="clear" w:color="auto" w:fill="4472C4" w:themeFill="accent1"/>
            <w:vAlign w:val="center"/>
          </w:tcPr>
          <w:p w14:paraId="749AB0E2" w14:textId="77777777" w:rsidR="00C42A2A" w:rsidRPr="00731DDC" w:rsidRDefault="00C42A2A" w:rsidP="006515BA">
            <w:pPr>
              <w:spacing w:before="40" w:afterLines="40" w:after="96"/>
              <w:jc w:val="center"/>
              <w:rPr>
                <w:b/>
                <w:bCs/>
                <w:color w:val="FFFFFF" w:themeColor="background1"/>
                <w:sz w:val="20"/>
                <w:szCs w:val="20"/>
                <w:lang w:val="en-GB"/>
              </w:rPr>
            </w:pPr>
            <w:r w:rsidRPr="00731DDC">
              <w:rPr>
                <w:b/>
                <w:bCs/>
                <w:color w:val="FFFFFF" w:themeColor="background1"/>
                <w:sz w:val="20"/>
                <w:szCs w:val="20"/>
                <w:lang w:val="en-GB"/>
              </w:rPr>
              <w:t>Stakeholder</w:t>
            </w:r>
          </w:p>
        </w:tc>
        <w:tc>
          <w:tcPr>
            <w:tcW w:w="6980" w:type="dxa"/>
            <w:shd w:val="clear" w:color="auto" w:fill="4472C4" w:themeFill="accent1"/>
            <w:vAlign w:val="center"/>
          </w:tcPr>
          <w:p w14:paraId="6D80C682" w14:textId="77777777" w:rsidR="00C42A2A" w:rsidRPr="00731DDC" w:rsidRDefault="00C42A2A" w:rsidP="006515BA">
            <w:pPr>
              <w:spacing w:before="40" w:afterLines="40" w:after="96"/>
              <w:jc w:val="center"/>
              <w:rPr>
                <w:b/>
                <w:bCs/>
                <w:color w:val="FFFFFF" w:themeColor="background1"/>
                <w:sz w:val="20"/>
                <w:szCs w:val="20"/>
                <w:lang w:val="en-GB"/>
              </w:rPr>
            </w:pPr>
            <w:r w:rsidRPr="00731DDC">
              <w:rPr>
                <w:b/>
                <w:bCs/>
                <w:color w:val="FFFFFF" w:themeColor="background1"/>
                <w:sz w:val="20"/>
                <w:szCs w:val="20"/>
                <w:lang w:val="en-GB"/>
              </w:rPr>
              <w:t>Description</w:t>
            </w:r>
          </w:p>
        </w:tc>
      </w:tr>
      <w:tr w:rsidR="00C42A2A" w:rsidRPr="00731DDC" w14:paraId="7EA963BC" w14:textId="77777777" w:rsidTr="000C42C7">
        <w:trPr>
          <w:trHeight w:val="1454"/>
          <w:jc w:val="center"/>
        </w:trPr>
        <w:tc>
          <w:tcPr>
            <w:tcW w:w="1980" w:type="dxa"/>
            <w:shd w:val="clear" w:color="auto" w:fill="D9E2F3" w:themeFill="accent1" w:themeFillTint="33"/>
            <w:vAlign w:val="center"/>
          </w:tcPr>
          <w:p w14:paraId="0DDFF970"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International Standards Bodies (ISBs)</w:t>
            </w:r>
          </w:p>
        </w:tc>
        <w:tc>
          <w:tcPr>
            <w:tcW w:w="6980" w:type="dxa"/>
            <w:shd w:val="clear" w:color="auto" w:fill="D9E2F3" w:themeFill="accent1" w:themeFillTint="33"/>
            <w:vAlign w:val="center"/>
          </w:tcPr>
          <w:p w14:paraId="6470E7CC" w14:textId="77777777" w:rsidR="00C42A2A" w:rsidRPr="00731DDC" w:rsidRDefault="00C42A2A" w:rsidP="006515BA">
            <w:pPr>
              <w:spacing w:before="40" w:afterLines="40" w:after="96"/>
              <w:rPr>
                <w:sz w:val="20"/>
                <w:szCs w:val="20"/>
                <w:lang w:val="en-GB"/>
              </w:rPr>
            </w:pPr>
            <w:r w:rsidRPr="00731DDC">
              <w:rPr>
                <w:b/>
                <w:bCs/>
                <w:sz w:val="20"/>
                <w:szCs w:val="20"/>
                <w:lang w:val="en-GB"/>
              </w:rPr>
              <w:t>The International Organisation for Standardisation (ISO</w:t>
            </w:r>
            <w:r w:rsidRPr="00731DDC">
              <w:rPr>
                <w:sz w:val="20"/>
                <w:szCs w:val="20"/>
                <w:lang w:val="en-GB"/>
              </w:rPr>
              <w:t>) is an independent, non-governmental, international organisation with membership of 164 national standards bodies. It has published 22,985 international standards in a diverse set of areas including industry, technology, food safety, agriculture and healthcare.</w:t>
            </w:r>
          </w:p>
          <w:p w14:paraId="5A796876" w14:textId="77777777" w:rsidR="00C42A2A" w:rsidRPr="00731DDC" w:rsidRDefault="00C42A2A" w:rsidP="006515BA">
            <w:pPr>
              <w:spacing w:before="40" w:afterLines="40" w:after="96"/>
              <w:rPr>
                <w:sz w:val="20"/>
                <w:szCs w:val="20"/>
                <w:lang w:val="en-GB"/>
              </w:rPr>
            </w:pPr>
            <w:r w:rsidRPr="00731DDC">
              <w:rPr>
                <w:sz w:val="20"/>
                <w:szCs w:val="20"/>
                <w:lang w:val="en-GB"/>
              </w:rPr>
              <w:t xml:space="preserve">Other international organisations include </w:t>
            </w:r>
            <w:r w:rsidRPr="00731DDC">
              <w:rPr>
                <w:b/>
                <w:bCs/>
                <w:sz w:val="20"/>
                <w:szCs w:val="20"/>
                <w:lang w:val="en-GB"/>
              </w:rPr>
              <w:t>International Electrotechnical Commission (IEC),</w:t>
            </w:r>
            <w:r w:rsidRPr="00731DDC">
              <w:rPr>
                <w:sz w:val="20"/>
                <w:szCs w:val="20"/>
                <w:lang w:val="en-GB"/>
              </w:rPr>
              <w:t xml:space="preserve"> that prepares and publishes standards for all fields of electrotechnology and </w:t>
            </w:r>
            <w:r w:rsidRPr="00731DDC">
              <w:rPr>
                <w:b/>
                <w:bCs/>
                <w:sz w:val="20"/>
                <w:szCs w:val="20"/>
                <w:lang w:val="en-GB"/>
              </w:rPr>
              <w:t>International Telecommunication Union</w:t>
            </w:r>
            <w:r w:rsidRPr="00731DDC">
              <w:rPr>
                <w:sz w:val="20"/>
                <w:szCs w:val="20"/>
                <w:lang w:val="en-GB"/>
              </w:rPr>
              <w:t xml:space="preserve"> - Telecommunication Standardisation Sector (ITU-T) serves the ICT field and develops technical standards for networks. Others include the </w:t>
            </w:r>
            <w:r w:rsidRPr="00731DDC">
              <w:rPr>
                <w:b/>
                <w:bCs/>
                <w:sz w:val="20"/>
                <w:szCs w:val="20"/>
                <w:lang w:val="en-GB"/>
              </w:rPr>
              <w:t xml:space="preserve">National Institute of Standards and Technology (NIST), European Telecommunications Standards Institute (ETSI) </w:t>
            </w:r>
            <w:r w:rsidRPr="00731DDC">
              <w:rPr>
                <w:sz w:val="20"/>
                <w:szCs w:val="20"/>
                <w:lang w:val="en-GB"/>
              </w:rPr>
              <w:t xml:space="preserve">and the </w:t>
            </w:r>
            <w:r w:rsidRPr="00731DDC">
              <w:rPr>
                <w:b/>
                <w:bCs/>
                <w:sz w:val="20"/>
                <w:szCs w:val="20"/>
                <w:lang w:val="en-GB"/>
              </w:rPr>
              <w:t>United Nations Centre for Trade Facilitation and Electronic Business (UN/CEFACT)</w:t>
            </w:r>
            <w:r w:rsidRPr="00731DDC">
              <w:rPr>
                <w:sz w:val="20"/>
                <w:szCs w:val="20"/>
                <w:lang w:val="en-GB"/>
              </w:rPr>
              <w:t xml:space="preserve"> which serves as a focal point within the United Nations Economic and Social Council for trade facilitation recommendations and electronic business standards.</w:t>
            </w:r>
          </w:p>
        </w:tc>
      </w:tr>
      <w:tr w:rsidR="00C42A2A" w:rsidRPr="00731DDC" w14:paraId="5D6FCAA3" w14:textId="77777777" w:rsidTr="005E530A">
        <w:trPr>
          <w:trHeight w:val="557"/>
          <w:jc w:val="center"/>
        </w:trPr>
        <w:tc>
          <w:tcPr>
            <w:tcW w:w="1980" w:type="dxa"/>
            <w:shd w:val="clear" w:color="auto" w:fill="auto"/>
            <w:vAlign w:val="center"/>
          </w:tcPr>
          <w:p w14:paraId="43642094"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Non-Traditional Standards Bodies</w:t>
            </w:r>
          </w:p>
        </w:tc>
        <w:tc>
          <w:tcPr>
            <w:tcW w:w="6980" w:type="dxa"/>
            <w:shd w:val="clear" w:color="auto" w:fill="FFFFFF" w:themeFill="background1"/>
            <w:vAlign w:val="center"/>
          </w:tcPr>
          <w:p w14:paraId="73429C36" w14:textId="77777777" w:rsidR="00C42A2A" w:rsidRPr="00731DDC" w:rsidRDefault="00C42A2A" w:rsidP="006515BA">
            <w:pPr>
              <w:spacing w:before="40" w:afterLines="40" w:after="96"/>
              <w:rPr>
                <w:sz w:val="20"/>
                <w:szCs w:val="20"/>
                <w:lang w:val="en-GB"/>
              </w:rPr>
            </w:pPr>
            <w:r w:rsidRPr="00731DDC">
              <w:rPr>
                <w:rFonts w:cstheme="minorHAnsi"/>
                <w:sz w:val="20"/>
                <w:szCs w:val="20"/>
                <w:lang w:val="en-GB"/>
              </w:rPr>
              <w:t>Standards Developing Organisations (SDOs) are industry or sector-based standards organisations that develop and publish industry standards</w:t>
            </w:r>
            <w:r w:rsidRPr="00731DDC">
              <w:rPr>
                <w:rFonts w:cstheme="minorHAnsi"/>
                <w:b/>
                <w:bCs/>
                <w:sz w:val="20"/>
                <w:szCs w:val="20"/>
                <w:lang w:val="en-GB"/>
              </w:rPr>
              <w:t>. IEEE</w:t>
            </w:r>
            <w:r w:rsidRPr="00731DDC">
              <w:rPr>
                <w:rFonts w:cstheme="minorHAnsi"/>
                <w:b/>
                <w:bCs/>
                <w:sz w:val="20"/>
                <w:szCs w:val="20"/>
                <w:u w:val="single"/>
                <w:lang w:val="en-GB"/>
              </w:rPr>
              <w:t xml:space="preserve"> </w:t>
            </w:r>
            <w:r w:rsidRPr="00731DDC">
              <w:rPr>
                <w:rFonts w:cstheme="minorHAnsi"/>
                <w:b/>
                <w:bCs/>
                <w:sz w:val="20"/>
                <w:szCs w:val="20"/>
                <w:lang w:val="en-GB"/>
              </w:rPr>
              <w:t>and Audio Engineering Society (AES</w:t>
            </w:r>
            <w:r w:rsidRPr="00731DDC">
              <w:rPr>
                <w:rFonts w:cstheme="minorHAnsi"/>
                <w:sz w:val="20"/>
                <w:szCs w:val="20"/>
                <w:lang w:val="en-GB"/>
              </w:rPr>
              <w:t>) are international, industry based SDOs. SDOs such as the Singapore Manufacturing Federation (SMF) may be qualified to develop standards using open and transparent processes, and may also directly liaison with international standardisation activities.</w:t>
            </w:r>
          </w:p>
        </w:tc>
      </w:tr>
      <w:tr w:rsidR="00C42A2A" w:rsidRPr="00731DDC" w14:paraId="411B74EF" w14:textId="77777777" w:rsidTr="000C42C7">
        <w:trPr>
          <w:trHeight w:val="728"/>
          <w:jc w:val="center"/>
        </w:trPr>
        <w:tc>
          <w:tcPr>
            <w:tcW w:w="1980" w:type="dxa"/>
            <w:shd w:val="clear" w:color="auto" w:fill="D9E2F3" w:themeFill="accent1" w:themeFillTint="33"/>
            <w:vAlign w:val="center"/>
          </w:tcPr>
          <w:p w14:paraId="24BDB558"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National Standards Bodies</w:t>
            </w:r>
          </w:p>
        </w:tc>
        <w:tc>
          <w:tcPr>
            <w:tcW w:w="6980" w:type="dxa"/>
            <w:shd w:val="clear" w:color="auto" w:fill="D9E2F3" w:themeFill="accent1" w:themeFillTint="33"/>
            <w:vAlign w:val="center"/>
          </w:tcPr>
          <w:p w14:paraId="1CE2BA8D" w14:textId="77777777" w:rsidR="00C42A2A" w:rsidRPr="00731DDC" w:rsidRDefault="00C42A2A" w:rsidP="006515BA">
            <w:pPr>
              <w:spacing w:before="40" w:afterLines="40" w:after="96"/>
              <w:rPr>
                <w:sz w:val="20"/>
                <w:szCs w:val="20"/>
                <w:lang w:val="en-GB"/>
              </w:rPr>
            </w:pPr>
            <w:r w:rsidRPr="00731DDC">
              <w:rPr>
                <w:sz w:val="20"/>
                <w:szCs w:val="20"/>
                <w:lang w:val="en-GB"/>
              </w:rPr>
              <w:t>Each country or economy has a single recognised National Standards Body (NSB) which facilitates committees of technical experts and other interested commercial, government and consumer representatives to develop standards</w:t>
            </w:r>
          </w:p>
        </w:tc>
      </w:tr>
      <w:tr w:rsidR="00C42A2A" w:rsidRPr="00731DDC" w14:paraId="001E9BA0" w14:textId="77777777" w:rsidTr="005E530A">
        <w:trPr>
          <w:trHeight w:val="719"/>
          <w:jc w:val="center"/>
        </w:trPr>
        <w:tc>
          <w:tcPr>
            <w:tcW w:w="1980" w:type="dxa"/>
            <w:shd w:val="clear" w:color="auto" w:fill="auto"/>
            <w:vAlign w:val="center"/>
          </w:tcPr>
          <w:p w14:paraId="5561DA20"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Other Government Agencies</w:t>
            </w:r>
          </w:p>
        </w:tc>
        <w:tc>
          <w:tcPr>
            <w:tcW w:w="6980" w:type="dxa"/>
            <w:shd w:val="clear" w:color="auto" w:fill="FFFFFF" w:themeFill="background1"/>
            <w:vAlign w:val="center"/>
          </w:tcPr>
          <w:p w14:paraId="25F9EDA5" w14:textId="77777777" w:rsidR="00C42A2A" w:rsidRPr="00731DDC" w:rsidRDefault="00C42A2A" w:rsidP="006515BA">
            <w:pPr>
              <w:spacing w:before="40" w:afterLines="40" w:after="96"/>
              <w:rPr>
                <w:sz w:val="20"/>
                <w:szCs w:val="20"/>
                <w:lang w:val="en-GB"/>
              </w:rPr>
            </w:pPr>
            <w:r w:rsidRPr="00731DDC">
              <w:rPr>
                <w:sz w:val="20"/>
                <w:szCs w:val="20"/>
                <w:lang w:val="en-GB"/>
              </w:rPr>
              <w:t>In addition to standards bodies, other policymakers and government agencies may include those responsible for the flow and security of goods, regulation of trade (national regulation, coordinated with trading partners and key participants in the marketplace relevant to the particular standard), port management, transportation infrastructure, national security and law enforcement, and oversight of affected regulated industries (e.g. automotive products).</w:t>
            </w:r>
          </w:p>
        </w:tc>
      </w:tr>
      <w:tr w:rsidR="00C42A2A" w:rsidRPr="00731DDC" w14:paraId="23572B76" w14:textId="77777777" w:rsidTr="000C42C7">
        <w:trPr>
          <w:trHeight w:val="1454"/>
          <w:jc w:val="center"/>
        </w:trPr>
        <w:tc>
          <w:tcPr>
            <w:tcW w:w="1980" w:type="dxa"/>
            <w:shd w:val="clear" w:color="auto" w:fill="D9E2F3" w:themeFill="accent1" w:themeFillTint="33"/>
            <w:vAlign w:val="center"/>
          </w:tcPr>
          <w:p w14:paraId="314503F2"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Private Sector Businesses</w:t>
            </w:r>
          </w:p>
        </w:tc>
        <w:tc>
          <w:tcPr>
            <w:tcW w:w="6980" w:type="dxa"/>
            <w:shd w:val="clear" w:color="auto" w:fill="D9E2F3" w:themeFill="accent1" w:themeFillTint="33"/>
            <w:vAlign w:val="center"/>
          </w:tcPr>
          <w:p w14:paraId="3FB524F2" w14:textId="77777777" w:rsidR="00C42A2A" w:rsidRPr="00731DDC" w:rsidRDefault="00C42A2A" w:rsidP="006515BA">
            <w:pPr>
              <w:spacing w:before="40" w:afterLines="40" w:after="96"/>
              <w:rPr>
                <w:sz w:val="20"/>
                <w:szCs w:val="20"/>
                <w:lang w:val="en-GB"/>
              </w:rPr>
            </w:pPr>
            <w:r w:rsidRPr="00731DDC">
              <w:rPr>
                <w:sz w:val="20"/>
                <w:szCs w:val="20"/>
                <w:lang w:val="en-GB"/>
              </w:rPr>
              <w:t>Private sector stakeholders consisting of both large and small and medium-sized enterprises can assist in developing standards to ensure that they meet market needs, facilitate business interaction, speed up the introduction of innovative products to market and provide interoperability between new and existing products, services and processes. These stakeholders can also provide guidance on how easy it would be for businesses to implement the standards.</w:t>
            </w:r>
          </w:p>
        </w:tc>
      </w:tr>
      <w:tr w:rsidR="00C42A2A" w:rsidRPr="00731DDC" w14:paraId="1EC8AB57" w14:textId="77777777" w:rsidTr="005E530A">
        <w:trPr>
          <w:trHeight w:val="872"/>
          <w:jc w:val="center"/>
        </w:trPr>
        <w:tc>
          <w:tcPr>
            <w:tcW w:w="1980" w:type="dxa"/>
            <w:shd w:val="clear" w:color="auto" w:fill="auto"/>
            <w:vAlign w:val="center"/>
          </w:tcPr>
          <w:p w14:paraId="622B15A6" w14:textId="77777777" w:rsidR="00C42A2A" w:rsidRPr="00731DDC" w:rsidRDefault="00C42A2A" w:rsidP="006515BA">
            <w:pPr>
              <w:spacing w:before="40" w:afterLines="40" w:after="96"/>
              <w:jc w:val="center"/>
              <w:rPr>
                <w:b/>
                <w:bCs/>
                <w:sz w:val="20"/>
                <w:szCs w:val="20"/>
                <w:lang w:val="en-GB"/>
              </w:rPr>
            </w:pPr>
            <w:r w:rsidRPr="00731DDC">
              <w:rPr>
                <w:b/>
                <w:bCs/>
                <w:sz w:val="20"/>
                <w:szCs w:val="20"/>
                <w:lang w:val="en-GB"/>
              </w:rPr>
              <w:t>Academia</w:t>
            </w:r>
          </w:p>
        </w:tc>
        <w:tc>
          <w:tcPr>
            <w:tcW w:w="6980" w:type="dxa"/>
            <w:shd w:val="clear" w:color="auto" w:fill="FFFFFF" w:themeFill="background1"/>
            <w:vAlign w:val="center"/>
          </w:tcPr>
          <w:p w14:paraId="29EA5B98" w14:textId="77777777" w:rsidR="00C42A2A" w:rsidRPr="00731DDC" w:rsidRDefault="00C42A2A" w:rsidP="006515BA">
            <w:pPr>
              <w:spacing w:before="40" w:afterLines="40" w:after="96"/>
              <w:rPr>
                <w:sz w:val="20"/>
                <w:szCs w:val="20"/>
                <w:lang w:val="en-GB"/>
              </w:rPr>
            </w:pPr>
            <w:r w:rsidRPr="00731DDC">
              <w:rPr>
                <w:sz w:val="20"/>
                <w:szCs w:val="20"/>
                <w:lang w:val="en-GB"/>
              </w:rPr>
              <w:t>Stakeholders from academia can assist with providing research and guidance on the safety, quality and technical features and requirements of digital technologies.</w:t>
            </w:r>
          </w:p>
        </w:tc>
      </w:tr>
    </w:tbl>
    <w:p w14:paraId="2E3ECC8A" w14:textId="77777777" w:rsidR="00C42A2A" w:rsidRPr="00731DDC" w:rsidRDefault="00C42A2A" w:rsidP="00C42A2A">
      <w:pPr>
        <w:rPr>
          <w:lang w:val="en-GB"/>
        </w:rPr>
      </w:pPr>
      <w:r w:rsidRPr="00731DDC">
        <w:rPr>
          <w:lang w:val="en-GB"/>
        </w:rPr>
        <w:t xml:space="preserve">In Australia, the national standards body is Standards Australia, which actively participates in the development and adoption of a wide range of International Standards. Standards Australia is an independent, non-governmental, not-for-profit organisation. </w:t>
      </w:r>
    </w:p>
    <w:p w14:paraId="0E33D481" w14:textId="77777777" w:rsidR="00947CE0" w:rsidRDefault="00C42A2A" w:rsidP="00C42A2A">
      <w:pPr>
        <w:rPr>
          <w:lang w:val="en-GB"/>
        </w:rPr>
      </w:pPr>
      <w:r w:rsidRPr="00731DDC">
        <w:rPr>
          <w:lang w:val="en-GB"/>
        </w:rPr>
        <w:t xml:space="preserve">In Singapore, the national standards body is Enterprise Singapore, which promotes the adoption of local and international standards amongst businesses. Unlike Australia, Enterprise Singapore is a government agency. </w:t>
      </w:r>
    </w:p>
    <w:p w14:paraId="3A39A71F" w14:textId="6CE7A863" w:rsidR="00C42A2A" w:rsidRPr="00731DDC" w:rsidRDefault="00C42A2A" w:rsidP="00C42A2A">
      <w:pPr>
        <w:rPr>
          <w:lang w:val="en-GB"/>
        </w:rPr>
      </w:pPr>
      <w:r w:rsidRPr="00731DDC">
        <w:rPr>
          <w:lang w:val="en-GB"/>
        </w:rPr>
        <w:t xml:space="preserve">Further details on the role and activities of these bodies can be found in </w:t>
      </w:r>
      <w:r w:rsidR="00373B8F">
        <w:rPr>
          <w:lang w:val="en-GB"/>
        </w:rPr>
        <w:t>Appendix II.</w:t>
      </w:r>
    </w:p>
    <w:p w14:paraId="50CD13B2" w14:textId="4B79E187" w:rsidR="00C42A2A" w:rsidRPr="00731DDC" w:rsidRDefault="00C42A2A" w:rsidP="00C42A2A">
      <w:pPr>
        <w:pStyle w:val="Heading2"/>
        <w:rPr>
          <w:lang w:val="en-GB"/>
        </w:rPr>
      </w:pPr>
      <w:bookmarkStart w:id="66" w:name="_Toc51167325"/>
      <w:r w:rsidRPr="00731DDC">
        <w:rPr>
          <w:lang w:val="en-GB"/>
        </w:rPr>
        <w:lastRenderedPageBreak/>
        <w:t>Key Issues with Standards</w:t>
      </w:r>
      <w:bookmarkEnd w:id="66"/>
    </w:p>
    <w:p w14:paraId="66797FC9" w14:textId="77777777" w:rsidR="00C42A2A" w:rsidRPr="00731DDC" w:rsidRDefault="00C42A2A" w:rsidP="005F4075">
      <w:pPr>
        <w:rPr>
          <w:lang w:val="en-GB"/>
        </w:rPr>
      </w:pPr>
      <w:r w:rsidRPr="00731DDC">
        <w:rPr>
          <w:lang w:val="en-GB"/>
        </w:rPr>
        <w:t xml:space="preserve">Despite the benefits of standards in supporting digital trade, there are three key issues that may inadvertently impede trade between countries. These are as follows: </w:t>
      </w:r>
    </w:p>
    <w:p w14:paraId="5E281FFA" w14:textId="77777777" w:rsidR="00C42A2A" w:rsidRPr="00731DDC" w:rsidRDefault="00C42A2A" w:rsidP="001F09E1">
      <w:pPr>
        <w:pStyle w:val="ListParagraph"/>
        <w:numPr>
          <w:ilvl w:val="0"/>
          <w:numId w:val="23"/>
        </w:numPr>
        <w:spacing w:before="0" w:after="160" w:line="276" w:lineRule="auto"/>
        <w:rPr>
          <w:lang w:val="en-GB"/>
        </w:rPr>
      </w:pPr>
      <w:r w:rsidRPr="00731DDC">
        <w:rPr>
          <w:b/>
          <w:bCs/>
          <w:lang w:val="en-GB"/>
        </w:rPr>
        <w:t>Increasing number of national standards are being developed which are not aligned with international standards slowing down the potential growth in trade.</w:t>
      </w:r>
      <w:r w:rsidRPr="00731DDC">
        <w:rPr>
          <w:lang w:val="en-GB"/>
        </w:rPr>
        <w:t xml:space="preserve"> In the absence of international standards, economies may develop distinctive national standards to support the adoption of new technologies and new business models in their economy. However, these standards must be aligned with international standards, when they become available, as without harmonisation the fragmented environment will create barriers to trade. Without cooperation on standards between the national and international organisations and supporting stakeholders, there is a risk that domestic economic growth could be slow as businesses in each other’s country maybe faced with hurdles when trying to expand into each other’s markets. International standards enable a business to expand/move operations from one country to another without having to adapt methods, practices or functions to meet requirements not consistent with the requirements in the initial country.</w:t>
      </w:r>
    </w:p>
    <w:p w14:paraId="445FB17B" w14:textId="77777777" w:rsidR="00C42A2A" w:rsidRPr="00731DDC" w:rsidRDefault="00C42A2A" w:rsidP="001F09E1">
      <w:pPr>
        <w:pStyle w:val="ListParagraph"/>
        <w:numPr>
          <w:ilvl w:val="0"/>
          <w:numId w:val="23"/>
        </w:numPr>
        <w:spacing w:before="0" w:after="160" w:line="276" w:lineRule="auto"/>
        <w:rPr>
          <w:b/>
          <w:bCs/>
          <w:lang w:val="en-GB"/>
        </w:rPr>
      </w:pPr>
      <w:r w:rsidRPr="00731DDC">
        <w:rPr>
          <w:b/>
          <w:bCs/>
          <w:lang w:val="en-GB"/>
        </w:rPr>
        <w:t xml:space="preserve">Increasing number of international standards by non-traditional bodies are being developed but not being recognised. </w:t>
      </w:r>
      <w:r w:rsidRPr="00731DDC">
        <w:rPr>
          <w:lang w:val="en-GB"/>
        </w:rPr>
        <w:t xml:space="preserve">Standards are also being set by bodies that aren’t the traditional ISBs like ISO, IEC. </w:t>
      </w:r>
      <w:bookmarkStart w:id="67" w:name="_Hlk32843310"/>
      <w:r w:rsidRPr="00731DDC">
        <w:rPr>
          <w:lang w:val="en-GB"/>
        </w:rPr>
        <w:t>For example, QR code is a standout example here both Australia and Singapore follow EMV specifications. Further, IEEE are active in developing standards for IoT, AVs and Blockchain. NIST develops standards for AI and cybersecurity and FIDO Universal Authentication Framework is developing standards for digital identity</w:t>
      </w:r>
      <w:bookmarkEnd w:id="67"/>
      <w:r w:rsidRPr="00731DDC">
        <w:rPr>
          <w:lang w:val="en-GB"/>
        </w:rPr>
        <w:t>. Hence, countries cannot ignore standards being developed by these organisations. There could even be scope for countries to coordinate and partner with non-traditional bodies through existing partnerships with traditional bodies.</w:t>
      </w:r>
    </w:p>
    <w:p w14:paraId="26289899" w14:textId="77777777" w:rsidR="00C42A2A" w:rsidRPr="00731DDC" w:rsidRDefault="00C42A2A" w:rsidP="001F09E1">
      <w:pPr>
        <w:pStyle w:val="ListParagraph"/>
        <w:numPr>
          <w:ilvl w:val="0"/>
          <w:numId w:val="23"/>
        </w:numPr>
        <w:spacing w:before="0" w:after="160" w:line="276" w:lineRule="auto"/>
        <w:rPr>
          <w:b/>
          <w:bCs/>
          <w:lang w:val="en-GB"/>
        </w:rPr>
      </w:pPr>
      <w:r w:rsidRPr="00731DDC">
        <w:rPr>
          <w:b/>
          <w:bCs/>
          <w:lang w:val="en-GB"/>
        </w:rPr>
        <w:t xml:space="preserve">Often businesses don’t understand the benefits of standards and there is scope to provide education and training. </w:t>
      </w:r>
      <w:r w:rsidRPr="00731DDC">
        <w:rPr>
          <w:lang w:val="en-GB"/>
        </w:rPr>
        <w:t xml:space="preserve">Once a standard has been developed, its success depends on the take-up rate by the private sector. In the first instance, a core group of large businesses users could be identified. However, to achieve widespread adoption more education and training can be provided, particularly for SMEs. A lack of guidance for businesses on how to adopt standards, or which international standards to take advantage could hinder the benefits of digital trade. </w:t>
      </w:r>
    </w:p>
    <w:p w14:paraId="7E72E20C" w14:textId="77777777" w:rsidR="00C42A2A" w:rsidRPr="00731DDC" w:rsidRDefault="00C42A2A" w:rsidP="00C42A2A">
      <w:pPr>
        <w:rPr>
          <w:lang w:val="en-GB"/>
        </w:rPr>
      </w:pPr>
      <w:bookmarkStart w:id="68" w:name="_Hlk38752300"/>
    </w:p>
    <w:p w14:paraId="57E39775" w14:textId="77777777" w:rsidR="006515BA" w:rsidRPr="00731DDC" w:rsidRDefault="006515BA">
      <w:pPr>
        <w:spacing w:before="0" w:after="0"/>
        <w:rPr>
          <w:rFonts w:eastAsiaTheme="majorEastAsia" w:cstheme="majorBidi"/>
          <w:b/>
          <w:bCs/>
          <w:color w:val="2F5496" w:themeColor="accent1" w:themeShade="BF"/>
          <w:sz w:val="24"/>
          <w:szCs w:val="28"/>
          <w:lang w:val="en-GB"/>
        </w:rPr>
      </w:pPr>
      <w:r w:rsidRPr="00731DDC">
        <w:rPr>
          <w:lang w:val="en-GB"/>
        </w:rPr>
        <w:br w:type="page"/>
      </w:r>
    </w:p>
    <w:p w14:paraId="1856D69B" w14:textId="3AE75639" w:rsidR="00C42A2A" w:rsidRPr="00731DDC" w:rsidRDefault="00C42A2A" w:rsidP="00C42A2A">
      <w:pPr>
        <w:pStyle w:val="Heading1"/>
        <w:spacing w:before="0" w:after="160" w:line="276" w:lineRule="auto"/>
        <w:rPr>
          <w:lang w:val="en-GB"/>
        </w:rPr>
      </w:pPr>
      <w:bookmarkStart w:id="69" w:name="_Toc51167326"/>
      <w:r w:rsidRPr="00731DDC">
        <w:rPr>
          <w:lang w:val="en-GB"/>
        </w:rPr>
        <w:lastRenderedPageBreak/>
        <w:t>Digital Trade Standards</w:t>
      </w:r>
      <w:bookmarkEnd w:id="69"/>
    </w:p>
    <w:p w14:paraId="5673AFAE" w14:textId="77777777" w:rsidR="00C42A2A" w:rsidRPr="00731DDC" w:rsidRDefault="00C42A2A" w:rsidP="005F4075">
      <w:pPr>
        <w:rPr>
          <w:lang w:val="en-GB"/>
        </w:rPr>
      </w:pPr>
      <w:r w:rsidRPr="00731DDC">
        <w:rPr>
          <w:lang w:val="en-GB"/>
        </w:rPr>
        <w:t xml:space="preserve">Digital trade between Singapore and Australia can be increased through the implementation and harmonisation of international digital trade standards. Accomplishing this would require government agencies in both countries to support globally recognised standards, and to actively participate in international standards-setting processes.  </w:t>
      </w:r>
    </w:p>
    <w:p w14:paraId="2F2788F8" w14:textId="77777777" w:rsidR="00C42A2A" w:rsidRPr="00731DDC" w:rsidRDefault="00C42A2A" w:rsidP="005F4075">
      <w:pPr>
        <w:rPr>
          <w:lang w:val="en-GB"/>
        </w:rPr>
      </w:pPr>
      <w:r w:rsidRPr="00731DDC">
        <w:rPr>
          <w:lang w:val="en-GB"/>
        </w:rPr>
        <w:t>This section sets out examples of international standards that apply to digitalisation and/or digital technologies that are relevant to the supply chain for cross-border trade in goods and services</w:t>
      </w:r>
      <w:bookmarkStart w:id="70" w:name="_Hlk38912159"/>
      <w:r w:rsidRPr="00731DDC">
        <w:rPr>
          <w:lang w:val="en-GB"/>
        </w:rPr>
        <w:t xml:space="preserve">. </w:t>
      </w:r>
    </w:p>
    <w:bookmarkEnd w:id="70"/>
    <w:p w14:paraId="1ABE5502" w14:textId="3E22A3DE" w:rsidR="00C42A2A" w:rsidRPr="00731DDC" w:rsidRDefault="00C42A2A" w:rsidP="007C0781">
      <w:pPr>
        <w:pStyle w:val="Caption"/>
        <w:rPr>
          <w:lang w:val="en-GB"/>
        </w:rPr>
      </w:pPr>
      <w:r w:rsidRPr="00731DDC">
        <w:rPr>
          <w:lang w:val="en-GB"/>
        </w:rPr>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6</w:t>
      </w:r>
      <w:r w:rsidRPr="00731DDC">
        <w:rPr>
          <w:lang w:val="en-GB"/>
        </w:rPr>
        <w:fldChar w:fldCharType="end"/>
      </w:r>
      <w:r w:rsidRPr="00731DDC">
        <w:rPr>
          <w:lang w:val="en-GB"/>
        </w:rPr>
        <w:t xml:space="preserve">: Standards </w:t>
      </w:r>
      <w:r w:rsidR="00B8784F" w:rsidRPr="00731DDC">
        <w:rPr>
          <w:lang w:val="en-GB"/>
        </w:rPr>
        <w:t>R</w:t>
      </w:r>
      <w:r w:rsidRPr="00731DDC">
        <w:rPr>
          <w:lang w:val="en-GB"/>
        </w:rPr>
        <w:t>elated to the Supply Chain</w:t>
      </w:r>
    </w:p>
    <w:p w14:paraId="12CFE913" w14:textId="5637EF62" w:rsidR="00C42A2A" w:rsidRPr="00731DDC" w:rsidRDefault="00DA776D" w:rsidP="006515BA">
      <w:pPr>
        <w:jc w:val="center"/>
        <w:rPr>
          <w:lang w:val="en-GB"/>
        </w:rPr>
      </w:pPr>
      <w:r w:rsidRPr="00731DDC">
        <w:rPr>
          <w:noProof/>
          <w:lang w:val="en-AU" w:eastAsia="en-AU"/>
        </w:rPr>
        <w:drawing>
          <wp:inline distT="0" distB="0" distL="0" distR="0" wp14:anchorId="22279094" wp14:editId="27EF168D">
            <wp:extent cx="4177364" cy="1639752"/>
            <wp:effectExtent l="0" t="0" r="127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4210894" cy="1652913"/>
                    </a:xfrm>
                    <a:prstGeom prst="rect">
                      <a:avLst/>
                    </a:prstGeom>
                  </pic:spPr>
                </pic:pic>
              </a:graphicData>
            </a:graphic>
          </wp:inline>
        </w:drawing>
      </w:r>
    </w:p>
    <w:p w14:paraId="4D2D2BFC" w14:textId="3FC571D5" w:rsidR="00C42A2A" w:rsidRPr="00731DDC" w:rsidRDefault="00C42A2A" w:rsidP="00C42A2A">
      <w:pPr>
        <w:pStyle w:val="Heading2"/>
        <w:spacing w:before="0" w:after="160" w:line="276" w:lineRule="auto"/>
        <w:rPr>
          <w:lang w:val="en-GB"/>
        </w:rPr>
      </w:pPr>
      <w:bookmarkStart w:id="71" w:name="_Toc51167327"/>
      <w:r w:rsidRPr="00731DDC">
        <w:rPr>
          <w:lang w:val="en-GB"/>
        </w:rPr>
        <w:t>Accelerating Trade with Standards</w:t>
      </w:r>
      <w:bookmarkEnd w:id="71"/>
      <w:r w:rsidRPr="00731DDC">
        <w:rPr>
          <w:lang w:val="en-GB"/>
        </w:rPr>
        <w:t xml:space="preserve"> </w:t>
      </w:r>
    </w:p>
    <w:p w14:paraId="58FD3138" w14:textId="77777777" w:rsidR="00C42A2A" w:rsidRPr="00731DDC" w:rsidRDefault="00C42A2A" w:rsidP="005F4075">
      <w:pPr>
        <w:rPr>
          <w:lang w:val="en-GB"/>
        </w:rPr>
      </w:pPr>
      <w:r w:rsidRPr="00731DDC">
        <w:rPr>
          <w:lang w:val="en-GB"/>
        </w:rPr>
        <w:t>Standards can accelerate the use of digital technologies at different stages of the supply chain, which in turn can increase the scope, speed and scale of trade. For example, if Australia and Singapore cooperate on aligning standards for AI, then it has the potential to allow businesses in their countries to use AI technology in a consistent manner and benefit by improving the efficiency, safety and quality of their processes and services when engaging in trade. For instance, Australian firm HIVERY uses AI to help retail and FMCG businesses in Australia, the US, Japan and China.</w:t>
      </w:r>
      <w:r w:rsidRPr="00731DDC">
        <w:rPr>
          <w:rStyle w:val="FootnoteReference"/>
          <w:lang w:val="en-GB"/>
        </w:rPr>
        <w:footnoteReference w:id="86"/>
      </w:r>
      <w:r w:rsidRPr="00731DDC">
        <w:rPr>
          <w:lang w:val="en-GB"/>
        </w:rPr>
        <w:t xml:space="preserve"> It has a platform that analyses data to help companies like Coca-Cola optimise product mix, pricing formulae and retail space. HIVERY has been able to attract international business, with 80% of revenue from international sources. In Singapore, fintech firms are using AI-powered tools to enhance productivity with document mining, pattern recognition for fraud detection, information extraction and analysis, thus transforming and innovating ways to generate insights.</w:t>
      </w:r>
      <w:r w:rsidRPr="00731DDC">
        <w:rPr>
          <w:rStyle w:val="FootnoteReference"/>
          <w:lang w:val="en-GB"/>
        </w:rPr>
        <w:footnoteReference w:id="87"/>
      </w:r>
    </w:p>
    <w:p w14:paraId="045626E9" w14:textId="77777777" w:rsidR="00C42A2A" w:rsidRPr="00731DDC" w:rsidRDefault="00C42A2A" w:rsidP="005F4075">
      <w:pPr>
        <w:rPr>
          <w:lang w:val="en-GB"/>
        </w:rPr>
      </w:pPr>
      <w:r w:rsidRPr="00731DDC">
        <w:rPr>
          <w:lang w:val="en-GB"/>
        </w:rPr>
        <w:t xml:space="preserve">With more businesses using AI technology and following the same AI standards, there is the potential for the economic value or impact of the technology to exceed the benefit to Australia and extend to cross-border trade with Singapore. </w:t>
      </w:r>
      <w:bookmarkStart w:id="72" w:name="_Hlk38963388"/>
    </w:p>
    <w:bookmarkEnd w:id="72"/>
    <w:p w14:paraId="781F6BE4" w14:textId="09ABF04D" w:rsidR="00C42A2A" w:rsidRPr="00731DDC" w:rsidRDefault="00C42A2A" w:rsidP="007C0781">
      <w:pPr>
        <w:pStyle w:val="Caption"/>
        <w:rPr>
          <w:lang w:val="en-GB"/>
        </w:rPr>
      </w:pPr>
      <w:r w:rsidRPr="00731DDC">
        <w:rPr>
          <w:lang w:val="en-GB"/>
        </w:rPr>
        <w:lastRenderedPageBreak/>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7</w:t>
      </w:r>
      <w:r w:rsidRPr="00731DDC">
        <w:rPr>
          <w:lang w:val="en-GB"/>
        </w:rPr>
        <w:fldChar w:fldCharType="end"/>
      </w:r>
      <w:r w:rsidRPr="00731DDC">
        <w:rPr>
          <w:lang w:val="en-GB"/>
        </w:rPr>
        <w:t xml:space="preserve">: Accelerating </w:t>
      </w:r>
      <w:r w:rsidR="00B8784F" w:rsidRPr="00731DDC">
        <w:rPr>
          <w:lang w:val="en-GB"/>
        </w:rPr>
        <w:t>U</w:t>
      </w:r>
      <w:r w:rsidRPr="00731DDC">
        <w:rPr>
          <w:lang w:val="en-GB"/>
        </w:rPr>
        <w:t>se of AI</w:t>
      </w:r>
    </w:p>
    <w:p w14:paraId="2036B4BD" w14:textId="00CE2F4D" w:rsidR="00B8784F" w:rsidRPr="00731DDC" w:rsidRDefault="00B8784F" w:rsidP="000C42C7">
      <w:pPr>
        <w:spacing w:line="276" w:lineRule="auto"/>
        <w:jc w:val="center"/>
        <w:rPr>
          <w:lang w:val="en-GB"/>
        </w:rPr>
      </w:pPr>
      <w:r w:rsidRPr="00731DDC">
        <w:rPr>
          <w:noProof/>
          <w:lang w:val="en-AU" w:eastAsia="en-AU"/>
        </w:rPr>
        <w:drawing>
          <wp:inline distT="0" distB="0" distL="0" distR="0" wp14:anchorId="7F0476F6" wp14:editId="3E22B73A">
            <wp:extent cx="5207267" cy="2078990"/>
            <wp:effectExtent l="0" t="0" r="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207267" cy="2078990"/>
                    </a:xfrm>
                    <a:prstGeom prst="rect">
                      <a:avLst/>
                    </a:prstGeom>
                    <a:ln>
                      <a:noFill/>
                    </a:ln>
                    <a:extLst>
                      <a:ext uri="{53640926-AAD7-44D8-BBD7-CCE9431645EC}">
                        <a14:shadowObscured xmlns:a14="http://schemas.microsoft.com/office/drawing/2010/main"/>
                      </a:ext>
                    </a:extLst>
                  </pic:spPr>
                </pic:pic>
              </a:graphicData>
            </a:graphic>
          </wp:inline>
        </w:drawing>
      </w:r>
    </w:p>
    <w:p w14:paraId="54A1169E" w14:textId="2167A521" w:rsidR="00C42A2A" w:rsidRPr="00731DDC" w:rsidRDefault="00C42A2A" w:rsidP="00C42A2A">
      <w:pPr>
        <w:pStyle w:val="Heading2"/>
        <w:spacing w:before="0" w:after="160" w:line="276" w:lineRule="auto"/>
        <w:rPr>
          <w:lang w:val="en-GB"/>
        </w:rPr>
      </w:pPr>
      <w:bookmarkStart w:id="73" w:name="_Toc51167328"/>
      <w:r w:rsidRPr="00731DDC">
        <w:rPr>
          <w:lang w:val="en-GB"/>
        </w:rPr>
        <w:t>Examples of International Standards</w:t>
      </w:r>
      <w:bookmarkEnd w:id="73"/>
    </w:p>
    <w:p w14:paraId="42ED7F78" w14:textId="6DEC1D93" w:rsidR="00C42A2A" w:rsidRPr="00731DDC" w:rsidRDefault="00A7036E" w:rsidP="005F4075">
      <w:pPr>
        <w:rPr>
          <w:lang w:val="en-GB"/>
        </w:rPr>
      </w:pPr>
      <w:r>
        <w:rPr>
          <w:lang w:val="en-GB"/>
        </w:rPr>
        <w:fldChar w:fldCharType="begin"/>
      </w:r>
      <w:r>
        <w:rPr>
          <w:lang w:val="en-GB"/>
        </w:rPr>
        <w:instrText xml:space="preserve"> REF _Ref51072221 \h </w:instrText>
      </w:r>
      <w:r>
        <w:rPr>
          <w:lang w:val="en-GB"/>
        </w:rPr>
      </w:r>
      <w:r>
        <w:rPr>
          <w:lang w:val="en-GB"/>
        </w:rPr>
        <w:fldChar w:fldCharType="separate"/>
      </w:r>
      <w:r w:rsidRPr="00731DDC">
        <w:rPr>
          <w:b/>
          <w:bCs/>
          <w:lang w:val="en-GB"/>
        </w:rPr>
        <w:t xml:space="preserve">Table </w:t>
      </w:r>
      <w:r>
        <w:rPr>
          <w:b/>
          <w:bCs/>
          <w:noProof/>
          <w:lang w:val="en-GB"/>
        </w:rPr>
        <w:t>8</w:t>
      </w:r>
      <w:r>
        <w:rPr>
          <w:lang w:val="en-GB"/>
        </w:rPr>
        <w:fldChar w:fldCharType="end"/>
      </w:r>
      <w:r>
        <w:rPr>
          <w:lang w:val="en-GB"/>
        </w:rPr>
        <w:t xml:space="preserve"> </w:t>
      </w:r>
      <w:r w:rsidR="00C42A2A" w:rsidRPr="00731DDC">
        <w:rPr>
          <w:lang w:val="en-GB"/>
        </w:rPr>
        <w:t xml:space="preserve">below highlights standards in the following supply chain categories: (i) Payments and Transactions; (ii) Logistics; </w:t>
      </w:r>
      <w:r w:rsidR="00873F52" w:rsidRPr="00731DDC">
        <w:rPr>
          <w:lang w:val="en-GB"/>
        </w:rPr>
        <w:t xml:space="preserve">and </w:t>
      </w:r>
      <w:r w:rsidR="00C42A2A" w:rsidRPr="00731DDC">
        <w:rPr>
          <w:lang w:val="en-GB"/>
        </w:rPr>
        <w:t xml:space="preserve">(iii) Digital Enablers. Detailed description of the standards themselves can be found in </w:t>
      </w:r>
      <w:r w:rsidR="00373B8F">
        <w:rPr>
          <w:lang w:val="en-GB"/>
        </w:rPr>
        <w:t>Appendix III.</w:t>
      </w:r>
      <w:r w:rsidR="002B6119">
        <w:rPr>
          <w:lang w:val="en-GB"/>
        </w:rPr>
        <w:t xml:space="preserve"> The table also outlines </w:t>
      </w:r>
      <w:r w:rsidR="00A974A4">
        <w:rPr>
          <w:lang w:val="en-GB"/>
        </w:rPr>
        <w:t>why Australia and Singapore should consider taking action in these trade areas.</w:t>
      </w:r>
    </w:p>
    <w:p w14:paraId="2C3FF0CB" w14:textId="21FC8B0D" w:rsidR="00C42A2A" w:rsidRPr="00731DDC" w:rsidRDefault="00C42A2A" w:rsidP="00C42A2A">
      <w:pPr>
        <w:keepNext/>
        <w:jc w:val="center"/>
        <w:rPr>
          <w:b/>
          <w:bCs/>
          <w:lang w:val="en-GB"/>
        </w:rPr>
      </w:pPr>
      <w:bookmarkStart w:id="74" w:name="_Ref51072221"/>
      <w:r w:rsidRPr="00731DDC">
        <w:rPr>
          <w:b/>
          <w:bCs/>
          <w:lang w:val="en-GB"/>
        </w:rPr>
        <w:t xml:space="preserve">Table </w:t>
      </w:r>
      <w:r w:rsidRPr="00731DDC">
        <w:rPr>
          <w:b/>
          <w:bCs/>
          <w:lang w:val="en-GB"/>
        </w:rPr>
        <w:fldChar w:fldCharType="begin"/>
      </w:r>
      <w:r w:rsidRPr="00731DDC">
        <w:rPr>
          <w:b/>
          <w:bCs/>
          <w:lang w:val="en-GB"/>
        </w:rPr>
        <w:instrText xml:space="preserve"> SEQ Table \* ARABIC </w:instrText>
      </w:r>
      <w:r w:rsidRPr="00731DDC">
        <w:rPr>
          <w:b/>
          <w:bCs/>
          <w:lang w:val="en-GB"/>
        </w:rPr>
        <w:fldChar w:fldCharType="separate"/>
      </w:r>
      <w:r w:rsidR="00C9081C">
        <w:rPr>
          <w:b/>
          <w:bCs/>
          <w:noProof/>
          <w:lang w:val="en-GB"/>
        </w:rPr>
        <w:t>8</w:t>
      </w:r>
      <w:r w:rsidRPr="00731DDC">
        <w:rPr>
          <w:b/>
          <w:bCs/>
          <w:lang w:val="en-GB"/>
        </w:rPr>
        <w:fldChar w:fldCharType="end"/>
      </w:r>
      <w:bookmarkEnd w:id="74"/>
      <w:r w:rsidRPr="00731DDC">
        <w:rPr>
          <w:b/>
          <w:bCs/>
          <w:lang w:val="en-GB"/>
        </w:rPr>
        <w:t>: Examples of Standards Relevant to the Supply Chain</w:t>
      </w:r>
    </w:p>
    <w:tbl>
      <w:tblPr>
        <w:tblStyle w:val="GridTable4-Accent110"/>
        <w:tblW w:w="5000"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649"/>
        <w:gridCol w:w="1488"/>
        <w:gridCol w:w="1716"/>
        <w:gridCol w:w="1774"/>
        <w:gridCol w:w="3108"/>
      </w:tblGrid>
      <w:tr w:rsidR="00C42A2A" w:rsidRPr="00731DDC" w14:paraId="7352EB54" w14:textId="77777777" w:rsidTr="006515BA">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left w:val="none" w:sz="0" w:space="0" w:color="auto"/>
              <w:bottom w:val="none" w:sz="0" w:space="0" w:color="auto"/>
              <w:right w:val="none" w:sz="0" w:space="0" w:color="auto"/>
            </w:tcBorders>
            <w:vAlign w:val="center"/>
          </w:tcPr>
          <w:p w14:paraId="2C055930" w14:textId="77777777" w:rsidR="00C42A2A" w:rsidRPr="00731DDC" w:rsidRDefault="00C42A2A" w:rsidP="006515BA">
            <w:pPr>
              <w:spacing w:beforeLines="40" w:before="96" w:afterLines="40" w:after="96"/>
              <w:jc w:val="center"/>
              <w:rPr>
                <w:rFonts w:eastAsia="Calibri" w:cstheme="minorHAnsi"/>
                <w:sz w:val="20"/>
                <w:szCs w:val="20"/>
                <w:lang w:val="en-GB"/>
              </w:rPr>
            </w:pPr>
            <w:r w:rsidRPr="00731DDC">
              <w:rPr>
                <w:rFonts w:eastAsia="Calibri" w:cstheme="minorHAnsi"/>
                <w:sz w:val="20"/>
                <w:szCs w:val="20"/>
                <w:lang w:val="en-GB"/>
              </w:rPr>
              <w:t>Digital Trade Areas</w:t>
            </w:r>
          </w:p>
        </w:tc>
        <w:tc>
          <w:tcPr>
            <w:tcW w:w="768" w:type="pct"/>
            <w:tcBorders>
              <w:top w:val="none" w:sz="0" w:space="0" w:color="auto"/>
              <w:left w:val="none" w:sz="0" w:space="0" w:color="auto"/>
              <w:bottom w:val="none" w:sz="0" w:space="0" w:color="auto"/>
              <w:right w:val="none" w:sz="0" w:space="0" w:color="auto"/>
            </w:tcBorders>
            <w:vAlign w:val="center"/>
          </w:tcPr>
          <w:p w14:paraId="643B5E2D" w14:textId="77777777" w:rsidR="00C42A2A" w:rsidRPr="00731DDC" w:rsidRDefault="00C42A2A" w:rsidP="006515BA">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Impact of Digitalisation</w:t>
            </w:r>
          </w:p>
        </w:tc>
        <w:tc>
          <w:tcPr>
            <w:tcW w:w="885" w:type="pct"/>
            <w:tcBorders>
              <w:top w:val="none" w:sz="0" w:space="0" w:color="auto"/>
              <w:left w:val="none" w:sz="0" w:space="0" w:color="auto"/>
              <w:bottom w:val="none" w:sz="0" w:space="0" w:color="auto"/>
              <w:right w:val="none" w:sz="0" w:space="0" w:color="auto"/>
            </w:tcBorders>
            <w:vAlign w:val="center"/>
          </w:tcPr>
          <w:p w14:paraId="5498D916" w14:textId="77777777" w:rsidR="00C42A2A" w:rsidRPr="00731DDC" w:rsidRDefault="00C42A2A" w:rsidP="006515BA">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Description</w:t>
            </w:r>
          </w:p>
        </w:tc>
        <w:tc>
          <w:tcPr>
            <w:tcW w:w="896" w:type="pct"/>
            <w:tcBorders>
              <w:top w:val="none" w:sz="0" w:space="0" w:color="auto"/>
              <w:left w:val="none" w:sz="0" w:space="0" w:color="auto"/>
              <w:bottom w:val="none" w:sz="0" w:space="0" w:color="auto"/>
              <w:right w:val="none" w:sz="0" w:space="0" w:color="auto"/>
            </w:tcBorders>
            <w:vAlign w:val="center"/>
          </w:tcPr>
          <w:p w14:paraId="06CCFAAF" w14:textId="3AE70BEE" w:rsidR="00C42A2A" w:rsidRPr="00731DDC" w:rsidRDefault="00F61ADD" w:rsidP="006515BA">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Recommendations</w:t>
            </w:r>
            <w:r w:rsidR="00A974A4">
              <w:rPr>
                <w:rFonts w:eastAsia="Calibri" w:cstheme="minorHAnsi"/>
                <w:sz w:val="20"/>
                <w:szCs w:val="20"/>
                <w:lang w:val="en-GB"/>
              </w:rPr>
              <w:t xml:space="preserve"> for Australia and Singapore </w:t>
            </w:r>
          </w:p>
        </w:tc>
        <w:tc>
          <w:tcPr>
            <w:tcW w:w="1600" w:type="pct"/>
            <w:tcBorders>
              <w:top w:val="none" w:sz="0" w:space="0" w:color="auto"/>
              <w:left w:val="none" w:sz="0" w:space="0" w:color="auto"/>
              <w:bottom w:val="none" w:sz="0" w:space="0" w:color="auto"/>
              <w:right w:val="none" w:sz="0" w:space="0" w:color="auto"/>
            </w:tcBorders>
            <w:vAlign w:val="center"/>
          </w:tcPr>
          <w:p w14:paraId="00B9CF50" w14:textId="77777777" w:rsidR="00C42A2A" w:rsidRPr="00731DDC" w:rsidRDefault="00C42A2A" w:rsidP="006515BA">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Example of Digital Standards</w:t>
            </w:r>
          </w:p>
        </w:tc>
      </w:tr>
      <w:tr w:rsidR="00C42A2A" w:rsidRPr="00731DDC" w14:paraId="56772664" w14:textId="77777777" w:rsidTr="006515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F1AE95B"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color w:val="4472C4"/>
                <w:sz w:val="20"/>
                <w:szCs w:val="20"/>
                <w:lang w:val="en-GB"/>
              </w:rPr>
              <w:t>Facilitating digital trade purchases and ordering</w:t>
            </w:r>
          </w:p>
        </w:tc>
      </w:tr>
      <w:tr w:rsidR="00C42A2A" w:rsidRPr="00731DDC" w14:paraId="27E8FEEA" w14:textId="77777777" w:rsidTr="006515BA">
        <w:tc>
          <w:tcPr>
            <w:cnfStyle w:val="001000000000" w:firstRow="0" w:lastRow="0" w:firstColumn="1" w:lastColumn="0" w:oddVBand="0" w:evenVBand="0" w:oddHBand="0" w:evenHBand="0" w:firstRowFirstColumn="0" w:firstRowLastColumn="0" w:lastRowFirstColumn="0" w:lastRowLastColumn="0"/>
            <w:tcW w:w="851" w:type="pct"/>
            <w:vAlign w:val="center"/>
          </w:tcPr>
          <w:p w14:paraId="3408BE78"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Financial messaging and payments standards</w:t>
            </w:r>
          </w:p>
        </w:tc>
        <w:tc>
          <w:tcPr>
            <w:tcW w:w="768" w:type="pct"/>
            <w:vAlign w:val="center"/>
          </w:tcPr>
          <w:p w14:paraId="4E7FC9E6"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vAlign w:val="center"/>
          </w:tcPr>
          <w:p w14:paraId="17716143" w14:textId="332B74AD"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Messaging rules which define message types for financial transactions and payment procedures</w:t>
            </w:r>
            <w:r w:rsidR="00A7036E">
              <w:rPr>
                <w:rFonts w:eastAsia="Calibri" w:cstheme="minorHAnsi"/>
                <w:sz w:val="20"/>
                <w:szCs w:val="20"/>
                <w:lang w:val="en-GB"/>
              </w:rPr>
              <w:t>.</w:t>
            </w:r>
          </w:p>
        </w:tc>
        <w:tc>
          <w:tcPr>
            <w:tcW w:w="896" w:type="pct"/>
            <w:vAlign w:val="center"/>
          </w:tcPr>
          <w:p w14:paraId="73ACFF9C" w14:textId="4CC16D32" w:rsidR="00C42A2A" w:rsidRPr="00731DDC" w:rsidRDefault="002B6119"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2B6119">
              <w:rPr>
                <w:rFonts w:eastAsia="Calibri" w:cstheme="minorHAnsi"/>
                <w:sz w:val="20"/>
                <w:szCs w:val="20"/>
                <w:lang w:val="en-GB"/>
              </w:rPr>
              <w:t xml:space="preserve">Australia and Singapore </w:t>
            </w:r>
            <w:r w:rsidR="00F61ADD">
              <w:rPr>
                <w:rFonts w:eastAsia="Calibri" w:cstheme="minorHAnsi"/>
                <w:sz w:val="20"/>
                <w:szCs w:val="20"/>
                <w:lang w:val="en-GB"/>
              </w:rPr>
              <w:t>cou</w:t>
            </w:r>
            <w:r w:rsidR="00F61ADD" w:rsidRPr="002B6119">
              <w:rPr>
                <w:rFonts w:eastAsia="Calibri" w:cstheme="minorHAnsi"/>
                <w:sz w:val="20"/>
                <w:szCs w:val="20"/>
                <w:lang w:val="en-GB"/>
              </w:rPr>
              <w:t xml:space="preserve">ld </w:t>
            </w:r>
            <w:r w:rsidRPr="002B6119">
              <w:rPr>
                <w:rFonts w:eastAsia="Calibri" w:cstheme="minorHAnsi"/>
                <w:sz w:val="20"/>
                <w:szCs w:val="20"/>
                <w:lang w:val="en-GB"/>
              </w:rPr>
              <w:t>seek to develop and promote financial messaging standards to improve trade in e-commerce and fintech</w:t>
            </w:r>
            <w:r w:rsidR="00A7036E">
              <w:rPr>
                <w:rFonts w:eastAsia="Calibri" w:cstheme="minorHAnsi"/>
                <w:sz w:val="20"/>
                <w:szCs w:val="20"/>
                <w:lang w:val="en-GB"/>
              </w:rPr>
              <w:t>.</w:t>
            </w:r>
          </w:p>
          <w:p w14:paraId="4ED6ED52"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p>
        </w:tc>
        <w:tc>
          <w:tcPr>
            <w:tcW w:w="1600" w:type="pct"/>
            <w:shd w:val="clear" w:color="auto" w:fill="FFFFFF" w:themeFill="background1"/>
            <w:vAlign w:val="center"/>
          </w:tcPr>
          <w:p w14:paraId="265B4120"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SWIFT Message Types (MT) and ISO 15022</w:t>
            </w:r>
          </w:p>
          <w:p w14:paraId="15DE3667"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ISO 8583 -Financial transaction card originated messages - Interchange message specifications</w:t>
            </w:r>
          </w:p>
          <w:p w14:paraId="08D9D5BA"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ISO 20022 universal financial industry message scheme</w:t>
            </w:r>
          </w:p>
        </w:tc>
      </w:tr>
      <w:tr w:rsidR="00C42A2A" w:rsidRPr="00731DDC" w14:paraId="7C892871"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30880F48"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Application Programming Interface and Web Service Based Application Programming Interface (APIs)</w:t>
            </w:r>
          </w:p>
        </w:tc>
        <w:tc>
          <w:tcPr>
            <w:tcW w:w="768" w:type="pct"/>
            <w:shd w:val="clear" w:color="auto" w:fill="auto"/>
            <w:vAlign w:val="center"/>
          </w:tcPr>
          <w:p w14:paraId="6EBF0070"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 and new services</w:t>
            </w:r>
          </w:p>
        </w:tc>
        <w:tc>
          <w:tcPr>
            <w:tcW w:w="885" w:type="pct"/>
            <w:shd w:val="clear" w:color="auto" w:fill="auto"/>
            <w:vAlign w:val="center"/>
          </w:tcPr>
          <w:p w14:paraId="3080CD3D" w14:textId="2527D483"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Allows secure data exchange between businesses</w:t>
            </w:r>
            <w:r w:rsidR="00A7036E">
              <w:rPr>
                <w:rFonts w:eastAsia="Calibri" w:cstheme="minorHAnsi"/>
                <w:sz w:val="20"/>
                <w:szCs w:val="20"/>
                <w:lang w:val="en-GB"/>
              </w:rPr>
              <w:t>.</w:t>
            </w:r>
          </w:p>
        </w:tc>
        <w:tc>
          <w:tcPr>
            <w:tcW w:w="896" w:type="pct"/>
            <w:shd w:val="clear" w:color="auto" w:fill="auto"/>
            <w:vAlign w:val="center"/>
          </w:tcPr>
          <w:p w14:paraId="5155796B" w14:textId="3386F8CC" w:rsidR="00C42A2A" w:rsidRPr="00731DDC" w:rsidRDefault="00A974A4"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Australia and Singapore </w:t>
            </w:r>
            <w:r w:rsidR="00F61ADD">
              <w:rPr>
                <w:rFonts w:eastAsia="Calibri" w:cstheme="minorHAnsi"/>
                <w:sz w:val="20"/>
                <w:szCs w:val="20"/>
                <w:lang w:val="en-GB"/>
              </w:rPr>
              <w:t>co</w:t>
            </w:r>
            <w:r>
              <w:rPr>
                <w:rFonts w:eastAsia="Calibri" w:cstheme="minorHAnsi"/>
                <w:sz w:val="20"/>
                <w:szCs w:val="20"/>
                <w:lang w:val="en-GB"/>
              </w:rPr>
              <w:t xml:space="preserve">uld </w:t>
            </w:r>
            <w:r w:rsidR="00D333C3">
              <w:rPr>
                <w:rFonts w:eastAsia="Calibri" w:cstheme="minorHAnsi"/>
                <w:sz w:val="20"/>
                <w:szCs w:val="20"/>
                <w:lang w:val="en-GB"/>
              </w:rPr>
              <w:t xml:space="preserve">develop and promote </w:t>
            </w:r>
            <w:r w:rsidR="00C42A2A" w:rsidRPr="00731DDC">
              <w:rPr>
                <w:rFonts w:eastAsia="Calibri" w:cstheme="minorHAnsi"/>
                <w:sz w:val="20"/>
                <w:szCs w:val="20"/>
                <w:lang w:val="en-GB"/>
              </w:rPr>
              <w:t>Open Banking</w:t>
            </w:r>
            <w:r w:rsidR="00947649">
              <w:rPr>
                <w:rFonts w:eastAsia="Calibri" w:cstheme="minorHAnsi"/>
                <w:sz w:val="20"/>
                <w:szCs w:val="20"/>
                <w:lang w:val="en-GB"/>
              </w:rPr>
              <w:t xml:space="preserve"> </w:t>
            </w:r>
            <w:r w:rsidR="0017046D">
              <w:rPr>
                <w:rFonts w:eastAsia="Calibri" w:cstheme="minorHAnsi"/>
                <w:sz w:val="20"/>
                <w:szCs w:val="20"/>
                <w:lang w:val="en-GB"/>
              </w:rPr>
              <w:t>standards</w:t>
            </w:r>
            <w:r w:rsidR="00947649">
              <w:rPr>
                <w:rFonts w:eastAsia="Calibri" w:cstheme="minorHAnsi"/>
                <w:sz w:val="20"/>
                <w:szCs w:val="20"/>
                <w:lang w:val="en-GB"/>
              </w:rPr>
              <w:t xml:space="preserve">, ensuring </w:t>
            </w:r>
            <w:r>
              <w:rPr>
                <w:rFonts w:eastAsia="Calibri" w:cstheme="minorHAnsi"/>
                <w:sz w:val="20"/>
                <w:szCs w:val="20"/>
                <w:lang w:val="en-GB"/>
              </w:rPr>
              <w:t xml:space="preserve">that </w:t>
            </w:r>
            <w:r w:rsidR="00C42A2A" w:rsidRPr="00731DDC">
              <w:rPr>
                <w:rFonts w:eastAsia="Calibri" w:cstheme="minorHAnsi"/>
                <w:sz w:val="20"/>
                <w:szCs w:val="20"/>
                <w:lang w:val="en-GB"/>
              </w:rPr>
              <w:t xml:space="preserve">banks </w:t>
            </w:r>
            <w:r>
              <w:rPr>
                <w:rFonts w:eastAsia="Calibri" w:cstheme="minorHAnsi"/>
                <w:sz w:val="20"/>
                <w:szCs w:val="20"/>
                <w:lang w:val="en-GB"/>
              </w:rPr>
              <w:t>in each country can</w:t>
            </w:r>
            <w:r w:rsidR="00C42A2A" w:rsidRPr="00731DDC">
              <w:rPr>
                <w:rFonts w:eastAsia="Calibri" w:cstheme="minorHAnsi"/>
                <w:sz w:val="20"/>
                <w:szCs w:val="20"/>
                <w:lang w:val="en-GB"/>
              </w:rPr>
              <w:t xml:space="preserve"> access </w:t>
            </w:r>
            <w:r>
              <w:rPr>
                <w:rFonts w:eastAsia="Calibri" w:cstheme="minorHAnsi"/>
                <w:sz w:val="20"/>
                <w:szCs w:val="20"/>
                <w:lang w:val="en-GB"/>
              </w:rPr>
              <w:t xml:space="preserve">financial </w:t>
            </w:r>
            <w:r w:rsidR="00C42A2A" w:rsidRPr="00731DDC">
              <w:rPr>
                <w:rFonts w:eastAsia="Calibri" w:cstheme="minorHAnsi"/>
                <w:sz w:val="20"/>
                <w:szCs w:val="20"/>
                <w:lang w:val="en-GB"/>
              </w:rPr>
              <w:t xml:space="preserve">data and offer </w:t>
            </w:r>
            <w:r>
              <w:rPr>
                <w:rFonts w:eastAsia="Calibri" w:cstheme="minorHAnsi"/>
                <w:sz w:val="20"/>
                <w:szCs w:val="20"/>
                <w:lang w:val="en-GB"/>
              </w:rPr>
              <w:t xml:space="preserve">businesses and consumers </w:t>
            </w:r>
            <w:r w:rsidR="00C42A2A" w:rsidRPr="00731DDC">
              <w:rPr>
                <w:rFonts w:eastAsia="Calibri" w:cstheme="minorHAnsi"/>
                <w:sz w:val="20"/>
                <w:szCs w:val="20"/>
                <w:lang w:val="en-GB"/>
              </w:rPr>
              <w:t>better cross-border banking services</w:t>
            </w:r>
            <w:r w:rsidR="00A7036E">
              <w:rPr>
                <w:rFonts w:eastAsia="Calibri" w:cstheme="minorHAnsi"/>
                <w:sz w:val="20"/>
                <w:szCs w:val="20"/>
                <w:lang w:val="en-GB"/>
              </w:rPr>
              <w:t>.</w:t>
            </w:r>
          </w:p>
        </w:tc>
        <w:tc>
          <w:tcPr>
            <w:tcW w:w="1600" w:type="pct"/>
            <w:shd w:val="clear" w:color="auto" w:fill="FFFFFF" w:themeFill="background1"/>
            <w:vAlign w:val="center"/>
          </w:tcPr>
          <w:p w14:paraId="571FDDB4"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ISO</w:t>
            </w:r>
            <w:r w:rsidRPr="00731DDC">
              <w:rPr>
                <w:rFonts w:cstheme="minorHAnsi"/>
                <w:sz w:val="20"/>
                <w:szCs w:val="20"/>
                <w:lang w:val="en-GB"/>
              </w:rPr>
              <w:t xml:space="preserve">/TC 68/SC 9/WG 2 is responsible for the standardisation of </w:t>
            </w:r>
            <w:r w:rsidRPr="00731DDC">
              <w:rPr>
                <w:rFonts w:cstheme="minorHAnsi"/>
                <w:b/>
                <w:bCs/>
                <w:sz w:val="20"/>
                <w:szCs w:val="20"/>
                <w:lang w:val="en-GB"/>
              </w:rPr>
              <w:t>ISO/DTS 23029</w:t>
            </w:r>
            <w:r w:rsidRPr="00731DDC">
              <w:rPr>
                <w:rFonts w:cstheme="minorHAnsi"/>
                <w:sz w:val="20"/>
                <w:szCs w:val="20"/>
                <w:lang w:val="en-GB"/>
              </w:rPr>
              <w:t xml:space="preserve"> WAPI in Financial Services</w:t>
            </w:r>
          </w:p>
        </w:tc>
      </w:tr>
      <w:tr w:rsidR="00C42A2A" w:rsidRPr="00731DDC" w14:paraId="63D55EBA" w14:textId="77777777" w:rsidTr="006515BA">
        <w:tc>
          <w:tcPr>
            <w:cnfStyle w:val="001000000000" w:firstRow="0" w:lastRow="0" w:firstColumn="1" w:lastColumn="0" w:oddVBand="0" w:evenVBand="0" w:oddHBand="0" w:evenHBand="0" w:firstRowFirstColumn="0" w:firstRowLastColumn="0" w:lastRowFirstColumn="0" w:lastRowLastColumn="0"/>
            <w:tcW w:w="851" w:type="pct"/>
            <w:vAlign w:val="center"/>
          </w:tcPr>
          <w:p w14:paraId="34E16007"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lastRenderedPageBreak/>
              <w:t>QR Codes</w:t>
            </w:r>
          </w:p>
        </w:tc>
        <w:tc>
          <w:tcPr>
            <w:tcW w:w="768" w:type="pct"/>
            <w:vAlign w:val="center"/>
          </w:tcPr>
          <w:p w14:paraId="452DB273"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vAlign w:val="center"/>
          </w:tcPr>
          <w:p w14:paraId="0523D1AE" w14:textId="041059E5"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bCs/>
                <w:iCs/>
                <w:sz w:val="20"/>
                <w:szCs w:val="20"/>
                <w:lang w:val="en-GB"/>
              </w:rPr>
              <w:t>Provides a single common QR Code that allows payment from multiple payment service operators</w:t>
            </w:r>
            <w:r w:rsidR="00A7036E">
              <w:rPr>
                <w:rFonts w:eastAsia="Calibri" w:cstheme="minorHAnsi"/>
                <w:bCs/>
                <w:iCs/>
                <w:sz w:val="20"/>
                <w:szCs w:val="20"/>
                <w:lang w:val="en-GB"/>
              </w:rPr>
              <w:t>.</w:t>
            </w:r>
          </w:p>
        </w:tc>
        <w:tc>
          <w:tcPr>
            <w:tcW w:w="896" w:type="pct"/>
            <w:shd w:val="clear" w:color="auto" w:fill="auto"/>
            <w:vAlign w:val="center"/>
          </w:tcPr>
          <w:p w14:paraId="4A2FA2E7" w14:textId="5C037795" w:rsidR="00C42A2A" w:rsidRPr="00731DDC" w:rsidRDefault="00A974A4"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Pr>
                <w:rFonts w:eastAsia="Calibri" w:cstheme="minorHAnsi"/>
                <w:bCs/>
                <w:iCs/>
                <w:sz w:val="20"/>
                <w:szCs w:val="20"/>
                <w:lang w:val="en-GB"/>
              </w:rPr>
              <w:t xml:space="preserve">Australia and Singapore </w:t>
            </w:r>
            <w:r w:rsidR="00F61ADD">
              <w:rPr>
                <w:rFonts w:eastAsia="Calibri" w:cstheme="minorHAnsi"/>
                <w:bCs/>
                <w:iCs/>
                <w:sz w:val="20"/>
                <w:szCs w:val="20"/>
                <w:lang w:val="en-GB"/>
              </w:rPr>
              <w:t>c</w:t>
            </w:r>
            <w:r>
              <w:rPr>
                <w:rFonts w:eastAsia="Calibri" w:cstheme="minorHAnsi"/>
                <w:bCs/>
                <w:iCs/>
                <w:sz w:val="20"/>
                <w:szCs w:val="20"/>
                <w:lang w:val="en-GB"/>
              </w:rPr>
              <w:t xml:space="preserve">ould align on </w:t>
            </w:r>
            <w:r w:rsidR="00C42A2A" w:rsidRPr="00731DDC">
              <w:rPr>
                <w:rFonts w:eastAsia="Calibri" w:cstheme="minorHAnsi"/>
                <w:bCs/>
                <w:iCs/>
                <w:sz w:val="20"/>
                <w:szCs w:val="20"/>
                <w:lang w:val="en-GB"/>
              </w:rPr>
              <w:t>QR code</w:t>
            </w:r>
            <w:r>
              <w:rPr>
                <w:rFonts w:eastAsia="Calibri" w:cstheme="minorHAnsi"/>
                <w:bCs/>
                <w:iCs/>
                <w:sz w:val="20"/>
                <w:szCs w:val="20"/>
                <w:lang w:val="en-GB"/>
              </w:rPr>
              <w:t xml:space="preserve"> standards </w:t>
            </w:r>
            <w:r w:rsidR="00C42A2A" w:rsidRPr="00731DDC">
              <w:rPr>
                <w:rFonts w:eastAsia="Calibri" w:cstheme="minorHAnsi"/>
                <w:bCs/>
                <w:iCs/>
                <w:sz w:val="20"/>
                <w:szCs w:val="20"/>
                <w:lang w:val="en-GB"/>
              </w:rPr>
              <w:t xml:space="preserve">to support </w:t>
            </w:r>
            <w:r w:rsidR="0017046D">
              <w:rPr>
                <w:rFonts w:eastAsia="Calibri" w:cstheme="minorHAnsi"/>
                <w:bCs/>
                <w:iCs/>
                <w:sz w:val="20"/>
                <w:szCs w:val="20"/>
                <w:lang w:val="en-GB"/>
              </w:rPr>
              <w:t xml:space="preserve">digital </w:t>
            </w:r>
            <w:r w:rsidR="00C42A2A" w:rsidRPr="00731DDC">
              <w:rPr>
                <w:rFonts w:eastAsia="Calibri" w:cstheme="minorHAnsi"/>
                <w:bCs/>
                <w:iCs/>
                <w:sz w:val="20"/>
                <w:szCs w:val="20"/>
                <w:lang w:val="en-GB"/>
              </w:rPr>
              <w:t xml:space="preserve"> payments for a significant volume of goods and services</w:t>
            </w:r>
            <w:r>
              <w:rPr>
                <w:rFonts w:eastAsia="Calibri" w:cstheme="minorHAnsi"/>
                <w:bCs/>
                <w:iCs/>
                <w:sz w:val="20"/>
                <w:szCs w:val="20"/>
                <w:lang w:val="en-GB"/>
              </w:rPr>
              <w:t xml:space="preserve"> between the two countries</w:t>
            </w:r>
            <w:r w:rsidR="00C42A2A" w:rsidRPr="00731DDC">
              <w:rPr>
                <w:rFonts w:eastAsia="Calibri" w:cstheme="minorHAnsi"/>
                <w:bCs/>
                <w:iCs/>
                <w:sz w:val="20"/>
                <w:szCs w:val="20"/>
                <w:lang w:val="en-GB"/>
              </w:rPr>
              <w:t>.</w:t>
            </w:r>
          </w:p>
        </w:tc>
        <w:tc>
          <w:tcPr>
            <w:tcW w:w="1600" w:type="pct"/>
            <w:shd w:val="clear" w:color="auto" w:fill="FFFFFF" w:themeFill="background1"/>
            <w:vAlign w:val="center"/>
          </w:tcPr>
          <w:p w14:paraId="20895595"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EMVCo</w:t>
            </w:r>
            <w:r w:rsidRPr="00731DDC">
              <w:rPr>
                <w:rFonts w:cstheme="minorHAnsi"/>
                <w:sz w:val="20"/>
                <w:szCs w:val="20"/>
                <w:vertAlign w:val="superscript"/>
                <w:lang w:val="en-GB"/>
              </w:rPr>
              <w:footnoteReference w:id="88"/>
            </w:r>
            <w:r w:rsidRPr="00731DDC">
              <w:rPr>
                <w:rFonts w:cstheme="minorHAnsi"/>
                <w:sz w:val="20"/>
                <w:szCs w:val="20"/>
                <w:lang w:val="en-GB"/>
              </w:rPr>
              <w:t xml:space="preserve"> technical specifications for “QR Code Specification for Payment System – Merchant-Presented Mode”. </w:t>
            </w:r>
          </w:p>
          <w:p w14:paraId="4FA4EA8D"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iCs/>
                <w:sz w:val="20"/>
                <w:szCs w:val="20"/>
                <w:lang w:val="en-GB"/>
              </w:rPr>
            </w:pPr>
            <w:r w:rsidRPr="00731DDC">
              <w:rPr>
                <w:rFonts w:cstheme="minorHAnsi"/>
                <w:sz w:val="20"/>
                <w:szCs w:val="20"/>
                <w:lang w:val="en-GB"/>
              </w:rPr>
              <w:t>ISO/IEC 18004 – automatic identification and data capture techniques — QR Code bar code symbology specification</w:t>
            </w:r>
          </w:p>
          <w:p w14:paraId="04C7109F"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iCs/>
                <w:sz w:val="20"/>
                <w:szCs w:val="20"/>
                <w:lang w:val="en-GB"/>
              </w:rPr>
            </w:pPr>
            <w:r w:rsidRPr="00731DDC">
              <w:rPr>
                <w:rFonts w:cstheme="minorHAnsi"/>
                <w:sz w:val="20"/>
                <w:szCs w:val="20"/>
                <w:lang w:val="en-GB"/>
              </w:rPr>
              <w:t xml:space="preserve">ISO/IEC JTC 1/SC 31 - Automatic identification and data capture techniques Technical Committee.   </w:t>
            </w:r>
          </w:p>
        </w:tc>
      </w:tr>
      <w:tr w:rsidR="00C42A2A" w:rsidRPr="00731DDC" w14:paraId="32C1DA01"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0BA003E7"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 xml:space="preserve">E-procurement </w:t>
            </w:r>
          </w:p>
        </w:tc>
        <w:tc>
          <w:tcPr>
            <w:tcW w:w="768" w:type="pct"/>
            <w:shd w:val="clear" w:color="auto" w:fill="auto"/>
            <w:vAlign w:val="center"/>
          </w:tcPr>
          <w:p w14:paraId="14C271D6"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0295EC12" w14:textId="0255516E"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bCs/>
                <w:iCs/>
                <w:sz w:val="20"/>
                <w:szCs w:val="20"/>
                <w:lang w:val="en-GB"/>
              </w:rPr>
              <w:t>Multiple components and procedures like bid submission, e-auction, evaluation, finalisation and contract management</w:t>
            </w:r>
            <w:r w:rsidR="00A7036E">
              <w:rPr>
                <w:rFonts w:eastAsia="Calibri" w:cstheme="minorHAnsi"/>
                <w:bCs/>
                <w:iCs/>
                <w:sz w:val="20"/>
                <w:szCs w:val="20"/>
                <w:lang w:val="en-GB"/>
              </w:rPr>
              <w:t>.</w:t>
            </w:r>
          </w:p>
        </w:tc>
        <w:tc>
          <w:tcPr>
            <w:tcW w:w="896" w:type="pct"/>
            <w:shd w:val="clear" w:color="auto" w:fill="auto"/>
            <w:vAlign w:val="center"/>
          </w:tcPr>
          <w:p w14:paraId="4C8E3366" w14:textId="0C0F884B" w:rsidR="00C42A2A" w:rsidRPr="00731DDC" w:rsidRDefault="00903704"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bCs/>
                <w:iCs/>
                <w:sz w:val="20"/>
                <w:szCs w:val="20"/>
                <w:lang w:val="en-GB"/>
              </w:rPr>
            </w:pPr>
            <w:r>
              <w:rPr>
                <w:rFonts w:eastAsia="Calibri" w:cstheme="minorHAnsi"/>
                <w:bCs/>
                <w:iCs/>
                <w:sz w:val="20"/>
                <w:szCs w:val="20"/>
                <w:lang w:val="en-GB"/>
              </w:rPr>
              <w:t xml:space="preserve">Australia and Singapore </w:t>
            </w:r>
            <w:r w:rsidR="00F61ADD">
              <w:rPr>
                <w:rFonts w:eastAsia="Calibri" w:cstheme="minorHAnsi"/>
                <w:bCs/>
                <w:iCs/>
                <w:sz w:val="20"/>
                <w:szCs w:val="20"/>
                <w:lang w:val="en-GB"/>
              </w:rPr>
              <w:t>c</w:t>
            </w:r>
            <w:r>
              <w:rPr>
                <w:rFonts w:eastAsia="Calibri" w:cstheme="minorHAnsi"/>
                <w:bCs/>
                <w:iCs/>
                <w:sz w:val="20"/>
                <w:szCs w:val="20"/>
                <w:lang w:val="en-GB"/>
              </w:rPr>
              <w:t>ould seek to improve the e</w:t>
            </w:r>
            <w:r w:rsidR="00C42A2A" w:rsidRPr="00731DDC">
              <w:rPr>
                <w:rFonts w:eastAsia="Calibri" w:cstheme="minorHAnsi"/>
                <w:bCs/>
                <w:iCs/>
                <w:sz w:val="20"/>
                <w:szCs w:val="20"/>
                <w:lang w:val="en-GB"/>
              </w:rPr>
              <w:t xml:space="preserve">ase of doing business in </w:t>
            </w:r>
            <w:r w:rsidR="00A7036E">
              <w:rPr>
                <w:rFonts w:eastAsia="Calibri" w:cstheme="minorHAnsi"/>
                <w:bCs/>
                <w:iCs/>
                <w:sz w:val="20"/>
                <w:szCs w:val="20"/>
                <w:lang w:val="en-GB"/>
              </w:rPr>
              <w:t>within the two countries</w:t>
            </w:r>
            <w:r>
              <w:rPr>
                <w:rFonts w:eastAsia="Calibri" w:cstheme="minorHAnsi"/>
                <w:bCs/>
                <w:iCs/>
                <w:sz w:val="20"/>
                <w:szCs w:val="20"/>
                <w:lang w:val="en-GB"/>
              </w:rPr>
              <w:t xml:space="preserve"> by aligning e-procurement</w:t>
            </w:r>
            <w:r w:rsidR="00C42A2A" w:rsidRPr="00731DDC">
              <w:rPr>
                <w:rFonts w:eastAsia="Calibri" w:cstheme="minorHAnsi"/>
                <w:bCs/>
                <w:iCs/>
                <w:sz w:val="20"/>
                <w:szCs w:val="20"/>
                <w:lang w:val="en-GB"/>
              </w:rPr>
              <w:t xml:space="preserve"> </w:t>
            </w:r>
            <w:r>
              <w:rPr>
                <w:rFonts w:eastAsia="Calibri" w:cstheme="minorHAnsi"/>
                <w:bCs/>
                <w:iCs/>
                <w:sz w:val="20"/>
                <w:szCs w:val="20"/>
                <w:lang w:val="en-GB"/>
              </w:rPr>
              <w:t>standards. This will make it easier for businesses</w:t>
            </w:r>
            <w:r w:rsidR="00C42A2A" w:rsidRPr="00731DDC">
              <w:rPr>
                <w:rFonts w:eastAsia="Calibri" w:cstheme="minorHAnsi"/>
                <w:bCs/>
                <w:iCs/>
                <w:sz w:val="20"/>
                <w:szCs w:val="20"/>
                <w:lang w:val="en-GB"/>
              </w:rPr>
              <w:t xml:space="preserve"> to participate in contract work</w:t>
            </w:r>
            <w:r w:rsidR="00D333C3">
              <w:rPr>
                <w:rFonts w:eastAsia="Calibri" w:cstheme="minorHAnsi"/>
                <w:bCs/>
                <w:iCs/>
                <w:sz w:val="20"/>
                <w:szCs w:val="20"/>
                <w:lang w:val="en-GB"/>
              </w:rPr>
              <w:t xml:space="preserve"> in each country.</w:t>
            </w:r>
          </w:p>
        </w:tc>
        <w:tc>
          <w:tcPr>
            <w:tcW w:w="1600" w:type="pct"/>
            <w:shd w:val="clear" w:color="auto" w:fill="FFFFFF" w:themeFill="background1"/>
            <w:vAlign w:val="center"/>
          </w:tcPr>
          <w:p w14:paraId="0656A721"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cstheme="minorHAnsi"/>
                <w:iCs/>
                <w:sz w:val="20"/>
                <w:szCs w:val="20"/>
                <w:lang w:val="en-GB"/>
              </w:rPr>
            </w:pPr>
            <w:r w:rsidRPr="00731DDC">
              <w:rPr>
                <w:rFonts w:eastAsia="Calibri" w:cstheme="minorHAnsi"/>
                <w:sz w:val="20"/>
                <w:szCs w:val="20"/>
                <w:lang w:val="en-GB"/>
              </w:rPr>
              <w:t>Electronic</w:t>
            </w:r>
            <w:r w:rsidRPr="00731DDC">
              <w:rPr>
                <w:rFonts w:cstheme="minorHAnsi"/>
                <w:iCs/>
                <w:sz w:val="20"/>
                <w:szCs w:val="20"/>
                <w:lang w:val="en-GB"/>
              </w:rPr>
              <w:t xml:space="preserve"> Public Procurement CEN/TR 17014-101:2018</w:t>
            </w:r>
          </w:p>
          <w:p w14:paraId="455643A7"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cstheme="minorHAnsi"/>
                <w:iCs/>
                <w:sz w:val="20"/>
                <w:szCs w:val="20"/>
                <w:lang w:val="en-GB"/>
              </w:rPr>
            </w:pPr>
            <w:r w:rsidRPr="00731DDC">
              <w:rPr>
                <w:rFonts w:cstheme="minorHAnsi"/>
                <w:iCs/>
                <w:sz w:val="20"/>
                <w:szCs w:val="20"/>
                <w:lang w:val="en-GB"/>
              </w:rPr>
              <w:t>Open Contracting Data Standard (OCDS)</w:t>
            </w:r>
          </w:p>
          <w:p w14:paraId="196E2D05"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cstheme="minorHAnsi"/>
                <w:iCs/>
                <w:sz w:val="20"/>
                <w:szCs w:val="20"/>
                <w:lang w:val="en-GB"/>
              </w:rPr>
            </w:pPr>
            <w:r w:rsidRPr="00731DDC">
              <w:rPr>
                <w:rFonts w:cstheme="minorHAnsi"/>
                <w:iCs/>
                <w:sz w:val="20"/>
                <w:szCs w:val="20"/>
                <w:lang w:val="en-GB"/>
              </w:rPr>
              <w:t>The Peppol framework also supports e-procurement</w:t>
            </w:r>
          </w:p>
        </w:tc>
      </w:tr>
      <w:tr w:rsidR="00C42A2A" w:rsidRPr="00731DDC" w14:paraId="7B1C04C0" w14:textId="77777777" w:rsidTr="006515BA">
        <w:trPr>
          <w:trHeight w:val="27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vAlign w:val="center"/>
          </w:tcPr>
          <w:p w14:paraId="51D53340"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color w:val="4472C4"/>
                <w:sz w:val="20"/>
                <w:szCs w:val="20"/>
                <w:lang w:val="en-GB"/>
              </w:rPr>
              <w:t>Facilitating digital trade logistics</w:t>
            </w:r>
          </w:p>
        </w:tc>
      </w:tr>
      <w:tr w:rsidR="00C42A2A" w:rsidRPr="00731DDC" w14:paraId="79F5CC3B"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7CEF262B"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 xml:space="preserve">Cross-border logistics platform  </w:t>
            </w:r>
          </w:p>
        </w:tc>
        <w:tc>
          <w:tcPr>
            <w:tcW w:w="768" w:type="pct"/>
            <w:shd w:val="clear" w:color="auto" w:fill="auto"/>
            <w:vAlign w:val="center"/>
          </w:tcPr>
          <w:p w14:paraId="7D983987"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53E3DE43" w14:textId="6E25A86E"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cstheme="minorHAnsi"/>
                <w:sz w:val="20"/>
                <w:szCs w:val="20"/>
                <w:lang w:val="en-GB"/>
              </w:rPr>
              <w:t>Connection of customs single window systems that facilitates collaboration among traders, transport operators and governments along the international supply chain</w:t>
            </w:r>
            <w:r w:rsidR="00A7036E">
              <w:rPr>
                <w:rFonts w:cstheme="minorHAnsi"/>
                <w:sz w:val="20"/>
                <w:szCs w:val="20"/>
                <w:lang w:val="en-GB"/>
              </w:rPr>
              <w:t>.</w:t>
            </w:r>
          </w:p>
        </w:tc>
        <w:tc>
          <w:tcPr>
            <w:tcW w:w="896" w:type="pct"/>
            <w:shd w:val="clear" w:color="auto" w:fill="auto"/>
            <w:vAlign w:val="center"/>
          </w:tcPr>
          <w:p w14:paraId="67D291AB" w14:textId="4AEC4DB5"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bCs/>
                <w:sz w:val="20"/>
                <w:szCs w:val="20"/>
                <w:lang w:val="en-GB"/>
              </w:rPr>
              <w:t>Australia and Singapore</w:t>
            </w:r>
            <w:r w:rsidR="00D333C3">
              <w:rPr>
                <w:rFonts w:eastAsia="Calibri" w:cstheme="minorHAnsi"/>
                <w:bCs/>
                <w:sz w:val="20"/>
                <w:szCs w:val="20"/>
                <w:lang w:val="en-GB"/>
              </w:rPr>
              <w:t xml:space="preserve"> </w:t>
            </w:r>
            <w:r w:rsidR="00EF1880">
              <w:rPr>
                <w:rFonts w:eastAsia="Calibri" w:cstheme="minorHAnsi"/>
                <w:bCs/>
                <w:sz w:val="20"/>
                <w:szCs w:val="20"/>
                <w:lang w:val="en-GB"/>
              </w:rPr>
              <w:t>c</w:t>
            </w:r>
            <w:r w:rsidR="00D333C3">
              <w:rPr>
                <w:rFonts w:eastAsia="Calibri" w:cstheme="minorHAnsi"/>
                <w:bCs/>
                <w:sz w:val="20"/>
                <w:szCs w:val="20"/>
                <w:lang w:val="en-GB"/>
              </w:rPr>
              <w:t xml:space="preserve">ould </w:t>
            </w:r>
            <w:r w:rsidR="003E7127">
              <w:rPr>
                <w:rFonts w:eastAsia="Calibri" w:cstheme="minorHAnsi"/>
                <w:bCs/>
                <w:sz w:val="20"/>
                <w:szCs w:val="20"/>
                <w:lang w:val="en-GB"/>
              </w:rPr>
              <w:t xml:space="preserve">develop and </w:t>
            </w:r>
            <w:r w:rsidR="00A7036E">
              <w:rPr>
                <w:rFonts w:eastAsia="Calibri" w:cstheme="minorHAnsi"/>
                <w:bCs/>
                <w:sz w:val="20"/>
                <w:szCs w:val="20"/>
                <w:lang w:val="en-GB"/>
              </w:rPr>
              <w:t xml:space="preserve">align </w:t>
            </w:r>
            <w:r w:rsidR="003E7127">
              <w:rPr>
                <w:rFonts w:eastAsia="Calibri" w:cstheme="minorHAnsi"/>
                <w:bCs/>
                <w:sz w:val="20"/>
                <w:szCs w:val="20"/>
                <w:lang w:val="en-GB"/>
              </w:rPr>
              <w:t xml:space="preserve">standards related to national </w:t>
            </w:r>
            <w:r w:rsidR="00A7036E">
              <w:rPr>
                <w:rFonts w:eastAsia="Calibri" w:cstheme="minorHAnsi"/>
                <w:bCs/>
                <w:sz w:val="20"/>
                <w:szCs w:val="20"/>
                <w:lang w:val="en-GB"/>
              </w:rPr>
              <w:t xml:space="preserve">single-window </w:t>
            </w:r>
            <w:r w:rsidR="003E7127">
              <w:rPr>
                <w:rFonts w:eastAsia="Calibri" w:cstheme="minorHAnsi"/>
                <w:bCs/>
                <w:sz w:val="20"/>
                <w:szCs w:val="20"/>
                <w:lang w:val="en-GB"/>
              </w:rPr>
              <w:t>platforms</w:t>
            </w:r>
            <w:r w:rsidR="007F24B4">
              <w:rPr>
                <w:rFonts w:eastAsia="Calibri" w:cstheme="minorHAnsi"/>
                <w:bCs/>
                <w:sz w:val="20"/>
                <w:szCs w:val="20"/>
                <w:lang w:val="en-GB"/>
              </w:rPr>
              <w:t>,</w:t>
            </w:r>
            <w:r w:rsidR="00A7036E">
              <w:rPr>
                <w:rFonts w:eastAsia="Calibri" w:cstheme="minorHAnsi"/>
                <w:bCs/>
                <w:sz w:val="20"/>
                <w:szCs w:val="20"/>
                <w:lang w:val="en-GB"/>
              </w:rPr>
              <w:t xml:space="preserve"> in order to </w:t>
            </w:r>
            <w:r w:rsidR="00D333C3">
              <w:rPr>
                <w:rFonts w:eastAsia="Calibri" w:cstheme="minorHAnsi"/>
                <w:bCs/>
                <w:sz w:val="20"/>
                <w:szCs w:val="20"/>
                <w:lang w:val="en-GB"/>
              </w:rPr>
              <w:t>reduce</w:t>
            </w:r>
            <w:r w:rsidR="00A7036E">
              <w:rPr>
                <w:rFonts w:eastAsia="Calibri" w:cstheme="minorHAnsi"/>
                <w:bCs/>
                <w:sz w:val="20"/>
                <w:szCs w:val="20"/>
                <w:lang w:val="en-GB"/>
              </w:rPr>
              <w:t xml:space="preserve"> </w:t>
            </w:r>
            <w:r w:rsidRPr="00731DDC">
              <w:rPr>
                <w:rFonts w:eastAsia="Calibri" w:cstheme="minorHAnsi"/>
                <w:bCs/>
                <w:sz w:val="20"/>
                <w:szCs w:val="20"/>
                <w:lang w:val="en-GB"/>
              </w:rPr>
              <w:t>paperwork and lower compliance costs</w:t>
            </w:r>
            <w:r w:rsidR="00D333C3">
              <w:rPr>
                <w:rFonts w:eastAsia="Calibri" w:cstheme="minorHAnsi"/>
                <w:bCs/>
                <w:sz w:val="20"/>
                <w:szCs w:val="20"/>
                <w:lang w:val="en-GB"/>
              </w:rPr>
              <w:t xml:space="preserve"> for businesses to import and export between the two countries.</w:t>
            </w:r>
          </w:p>
        </w:tc>
        <w:tc>
          <w:tcPr>
            <w:tcW w:w="1600" w:type="pct"/>
            <w:shd w:val="clear" w:color="auto" w:fill="FFFFFF" w:themeFill="background1"/>
            <w:vAlign w:val="center"/>
          </w:tcPr>
          <w:p w14:paraId="142B4B74"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 xml:space="preserve">UN/EDIFACT - set of standards, directories, and guidelines for the electronic interchange of structured data, between independent computerized information systems </w:t>
            </w:r>
          </w:p>
          <w:p w14:paraId="5BFA5E0E"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 xml:space="preserve">WCO Cross Border E-Commerce Framework of Standards- </w:t>
            </w:r>
            <w:r w:rsidRPr="00731DDC">
              <w:rPr>
                <w:rFonts w:cstheme="minorHAnsi"/>
                <w:sz w:val="20"/>
                <w:szCs w:val="20"/>
                <w:lang w:val="en-GB"/>
              </w:rPr>
              <w:t>the Standard 1 Advance Electronic Data for e-commerce goods.</w:t>
            </w:r>
          </w:p>
          <w:p w14:paraId="5C63C127" w14:textId="0CD4B815"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The Peppol framework could also support e-Logistics</w:t>
            </w:r>
          </w:p>
        </w:tc>
      </w:tr>
      <w:tr w:rsidR="00C42A2A" w:rsidRPr="00731DDC" w14:paraId="66647536" w14:textId="77777777" w:rsidTr="006515BA">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65A8F62E"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lastRenderedPageBreak/>
              <w:t>Last mile delivery</w:t>
            </w:r>
          </w:p>
        </w:tc>
        <w:tc>
          <w:tcPr>
            <w:tcW w:w="768" w:type="pct"/>
            <w:shd w:val="clear" w:color="auto" w:fill="auto"/>
            <w:vAlign w:val="center"/>
          </w:tcPr>
          <w:p w14:paraId="1DF94191"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7E551F01" w14:textId="709BAF2C"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Rules related to how goods are delivered to end-customers, including common communication protocols between logistics players</w:t>
            </w:r>
            <w:r w:rsidR="00A7036E">
              <w:rPr>
                <w:rFonts w:eastAsia="Calibri" w:cstheme="minorHAnsi"/>
                <w:sz w:val="20"/>
                <w:szCs w:val="20"/>
                <w:lang w:val="en-GB"/>
              </w:rPr>
              <w:t>.</w:t>
            </w:r>
          </w:p>
        </w:tc>
        <w:tc>
          <w:tcPr>
            <w:tcW w:w="896" w:type="pct"/>
            <w:shd w:val="clear" w:color="auto" w:fill="auto"/>
            <w:vAlign w:val="center"/>
          </w:tcPr>
          <w:p w14:paraId="22936692" w14:textId="6D307929" w:rsidR="00C42A2A" w:rsidRPr="00731DDC" w:rsidRDefault="00D333C3"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Australia and Singapore can benefit from e</w:t>
            </w:r>
            <w:r w:rsidR="00C42A2A" w:rsidRPr="00731DDC">
              <w:rPr>
                <w:rFonts w:eastAsia="Calibri" w:cstheme="minorHAnsi"/>
                <w:sz w:val="20"/>
                <w:szCs w:val="20"/>
                <w:lang w:val="en-GB"/>
              </w:rPr>
              <w:t xml:space="preserve">fficiency gains in logistics </w:t>
            </w:r>
            <w:r>
              <w:rPr>
                <w:rFonts w:eastAsia="Calibri" w:cstheme="minorHAnsi"/>
                <w:sz w:val="20"/>
                <w:szCs w:val="20"/>
                <w:lang w:val="en-GB"/>
              </w:rPr>
              <w:t xml:space="preserve">by </w:t>
            </w:r>
            <w:r w:rsidR="005A0A94">
              <w:rPr>
                <w:rFonts w:eastAsia="Calibri" w:cstheme="minorHAnsi"/>
                <w:sz w:val="20"/>
                <w:szCs w:val="20"/>
                <w:lang w:val="en-GB"/>
              </w:rPr>
              <w:t xml:space="preserve">promoting and developing </w:t>
            </w:r>
            <w:r>
              <w:rPr>
                <w:rFonts w:eastAsia="Calibri" w:cstheme="minorHAnsi"/>
                <w:sz w:val="20"/>
                <w:szCs w:val="20"/>
                <w:lang w:val="en-GB"/>
              </w:rPr>
              <w:t xml:space="preserve">last mile delivery standards </w:t>
            </w:r>
            <w:r w:rsidR="00C42A2A" w:rsidRPr="00731DDC">
              <w:rPr>
                <w:rFonts w:eastAsia="Calibri" w:cstheme="minorHAnsi"/>
                <w:sz w:val="20"/>
                <w:szCs w:val="20"/>
                <w:lang w:val="en-GB"/>
              </w:rPr>
              <w:t>to support e-commerce</w:t>
            </w:r>
            <w:r w:rsidR="00A7036E">
              <w:rPr>
                <w:rFonts w:eastAsia="Calibri" w:cstheme="minorHAnsi"/>
                <w:sz w:val="20"/>
                <w:szCs w:val="20"/>
                <w:lang w:val="en-GB"/>
              </w:rPr>
              <w:t>.</w:t>
            </w:r>
            <w:r>
              <w:rPr>
                <w:rFonts w:eastAsia="Calibri" w:cstheme="minorHAnsi"/>
                <w:sz w:val="20"/>
                <w:szCs w:val="20"/>
                <w:lang w:val="en-GB"/>
              </w:rPr>
              <w:t xml:space="preserve"> </w:t>
            </w:r>
          </w:p>
        </w:tc>
        <w:tc>
          <w:tcPr>
            <w:tcW w:w="1600" w:type="pct"/>
            <w:shd w:val="clear" w:color="auto" w:fill="FFFFFF" w:themeFill="background1"/>
            <w:vAlign w:val="center"/>
          </w:tcPr>
          <w:p w14:paraId="0BD2B699"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 xml:space="preserve">TR 46:2016 for Last Mile Delivery - eCommerce Data Interchange </w:t>
            </w:r>
          </w:p>
          <w:p w14:paraId="2DB3D0F8"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TR61:2018 Technical Reference on Data Interchange for Last-Mile Delivery Using Parcel Locker Network</w:t>
            </w:r>
          </w:p>
        </w:tc>
      </w:tr>
      <w:tr w:rsidR="00C42A2A" w:rsidRPr="00731DDC" w14:paraId="0A6C6CA0"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36F17E85"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E-commerce</w:t>
            </w:r>
          </w:p>
        </w:tc>
        <w:tc>
          <w:tcPr>
            <w:tcW w:w="768" w:type="pct"/>
            <w:shd w:val="clear" w:color="auto" w:fill="auto"/>
            <w:vAlign w:val="center"/>
          </w:tcPr>
          <w:p w14:paraId="698F8F5A"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6FBD5087" w14:textId="77A51C31"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Guidelines provide comprehensive end-to-end coverage of the e-commerce transactions’ process, from pre-purchase</w:t>
            </w:r>
            <w:r w:rsidR="00A7036E">
              <w:rPr>
                <w:rFonts w:eastAsia="Calibri" w:cstheme="minorHAnsi"/>
                <w:sz w:val="20"/>
                <w:szCs w:val="20"/>
                <w:lang w:val="en-GB"/>
              </w:rPr>
              <w:t xml:space="preserve"> </w:t>
            </w:r>
            <w:r w:rsidRPr="00731DDC">
              <w:rPr>
                <w:rFonts w:eastAsia="Calibri" w:cstheme="minorHAnsi"/>
                <w:sz w:val="20"/>
                <w:szCs w:val="20"/>
                <w:lang w:val="en-GB"/>
              </w:rPr>
              <w:t>activities, purchasing and payment procedures, to post-purchase activities</w:t>
            </w:r>
            <w:r w:rsidR="00A7036E">
              <w:rPr>
                <w:rFonts w:eastAsia="Calibri" w:cstheme="minorHAnsi"/>
                <w:sz w:val="20"/>
                <w:szCs w:val="20"/>
                <w:lang w:val="en-GB"/>
              </w:rPr>
              <w:t>.</w:t>
            </w:r>
          </w:p>
        </w:tc>
        <w:tc>
          <w:tcPr>
            <w:tcW w:w="896" w:type="pct"/>
            <w:shd w:val="clear" w:color="auto" w:fill="auto"/>
            <w:vAlign w:val="center"/>
          </w:tcPr>
          <w:p w14:paraId="13C6EB43" w14:textId="6B79F319" w:rsidR="00C42A2A" w:rsidRPr="00731DDC" w:rsidRDefault="005A0A94" w:rsidP="006515BA">
            <w:pPr>
              <w:pStyle w:val="NormalWeb"/>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 w:val="20"/>
                <w:szCs w:val="20"/>
                <w:lang w:val="en-GB"/>
              </w:rPr>
            </w:pPr>
            <w:r>
              <w:rPr>
                <w:rFonts w:asciiTheme="minorHAnsi" w:hAnsiTheme="minorHAnsi" w:cstheme="minorHAnsi"/>
                <w:sz w:val="20"/>
                <w:szCs w:val="20"/>
                <w:lang w:val="en-GB"/>
              </w:rPr>
              <w:t xml:space="preserve">Australia and Singapore can work together to promote e-commerce </w:t>
            </w:r>
            <w:r w:rsidR="0017046D">
              <w:rPr>
                <w:rFonts w:asciiTheme="minorHAnsi" w:hAnsiTheme="minorHAnsi" w:cstheme="minorHAnsi"/>
                <w:sz w:val="20"/>
                <w:szCs w:val="20"/>
                <w:lang w:val="en-GB"/>
              </w:rPr>
              <w:t>standards that p</w:t>
            </w:r>
            <w:r w:rsidR="00C42A2A" w:rsidRPr="00731DDC">
              <w:rPr>
                <w:rFonts w:asciiTheme="minorHAnsi" w:hAnsiTheme="minorHAnsi" w:cstheme="minorHAnsi"/>
                <w:sz w:val="20"/>
                <w:szCs w:val="20"/>
                <w:lang w:val="en-GB"/>
              </w:rPr>
              <w:t>rovide</w:t>
            </w:r>
            <w:r w:rsidR="00A7036E">
              <w:rPr>
                <w:rFonts w:asciiTheme="minorHAnsi" w:hAnsiTheme="minorHAnsi" w:cstheme="minorHAnsi"/>
                <w:sz w:val="20"/>
                <w:szCs w:val="20"/>
                <w:lang w:val="en-GB"/>
              </w:rPr>
              <w:t xml:space="preserve"> </w:t>
            </w:r>
            <w:r w:rsidR="00C42A2A" w:rsidRPr="00731DDC">
              <w:rPr>
                <w:rFonts w:asciiTheme="minorHAnsi" w:hAnsiTheme="minorHAnsi" w:cstheme="minorHAnsi"/>
                <w:sz w:val="20"/>
                <w:szCs w:val="20"/>
                <w:lang w:val="en-GB"/>
              </w:rPr>
              <w:t>best practices for e-retailers, and online intermediaries such as e-marketplaces to bolster SMEs’ online presence.</w:t>
            </w:r>
          </w:p>
        </w:tc>
        <w:tc>
          <w:tcPr>
            <w:tcW w:w="1600" w:type="pct"/>
            <w:shd w:val="clear" w:color="auto" w:fill="FFFFFF" w:themeFill="background1"/>
            <w:vAlign w:val="center"/>
          </w:tcPr>
          <w:p w14:paraId="513C1E8A"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TR 76 on Guidelines for Electronic Commerce Transactions</w:t>
            </w:r>
          </w:p>
        </w:tc>
      </w:tr>
      <w:tr w:rsidR="00C42A2A" w:rsidRPr="00731DDC" w14:paraId="416F3EDB" w14:textId="77777777" w:rsidTr="006515BA">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7C8FFD74"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E-invoicing</w:t>
            </w:r>
          </w:p>
        </w:tc>
        <w:tc>
          <w:tcPr>
            <w:tcW w:w="768" w:type="pct"/>
            <w:shd w:val="clear" w:color="auto" w:fill="auto"/>
            <w:vAlign w:val="center"/>
          </w:tcPr>
          <w:p w14:paraId="3AFB4859"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551345E3" w14:textId="5260A906"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Invoice is a</w:t>
            </w:r>
            <w:r w:rsidRPr="00731DDC">
              <w:rPr>
                <w:rFonts w:eastAsia="Calibri" w:cstheme="minorHAnsi"/>
                <w:bCs/>
                <w:sz w:val="20"/>
                <w:szCs w:val="20"/>
                <w:lang w:val="en-GB"/>
              </w:rPr>
              <w:t>utomatically generated in a supplier’s accounting system and transmitted electronically to the recipient s for automatic processing</w:t>
            </w:r>
            <w:r w:rsidR="00A7036E">
              <w:rPr>
                <w:rFonts w:eastAsia="Calibri" w:cstheme="minorHAnsi"/>
                <w:bCs/>
                <w:sz w:val="20"/>
                <w:szCs w:val="20"/>
                <w:lang w:val="en-GB"/>
              </w:rPr>
              <w:t>.</w:t>
            </w:r>
          </w:p>
        </w:tc>
        <w:tc>
          <w:tcPr>
            <w:tcW w:w="896" w:type="pct"/>
            <w:shd w:val="clear" w:color="auto" w:fill="auto"/>
            <w:vAlign w:val="center"/>
          </w:tcPr>
          <w:p w14:paraId="5F6D0136" w14:textId="4070034A" w:rsidR="00C42A2A" w:rsidRPr="00731DDC" w:rsidRDefault="005A0A94" w:rsidP="006515BA">
            <w:pPr>
              <w:pStyle w:val="NormalWeb"/>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Pr>
                <w:rFonts w:asciiTheme="minorHAnsi" w:hAnsiTheme="minorHAnsi" w:cstheme="minorHAnsi"/>
                <w:sz w:val="20"/>
                <w:szCs w:val="20"/>
                <w:lang w:val="en-GB"/>
              </w:rPr>
              <w:t xml:space="preserve">Australia and Singapore can </w:t>
            </w:r>
            <w:r w:rsidR="00C42A2A" w:rsidRPr="00731DDC">
              <w:rPr>
                <w:rFonts w:asciiTheme="minorHAnsi" w:hAnsiTheme="minorHAnsi" w:cstheme="minorHAnsi"/>
                <w:sz w:val="20"/>
                <w:szCs w:val="20"/>
                <w:lang w:val="en-GB"/>
              </w:rPr>
              <w:t xml:space="preserve"> help business save time and money by allowing the direct exchange of invoices between suppliers’ and buyers’ financial systems.</w:t>
            </w:r>
          </w:p>
          <w:p w14:paraId="73D45619" w14:textId="7FF9E7FA" w:rsidR="00C42A2A" w:rsidRPr="00731DDC" w:rsidRDefault="00C42A2A" w:rsidP="006515BA">
            <w:pPr>
              <w:pStyle w:val="NormalWeb"/>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GB"/>
              </w:rPr>
            </w:pPr>
            <w:r w:rsidRPr="00731DDC">
              <w:rPr>
                <w:rFonts w:asciiTheme="minorHAnsi" w:hAnsiTheme="minorHAnsi" w:cstheme="minorHAnsi"/>
                <w:sz w:val="20"/>
                <w:szCs w:val="20"/>
                <w:lang w:val="en-GB"/>
              </w:rPr>
              <w:t>Interoperable e-Invoicing will significantly improve productivity</w:t>
            </w:r>
            <w:r w:rsidR="005A0A94">
              <w:rPr>
                <w:rFonts w:asciiTheme="minorHAnsi" w:hAnsiTheme="minorHAnsi" w:cstheme="minorHAnsi"/>
                <w:sz w:val="20"/>
                <w:szCs w:val="20"/>
                <w:lang w:val="en-GB"/>
              </w:rPr>
              <w:t xml:space="preserve"> between the two countries</w:t>
            </w:r>
            <w:r w:rsidRPr="00731DDC">
              <w:rPr>
                <w:rFonts w:asciiTheme="minorHAnsi" w:hAnsiTheme="minorHAnsi" w:cstheme="minorHAnsi"/>
                <w:sz w:val="20"/>
                <w:szCs w:val="20"/>
                <w:lang w:val="en-GB"/>
              </w:rPr>
              <w:t>.</w:t>
            </w:r>
          </w:p>
        </w:tc>
        <w:tc>
          <w:tcPr>
            <w:tcW w:w="1600" w:type="pct"/>
            <w:shd w:val="clear" w:color="auto" w:fill="FFFFFF" w:themeFill="background1"/>
            <w:vAlign w:val="center"/>
          </w:tcPr>
          <w:p w14:paraId="33F7E2FC"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cstheme="minorHAnsi"/>
                <w:color w:val="333333"/>
                <w:sz w:val="20"/>
                <w:szCs w:val="20"/>
                <w:lang w:val="en-GB"/>
              </w:rPr>
            </w:pPr>
            <w:r w:rsidRPr="00731DDC">
              <w:rPr>
                <w:rFonts w:eastAsia="Calibri" w:cstheme="minorHAnsi"/>
                <w:sz w:val="20"/>
                <w:szCs w:val="20"/>
                <w:lang w:val="en-GB"/>
              </w:rPr>
              <w:t>EN16931</w:t>
            </w:r>
            <w:r w:rsidRPr="00731DDC">
              <w:rPr>
                <w:rFonts w:cstheme="minorHAnsi"/>
                <w:color w:val="333333"/>
                <w:sz w:val="20"/>
                <w:szCs w:val="20"/>
                <w:lang w:val="en-GB"/>
              </w:rPr>
              <w:t xml:space="preserve"> – European standard on e-invoicing for public procurement</w:t>
            </w:r>
          </w:p>
          <w:p w14:paraId="6D752091" w14:textId="5919F1DC"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cstheme="minorHAnsi"/>
                <w:color w:val="333333"/>
                <w:sz w:val="20"/>
                <w:szCs w:val="20"/>
                <w:lang w:val="en-GB"/>
              </w:rPr>
            </w:pPr>
            <w:r w:rsidRPr="00731DDC">
              <w:rPr>
                <w:rFonts w:eastAsia="Calibri" w:cstheme="minorHAnsi"/>
                <w:sz w:val="20"/>
                <w:szCs w:val="20"/>
                <w:lang w:val="en-GB"/>
              </w:rPr>
              <w:t>Peppol</w:t>
            </w:r>
            <w:r w:rsidRPr="00731DDC">
              <w:rPr>
                <w:rFonts w:cstheme="minorHAnsi"/>
                <w:color w:val="333333"/>
                <w:sz w:val="20"/>
                <w:szCs w:val="20"/>
                <w:lang w:val="en-GB"/>
              </w:rPr>
              <w:t xml:space="preserve"> BIS Billing 3.0 is a Core Invoice Usage Specification (CIUS) of the European standard for e-invoicing (EN16931)</w:t>
            </w:r>
          </w:p>
        </w:tc>
      </w:tr>
      <w:tr w:rsidR="00C42A2A" w:rsidRPr="00731DDC" w14:paraId="045E314D" w14:textId="77777777" w:rsidTr="006515B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vAlign w:val="center"/>
          </w:tcPr>
          <w:p w14:paraId="63CB2BDA"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color w:val="4472C4"/>
                <w:sz w:val="20"/>
                <w:szCs w:val="20"/>
                <w:lang w:val="en-GB"/>
              </w:rPr>
              <w:t>Digital trade enablers</w:t>
            </w:r>
          </w:p>
        </w:tc>
      </w:tr>
      <w:tr w:rsidR="00C42A2A" w:rsidRPr="00731DDC" w14:paraId="724D279D" w14:textId="77777777" w:rsidTr="006515BA">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2C96080D"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Wireless Communication</w:t>
            </w:r>
          </w:p>
        </w:tc>
        <w:tc>
          <w:tcPr>
            <w:tcW w:w="768" w:type="pct"/>
            <w:shd w:val="clear" w:color="auto" w:fill="auto"/>
            <w:vAlign w:val="center"/>
          </w:tcPr>
          <w:p w14:paraId="12BFB397"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 and new products</w:t>
            </w:r>
          </w:p>
        </w:tc>
        <w:tc>
          <w:tcPr>
            <w:tcW w:w="885" w:type="pct"/>
            <w:shd w:val="clear" w:color="auto" w:fill="auto"/>
            <w:vAlign w:val="center"/>
          </w:tcPr>
          <w:p w14:paraId="5F596BAA"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 xml:space="preserve">Communication protocols and interconnectivity between consumers, service providers, </w:t>
            </w:r>
            <w:r w:rsidRPr="00731DDC">
              <w:rPr>
                <w:rFonts w:eastAsia="Calibri" w:cstheme="minorHAnsi"/>
                <w:sz w:val="20"/>
                <w:szCs w:val="20"/>
                <w:lang w:val="en-GB"/>
              </w:rPr>
              <w:lastRenderedPageBreak/>
              <w:t>and supply-chain stakeholders.</w:t>
            </w:r>
          </w:p>
        </w:tc>
        <w:tc>
          <w:tcPr>
            <w:tcW w:w="896" w:type="pct"/>
            <w:shd w:val="clear" w:color="auto" w:fill="auto"/>
            <w:vAlign w:val="center"/>
          </w:tcPr>
          <w:p w14:paraId="4CE39892" w14:textId="666DF5E3" w:rsidR="006E079E" w:rsidRPr="006E079E" w:rsidRDefault="00B01C71" w:rsidP="006E079E">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lastRenderedPageBreak/>
              <w:t xml:space="preserve">Australia and Singapore </w:t>
            </w:r>
            <w:r w:rsidR="00EF1880">
              <w:rPr>
                <w:rFonts w:eastAsia="Calibri" w:cstheme="minorHAnsi"/>
                <w:sz w:val="20"/>
                <w:szCs w:val="20"/>
                <w:lang w:val="en-GB"/>
              </w:rPr>
              <w:t>c</w:t>
            </w:r>
            <w:r>
              <w:rPr>
                <w:rFonts w:eastAsia="Calibri" w:cstheme="minorHAnsi"/>
                <w:sz w:val="20"/>
                <w:szCs w:val="20"/>
                <w:lang w:val="en-GB"/>
              </w:rPr>
              <w:t xml:space="preserve">ould </w:t>
            </w:r>
            <w:r w:rsidR="0072407F">
              <w:rPr>
                <w:rFonts w:eastAsia="Calibri" w:cstheme="minorHAnsi"/>
                <w:sz w:val="20"/>
                <w:szCs w:val="20"/>
                <w:lang w:val="en-GB"/>
              </w:rPr>
              <w:t xml:space="preserve">seek to </w:t>
            </w:r>
            <w:r>
              <w:rPr>
                <w:rFonts w:eastAsia="Calibri" w:cstheme="minorHAnsi"/>
                <w:sz w:val="20"/>
                <w:szCs w:val="20"/>
                <w:lang w:val="en-GB"/>
              </w:rPr>
              <w:t xml:space="preserve">promote </w:t>
            </w:r>
            <w:r w:rsidR="0072407F">
              <w:rPr>
                <w:rFonts w:eastAsia="Calibri" w:cstheme="minorHAnsi"/>
                <w:sz w:val="20"/>
                <w:szCs w:val="20"/>
                <w:lang w:val="en-GB"/>
              </w:rPr>
              <w:t xml:space="preserve">and align </w:t>
            </w:r>
            <w:r>
              <w:rPr>
                <w:rFonts w:eastAsia="Calibri" w:cstheme="minorHAnsi"/>
                <w:sz w:val="20"/>
                <w:szCs w:val="20"/>
                <w:lang w:val="en-GB"/>
              </w:rPr>
              <w:t>w</w:t>
            </w:r>
            <w:r w:rsidR="00C42A2A" w:rsidRPr="00731DDC">
              <w:rPr>
                <w:rFonts w:eastAsia="Calibri" w:cstheme="minorHAnsi"/>
                <w:sz w:val="20"/>
                <w:szCs w:val="20"/>
                <w:lang w:val="en-GB"/>
              </w:rPr>
              <w:t>ireless communication</w:t>
            </w:r>
            <w:r w:rsidR="006E079E">
              <w:rPr>
                <w:rFonts w:eastAsia="Calibri" w:cstheme="minorHAnsi"/>
                <w:sz w:val="20"/>
                <w:szCs w:val="20"/>
                <w:lang w:val="en-GB"/>
              </w:rPr>
              <w:t xml:space="preserve"> standards</w:t>
            </w:r>
            <w:r w:rsidR="00C42A2A" w:rsidRPr="00731DDC">
              <w:rPr>
                <w:rFonts w:eastAsia="Calibri" w:cstheme="minorHAnsi"/>
                <w:sz w:val="20"/>
                <w:szCs w:val="20"/>
                <w:lang w:val="en-GB"/>
              </w:rPr>
              <w:t xml:space="preserve"> </w:t>
            </w:r>
            <w:r w:rsidR="0072407F">
              <w:rPr>
                <w:rFonts w:eastAsia="Calibri" w:cstheme="minorHAnsi"/>
                <w:sz w:val="20"/>
                <w:szCs w:val="20"/>
                <w:lang w:val="en-GB"/>
              </w:rPr>
              <w:t xml:space="preserve">to better connect IoT </w:t>
            </w:r>
            <w:r w:rsidR="0072407F">
              <w:rPr>
                <w:rFonts w:eastAsia="Calibri" w:cstheme="minorHAnsi"/>
                <w:sz w:val="20"/>
                <w:szCs w:val="20"/>
                <w:lang w:val="en-GB"/>
              </w:rPr>
              <w:lastRenderedPageBreak/>
              <w:t xml:space="preserve">devices, to </w:t>
            </w:r>
            <w:r w:rsidR="006E079E" w:rsidRPr="006E079E">
              <w:rPr>
                <w:rFonts w:eastAsia="Calibri" w:cstheme="minorHAnsi"/>
                <w:sz w:val="20"/>
                <w:szCs w:val="20"/>
                <w:lang w:val="en-GB"/>
              </w:rPr>
              <w:t>support the introduction of new goods and services.</w:t>
            </w:r>
          </w:p>
          <w:p w14:paraId="60CC2FC6" w14:textId="4B32F3A0" w:rsidR="00C42A2A" w:rsidRPr="00731DDC" w:rsidRDefault="006E079E" w:rsidP="006E079E">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This promotion will</w:t>
            </w:r>
            <w:r w:rsidRPr="006E079E">
              <w:rPr>
                <w:rFonts w:eastAsia="Calibri" w:cstheme="minorHAnsi"/>
                <w:sz w:val="20"/>
                <w:szCs w:val="20"/>
                <w:lang w:val="en-GB"/>
              </w:rPr>
              <w:t xml:space="preserve"> also improve business efficiency in producing and delivering goods and services, like cloud computing.</w:t>
            </w:r>
            <w:r>
              <w:rPr>
                <w:rFonts w:eastAsia="Calibri" w:cstheme="minorHAnsi"/>
                <w:sz w:val="20"/>
                <w:szCs w:val="20"/>
                <w:lang w:val="en-GB"/>
              </w:rPr>
              <w:t xml:space="preserve"> </w:t>
            </w:r>
            <w:r w:rsidR="00C42A2A" w:rsidRPr="00731DDC">
              <w:rPr>
                <w:rFonts w:eastAsia="Calibri" w:cstheme="minorHAnsi"/>
                <w:sz w:val="20"/>
                <w:szCs w:val="20"/>
                <w:lang w:val="en-GB"/>
              </w:rPr>
              <w:t xml:space="preserve"> </w:t>
            </w:r>
          </w:p>
        </w:tc>
        <w:tc>
          <w:tcPr>
            <w:tcW w:w="1600" w:type="pct"/>
            <w:shd w:val="clear" w:color="auto" w:fill="auto"/>
            <w:vAlign w:val="center"/>
          </w:tcPr>
          <w:p w14:paraId="1451B877"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lastRenderedPageBreak/>
              <w:t xml:space="preserve">ITU-R M.1652  </w:t>
            </w:r>
          </w:p>
          <w:p w14:paraId="1496A539" w14:textId="74F23FD6"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IEEE P802.11ax</w:t>
            </w:r>
          </w:p>
        </w:tc>
      </w:tr>
      <w:tr w:rsidR="00C42A2A" w:rsidRPr="00731DDC" w14:paraId="754FA992"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14F59CD0"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Digital identities</w:t>
            </w:r>
          </w:p>
        </w:tc>
        <w:tc>
          <w:tcPr>
            <w:tcW w:w="768" w:type="pct"/>
            <w:shd w:val="clear" w:color="auto" w:fill="auto"/>
            <w:vAlign w:val="center"/>
          </w:tcPr>
          <w:p w14:paraId="2D8D84E5"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29301AE9"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 xml:space="preserve">Includes </w:t>
            </w:r>
            <w:r w:rsidRPr="00731DDC">
              <w:rPr>
                <w:rFonts w:eastAsia="Calibri" w:cstheme="minorHAnsi"/>
                <w:color w:val="000000"/>
                <w:sz w:val="20"/>
                <w:szCs w:val="20"/>
                <w:lang w:val="en-GB"/>
              </w:rPr>
              <w:t>use of biometrics, smart cards, digital signatures, 2D bar cards, and federation protocols for users to prove their identities when making and verifying digital transactions.</w:t>
            </w:r>
          </w:p>
        </w:tc>
        <w:tc>
          <w:tcPr>
            <w:tcW w:w="896" w:type="pct"/>
            <w:shd w:val="clear" w:color="auto" w:fill="auto"/>
            <w:vAlign w:val="center"/>
          </w:tcPr>
          <w:p w14:paraId="515D122B" w14:textId="237EFD34" w:rsidR="00C42A2A" w:rsidRPr="00731DDC" w:rsidRDefault="00B01C71"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Australia and Singapore </w:t>
            </w:r>
            <w:r w:rsidR="00EF1880">
              <w:rPr>
                <w:rFonts w:eastAsia="Calibri" w:cstheme="minorHAnsi"/>
                <w:sz w:val="20"/>
                <w:szCs w:val="20"/>
                <w:lang w:val="en-GB"/>
              </w:rPr>
              <w:t>c</w:t>
            </w:r>
            <w:r>
              <w:rPr>
                <w:rFonts w:eastAsia="Calibri" w:cstheme="minorHAnsi"/>
                <w:sz w:val="20"/>
                <w:szCs w:val="20"/>
                <w:lang w:val="en-GB"/>
              </w:rPr>
              <w:t>ould s</w:t>
            </w:r>
            <w:r w:rsidR="00C42A2A" w:rsidRPr="00731DDC">
              <w:rPr>
                <w:rFonts w:eastAsia="Calibri" w:cstheme="minorHAnsi"/>
                <w:sz w:val="20"/>
                <w:szCs w:val="20"/>
                <w:lang w:val="en-GB"/>
              </w:rPr>
              <w:t>upport</w:t>
            </w:r>
            <w:r w:rsidR="006E079E">
              <w:rPr>
                <w:rFonts w:eastAsia="Calibri" w:cstheme="minorHAnsi"/>
                <w:sz w:val="20"/>
                <w:szCs w:val="20"/>
                <w:lang w:val="en-GB"/>
              </w:rPr>
              <w:t xml:space="preserve"> and enhance</w:t>
            </w:r>
            <w:r w:rsidR="00C42A2A" w:rsidRPr="00731DDC">
              <w:rPr>
                <w:rFonts w:eastAsia="Calibri" w:cstheme="minorHAnsi"/>
                <w:sz w:val="20"/>
                <w:szCs w:val="20"/>
                <w:lang w:val="en-GB"/>
              </w:rPr>
              <w:t xml:space="preserve"> digital interactions between individual</w:t>
            </w:r>
            <w:r w:rsidR="006E079E">
              <w:rPr>
                <w:rFonts w:eastAsia="Calibri" w:cstheme="minorHAnsi"/>
                <w:sz w:val="20"/>
                <w:szCs w:val="20"/>
                <w:lang w:val="en-GB"/>
              </w:rPr>
              <w:t>s</w:t>
            </w:r>
            <w:r w:rsidR="00C42A2A" w:rsidRPr="00731DDC">
              <w:rPr>
                <w:rFonts w:eastAsia="Calibri" w:cstheme="minorHAnsi"/>
                <w:sz w:val="20"/>
                <w:szCs w:val="20"/>
                <w:lang w:val="en-GB"/>
              </w:rPr>
              <w:t xml:space="preserve">, businesses, </w:t>
            </w:r>
            <w:r w:rsidR="006E079E">
              <w:rPr>
                <w:rFonts w:eastAsia="Calibri" w:cstheme="minorHAnsi"/>
                <w:sz w:val="20"/>
                <w:szCs w:val="20"/>
                <w:lang w:val="en-GB"/>
              </w:rPr>
              <w:t xml:space="preserve">and </w:t>
            </w:r>
            <w:r w:rsidR="00C42A2A" w:rsidRPr="00731DDC">
              <w:rPr>
                <w:rFonts w:eastAsia="Calibri" w:cstheme="minorHAnsi"/>
                <w:sz w:val="20"/>
                <w:szCs w:val="20"/>
                <w:lang w:val="en-GB"/>
              </w:rPr>
              <w:t>governments</w:t>
            </w:r>
            <w:r w:rsidR="006E079E">
              <w:rPr>
                <w:rFonts w:eastAsia="Calibri" w:cstheme="minorHAnsi"/>
                <w:sz w:val="20"/>
                <w:szCs w:val="20"/>
                <w:lang w:val="en-GB"/>
              </w:rPr>
              <w:t xml:space="preserve"> (e.g. facilitate </w:t>
            </w:r>
            <w:r w:rsidR="006E079E" w:rsidRPr="00731DDC">
              <w:rPr>
                <w:rFonts w:eastAsia="Calibri" w:cstheme="minorHAnsi"/>
                <w:sz w:val="20"/>
                <w:szCs w:val="20"/>
                <w:lang w:val="en-GB"/>
              </w:rPr>
              <w:t>wider access to financial services, assist with business registration and payment of taxes</w:t>
            </w:r>
            <w:r w:rsidR="00A814ED">
              <w:rPr>
                <w:rFonts w:eastAsia="Calibri" w:cstheme="minorHAnsi"/>
                <w:sz w:val="20"/>
                <w:szCs w:val="20"/>
                <w:lang w:val="en-GB"/>
              </w:rPr>
              <w:t xml:space="preserve">) </w:t>
            </w:r>
            <w:r w:rsidR="003E7127">
              <w:rPr>
                <w:rFonts w:eastAsia="Calibri" w:cstheme="minorHAnsi"/>
                <w:sz w:val="20"/>
                <w:szCs w:val="20"/>
                <w:lang w:val="en-GB"/>
              </w:rPr>
              <w:t xml:space="preserve">by aligning on </w:t>
            </w:r>
            <w:r w:rsidR="001407F2">
              <w:rPr>
                <w:rFonts w:eastAsia="Calibri" w:cstheme="minorHAnsi"/>
                <w:sz w:val="20"/>
                <w:szCs w:val="20"/>
                <w:lang w:val="en-GB"/>
              </w:rPr>
              <w:t>standards related to digital identities</w:t>
            </w:r>
            <w:r w:rsidR="00C42A2A" w:rsidRPr="00731DDC">
              <w:rPr>
                <w:rFonts w:eastAsia="Calibri" w:cstheme="minorHAnsi"/>
                <w:sz w:val="20"/>
                <w:szCs w:val="20"/>
                <w:lang w:val="en-GB"/>
              </w:rPr>
              <w:t>.</w:t>
            </w:r>
          </w:p>
        </w:tc>
        <w:tc>
          <w:tcPr>
            <w:tcW w:w="1600" w:type="pct"/>
            <w:shd w:val="clear" w:color="auto" w:fill="auto"/>
            <w:vAlign w:val="center"/>
          </w:tcPr>
          <w:p w14:paraId="7A8EDB9A"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mn-ea" w:cstheme="minorHAnsi"/>
                <w:kern w:val="24"/>
                <w:sz w:val="20"/>
                <w:szCs w:val="20"/>
                <w:lang w:val="en-GB" w:eastAsia="en-SG"/>
              </w:rPr>
              <w:t>ISO /IEC 24760-1:2019 IT Security and Privacy – A Framework for Identity Management</w:t>
            </w:r>
          </w:p>
          <w:p w14:paraId="558B96EF"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sz w:val="20"/>
                <w:szCs w:val="20"/>
                <w:lang w:val="en-GB"/>
              </w:rPr>
              <w:t>ISO</w:t>
            </w:r>
            <w:r w:rsidRPr="00731DDC">
              <w:rPr>
                <w:rFonts w:eastAsia="+mn-ea" w:cstheme="minorHAnsi"/>
                <w:kern w:val="24"/>
                <w:sz w:val="20"/>
                <w:szCs w:val="20"/>
                <w:lang w:val="en-GB" w:eastAsia="en-SG"/>
              </w:rPr>
              <w:t>/IEC 24745:2011 Information Technology - Security Techniques - Biometric Information Protection</w:t>
            </w:r>
          </w:p>
          <w:p w14:paraId="672A2F8E"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sz w:val="20"/>
                <w:szCs w:val="20"/>
                <w:lang w:val="en-GB"/>
              </w:rPr>
              <w:t>ISO</w:t>
            </w:r>
            <w:r w:rsidRPr="00731DDC">
              <w:rPr>
                <w:rFonts w:eastAsia="+mn-ea" w:cstheme="minorHAnsi"/>
                <w:kern w:val="24"/>
                <w:sz w:val="20"/>
                <w:szCs w:val="20"/>
                <w:lang w:val="en-GB" w:eastAsia="en-SG"/>
              </w:rPr>
              <w:t>/IEC 19784-1:2018 Information technology — Biometric application programming interface — Part 1: BioAPI specification</w:t>
            </w:r>
          </w:p>
          <w:p w14:paraId="586F4788"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sz w:val="20"/>
                <w:szCs w:val="20"/>
                <w:lang w:val="en-GB"/>
              </w:rPr>
              <w:t>ISO</w:t>
            </w:r>
            <w:r w:rsidRPr="00731DDC">
              <w:rPr>
                <w:rFonts w:eastAsia="+mn-ea" w:cstheme="minorHAnsi"/>
                <w:kern w:val="24"/>
                <w:sz w:val="20"/>
                <w:szCs w:val="20"/>
                <w:lang w:val="en-GB" w:eastAsia="en-SG"/>
              </w:rPr>
              <w:t>/IEC 19794-x:2011 - Information technology - Biometric data interchange formats — Part 1: Framework; Part 2: Finger minutiae data; Part 4: Finger image data; Part 5: Face image data; Part 6: Iris image data</w:t>
            </w:r>
          </w:p>
          <w:p w14:paraId="40180A4B"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sz w:val="20"/>
                <w:szCs w:val="20"/>
                <w:lang w:val="en-GB"/>
              </w:rPr>
              <w:t>FIDO</w:t>
            </w:r>
            <w:r w:rsidRPr="00731DDC">
              <w:rPr>
                <w:rFonts w:eastAsia="+mn-ea" w:cstheme="minorHAnsi"/>
                <w:kern w:val="24"/>
                <w:sz w:val="20"/>
                <w:szCs w:val="20"/>
                <w:lang w:val="en-GB" w:eastAsia="en-SG"/>
              </w:rPr>
              <w:t xml:space="preserve"> Universal Authentication Framework</w:t>
            </w:r>
          </w:p>
        </w:tc>
      </w:tr>
      <w:tr w:rsidR="00C42A2A" w:rsidRPr="00731DDC" w14:paraId="2BEE0463" w14:textId="77777777" w:rsidTr="006515BA">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0C294D70"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Cybersecurity</w:t>
            </w:r>
          </w:p>
        </w:tc>
        <w:tc>
          <w:tcPr>
            <w:tcW w:w="768" w:type="pct"/>
            <w:shd w:val="clear" w:color="auto" w:fill="auto"/>
            <w:vAlign w:val="center"/>
          </w:tcPr>
          <w:p w14:paraId="278C7DDB"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53C50EED"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Protects IT systems from fraud and builds trust in cross-border trade.</w:t>
            </w:r>
          </w:p>
        </w:tc>
        <w:tc>
          <w:tcPr>
            <w:tcW w:w="896" w:type="pct"/>
            <w:shd w:val="clear" w:color="auto" w:fill="auto"/>
            <w:vAlign w:val="center"/>
          </w:tcPr>
          <w:p w14:paraId="49DA882B" w14:textId="59C47168" w:rsidR="00C42A2A" w:rsidRPr="00731DDC" w:rsidRDefault="00B01C71"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eastAsia="Calibri" w:cstheme="minorHAnsi"/>
                <w:sz w:val="20"/>
                <w:szCs w:val="20"/>
                <w:lang w:val="en-GB"/>
              </w:rPr>
              <w:t xml:space="preserve">Australia and Singapore </w:t>
            </w:r>
            <w:r w:rsidR="00EF1880">
              <w:rPr>
                <w:rFonts w:eastAsia="Calibri" w:cstheme="minorHAnsi"/>
                <w:sz w:val="20"/>
                <w:szCs w:val="20"/>
                <w:lang w:val="en-GB"/>
              </w:rPr>
              <w:t>c</w:t>
            </w:r>
            <w:r>
              <w:rPr>
                <w:rFonts w:eastAsia="Calibri" w:cstheme="minorHAnsi"/>
                <w:sz w:val="20"/>
                <w:szCs w:val="20"/>
                <w:lang w:val="en-GB"/>
              </w:rPr>
              <w:t>ould cooperate and develop r</w:t>
            </w:r>
            <w:r w:rsidR="00C42A2A" w:rsidRPr="00731DDC">
              <w:rPr>
                <w:rFonts w:eastAsia="Calibri" w:cstheme="minorHAnsi"/>
                <w:sz w:val="20"/>
                <w:szCs w:val="20"/>
                <w:lang w:val="en-GB"/>
              </w:rPr>
              <w:t xml:space="preserve">isk management tools and solutions </w:t>
            </w:r>
            <w:r>
              <w:rPr>
                <w:rFonts w:eastAsia="Calibri" w:cstheme="minorHAnsi"/>
                <w:sz w:val="20"/>
                <w:szCs w:val="20"/>
                <w:lang w:val="en-GB"/>
              </w:rPr>
              <w:t>that protect IT and data systems and prevent</w:t>
            </w:r>
            <w:r w:rsidR="00026763">
              <w:rPr>
                <w:rFonts w:eastAsia="Calibri" w:cstheme="minorHAnsi"/>
                <w:sz w:val="20"/>
                <w:szCs w:val="20"/>
                <w:lang w:val="en-GB"/>
              </w:rPr>
              <w:t xml:space="preserve"> </w:t>
            </w:r>
            <w:r>
              <w:rPr>
                <w:rFonts w:eastAsia="Calibri" w:cstheme="minorHAnsi"/>
                <w:sz w:val="20"/>
                <w:szCs w:val="20"/>
                <w:lang w:val="en-GB"/>
              </w:rPr>
              <w:t>cyberattacks</w:t>
            </w:r>
            <w:r w:rsidR="00C42A2A" w:rsidRPr="00731DDC">
              <w:rPr>
                <w:rFonts w:eastAsia="Calibri" w:cstheme="minorHAnsi"/>
                <w:sz w:val="20"/>
                <w:szCs w:val="20"/>
                <w:lang w:val="en-GB"/>
              </w:rPr>
              <w:t>.</w:t>
            </w:r>
          </w:p>
        </w:tc>
        <w:tc>
          <w:tcPr>
            <w:tcW w:w="1600" w:type="pct"/>
            <w:shd w:val="clear" w:color="auto" w:fill="auto"/>
            <w:vAlign w:val="center"/>
          </w:tcPr>
          <w:p w14:paraId="5FA6ACF1"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sz w:val="20"/>
                <w:szCs w:val="20"/>
                <w:lang w:val="en-GB"/>
              </w:rPr>
              <w:t>ISO</w:t>
            </w:r>
            <w:r w:rsidRPr="00731DDC">
              <w:rPr>
                <w:rFonts w:eastAsia="Calibri" w:cstheme="minorHAnsi"/>
                <w:bCs/>
                <w:iCs/>
                <w:sz w:val="20"/>
                <w:szCs w:val="20"/>
                <w:lang w:val="en-GB"/>
              </w:rPr>
              <w:t>/IEC 27001: 2013 Information technology -- Security techniques -- Information security management systems – Requirements</w:t>
            </w:r>
          </w:p>
          <w:p w14:paraId="184572CB"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bCs/>
                <w:iCs/>
                <w:sz w:val="20"/>
                <w:szCs w:val="20"/>
                <w:lang w:val="en-GB"/>
              </w:rPr>
              <w:t>ISO/IEC 27002:2013 Information technology -- Security techniques -- Code of practice for information security controls</w:t>
            </w:r>
          </w:p>
          <w:p w14:paraId="3B519609"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bCs/>
                <w:iCs/>
                <w:sz w:val="20"/>
                <w:szCs w:val="20"/>
                <w:lang w:val="en-GB"/>
              </w:rPr>
              <w:t>ISA/IEC 62443</w:t>
            </w:r>
          </w:p>
          <w:p w14:paraId="43F5AB44"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bCs/>
                <w:iCs/>
                <w:sz w:val="20"/>
                <w:szCs w:val="20"/>
                <w:lang w:val="en-GB"/>
              </w:rPr>
              <w:t>Control Objectives for Information and Related Technology (COBIT)</w:t>
            </w:r>
          </w:p>
          <w:p w14:paraId="42B81AEE"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Calibri" w:cstheme="minorHAnsi"/>
                <w:bCs/>
                <w:iCs/>
                <w:sz w:val="20"/>
                <w:szCs w:val="20"/>
                <w:lang w:val="en-GB"/>
              </w:rPr>
            </w:pPr>
            <w:r w:rsidRPr="00731DDC">
              <w:rPr>
                <w:rFonts w:eastAsia="Calibri" w:cstheme="minorHAnsi"/>
                <w:bCs/>
                <w:iCs/>
                <w:sz w:val="20"/>
                <w:szCs w:val="20"/>
                <w:lang w:val="en-GB"/>
              </w:rPr>
              <w:t>National Institute of Standards and Technology’s (NIST) Cybersecurity Framework</w:t>
            </w:r>
          </w:p>
        </w:tc>
      </w:tr>
      <w:tr w:rsidR="00C42A2A" w:rsidRPr="00731DDC" w14:paraId="5478A471"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shd w:val="clear" w:color="auto" w:fill="auto"/>
            <w:vAlign w:val="center"/>
          </w:tcPr>
          <w:p w14:paraId="652B2154"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lastRenderedPageBreak/>
              <w:t>Data Protection and Privacy</w:t>
            </w:r>
          </w:p>
        </w:tc>
        <w:tc>
          <w:tcPr>
            <w:tcW w:w="768" w:type="pct"/>
            <w:shd w:val="clear" w:color="auto" w:fill="auto"/>
            <w:vAlign w:val="center"/>
          </w:tcPr>
          <w:p w14:paraId="42AA8BC7"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885" w:type="pct"/>
            <w:shd w:val="clear" w:color="auto" w:fill="auto"/>
            <w:vAlign w:val="center"/>
          </w:tcPr>
          <w:p w14:paraId="23C1193A" w14:textId="691A5E33" w:rsidR="00C42A2A" w:rsidRPr="00731DDC" w:rsidRDefault="00C572B4"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Data Protection and </w:t>
            </w:r>
            <w:r w:rsidR="00C42A2A" w:rsidRPr="00731DDC">
              <w:rPr>
                <w:rFonts w:eastAsia="Calibri" w:cstheme="minorHAnsi"/>
                <w:sz w:val="20"/>
                <w:szCs w:val="20"/>
                <w:lang w:val="en-GB"/>
              </w:rPr>
              <w:t>Privacy frameworks and principles to manage how personal data is collected, maintained, and protected.</w:t>
            </w:r>
          </w:p>
        </w:tc>
        <w:tc>
          <w:tcPr>
            <w:tcW w:w="896" w:type="pct"/>
            <w:shd w:val="clear" w:color="auto" w:fill="auto"/>
            <w:vAlign w:val="center"/>
          </w:tcPr>
          <w:p w14:paraId="41F187EF" w14:textId="603F817D" w:rsidR="00C42A2A" w:rsidRPr="00731DDC" w:rsidRDefault="00B01C71"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Australia and Singapore </w:t>
            </w:r>
            <w:r w:rsidR="00EF1880">
              <w:rPr>
                <w:rFonts w:eastAsia="Calibri" w:cstheme="minorHAnsi"/>
                <w:sz w:val="20"/>
                <w:szCs w:val="20"/>
                <w:lang w:val="en-GB"/>
              </w:rPr>
              <w:t>c</w:t>
            </w:r>
            <w:r>
              <w:rPr>
                <w:rFonts w:eastAsia="Calibri" w:cstheme="minorHAnsi"/>
                <w:sz w:val="20"/>
                <w:szCs w:val="20"/>
                <w:lang w:val="en-GB"/>
              </w:rPr>
              <w:t xml:space="preserve">ould </w:t>
            </w:r>
            <w:r w:rsidR="00A814ED">
              <w:rPr>
                <w:rFonts w:eastAsia="Calibri" w:cstheme="minorHAnsi"/>
                <w:sz w:val="20"/>
                <w:szCs w:val="20"/>
                <w:lang w:val="en-GB"/>
              </w:rPr>
              <w:t xml:space="preserve">continue to review and maintain their data protection and privacy frameworks to ensure they are fit for purpose, and enable </w:t>
            </w:r>
            <w:r w:rsidR="00C42A2A" w:rsidRPr="00731DDC">
              <w:rPr>
                <w:rFonts w:eastAsia="Calibri" w:cstheme="minorHAnsi"/>
                <w:sz w:val="20"/>
                <w:szCs w:val="20"/>
                <w:lang w:val="en-GB"/>
              </w:rPr>
              <w:t xml:space="preserve">companies to expand operations </w:t>
            </w:r>
            <w:r>
              <w:rPr>
                <w:rFonts w:eastAsia="Calibri" w:cstheme="minorHAnsi"/>
                <w:sz w:val="20"/>
                <w:szCs w:val="20"/>
                <w:lang w:val="en-GB"/>
              </w:rPr>
              <w:t>in</w:t>
            </w:r>
            <w:r w:rsidR="00A814ED">
              <w:rPr>
                <w:rFonts w:eastAsia="Calibri" w:cstheme="minorHAnsi"/>
                <w:sz w:val="20"/>
                <w:szCs w:val="20"/>
                <w:lang w:val="en-GB"/>
              </w:rPr>
              <w:t>to</w:t>
            </w:r>
            <w:r>
              <w:rPr>
                <w:rFonts w:eastAsia="Calibri" w:cstheme="minorHAnsi"/>
                <w:sz w:val="20"/>
                <w:szCs w:val="20"/>
                <w:lang w:val="en-GB"/>
              </w:rPr>
              <w:t xml:space="preserve"> </w:t>
            </w:r>
            <w:r w:rsidR="00026763">
              <w:rPr>
                <w:rFonts w:eastAsia="Calibri" w:cstheme="minorHAnsi"/>
                <w:sz w:val="20"/>
                <w:szCs w:val="20"/>
                <w:lang w:val="en-GB"/>
              </w:rPr>
              <w:t xml:space="preserve">each other’s country </w:t>
            </w:r>
            <w:r w:rsidR="00C42A2A" w:rsidRPr="00731DDC">
              <w:rPr>
                <w:rFonts w:eastAsia="Calibri" w:cstheme="minorHAnsi"/>
                <w:sz w:val="20"/>
                <w:szCs w:val="20"/>
                <w:lang w:val="en-GB"/>
              </w:rPr>
              <w:t>and share back office data in an efficient and secure manner.</w:t>
            </w:r>
          </w:p>
        </w:tc>
        <w:tc>
          <w:tcPr>
            <w:tcW w:w="1600" w:type="pct"/>
            <w:shd w:val="clear" w:color="auto" w:fill="auto"/>
            <w:vAlign w:val="center"/>
          </w:tcPr>
          <w:p w14:paraId="69F8A8B3"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kern w:val="24"/>
                <w:sz w:val="20"/>
                <w:szCs w:val="20"/>
                <w:lang w:val="en-GB" w:eastAsia="en-SG"/>
              </w:rPr>
              <w:t xml:space="preserve">ISO/IEC 29100:2011: </w:t>
            </w:r>
            <w:r w:rsidRPr="00731DDC">
              <w:rPr>
                <w:rFonts w:eastAsia="Calibri" w:cstheme="minorHAnsi"/>
                <w:sz w:val="20"/>
                <w:szCs w:val="20"/>
                <w:lang w:val="en-GB"/>
              </w:rPr>
              <w:t>Information</w:t>
            </w:r>
            <w:r w:rsidRPr="00731DDC">
              <w:rPr>
                <w:rFonts w:eastAsia="Calibri" w:cstheme="minorHAnsi"/>
                <w:kern w:val="24"/>
                <w:sz w:val="20"/>
                <w:szCs w:val="20"/>
                <w:lang w:val="en-GB" w:eastAsia="en-SG"/>
              </w:rPr>
              <w:t xml:space="preserve"> technology -- Security techniques -- Privacy framework</w:t>
            </w:r>
          </w:p>
          <w:p w14:paraId="036CC2CF"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kern w:val="24"/>
                <w:sz w:val="20"/>
                <w:szCs w:val="20"/>
                <w:lang w:val="en-GB" w:eastAsia="en-SG"/>
              </w:rPr>
              <w:t>ISO/IEC 29101:2018: Information technology -- Security techniques -- Privacy architecture framework</w:t>
            </w:r>
          </w:p>
          <w:p w14:paraId="7E7A2243"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kern w:val="24"/>
                <w:sz w:val="20"/>
                <w:szCs w:val="20"/>
                <w:lang w:val="en-GB" w:eastAsia="en-SG"/>
              </w:rPr>
              <w:t>ISO/IEC 27018:2019: Information technology -- Security techniques -- Code of practice for protection of personally identifiable information (PII) in public clouds acting as PII processors</w:t>
            </w:r>
          </w:p>
          <w:p w14:paraId="350679BA" w14:textId="26B2B45F" w:rsidR="00C42A2A" w:rsidRPr="000C42C7"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SG"/>
              </w:rPr>
            </w:pPr>
            <w:r w:rsidRPr="00731DDC">
              <w:rPr>
                <w:rFonts w:eastAsia="Calibri" w:cstheme="minorHAnsi"/>
                <w:kern w:val="24"/>
                <w:sz w:val="20"/>
                <w:szCs w:val="20"/>
                <w:lang w:val="en-GB" w:eastAsia="en-SG"/>
              </w:rPr>
              <w:t>ISO/IEC 27701:2019: Security techniques -- Extension to ISO/IEC 27001 and ISO/IEC 27002 for privacy information management -- Requirements and guidelines</w:t>
            </w:r>
          </w:p>
        </w:tc>
      </w:tr>
      <w:tr w:rsidR="00C42A2A" w:rsidRPr="00731DDC" w14:paraId="0C040C40" w14:textId="77777777" w:rsidTr="006515BA">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33497505"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Cross-border data</w:t>
            </w:r>
          </w:p>
        </w:tc>
        <w:tc>
          <w:tcPr>
            <w:tcW w:w="1385" w:type="dxa"/>
            <w:shd w:val="clear" w:color="auto" w:fill="auto"/>
            <w:vAlign w:val="center"/>
          </w:tcPr>
          <w:p w14:paraId="241AFEDC"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1595" w:type="dxa"/>
            <w:shd w:val="clear" w:color="auto" w:fill="auto"/>
            <w:vAlign w:val="center"/>
          </w:tcPr>
          <w:p w14:paraId="3AB000AF" w14:textId="77777777" w:rsidR="00C42A2A" w:rsidRPr="00731DDC" w:rsidRDefault="00C42A2A"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731DDC">
              <w:rPr>
                <w:rFonts w:eastAsia="Calibri" w:cstheme="minorHAnsi"/>
                <w:sz w:val="20"/>
                <w:szCs w:val="20"/>
                <w:lang w:val="en-GB"/>
              </w:rPr>
              <w:t>Allows for the transfer of data between economies for business purposes</w:t>
            </w:r>
          </w:p>
        </w:tc>
        <w:tc>
          <w:tcPr>
            <w:tcW w:w="1616" w:type="dxa"/>
            <w:shd w:val="clear" w:color="auto" w:fill="auto"/>
            <w:vAlign w:val="center"/>
          </w:tcPr>
          <w:p w14:paraId="0D170D59" w14:textId="7F578906" w:rsidR="00C42A2A" w:rsidRPr="00731DDC" w:rsidRDefault="00235F5F" w:rsidP="006515B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Australia and Singapore </w:t>
            </w:r>
            <w:r w:rsidR="00EF1880">
              <w:rPr>
                <w:rFonts w:eastAsia="Calibri" w:cstheme="minorHAnsi"/>
                <w:sz w:val="20"/>
                <w:szCs w:val="20"/>
                <w:lang w:val="en-GB"/>
              </w:rPr>
              <w:t>c</w:t>
            </w:r>
            <w:r>
              <w:rPr>
                <w:rFonts w:eastAsia="Calibri" w:cstheme="minorHAnsi"/>
                <w:sz w:val="20"/>
                <w:szCs w:val="20"/>
                <w:lang w:val="en-GB"/>
              </w:rPr>
              <w:t xml:space="preserve">ould </w:t>
            </w:r>
            <w:r w:rsidR="00A814ED">
              <w:rPr>
                <w:rFonts w:eastAsia="Calibri" w:cstheme="minorHAnsi"/>
                <w:sz w:val="20"/>
                <w:szCs w:val="20"/>
                <w:lang w:val="en-GB"/>
              </w:rPr>
              <w:t xml:space="preserve">continue to participate in the APEC Cross-Border Privacy Rules (CBPR) System, in order to </w:t>
            </w:r>
            <w:r>
              <w:rPr>
                <w:rFonts w:eastAsia="Calibri" w:cstheme="minorHAnsi"/>
                <w:sz w:val="20"/>
                <w:szCs w:val="20"/>
                <w:lang w:val="en-GB"/>
              </w:rPr>
              <w:t>a</w:t>
            </w:r>
            <w:r w:rsidR="00C42A2A" w:rsidRPr="00731DDC">
              <w:rPr>
                <w:rFonts w:eastAsia="Calibri" w:cstheme="minorHAnsi"/>
                <w:sz w:val="20"/>
                <w:szCs w:val="20"/>
                <w:lang w:val="en-GB"/>
              </w:rPr>
              <w:t>ssist businesses to gain access to market intelligence and access data storage centres in</w:t>
            </w:r>
            <w:r>
              <w:rPr>
                <w:rFonts w:eastAsia="Calibri" w:cstheme="minorHAnsi"/>
                <w:sz w:val="20"/>
                <w:szCs w:val="20"/>
                <w:lang w:val="en-GB"/>
              </w:rPr>
              <w:t xml:space="preserve"> each</w:t>
            </w:r>
            <w:r w:rsidR="00C42A2A" w:rsidRPr="00731DDC">
              <w:rPr>
                <w:rFonts w:eastAsia="Calibri" w:cstheme="minorHAnsi"/>
                <w:sz w:val="20"/>
                <w:szCs w:val="20"/>
                <w:lang w:val="en-GB"/>
              </w:rPr>
              <w:t xml:space="preserve"> other</w:t>
            </w:r>
            <w:r>
              <w:rPr>
                <w:rFonts w:eastAsia="Calibri" w:cstheme="minorHAnsi"/>
                <w:sz w:val="20"/>
                <w:szCs w:val="20"/>
                <w:lang w:val="en-GB"/>
              </w:rPr>
              <w:t>’s</w:t>
            </w:r>
            <w:r w:rsidR="00C42A2A" w:rsidRPr="00731DDC">
              <w:rPr>
                <w:rFonts w:eastAsia="Calibri" w:cstheme="minorHAnsi"/>
                <w:sz w:val="20"/>
                <w:szCs w:val="20"/>
                <w:lang w:val="en-GB"/>
              </w:rPr>
              <w:t xml:space="preserve"> countr</w:t>
            </w:r>
            <w:r>
              <w:rPr>
                <w:rFonts w:eastAsia="Calibri" w:cstheme="minorHAnsi"/>
                <w:sz w:val="20"/>
                <w:szCs w:val="20"/>
                <w:lang w:val="en-GB"/>
              </w:rPr>
              <w:t>y.</w:t>
            </w:r>
          </w:p>
        </w:tc>
        <w:tc>
          <w:tcPr>
            <w:tcW w:w="2885" w:type="dxa"/>
            <w:shd w:val="clear" w:color="auto" w:fill="auto"/>
            <w:vAlign w:val="center"/>
          </w:tcPr>
          <w:p w14:paraId="4ADB5337" w14:textId="77777777" w:rsidR="00C42A2A" w:rsidRPr="000C42C7" w:rsidRDefault="00C42A2A" w:rsidP="001F09E1">
            <w:pPr>
              <w:pStyle w:val="ListParagraph"/>
              <w:numPr>
                <w:ilvl w:val="0"/>
                <w:numId w:val="9"/>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en-GB"/>
              </w:rPr>
            </w:pPr>
            <w:r w:rsidRPr="00731DDC">
              <w:rPr>
                <w:rFonts w:cstheme="minorHAnsi"/>
                <w:sz w:val="20"/>
                <w:szCs w:val="20"/>
                <w:lang w:val="en-GB"/>
              </w:rPr>
              <w:t>ISO/IEC 22624:202040- Information technology — Cloud computing — Taxonomy based data handling for cloud services</w:t>
            </w:r>
          </w:p>
          <w:p w14:paraId="50168BF5" w14:textId="7B5E7CBB" w:rsidR="000C42C7" w:rsidRPr="00731DDC" w:rsidRDefault="000C42C7" w:rsidP="001F09E1">
            <w:pPr>
              <w:pStyle w:val="ListParagraph"/>
              <w:numPr>
                <w:ilvl w:val="0"/>
                <w:numId w:val="9"/>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en-GB"/>
              </w:rPr>
            </w:pPr>
            <w:r w:rsidRPr="000C42C7">
              <w:rPr>
                <w:rFonts w:eastAsiaTheme="minorEastAsia" w:cstheme="minorHAnsi"/>
                <w:sz w:val="20"/>
                <w:szCs w:val="20"/>
                <w:lang w:val="en-SG"/>
              </w:rPr>
              <w:t>APEC Cross-Border Privacy Rules (CBPR) System</w:t>
            </w:r>
          </w:p>
        </w:tc>
      </w:tr>
      <w:tr w:rsidR="00C42A2A" w:rsidRPr="00731DDC" w14:paraId="083E7590" w14:textId="77777777" w:rsidTr="0065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1256A95A" w14:textId="77777777" w:rsidR="00C42A2A" w:rsidRPr="00731DDC" w:rsidRDefault="00C42A2A" w:rsidP="006515BA">
            <w:pPr>
              <w:spacing w:beforeLines="40" w:before="96" w:afterLines="40" w:after="96"/>
              <w:rPr>
                <w:rFonts w:eastAsia="Calibri" w:cstheme="minorHAnsi"/>
                <w:sz w:val="20"/>
                <w:szCs w:val="20"/>
                <w:lang w:val="en-GB"/>
              </w:rPr>
            </w:pPr>
            <w:r w:rsidRPr="00731DDC">
              <w:rPr>
                <w:rFonts w:eastAsia="Calibri" w:cstheme="minorHAnsi"/>
                <w:sz w:val="20"/>
                <w:szCs w:val="20"/>
                <w:lang w:val="en-GB"/>
              </w:rPr>
              <w:t>Data Portability</w:t>
            </w:r>
          </w:p>
        </w:tc>
        <w:tc>
          <w:tcPr>
            <w:tcW w:w="1385" w:type="dxa"/>
            <w:shd w:val="clear" w:color="auto" w:fill="auto"/>
            <w:vAlign w:val="center"/>
          </w:tcPr>
          <w:p w14:paraId="21AB9AB8"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731DDC">
              <w:rPr>
                <w:rFonts w:eastAsia="Calibri" w:cstheme="minorHAnsi"/>
                <w:i/>
                <w:iCs/>
                <w:color w:val="4472C4" w:themeColor="accent1"/>
                <w:sz w:val="20"/>
                <w:szCs w:val="20"/>
                <w:lang w:val="en-GB"/>
              </w:rPr>
              <w:t>Process improvements</w:t>
            </w:r>
          </w:p>
        </w:tc>
        <w:tc>
          <w:tcPr>
            <w:tcW w:w="1595" w:type="dxa"/>
            <w:shd w:val="clear" w:color="auto" w:fill="auto"/>
            <w:vAlign w:val="center"/>
          </w:tcPr>
          <w:p w14:paraId="4F5B4116" w14:textId="77777777" w:rsidR="00C42A2A" w:rsidRPr="00731DDC" w:rsidRDefault="00C42A2A"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731DDC">
              <w:rPr>
                <w:rFonts w:cstheme="minorHAnsi"/>
                <w:sz w:val="20"/>
                <w:szCs w:val="20"/>
                <w:lang w:val="en-GB"/>
              </w:rPr>
              <w:t>Allows individuals to obtain and reuse their personal data for their own purposes across different services.</w:t>
            </w:r>
          </w:p>
        </w:tc>
        <w:tc>
          <w:tcPr>
            <w:tcW w:w="1616" w:type="dxa"/>
            <w:shd w:val="clear" w:color="auto" w:fill="auto"/>
            <w:vAlign w:val="center"/>
          </w:tcPr>
          <w:p w14:paraId="7ADCC454" w14:textId="5C30AB9B" w:rsidR="00C42A2A" w:rsidRPr="00731DDC" w:rsidRDefault="00235F5F" w:rsidP="006515B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Pr>
                <w:rFonts w:eastAsia="Calibri" w:cstheme="minorHAnsi"/>
                <w:sz w:val="20"/>
                <w:szCs w:val="20"/>
                <w:lang w:val="en-GB"/>
              </w:rPr>
              <w:t xml:space="preserve">Australia and Singapore </w:t>
            </w:r>
            <w:r w:rsidR="00EF1880">
              <w:rPr>
                <w:rFonts w:eastAsia="Calibri" w:cstheme="minorHAnsi"/>
                <w:sz w:val="20"/>
                <w:szCs w:val="20"/>
                <w:lang w:val="en-GB"/>
              </w:rPr>
              <w:t>c</w:t>
            </w:r>
            <w:r>
              <w:rPr>
                <w:rFonts w:eastAsia="Calibri" w:cstheme="minorHAnsi"/>
                <w:sz w:val="20"/>
                <w:szCs w:val="20"/>
                <w:lang w:val="en-GB"/>
              </w:rPr>
              <w:t xml:space="preserve">ould </w:t>
            </w:r>
            <w:r w:rsidR="00A814ED">
              <w:rPr>
                <w:rFonts w:eastAsia="Calibri" w:cstheme="minorHAnsi"/>
                <w:sz w:val="20"/>
                <w:szCs w:val="20"/>
                <w:lang w:val="en-GB"/>
              </w:rPr>
              <w:t xml:space="preserve">adopt and implement data portability standards in order to </w:t>
            </w:r>
            <w:r>
              <w:rPr>
                <w:rFonts w:eastAsia="Calibri" w:cstheme="minorHAnsi"/>
                <w:sz w:val="20"/>
                <w:szCs w:val="20"/>
                <w:lang w:val="en-GB"/>
              </w:rPr>
              <w:t>m</w:t>
            </w:r>
            <w:r w:rsidR="00C42A2A" w:rsidRPr="00731DDC">
              <w:rPr>
                <w:rFonts w:eastAsia="Calibri" w:cstheme="minorHAnsi"/>
                <w:sz w:val="20"/>
                <w:szCs w:val="20"/>
                <w:lang w:val="en-GB"/>
              </w:rPr>
              <w:t xml:space="preserve">ake it easy for customers to switch between suppliers </w:t>
            </w:r>
            <w:r w:rsidR="00A814ED">
              <w:rPr>
                <w:rFonts w:eastAsia="Calibri" w:cstheme="minorHAnsi"/>
                <w:sz w:val="20"/>
                <w:szCs w:val="20"/>
                <w:lang w:val="en-GB"/>
              </w:rPr>
              <w:t>(</w:t>
            </w:r>
            <w:r w:rsidR="00C42A2A" w:rsidRPr="00731DDC">
              <w:rPr>
                <w:rFonts w:eastAsia="Calibri" w:cstheme="minorHAnsi"/>
                <w:sz w:val="20"/>
                <w:szCs w:val="20"/>
                <w:lang w:val="en-GB"/>
              </w:rPr>
              <w:t>e.g. banks</w:t>
            </w:r>
            <w:r w:rsidR="00A814ED">
              <w:rPr>
                <w:rFonts w:eastAsia="Calibri" w:cstheme="minorHAnsi"/>
                <w:sz w:val="20"/>
                <w:szCs w:val="20"/>
                <w:lang w:val="en-GB"/>
              </w:rPr>
              <w:t>)</w:t>
            </w:r>
            <w:r w:rsidR="00C42A2A" w:rsidRPr="00731DDC">
              <w:rPr>
                <w:rFonts w:eastAsia="Calibri" w:cstheme="minorHAnsi"/>
                <w:sz w:val="20"/>
                <w:szCs w:val="20"/>
                <w:lang w:val="en-GB"/>
              </w:rPr>
              <w:t xml:space="preserve"> and allow new entrants to access customer data</w:t>
            </w:r>
            <w:r w:rsidR="00C60930">
              <w:rPr>
                <w:rFonts w:eastAsia="Calibri" w:cstheme="minorHAnsi"/>
                <w:sz w:val="20"/>
                <w:szCs w:val="20"/>
                <w:lang w:val="en-GB"/>
              </w:rPr>
              <w:t>.</w:t>
            </w:r>
            <w:r w:rsidR="00C42A2A" w:rsidRPr="00731DDC">
              <w:rPr>
                <w:rFonts w:eastAsia="Calibri" w:cstheme="minorHAnsi"/>
                <w:sz w:val="20"/>
                <w:szCs w:val="20"/>
                <w:lang w:val="en-GB"/>
              </w:rPr>
              <w:t xml:space="preserve"> </w:t>
            </w:r>
          </w:p>
        </w:tc>
        <w:tc>
          <w:tcPr>
            <w:tcW w:w="2885" w:type="dxa"/>
            <w:shd w:val="clear" w:color="auto" w:fill="auto"/>
            <w:vAlign w:val="center"/>
          </w:tcPr>
          <w:p w14:paraId="053ED70F" w14:textId="161968C0" w:rsidR="000C42C7" w:rsidRPr="000C42C7" w:rsidRDefault="000C42C7" w:rsidP="001F09E1">
            <w:pPr>
              <w:pStyle w:val="ListParagraph"/>
              <w:numPr>
                <w:ilvl w:val="0"/>
                <w:numId w:val="9"/>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lang w:val="en-SG"/>
              </w:rPr>
            </w:pPr>
            <w:r w:rsidRPr="00F12507">
              <w:rPr>
                <w:rFonts w:eastAsiaTheme="minorEastAsia" w:cstheme="minorHAnsi"/>
                <w:sz w:val="20"/>
                <w:szCs w:val="20"/>
                <w:lang w:val="en-GB"/>
              </w:rPr>
              <w:t>ISO/IEC 38505-1:2017</w:t>
            </w:r>
            <w:r w:rsidRPr="000C42C7">
              <w:rPr>
                <w:rFonts w:eastAsiaTheme="minorEastAsia" w:cstheme="minorHAnsi"/>
                <w:sz w:val="20"/>
                <w:szCs w:val="20"/>
                <w:lang w:val="en-GB"/>
              </w:rPr>
              <w:t xml:space="preserve"> </w:t>
            </w:r>
            <w:r w:rsidRPr="000C42C7">
              <w:rPr>
                <w:rFonts w:eastAsiaTheme="minorEastAsia" w:cstheme="minorHAnsi"/>
                <w:sz w:val="20"/>
                <w:szCs w:val="20"/>
                <w:lang w:val="en-SG"/>
              </w:rPr>
              <w:t>Information technology — Governance of IT — Governance of data — Part 1: Application of ISO/IEC 38500 to the governance of data</w:t>
            </w:r>
          </w:p>
          <w:p w14:paraId="4C06D7BB" w14:textId="16E9B769" w:rsidR="000C42C7" w:rsidRPr="000C42C7" w:rsidRDefault="00C42A2A" w:rsidP="001F09E1">
            <w:pPr>
              <w:pStyle w:val="ListParagraph"/>
              <w:numPr>
                <w:ilvl w:val="0"/>
                <w:numId w:val="9"/>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lang w:val="en-SG"/>
              </w:rPr>
            </w:pPr>
            <w:r w:rsidRPr="000C42C7">
              <w:rPr>
                <w:rFonts w:eastAsiaTheme="minorEastAsia" w:cstheme="minorHAnsi"/>
                <w:sz w:val="20"/>
                <w:szCs w:val="20"/>
                <w:lang w:val="en-SG"/>
              </w:rPr>
              <w:t>ISO/TS 23029:202043 - Web-service-based application programming interface (WAPI) in financial services</w:t>
            </w:r>
          </w:p>
          <w:p w14:paraId="3B73306D" w14:textId="77777777" w:rsidR="000C42C7" w:rsidRPr="000C42C7" w:rsidRDefault="00F22D31" w:rsidP="001F09E1">
            <w:pPr>
              <w:pStyle w:val="ListParagraph"/>
              <w:numPr>
                <w:ilvl w:val="0"/>
                <w:numId w:val="9"/>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lang w:val="en-SG"/>
              </w:rPr>
            </w:pPr>
            <w:r w:rsidRPr="000C42C7">
              <w:rPr>
                <w:rFonts w:eastAsiaTheme="minorEastAsia" w:cstheme="minorHAnsi"/>
                <w:sz w:val="20"/>
                <w:szCs w:val="20"/>
                <w:lang w:val="en-SG"/>
              </w:rPr>
              <w:lastRenderedPageBreak/>
              <w:t>FAIR Guiding Principles for scientific data management and stewardship</w:t>
            </w:r>
            <w:r w:rsidRPr="000C42C7">
              <w:rPr>
                <w:rFonts w:eastAsiaTheme="minorEastAsia" w:cstheme="minorHAnsi"/>
                <w:sz w:val="20"/>
                <w:szCs w:val="20"/>
                <w:vertAlign w:val="superscript"/>
                <w:lang w:val="en-SG"/>
              </w:rPr>
              <w:footnoteReference w:id="89"/>
            </w:r>
          </w:p>
          <w:p w14:paraId="102B1DF8" w14:textId="77777777" w:rsidR="00F22D31" w:rsidRDefault="00F22D31" w:rsidP="001F09E1">
            <w:pPr>
              <w:pStyle w:val="ListParagraph"/>
              <w:numPr>
                <w:ilvl w:val="0"/>
                <w:numId w:val="9"/>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C42C7">
              <w:rPr>
                <w:rFonts w:eastAsiaTheme="minorEastAsia" w:cstheme="minorHAnsi"/>
                <w:sz w:val="20"/>
                <w:szCs w:val="20"/>
                <w:lang w:val="en-SG"/>
              </w:rPr>
              <w:t>Financial Industry Business Ontology</w:t>
            </w:r>
            <w:r w:rsidRPr="000C42C7">
              <w:rPr>
                <w:rFonts w:cstheme="minorHAnsi"/>
                <w:sz w:val="20"/>
                <w:szCs w:val="20"/>
                <w:lang w:val="en-GB"/>
              </w:rPr>
              <w:t xml:space="preserve"> (FIBO): Open Semantic Standard for the Financial Industry</w:t>
            </w:r>
            <w:r w:rsidRPr="000C42C7">
              <w:rPr>
                <w:rStyle w:val="FootnoteReference"/>
                <w:rFonts w:cstheme="minorHAnsi"/>
                <w:sz w:val="20"/>
                <w:szCs w:val="20"/>
                <w:lang w:val="en-GB"/>
              </w:rPr>
              <w:footnoteReference w:id="90"/>
            </w:r>
          </w:p>
          <w:p w14:paraId="6C6C0D13" w14:textId="440405BD" w:rsidR="000C42C7" w:rsidRPr="000C42C7" w:rsidRDefault="000C42C7" w:rsidP="001F09E1">
            <w:pPr>
              <w:pStyle w:val="ListParagraph"/>
              <w:numPr>
                <w:ilvl w:val="0"/>
                <w:numId w:val="9"/>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lang w:val="en-SG"/>
              </w:rPr>
            </w:pPr>
            <w:r>
              <w:rPr>
                <w:rFonts w:eastAsiaTheme="minorEastAsia" w:cstheme="minorHAnsi"/>
                <w:sz w:val="20"/>
                <w:szCs w:val="20"/>
                <w:lang w:val="en-SG"/>
              </w:rPr>
              <w:t>Australian</w:t>
            </w:r>
            <w:r w:rsidRPr="000C42C7">
              <w:rPr>
                <w:rFonts w:eastAsiaTheme="minorEastAsia" w:cstheme="minorHAnsi"/>
                <w:sz w:val="20"/>
                <w:szCs w:val="20"/>
                <w:lang w:val="en-SG"/>
              </w:rPr>
              <w:t xml:space="preserve"> Consumer Data </w:t>
            </w:r>
            <w:r>
              <w:rPr>
                <w:rFonts w:eastAsiaTheme="minorEastAsia" w:cstheme="minorHAnsi"/>
                <w:sz w:val="20"/>
                <w:szCs w:val="20"/>
                <w:lang w:val="en-SG"/>
              </w:rPr>
              <w:t xml:space="preserve">Right </w:t>
            </w:r>
            <w:r w:rsidRPr="000C42C7">
              <w:rPr>
                <w:rFonts w:eastAsiaTheme="minorEastAsia" w:cstheme="minorHAnsi"/>
                <w:sz w:val="20"/>
                <w:szCs w:val="20"/>
                <w:lang w:val="en-SG"/>
              </w:rPr>
              <w:t>Standard</w:t>
            </w:r>
          </w:p>
        </w:tc>
      </w:tr>
    </w:tbl>
    <w:p w14:paraId="6EA1F2E5" w14:textId="77777777" w:rsidR="00C42A2A" w:rsidRPr="00731DDC" w:rsidRDefault="00C42A2A" w:rsidP="005F4075">
      <w:pPr>
        <w:rPr>
          <w:lang w:val="en-GB"/>
        </w:rPr>
      </w:pPr>
      <w:r w:rsidRPr="000C42C7">
        <w:lastRenderedPageBreak/>
        <w:t>As mentioned earlier in this report, there are a number of emerging digital technologies. In these areas, new standards are being considered and developed by various international standards bodies, often simultaneously. Australia and Singapore would benefit from cooperation with each other and by getting involved and actively participating (or if appropriate</w:t>
      </w:r>
      <w:r w:rsidRPr="00731DDC">
        <w:rPr>
          <w:lang w:val="en-GB"/>
        </w:rPr>
        <w:t xml:space="preserve">, observing) in these standards setting processes.  </w:t>
      </w:r>
    </w:p>
    <w:p w14:paraId="55F03732" w14:textId="51A39907" w:rsidR="00C42A2A" w:rsidRPr="00731DDC" w:rsidRDefault="00C60930" w:rsidP="005F4075">
      <w:pPr>
        <w:rPr>
          <w:i/>
          <w:iCs/>
          <w:lang w:val="en-GB"/>
        </w:rPr>
      </w:pPr>
      <w:r>
        <w:rPr>
          <w:lang w:val="en-GB"/>
        </w:rPr>
        <w:fldChar w:fldCharType="begin"/>
      </w:r>
      <w:r>
        <w:rPr>
          <w:lang w:val="en-GB"/>
        </w:rPr>
        <w:instrText xml:space="preserve"> REF _Ref51074909 \h </w:instrText>
      </w:r>
      <w:r>
        <w:rPr>
          <w:lang w:val="en-GB"/>
        </w:rPr>
      </w:r>
      <w:r>
        <w:rPr>
          <w:lang w:val="en-GB"/>
        </w:rPr>
        <w:fldChar w:fldCharType="separate"/>
      </w:r>
      <w:r w:rsidRPr="00731DDC">
        <w:rPr>
          <w:lang w:val="en-GB"/>
        </w:rPr>
        <w:t xml:space="preserve">Table </w:t>
      </w:r>
      <w:r>
        <w:rPr>
          <w:noProof/>
          <w:lang w:val="en-GB"/>
        </w:rPr>
        <w:t>9</w:t>
      </w:r>
      <w:r>
        <w:rPr>
          <w:lang w:val="en-GB"/>
        </w:rPr>
        <w:fldChar w:fldCharType="end"/>
      </w:r>
      <w:r>
        <w:rPr>
          <w:lang w:val="en-GB"/>
        </w:rPr>
        <w:t xml:space="preserve"> </w:t>
      </w:r>
      <w:r w:rsidR="00C42A2A" w:rsidRPr="00731DDC">
        <w:rPr>
          <w:lang w:val="en-GB"/>
        </w:rPr>
        <w:t xml:space="preserve">below provides some example of standards for: (i) IoT; (ii) AVs; (iii), Blockchain Technologies; (iv) 3D printing; (v) AI; and (vi) Smart Cities. </w:t>
      </w:r>
    </w:p>
    <w:p w14:paraId="7B826AAD" w14:textId="74D17D43" w:rsidR="00C42A2A" w:rsidRPr="00731DDC" w:rsidRDefault="00C42A2A" w:rsidP="007C0781">
      <w:pPr>
        <w:pStyle w:val="Caption"/>
        <w:rPr>
          <w:lang w:val="en-GB"/>
        </w:rPr>
      </w:pPr>
      <w:bookmarkStart w:id="75" w:name="_Ref51074909"/>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9</w:t>
      </w:r>
      <w:r w:rsidRPr="00731DDC">
        <w:rPr>
          <w:lang w:val="en-GB"/>
        </w:rPr>
        <w:fldChar w:fldCharType="end"/>
      </w:r>
      <w:bookmarkEnd w:id="75"/>
      <w:r w:rsidRPr="00731DDC">
        <w:rPr>
          <w:lang w:val="en-GB"/>
        </w:rPr>
        <w:t>: Examples of Benefits and Standards of Emerging Digital Areas</w:t>
      </w:r>
    </w:p>
    <w:tbl>
      <w:tblPr>
        <w:tblStyle w:val="GridTable4-Accent110"/>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87"/>
        <w:gridCol w:w="1480"/>
        <w:gridCol w:w="1581"/>
        <w:gridCol w:w="1908"/>
        <w:gridCol w:w="3279"/>
      </w:tblGrid>
      <w:tr w:rsidR="00C42A2A" w:rsidRPr="00731DDC" w14:paraId="0561D2E5" w14:textId="77777777" w:rsidTr="005E530A">
        <w:trPr>
          <w:cnfStyle w:val="100000000000" w:firstRow="1" w:lastRow="0" w:firstColumn="0" w:lastColumn="0" w:oddVBand="0" w:evenVBand="0" w:oddHBand="0" w:evenHBand="0" w:firstRowFirstColumn="0" w:firstRowLastColumn="0" w:lastRowFirstColumn="0" w:lastRowLastColumn="0"/>
          <w:trHeight w:val="577"/>
          <w:tblHeader/>
          <w:jc w:val="center"/>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left w:val="none" w:sz="0" w:space="0" w:color="auto"/>
              <w:bottom w:val="none" w:sz="0" w:space="0" w:color="auto"/>
              <w:right w:val="none" w:sz="0" w:space="0" w:color="auto"/>
            </w:tcBorders>
            <w:vAlign w:val="center"/>
          </w:tcPr>
          <w:p w14:paraId="5543762B" w14:textId="77777777" w:rsidR="00C42A2A" w:rsidRPr="00731DDC" w:rsidRDefault="00C42A2A" w:rsidP="00313740">
            <w:pPr>
              <w:spacing w:beforeLines="40" w:before="96" w:afterLines="40" w:after="96"/>
              <w:jc w:val="center"/>
              <w:rPr>
                <w:rFonts w:ascii="Calibri" w:eastAsia="Calibri" w:hAnsi="Calibri" w:cs="Arial"/>
                <w:sz w:val="20"/>
                <w:szCs w:val="20"/>
                <w:lang w:val="en-GB"/>
              </w:rPr>
            </w:pPr>
            <w:r w:rsidRPr="00731DDC">
              <w:rPr>
                <w:rFonts w:ascii="Calibri" w:eastAsia="Calibri" w:hAnsi="Calibri" w:cs="Arial"/>
                <w:sz w:val="20"/>
                <w:szCs w:val="20"/>
                <w:lang w:val="en-GB"/>
              </w:rPr>
              <w:t>Emerging Digital Trade Areas</w:t>
            </w:r>
          </w:p>
        </w:tc>
        <w:tc>
          <w:tcPr>
            <w:tcW w:w="760" w:type="pct"/>
            <w:tcBorders>
              <w:top w:val="none" w:sz="0" w:space="0" w:color="auto"/>
              <w:left w:val="none" w:sz="0" w:space="0" w:color="auto"/>
              <w:bottom w:val="none" w:sz="0" w:space="0" w:color="auto"/>
              <w:right w:val="none" w:sz="0" w:space="0" w:color="auto"/>
            </w:tcBorders>
            <w:vAlign w:val="center"/>
          </w:tcPr>
          <w:p w14:paraId="18192B43" w14:textId="77777777" w:rsidR="00C42A2A" w:rsidRPr="00731DDC" w:rsidRDefault="00C42A2A" w:rsidP="0031374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Impact of Digitalisation</w:t>
            </w:r>
          </w:p>
        </w:tc>
        <w:tc>
          <w:tcPr>
            <w:tcW w:w="812" w:type="pct"/>
            <w:tcBorders>
              <w:top w:val="none" w:sz="0" w:space="0" w:color="auto"/>
              <w:left w:val="none" w:sz="0" w:space="0" w:color="auto"/>
              <w:bottom w:val="none" w:sz="0" w:space="0" w:color="auto"/>
              <w:right w:val="none" w:sz="0" w:space="0" w:color="auto"/>
            </w:tcBorders>
            <w:vAlign w:val="center"/>
          </w:tcPr>
          <w:p w14:paraId="189D6270" w14:textId="77777777" w:rsidR="00C42A2A" w:rsidRPr="00731DDC" w:rsidRDefault="00C42A2A" w:rsidP="0031374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Description</w:t>
            </w:r>
          </w:p>
        </w:tc>
        <w:tc>
          <w:tcPr>
            <w:tcW w:w="980" w:type="pct"/>
            <w:tcBorders>
              <w:top w:val="none" w:sz="0" w:space="0" w:color="auto"/>
              <w:left w:val="none" w:sz="0" w:space="0" w:color="auto"/>
              <w:bottom w:val="none" w:sz="0" w:space="0" w:color="auto"/>
              <w:right w:val="none" w:sz="0" w:space="0" w:color="auto"/>
            </w:tcBorders>
            <w:vAlign w:val="center"/>
          </w:tcPr>
          <w:p w14:paraId="68D625E5" w14:textId="52344009" w:rsidR="00C42A2A" w:rsidRPr="00731DDC" w:rsidRDefault="00EF1880" w:rsidP="0031374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Recommendations</w:t>
            </w:r>
            <w:r w:rsidR="00235F5F">
              <w:rPr>
                <w:rFonts w:ascii="Calibri" w:eastAsia="Calibri" w:hAnsi="Calibri" w:cs="Arial"/>
                <w:sz w:val="20"/>
                <w:szCs w:val="20"/>
                <w:lang w:val="en-GB"/>
              </w:rPr>
              <w:t xml:space="preserve"> for Australia and Singapore</w:t>
            </w:r>
          </w:p>
        </w:tc>
        <w:tc>
          <w:tcPr>
            <w:tcW w:w="1684" w:type="pct"/>
            <w:tcBorders>
              <w:top w:val="none" w:sz="0" w:space="0" w:color="auto"/>
              <w:left w:val="none" w:sz="0" w:space="0" w:color="auto"/>
              <w:bottom w:val="none" w:sz="0" w:space="0" w:color="auto"/>
              <w:right w:val="none" w:sz="0" w:space="0" w:color="auto"/>
            </w:tcBorders>
            <w:vAlign w:val="center"/>
          </w:tcPr>
          <w:p w14:paraId="7A78BFC5" w14:textId="77777777" w:rsidR="00C42A2A" w:rsidRPr="00731DDC" w:rsidRDefault="00C42A2A" w:rsidP="0031374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Examples of standards</w:t>
            </w:r>
          </w:p>
        </w:tc>
      </w:tr>
      <w:tr w:rsidR="00C42A2A" w:rsidRPr="00731DDC" w14:paraId="35A0B005"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vAlign w:val="center"/>
          </w:tcPr>
          <w:p w14:paraId="14E44514" w14:textId="77777777"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t>IoT</w:t>
            </w:r>
          </w:p>
        </w:tc>
        <w:tc>
          <w:tcPr>
            <w:tcW w:w="760" w:type="pct"/>
            <w:shd w:val="clear" w:color="auto" w:fill="auto"/>
            <w:vAlign w:val="center"/>
          </w:tcPr>
          <w:p w14:paraId="143AD85A" w14:textId="77777777"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i/>
                <w:iCs/>
                <w:color w:val="4472C4" w:themeColor="accent1"/>
                <w:sz w:val="20"/>
                <w:szCs w:val="20"/>
                <w:lang w:val="en-GB"/>
              </w:rPr>
            </w:pPr>
            <w:r w:rsidRPr="00731DDC">
              <w:rPr>
                <w:rFonts w:ascii="Calibri" w:eastAsia="Calibri" w:hAnsi="Calibri" w:cs="Arial"/>
                <w:i/>
                <w:iCs/>
                <w:color w:val="4472C4" w:themeColor="accent1"/>
                <w:sz w:val="20"/>
                <w:szCs w:val="20"/>
                <w:lang w:val="en-GB"/>
              </w:rPr>
              <w:t>Product improvements</w:t>
            </w:r>
          </w:p>
        </w:tc>
        <w:tc>
          <w:tcPr>
            <w:tcW w:w="812" w:type="pct"/>
            <w:shd w:val="clear" w:color="auto" w:fill="auto"/>
            <w:vAlign w:val="center"/>
          </w:tcPr>
          <w:p w14:paraId="308A9E22" w14:textId="77777777"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Refers to physical devices that are connected to the Internet, and can transmit real-time data.</w:t>
            </w:r>
          </w:p>
        </w:tc>
        <w:tc>
          <w:tcPr>
            <w:tcW w:w="980" w:type="pct"/>
            <w:shd w:val="clear" w:color="auto" w:fill="auto"/>
            <w:vAlign w:val="center"/>
          </w:tcPr>
          <w:p w14:paraId="50E142FC" w14:textId="3989743C" w:rsidR="00C42A2A" w:rsidRPr="00731DDC" w:rsidRDefault="00235F5F"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Pr>
                <w:sz w:val="20"/>
                <w:szCs w:val="20"/>
                <w:lang w:val="en-GB"/>
              </w:rPr>
              <w:t xml:space="preserve">Australia and Singapore </w:t>
            </w:r>
            <w:r w:rsidR="00EF1880">
              <w:rPr>
                <w:sz w:val="20"/>
                <w:szCs w:val="20"/>
                <w:lang w:val="en-GB"/>
              </w:rPr>
              <w:t>c</w:t>
            </w:r>
            <w:r>
              <w:rPr>
                <w:sz w:val="20"/>
                <w:szCs w:val="20"/>
                <w:lang w:val="en-GB"/>
              </w:rPr>
              <w:t>ould promote IoT standards as it e</w:t>
            </w:r>
            <w:r w:rsidR="00C42A2A" w:rsidRPr="00731DDC">
              <w:rPr>
                <w:sz w:val="20"/>
                <w:szCs w:val="20"/>
                <w:lang w:val="en-GB"/>
              </w:rPr>
              <w:t xml:space="preserve">nhances visibility in the supply chain and </w:t>
            </w:r>
            <w:r>
              <w:rPr>
                <w:sz w:val="20"/>
                <w:szCs w:val="20"/>
                <w:lang w:val="en-GB"/>
              </w:rPr>
              <w:t xml:space="preserve">can </w:t>
            </w:r>
            <w:r w:rsidR="00C42A2A" w:rsidRPr="00731DDC">
              <w:rPr>
                <w:sz w:val="20"/>
                <w:szCs w:val="20"/>
                <w:lang w:val="en-GB"/>
              </w:rPr>
              <w:t>provide better location tracking and prediction of arrival time, offering the possibility of managing routes and speed in real-time.</w:t>
            </w:r>
          </w:p>
        </w:tc>
        <w:tc>
          <w:tcPr>
            <w:tcW w:w="1684" w:type="pct"/>
            <w:shd w:val="clear" w:color="auto" w:fill="auto"/>
            <w:vAlign w:val="center"/>
          </w:tcPr>
          <w:p w14:paraId="6CD3A612"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IEC 61850:2019 SER - Communication </w:t>
            </w:r>
            <w:r w:rsidRPr="00731DDC">
              <w:rPr>
                <w:rFonts w:eastAsia="Calibri" w:cstheme="minorHAnsi"/>
                <w:kern w:val="24"/>
                <w:sz w:val="20"/>
                <w:szCs w:val="20"/>
                <w:lang w:val="en-GB" w:eastAsia="en-SG"/>
              </w:rPr>
              <w:t>networks</w:t>
            </w:r>
            <w:r w:rsidRPr="00731DDC">
              <w:rPr>
                <w:rFonts w:ascii="Calibri" w:eastAsia="Calibri" w:hAnsi="Calibri" w:cs="Arial"/>
                <w:sz w:val="20"/>
                <w:szCs w:val="20"/>
                <w:lang w:val="en-GB"/>
              </w:rPr>
              <w:t xml:space="preserve"> and systems for power utility automation (All Parts)</w:t>
            </w:r>
          </w:p>
          <w:p w14:paraId="0E96E94B"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IEEE P2418.1 - Standard for the Framework of Blockchain Use in Internet of Things (IoT)</w:t>
            </w:r>
          </w:p>
          <w:p w14:paraId="4E809353"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ISO/IEC/IEEE 42010: 2011 Systems and software engineering — Architecture description</w:t>
            </w:r>
          </w:p>
        </w:tc>
      </w:tr>
      <w:tr w:rsidR="00C42A2A" w:rsidRPr="00731DDC" w14:paraId="0D48B064"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vAlign w:val="center"/>
          </w:tcPr>
          <w:p w14:paraId="7D99A9B9" w14:textId="26305265"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t>DLT/</w:t>
            </w:r>
            <w:r w:rsidR="00C60930">
              <w:rPr>
                <w:rFonts w:ascii="Calibri" w:eastAsia="Calibri" w:hAnsi="Calibri" w:cs="Arial"/>
                <w:sz w:val="20"/>
                <w:szCs w:val="20"/>
                <w:lang w:val="en-GB"/>
              </w:rPr>
              <w:br/>
            </w:r>
            <w:r w:rsidRPr="00731DDC">
              <w:rPr>
                <w:rFonts w:ascii="Calibri" w:eastAsia="Calibri" w:hAnsi="Calibri" w:cs="Arial"/>
                <w:sz w:val="20"/>
                <w:szCs w:val="20"/>
                <w:lang w:val="en-GB"/>
              </w:rPr>
              <w:t>Blockchain technology</w:t>
            </w:r>
          </w:p>
        </w:tc>
        <w:tc>
          <w:tcPr>
            <w:tcW w:w="760" w:type="pct"/>
            <w:shd w:val="clear" w:color="auto" w:fill="auto"/>
            <w:vAlign w:val="center"/>
          </w:tcPr>
          <w:p w14:paraId="0B110DEE" w14:textId="77777777"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i/>
                <w:iCs/>
                <w:color w:val="4472C4" w:themeColor="accent1"/>
                <w:sz w:val="20"/>
                <w:szCs w:val="20"/>
                <w:lang w:val="en-GB"/>
              </w:rPr>
            </w:pPr>
            <w:r w:rsidRPr="00731DDC">
              <w:rPr>
                <w:rFonts w:ascii="Calibri" w:eastAsia="Calibri" w:hAnsi="Calibri" w:cs="Arial"/>
                <w:i/>
                <w:iCs/>
                <w:color w:val="4472C4" w:themeColor="accent1"/>
                <w:sz w:val="20"/>
                <w:szCs w:val="20"/>
                <w:lang w:val="en-GB"/>
              </w:rPr>
              <w:t>Process improvement</w:t>
            </w:r>
          </w:p>
        </w:tc>
        <w:tc>
          <w:tcPr>
            <w:tcW w:w="812" w:type="pct"/>
            <w:shd w:val="clear" w:color="auto" w:fill="auto"/>
            <w:vAlign w:val="center"/>
          </w:tcPr>
          <w:p w14:paraId="28501058" w14:textId="77777777"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Transforms supply chains by providing traceability of goods and </w:t>
            </w:r>
            <w:r w:rsidRPr="00731DDC">
              <w:rPr>
                <w:rFonts w:ascii="Calibri" w:eastAsia="Calibri" w:hAnsi="Calibri" w:cs="Arial"/>
                <w:sz w:val="20"/>
                <w:szCs w:val="20"/>
                <w:lang w:val="en-GB"/>
              </w:rPr>
              <w:lastRenderedPageBreak/>
              <w:t>services along with safer and cheaper payment mechanisms</w:t>
            </w:r>
          </w:p>
        </w:tc>
        <w:tc>
          <w:tcPr>
            <w:tcW w:w="980" w:type="pct"/>
            <w:shd w:val="clear" w:color="auto" w:fill="auto"/>
            <w:vAlign w:val="center"/>
          </w:tcPr>
          <w:p w14:paraId="373D9C72" w14:textId="13FDDD21" w:rsidR="00C42A2A" w:rsidRPr="00731DDC" w:rsidRDefault="00235F5F"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lastRenderedPageBreak/>
              <w:t>Australia and Singapore have the p</w:t>
            </w:r>
            <w:r w:rsidR="00C42A2A" w:rsidRPr="00731DDC">
              <w:rPr>
                <w:rFonts w:ascii="Calibri" w:eastAsia="Calibri" w:hAnsi="Calibri" w:cs="Arial"/>
                <w:sz w:val="20"/>
                <w:szCs w:val="20"/>
                <w:lang w:val="en-GB"/>
              </w:rPr>
              <w:t>otential to improve supply chains for trade in food</w:t>
            </w:r>
            <w:r>
              <w:rPr>
                <w:rFonts w:ascii="Calibri" w:eastAsia="Calibri" w:hAnsi="Calibri" w:cs="Arial"/>
                <w:sz w:val="20"/>
                <w:szCs w:val="20"/>
                <w:lang w:val="en-GB"/>
              </w:rPr>
              <w:t>,</w:t>
            </w:r>
            <w:r w:rsidR="00C60930">
              <w:rPr>
                <w:rFonts w:ascii="Calibri" w:eastAsia="Calibri" w:hAnsi="Calibri" w:cs="Arial"/>
                <w:sz w:val="20"/>
                <w:szCs w:val="20"/>
                <w:lang w:val="en-GB"/>
              </w:rPr>
              <w:t xml:space="preserve"> </w:t>
            </w:r>
            <w:r w:rsidR="00C42A2A" w:rsidRPr="00731DDC">
              <w:rPr>
                <w:rFonts w:ascii="Calibri" w:eastAsia="Calibri" w:hAnsi="Calibri" w:cs="Arial"/>
                <w:sz w:val="20"/>
                <w:szCs w:val="20"/>
                <w:lang w:val="en-GB"/>
              </w:rPr>
              <w:lastRenderedPageBreak/>
              <w:t>manufacturing and finance</w:t>
            </w:r>
            <w:r>
              <w:rPr>
                <w:rFonts w:ascii="Calibri" w:eastAsia="Calibri" w:hAnsi="Calibri" w:cs="Arial"/>
                <w:sz w:val="20"/>
                <w:szCs w:val="20"/>
                <w:lang w:val="en-GB"/>
              </w:rPr>
              <w:t xml:space="preserve"> by promoting DLT/Blockchain standards</w:t>
            </w:r>
            <w:r w:rsidR="00026763">
              <w:rPr>
                <w:rFonts w:ascii="Calibri" w:eastAsia="Calibri" w:hAnsi="Calibri" w:cs="Arial"/>
                <w:sz w:val="20"/>
                <w:szCs w:val="20"/>
                <w:lang w:val="en-GB"/>
              </w:rPr>
              <w:t>.</w:t>
            </w:r>
          </w:p>
        </w:tc>
        <w:tc>
          <w:tcPr>
            <w:tcW w:w="1684" w:type="pct"/>
            <w:vAlign w:val="center"/>
          </w:tcPr>
          <w:p w14:paraId="51A7902A"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lastRenderedPageBreak/>
              <w:t>ISO/TR 23455:2019; Overview of and interactions between smart contracts in blockchain and distributed ledger technology systems</w:t>
            </w:r>
          </w:p>
          <w:p w14:paraId="2452886E"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lastRenderedPageBreak/>
              <w:t>IEEE P2418.1 Standard for the Framework of Blockchain Use in IoT</w:t>
            </w:r>
          </w:p>
        </w:tc>
      </w:tr>
      <w:tr w:rsidR="00C42A2A" w:rsidRPr="00731DDC" w14:paraId="2A883EFA" w14:textId="77777777" w:rsidTr="00243CD8">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38A3AA4B" w14:textId="77777777"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lastRenderedPageBreak/>
              <w:t>AI</w:t>
            </w:r>
          </w:p>
        </w:tc>
        <w:tc>
          <w:tcPr>
            <w:tcW w:w="0" w:type="pct"/>
            <w:shd w:val="clear" w:color="auto" w:fill="auto"/>
            <w:vAlign w:val="center"/>
          </w:tcPr>
          <w:p w14:paraId="79C8E166" w14:textId="77777777"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i/>
                <w:iCs/>
                <w:color w:val="4472C4" w:themeColor="accent1"/>
                <w:sz w:val="20"/>
                <w:szCs w:val="20"/>
                <w:lang w:val="en-GB"/>
              </w:rPr>
            </w:pPr>
            <w:r w:rsidRPr="00731DDC">
              <w:rPr>
                <w:rFonts w:ascii="Calibri" w:eastAsia="Calibri" w:hAnsi="Calibri" w:cs="Arial"/>
                <w:i/>
                <w:iCs/>
                <w:color w:val="4472C4" w:themeColor="accent1"/>
                <w:sz w:val="20"/>
                <w:szCs w:val="20"/>
                <w:lang w:val="en-GB"/>
              </w:rPr>
              <w:t>Process improvement</w:t>
            </w:r>
          </w:p>
        </w:tc>
        <w:tc>
          <w:tcPr>
            <w:tcW w:w="0" w:type="pct"/>
            <w:shd w:val="clear" w:color="auto" w:fill="auto"/>
            <w:vAlign w:val="center"/>
          </w:tcPr>
          <w:p w14:paraId="2A7C044F" w14:textId="77777777"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AI can improve business productivity by enabling accurate demand forecasting, predictive maintenance which uses sensors to track the conditions of equipment and data and personalisation of products and services.</w:t>
            </w:r>
          </w:p>
        </w:tc>
        <w:tc>
          <w:tcPr>
            <w:tcW w:w="0" w:type="pct"/>
            <w:shd w:val="clear" w:color="auto" w:fill="auto"/>
            <w:vAlign w:val="center"/>
          </w:tcPr>
          <w:p w14:paraId="72BE2715" w14:textId="0D18EA33" w:rsidR="00C42A2A" w:rsidRPr="00731DDC" w:rsidRDefault="00235F5F"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Australia and Singapore have the p</w:t>
            </w:r>
            <w:r w:rsidR="00C42A2A" w:rsidRPr="00731DDC">
              <w:rPr>
                <w:rFonts w:ascii="Calibri" w:eastAsia="Calibri" w:hAnsi="Calibri" w:cs="Arial"/>
                <w:sz w:val="20"/>
                <w:szCs w:val="20"/>
                <w:lang w:val="en-GB"/>
              </w:rPr>
              <w:t>otential to improve productivity in a wide variety of trade sectors like health, education,</w:t>
            </w:r>
            <w:r w:rsidR="00C60930">
              <w:rPr>
                <w:rFonts w:ascii="Calibri" w:eastAsia="Calibri" w:hAnsi="Calibri" w:cs="Arial"/>
                <w:sz w:val="20"/>
                <w:szCs w:val="20"/>
                <w:lang w:val="en-GB"/>
              </w:rPr>
              <w:t xml:space="preserve"> and</w:t>
            </w:r>
            <w:r w:rsidR="00C42A2A" w:rsidRPr="00731DDC">
              <w:rPr>
                <w:rFonts w:ascii="Calibri" w:eastAsia="Calibri" w:hAnsi="Calibri" w:cs="Arial"/>
                <w:sz w:val="20"/>
                <w:szCs w:val="20"/>
                <w:lang w:val="en-GB"/>
              </w:rPr>
              <w:t xml:space="preserve"> finance</w:t>
            </w:r>
            <w:r w:rsidR="00C60930">
              <w:rPr>
                <w:rFonts w:ascii="Calibri" w:eastAsia="Calibri" w:hAnsi="Calibri" w:cs="Arial"/>
                <w:sz w:val="20"/>
                <w:szCs w:val="20"/>
                <w:lang w:val="en-GB"/>
              </w:rPr>
              <w:t>,</w:t>
            </w:r>
            <w:r>
              <w:rPr>
                <w:rFonts w:ascii="Calibri" w:eastAsia="Calibri" w:hAnsi="Calibri" w:cs="Arial"/>
                <w:sz w:val="20"/>
                <w:szCs w:val="20"/>
                <w:lang w:val="en-GB"/>
              </w:rPr>
              <w:t xml:space="preserve"> by promoting AI standards</w:t>
            </w:r>
            <w:r w:rsidR="00026763">
              <w:rPr>
                <w:rFonts w:ascii="Calibri" w:eastAsia="Calibri" w:hAnsi="Calibri" w:cs="Arial"/>
                <w:sz w:val="20"/>
                <w:szCs w:val="20"/>
                <w:lang w:val="en-GB"/>
              </w:rPr>
              <w:t>.</w:t>
            </w:r>
          </w:p>
        </w:tc>
        <w:tc>
          <w:tcPr>
            <w:tcW w:w="0" w:type="pct"/>
            <w:shd w:val="clear" w:color="auto" w:fill="auto"/>
            <w:vAlign w:val="center"/>
          </w:tcPr>
          <w:p w14:paraId="03EE4F69"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IEEE Standards Association (SA)’s Autonomous and Intelligent Systems (A/IS) standards P7000 series.</w:t>
            </w:r>
          </w:p>
          <w:p w14:paraId="68692F81"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International Telecommunications Union (ITU), ITU-T Y.3172 (06/2019) Architectural framework for machine learning in future networks</w:t>
            </w:r>
          </w:p>
          <w:p w14:paraId="26506931"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20546:2019 - Information technology - Big data - Overview and vocabulary</w:t>
            </w:r>
          </w:p>
          <w:p w14:paraId="75E043E8"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TR 20547-2:2018 - Information technology - Big data reference architecture - Part 2: Use cases and derived requirements</w:t>
            </w:r>
          </w:p>
          <w:p w14:paraId="379A0395"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TR 20547-5:2018 - Information technology - Big data reference architecture - Part 5: Standards roadmap</w:t>
            </w:r>
          </w:p>
        </w:tc>
      </w:tr>
      <w:tr w:rsidR="00C42A2A" w:rsidRPr="00731DDC" w14:paraId="69AC6859"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vAlign w:val="center"/>
          </w:tcPr>
          <w:p w14:paraId="47E4BA1D" w14:textId="77777777"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t>Smart cities</w:t>
            </w:r>
          </w:p>
        </w:tc>
        <w:tc>
          <w:tcPr>
            <w:tcW w:w="760" w:type="pct"/>
            <w:shd w:val="clear" w:color="auto" w:fill="auto"/>
            <w:vAlign w:val="center"/>
          </w:tcPr>
          <w:p w14:paraId="2CC4B457" w14:textId="77777777"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i/>
                <w:iCs/>
                <w:color w:val="4472C4" w:themeColor="accent1"/>
                <w:sz w:val="20"/>
                <w:szCs w:val="20"/>
                <w:lang w:val="en-GB"/>
              </w:rPr>
            </w:pPr>
            <w:r w:rsidRPr="00731DDC">
              <w:rPr>
                <w:rFonts w:ascii="Calibri" w:eastAsia="Calibri" w:hAnsi="Calibri" w:cs="Arial"/>
                <w:i/>
                <w:iCs/>
                <w:color w:val="4472C4" w:themeColor="accent1"/>
                <w:sz w:val="20"/>
                <w:szCs w:val="20"/>
                <w:lang w:val="en-GB"/>
              </w:rPr>
              <w:t>Process improvement</w:t>
            </w:r>
          </w:p>
        </w:tc>
        <w:tc>
          <w:tcPr>
            <w:tcW w:w="812" w:type="pct"/>
            <w:shd w:val="clear" w:color="auto" w:fill="auto"/>
            <w:vAlign w:val="center"/>
          </w:tcPr>
          <w:p w14:paraId="1147443A" w14:textId="77777777"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Smart cities rely on integrated and interconnected strategies and systems to effectively provide better services and increase quality of life. Addresses challenges like climate change, rapid population growth,</w:t>
            </w:r>
          </w:p>
        </w:tc>
        <w:tc>
          <w:tcPr>
            <w:tcW w:w="980" w:type="pct"/>
            <w:shd w:val="clear" w:color="auto" w:fill="auto"/>
            <w:vAlign w:val="center"/>
          </w:tcPr>
          <w:p w14:paraId="761117A5" w14:textId="0FDD4FC7" w:rsidR="00C42A2A" w:rsidRPr="00731DDC" w:rsidRDefault="006E2659"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Australia and Singapore have the p</w:t>
            </w:r>
            <w:r w:rsidR="00C42A2A" w:rsidRPr="00731DDC">
              <w:rPr>
                <w:rFonts w:ascii="Calibri" w:eastAsia="Calibri" w:hAnsi="Calibri" w:cs="Arial"/>
                <w:sz w:val="20"/>
                <w:szCs w:val="20"/>
                <w:lang w:val="en-GB"/>
              </w:rPr>
              <w:t>otential to improve labour mobility between the two countries</w:t>
            </w:r>
            <w:r>
              <w:rPr>
                <w:rFonts w:ascii="Calibri" w:eastAsia="Calibri" w:hAnsi="Calibri" w:cs="Arial"/>
                <w:sz w:val="20"/>
                <w:szCs w:val="20"/>
                <w:lang w:val="en-GB"/>
              </w:rPr>
              <w:t xml:space="preserve"> by promoting standards related to Smart Cities.</w:t>
            </w:r>
          </w:p>
        </w:tc>
        <w:tc>
          <w:tcPr>
            <w:tcW w:w="1684" w:type="pct"/>
            <w:vAlign w:val="center"/>
          </w:tcPr>
          <w:p w14:paraId="08C50616"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20005:2013 Information technology -- Sensor networks -- Services and interfaces supporting collaborative information processing in intelligent sensor networks</w:t>
            </w:r>
          </w:p>
          <w:p w14:paraId="09873843"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29182-1:2013 Information technology -- Sensor networks: Sensor Network Reference Architecture (SNRA) -- Part 1: General overview and requirements</w:t>
            </w:r>
          </w:p>
          <w:p w14:paraId="238613A5"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ISO/IEC 29182-7:2015 Information technology -- Sensor networks: Sensor Network Reference Architecture (SNRA) -- Part 7: Interoperability guidelines</w:t>
            </w:r>
          </w:p>
        </w:tc>
      </w:tr>
      <w:tr w:rsidR="00C42A2A" w:rsidRPr="00731DDC" w14:paraId="2055F75C"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vAlign w:val="center"/>
          </w:tcPr>
          <w:p w14:paraId="162BFC25" w14:textId="77777777"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t>AVs</w:t>
            </w:r>
          </w:p>
        </w:tc>
        <w:tc>
          <w:tcPr>
            <w:tcW w:w="760" w:type="pct"/>
            <w:shd w:val="clear" w:color="auto" w:fill="auto"/>
            <w:vAlign w:val="center"/>
          </w:tcPr>
          <w:p w14:paraId="69FC0F34" w14:textId="15467E96"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i/>
                <w:iCs/>
                <w:color w:val="4472C4" w:themeColor="accent1"/>
                <w:sz w:val="20"/>
                <w:szCs w:val="20"/>
                <w:lang w:val="en-GB"/>
              </w:rPr>
            </w:pPr>
            <w:r w:rsidRPr="00731DDC">
              <w:rPr>
                <w:rFonts w:ascii="Calibri" w:eastAsia="Calibri" w:hAnsi="Calibri" w:cs="Arial"/>
                <w:i/>
                <w:iCs/>
                <w:color w:val="4472C4" w:themeColor="accent1"/>
                <w:sz w:val="20"/>
                <w:szCs w:val="20"/>
                <w:lang w:val="en-GB"/>
              </w:rPr>
              <w:t>Product improvement</w:t>
            </w:r>
          </w:p>
        </w:tc>
        <w:tc>
          <w:tcPr>
            <w:tcW w:w="812" w:type="pct"/>
            <w:shd w:val="clear" w:color="auto" w:fill="auto"/>
            <w:vAlign w:val="center"/>
          </w:tcPr>
          <w:p w14:paraId="05E0352E" w14:textId="77777777" w:rsidR="00C42A2A" w:rsidRPr="00731DDC" w:rsidRDefault="00C42A2A"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Driverless cars for passenger and business use like (ships, loading systems or personal vehicles</w:t>
            </w:r>
          </w:p>
        </w:tc>
        <w:tc>
          <w:tcPr>
            <w:tcW w:w="980" w:type="pct"/>
            <w:shd w:val="clear" w:color="auto" w:fill="auto"/>
            <w:vAlign w:val="center"/>
          </w:tcPr>
          <w:p w14:paraId="0564DFC9" w14:textId="25AB8C26" w:rsidR="00C42A2A" w:rsidRPr="00731DDC" w:rsidRDefault="006E2659" w:rsidP="00313740">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 xml:space="preserve">Australia and Singapore could work together to promote the use of </w:t>
            </w:r>
            <w:r w:rsidR="00C42A2A" w:rsidRPr="00731DDC">
              <w:rPr>
                <w:rFonts w:ascii="Calibri" w:eastAsia="Calibri" w:hAnsi="Calibri" w:cs="Arial"/>
                <w:sz w:val="20"/>
                <w:szCs w:val="20"/>
                <w:lang w:val="en-GB"/>
              </w:rPr>
              <w:t>AVs</w:t>
            </w:r>
            <w:r>
              <w:rPr>
                <w:rFonts w:ascii="Calibri" w:eastAsia="Calibri" w:hAnsi="Calibri" w:cs="Arial"/>
                <w:sz w:val="20"/>
                <w:szCs w:val="20"/>
                <w:lang w:val="en-GB"/>
              </w:rPr>
              <w:t>, as they</w:t>
            </w:r>
            <w:r w:rsidR="00C42A2A" w:rsidRPr="00731DDC">
              <w:rPr>
                <w:rFonts w:ascii="Calibri" w:eastAsia="Calibri" w:hAnsi="Calibri" w:cs="Arial"/>
                <w:sz w:val="20"/>
                <w:szCs w:val="20"/>
                <w:lang w:val="en-GB"/>
              </w:rPr>
              <w:t xml:space="preserve"> will </w:t>
            </w:r>
            <w:r w:rsidR="00C60930">
              <w:rPr>
                <w:rFonts w:ascii="Calibri" w:eastAsia="Calibri" w:hAnsi="Calibri" w:cs="Arial"/>
                <w:sz w:val="20"/>
                <w:szCs w:val="20"/>
                <w:lang w:val="en-GB"/>
              </w:rPr>
              <w:t xml:space="preserve">not only </w:t>
            </w:r>
            <w:r w:rsidR="00C42A2A" w:rsidRPr="00731DDC">
              <w:rPr>
                <w:rFonts w:ascii="Calibri" w:eastAsia="Calibri" w:hAnsi="Calibri" w:cs="Arial"/>
                <w:sz w:val="20"/>
                <w:szCs w:val="20"/>
                <w:lang w:val="en-GB"/>
              </w:rPr>
              <w:t>provide better transport systems (</w:t>
            </w:r>
            <w:r w:rsidR="00C60930">
              <w:rPr>
                <w:rFonts w:ascii="Calibri" w:eastAsia="Calibri" w:hAnsi="Calibri" w:cs="Arial"/>
                <w:sz w:val="20"/>
                <w:szCs w:val="20"/>
                <w:lang w:val="en-GB"/>
              </w:rPr>
              <w:t xml:space="preserve">e.g. through </w:t>
            </w:r>
            <w:r w:rsidR="00C42A2A" w:rsidRPr="00731DDC">
              <w:rPr>
                <w:rFonts w:ascii="Calibri" w:eastAsia="Calibri" w:hAnsi="Calibri" w:cs="Arial"/>
                <w:sz w:val="20"/>
                <w:szCs w:val="20"/>
                <w:lang w:val="en-GB"/>
              </w:rPr>
              <w:lastRenderedPageBreak/>
              <w:t>reduced traffic congestion, reduced road accidents), but also increase trade in the electrical components for building and designing of AVs.</w:t>
            </w:r>
          </w:p>
        </w:tc>
        <w:tc>
          <w:tcPr>
            <w:tcW w:w="1684" w:type="pct"/>
            <w:shd w:val="clear" w:color="auto" w:fill="auto"/>
            <w:vAlign w:val="center"/>
          </w:tcPr>
          <w:p w14:paraId="09E9CCBB"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lastRenderedPageBreak/>
              <w:t>ISO 26262 for the Functional Safety of Automotive Systems</w:t>
            </w:r>
          </w:p>
          <w:p w14:paraId="695FE9F0"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IEEE P2020 - Standard for Automotive System Image Quality</w:t>
            </w:r>
          </w:p>
          <w:p w14:paraId="1F9E8B62"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SAE J2735 Dedicated Short Range Communications (DSRC) Message Set Dictionary</w:t>
            </w:r>
          </w:p>
        </w:tc>
      </w:tr>
      <w:tr w:rsidR="00C42A2A" w:rsidRPr="00731DDC" w14:paraId="736A253F"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vAlign w:val="center"/>
          </w:tcPr>
          <w:p w14:paraId="1CFF4636" w14:textId="77777777" w:rsidR="00C42A2A" w:rsidRPr="00731DDC" w:rsidRDefault="00C42A2A" w:rsidP="00313740">
            <w:pPr>
              <w:spacing w:beforeLines="40" w:before="96" w:afterLines="40" w:after="96"/>
              <w:rPr>
                <w:rFonts w:ascii="Calibri" w:eastAsia="Calibri" w:hAnsi="Calibri" w:cs="Arial"/>
                <w:sz w:val="20"/>
                <w:szCs w:val="20"/>
                <w:lang w:val="en-GB"/>
              </w:rPr>
            </w:pPr>
            <w:r w:rsidRPr="00731DDC">
              <w:rPr>
                <w:rFonts w:ascii="Calibri" w:eastAsia="Calibri" w:hAnsi="Calibri" w:cs="Arial"/>
                <w:sz w:val="20"/>
                <w:szCs w:val="20"/>
                <w:lang w:val="en-GB"/>
              </w:rPr>
              <w:t>3D Printing</w:t>
            </w:r>
          </w:p>
        </w:tc>
        <w:tc>
          <w:tcPr>
            <w:tcW w:w="760" w:type="pct"/>
            <w:shd w:val="clear" w:color="auto" w:fill="auto"/>
            <w:vAlign w:val="center"/>
          </w:tcPr>
          <w:p w14:paraId="08354B87" w14:textId="77777777"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i/>
                <w:iCs/>
                <w:sz w:val="20"/>
                <w:szCs w:val="20"/>
                <w:lang w:val="en-GB"/>
              </w:rPr>
            </w:pPr>
            <w:r w:rsidRPr="00731DDC">
              <w:rPr>
                <w:rFonts w:ascii="Calibri" w:eastAsia="Calibri" w:hAnsi="Calibri" w:cs="Arial"/>
                <w:i/>
                <w:iCs/>
                <w:color w:val="4472C4" w:themeColor="accent1"/>
                <w:sz w:val="20"/>
                <w:szCs w:val="20"/>
                <w:lang w:val="en-GB"/>
              </w:rPr>
              <w:t>Product improvement</w:t>
            </w:r>
          </w:p>
        </w:tc>
        <w:tc>
          <w:tcPr>
            <w:tcW w:w="812" w:type="pct"/>
            <w:shd w:val="clear" w:color="auto" w:fill="auto"/>
            <w:vAlign w:val="center"/>
          </w:tcPr>
          <w:p w14:paraId="7F9F3F93" w14:textId="2E7DD053" w:rsidR="00C42A2A" w:rsidRPr="00731DDC" w:rsidRDefault="00C42A2A"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In 3D printing processes almost all raw material goes into the final manufactured object, with little waste</w:t>
            </w:r>
            <w:r w:rsidR="00C60930">
              <w:rPr>
                <w:rFonts w:ascii="Calibri" w:eastAsia="Calibri" w:hAnsi="Calibri" w:cs="Arial"/>
                <w:sz w:val="20"/>
                <w:szCs w:val="20"/>
                <w:lang w:val="en-GB"/>
              </w:rPr>
              <w:t>.</w:t>
            </w:r>
          </w:p>
        </w:tc>
        <w:tc>
          <w:tcPr>
            <w:tcW w:w="980" w:type="pct"/>
            <w:shd w:val="clear" w:color="auto" w:fill="auto"/>
            <w:vAlign w:val="center"/>
          </w:tcPr>
          <w:p w14:paraId="1B56D9D3" w14:textId="5CD3962B" w:rsidR="00C42A2A" w:rsidRPr="00731DDC" w:rsidRDefault="006E2659" w:rsidP="00313740">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Pr>
                <w:rFonts w:ascii="Calibri" w:eastAsia="Calibri" w:hAnsi="Calibri" w:cs="Arial"/>
                <w:sz w:val="20"/>
                <w:szCs w:val="20"/>
                <w:lang w:val="en-GB"/>
              </w:rPr>
              <w:t xml:space="preserve">Australia and Singapore could promote </w:t>
            </w:r>
            <w:r w:rsidR="00C42A2A" w:rsidRPr="00731DDC">
              <w:rPr>
                <w:rFonts w:ascii="Calibri" w:eastAsia="Calibri" w:hAnsi="Calibri" w:cs="Arial"/>
                <w:sz w:val="20"/>
                <w:szCs w:val="20"/>
                <w:lang w:val="en-GB"/>
              </w:rPr>
              <w:t>3D printing</w:t>
            </w:r>
            <w:r w:rsidR="0080115D">
              <w:rPr>
                <w:rFonts w:ascii="Calibri" w:eastAsia="Calibri" w:hAnsi="Calibri" w:cs="Arial"/>
                <w:sz w:val="20"/>
                <w:szCs w:val="20"/>
                <w:lang w:val="en-GB"/>
              </w:rPr>
              <w:t>,</w:t>
            </w:r>
            <w:r w:rsidR="00C42A2A" w:rsidRPr="00731DDC">
              <w:rPr>
                <w:rFonts w:ascii="Calibri" w:eastAsia="Calibri" w:hAnsi="Calibri" w:cs="Arial"/>
                <w:sz w:val="20"/>
                <w:szCs w:val="20"/>
                <w:lang w:val="en-GB"/>
              </w:rPr>
              <w:t xml:space="preserve"> </w:t>
            </w:r>
            <w:r w:rsidR="0080115D">
              <w:rPr>
                <w:rFonts w:ascii="Calibri" w:eastAsia="Calibri" w:hAnsi="Calibri" w:cs="Arial"/>
                <w:sz w:val="20"/>
                <w:szCs w:val="20"/>
                <w:lang w:val="en-GB"/>
              </w:rPr>
              <w:t xml:space="preserve">resulting in </w:t>
            </w:r>
            <w:r w:rsidR="00C42A2A" w:rsidRPr="00731DDC">
              <w:rPr>
                <w:rFonts w:ascii="Calibri" w:eastAsia="Calibri" w:hAnsi="Calibri" w:cs="Arial"/>
                <w:sz w:val="20"/>
                <w:szCs w:val="20"/>
                <w:lang w:val="en-GB"/>
              </w:rPr>
              <w:t>savings on logistics and production costs</w:t>
            </w:r>
            <w:r>
              <w:rPr>
                <w:rFonts w:ascii="Calibri" w:eastAsia="Calibri" w:hAnsi="Calibri" w:cs="Arial"/>
                <w:sz w:val="20"/>
                <w:szCs w:val="20"/>
                <w:lang w:val="en-GB"/>
              </w:rPr>
              <w:t xml:space="preserve"> for businesses in each country</w:t>
            </w:r>
            <w:r w:rsidR="00C42A2A" w:rsidRPr="00731DDC">
              <w:rPr>
                <w:rFonts w:ascii="Calibri" w:eastAsia="Calibri" w:hAnsi="Calibri" w:cs="Arial"/>
                <w:sz w:val="20"/>
                <w:szCs w:val="20"/>
                <w:lang w:val="en-GB"/>
              </w:rPr>
              <w:t>.</w:t>
            </w:r>
            <w:r w:rsidR="0080115D">
              <w:rPr>
                <w:rFonts w:ascii="Calibri" w:eastAsia="Calibri" w:hAnsi="Calibri" w:cs="Arial"/>
                <w:sz w:val="20"/>
                <w:szCs w:val="20"/>
                <w:lang w:val="en-GB"/>
              </w:rPr>
              <w:t xml:space="preserve"> These savings would be due to the reduction in the number of steps in the production chain as 3D printing can produce a variety of products from a single printer.</w:t>
            </w:r>
          </w:p>
        </w:tc>
        <w:tc>
          <w:tcPr>
            <w:tcW w:w="1684" w:type="pct"/>
            <w:vAlign w:val="center"/>
          </w:tcPr>
          <w:p w14:paraId="6DEF2B06"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 xml:space="preserve">ISO/TC 261 on Standardisation in the field of Additive Manufacturing concerning the processes, terms and definitions, process chains (Hard- and Software), test procedures, quality parameters, supply agreements and all kind of fundamentals.  There are 14 Standards published so far and 23 standards are in development </w:t>
            </w:r>
          </w:p>
          <w:p w14:paraId="0B5267F0" w14:textId="77777777" w:rsidR="00C42A2A" w:rsidRPr="00731DDC" w:rsidRDefault="00C42A2A" w:rsidP="001F09E1">
            <w:pPr>
              <w:pStyle w:val="ListParagraph"/>
              <w:numPr>
                <w:ilvl w:val="0"/>
                <w:numId w:val="13"/>
              </w:numPr>
              <w:spacing w:beforeLines="40" w:before="96" w:afterLines="40" w:after="96"/>
              <w:ind w:left="299" w:hanging="28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731DDC">
              <w:rPr>
                <w:rFonts w:ascii="Calibri" w:eastAsia="Calibri" w:hAnsi="Calibri" w:cs="Arial"/>
                <w:sz w:val="20"/>
                <w:szCs w:val="20"/>
                <w:lang w:val="en-GB"/>
              </w:rPr>
              <w:t>ISO/TC 184/SC 4 which relates to industrial data</w:t>
            </w:r>
          </w:p>
        </w:tc>
      </w:tr>
    </w:tbl>
    <w:p w14:paraId="5B2A1AC2" w14:textId="3143BB8C" w:rsidR="00C42A2A" w:rsidRPr="00731DDC" w:rsidRDefault="00C42A2A" w:rsidP="00C42A2A">
      <w:pPr>
        <w:pStyle w:val="Heading1"/>
        <w:spacing w:after="160" w:line="276" w:lineRule="auto"/>
        <w:rPr>
          <w:lang w:val="en-GB"/>
        </w:rPr>
      </w:pPr>
      <w:bookmarkStart w:id="76" w:name="_Toc51167329"/>
      <w:r w:rsidRPr="00731DDC">
        <w:rPr>
          <w:lang w:val="en-GB"/>
        </w:rPr>
        <w:t>Cooperation Between Australia and Singapore</w:t>
      </w:r>
      <w:bookmarkEnd w:id="76"/>
    </w:p>
    <w:p w14:paraId="795161D6" w14:textId="211B095F" w:rsidR="00C42A2A" w:rsidRPr="00731DDC" w:rsidRDefault="0080115D" w:rsidP="005F4075">
      <w:pPr>
        <w:rPr>
          <w:lang w:val="en-GB"/>
        </w:rPr>
      </w:pPr>
      <w:r>
        <w:rPr>
          <w:lang w:val="en-GB"/>
        </w:rPr>
        <w:t>In order to grow both economies, Australia and Singapore need to prioritise key digital trade areas of mutual interest</w:t>
      </w:r>
      <w:r w:rsidR="00C42A2A" w:rsidRPr="00731DDC">
        <w:rPr>
          <w:lang w:val="en-GB"/>
        </w:rPr>
        <w:t>. While we have identified a total of 18 areas where standards can play a role in digital trade, as a starting point, we recommend Australia and Singapore cooperate on those areas where there are greater gains to be made.</w:t>
      </w:r>
    </w:p>
    <w:p w14:paraId="42233505" w14:textId="77777777" w:rsidR="00C42A2A" w:rsidRPr="00731DDC" w:rsidRDefault="00C42A2A" w:rsidP="005F4075">
      <w:pPr>
        <w:rPr>
          <w:lang w:val="en-GB"/>
        </w:rPr>
      </w:pPr>
      <w:r w:rsidRPr="00731DDC">
        <w:rPr>
          <w:lang w:val="en-GB"/>
        </w:rPr>
        <w:t xml:space="preserve">Focused cooperation between Australia and Singapore can provide economic benefits in the form of trade opportunities and cost savings. It can also support both countries as their economies seek to recover from the global pandemic. For instance, Enterprise Singapore has stressed that standards support business </w:t>
      </w:r>
      <w:r w:rsidRPr="00731DDC">
        <w:rPr>
          <w:lang w:val="en-GB"/>
        </w:rPr>
        <w:lastRenderedPageBreak/>
        <w:t>resilience and continuity planning and that close partnerships with industry, government and academia will be crucial to develop standards that meet business, industry and market needs.</w:t>
      </w:r>
      <w:r w:rsidRPr="00731DDC">
        <w:rPr>
          <w:rStyle w:val="FootnoteReference"/>
          <w:lang w:val="en-GB"/>
        </w:rPr>
        <w:footnoteReference w:id="91"/>
      </w:r>
    </w:p>
    <w:p w14:paraId="5BB5D868" w14:textId="77777777" w:rsidR="00C42A2A" w:rsidRPr="00731DDC" w:rsidRDefault="00C42A2A" w:rsidP="005F4075">
      <w:pPr>
        <w:rPr>
          <w:lang w:val="en-GB"/>
        </w:rPr>
      </w:pPr>
      <w:r w:rsidRPr="00731DDC">
        <w:rPr>
          <w:lang w:val="en-GB"/>
        </w:rPr>
        <w:t>An example of successful collaboration on standards between countries and relevant stakeholders, can be found between Australia and New Zealand. Australia developed an e-invoicing standard in 2015, through the Digital Business Council in Australia with technical support from the Australian Tax Office (ATO). This standard, was then implemented in 2018 by the New Zealand Government to support trans-Tasman use. The alignment of e-invoicing standards was estimated to deliver AUD30bn in savings over 10 years in Australia and New Zealand.</w:t>
      </w:r>
      <w:r w:rsidRPr="00731DDC">
        <w:rPr>
          <w:rStyle w:val="FootnoteReference"/>
          <w:lang w:val="en-GB"/>
        </w:rPr>
        <w:footnoteReference w:id="92"/>
      </w:r>
      <w:r w:rsidRPr="00731DDC">
        <w:rPr>
          <w:lang w:val="en-GB"/>
        </w:rPr>
        <w:t xml:space="preserve"> Both governments have since adopted the Peppol interoperability framework for e-Invoicing to increase opportunities for businesses trading globally.</w:t>
      </w:r>
    </w:p>
    <w:p w14:paraId="6A3BF495" w14:textId="1A02EAA6" w:rsidR="00C42A2A" w:rsidRPr="00731DDC" w:rsidRDefault="00C42A2A" w:rsidP="00C42A2A">
      <w:pPr>
        <w:pStyle w:val="Heading2"/>
        <w:spacing w:before="0" w:line="276" w:lineRule="auto"/>
        <w:rPr>
          <w:lang w:val="en-GB"/>
        </w:rPr>
      </w:pPr>
      <w:bookmarkStart w:id="77" w:name="_Toc51167330"/>
      <w:r w:rsidRPr="00731DDC">
        <w:rPr>
          <w:lang w:val="en-GB"/>
        </w:rPr>
        <w:t>Framework for Cooperation</w:t>
      </w:r>
      <w:bookmarkEnd w:id="77"/>
    </w:p>
    <w:p w14:paraId="1922DA10" w14:textId="77777777" w:rsidR="00C42A2A" w:rsidRPr="00731DDC" w:rsidRDefault="00C42A2A" w:rsidP="005F4075">
      <w:pPr>
        <w:rPr>
          <w:lang w:val="en-GB"/>
        </w:rPr>
      </w:pPr>
      <w:r w:rsidRPr="00731DDC">
        <w:rPr>
          <w:lang w:val="en-GB"/>
        </w:rPr>
        <w:t>There are a number of different ways of prioritising where efforts should be focussed. For example, areas can be identified based on current trade patterns between the countries, like the top three industries or most rapidly growing industries. However, there are some drawbacks with this approach as current trade patterns may not reflect future trade patterns as existing industries are being digitally transformed and new industries are emerging with new technology.</w:t>
      </w:r>
    </w:p>
    <w:p w14:paraId="69145ACC" w14:textId="77777777" w:rsidR="00C42A2A" w:rsidRPr="00731DDC" w:rsidRDefault="00C42A2A" w:rsidP="005F4075">
      <w:pPr>
        <w:rPr>
          <w:lang w:val="en-GB"/>
        </w:rPr>
      </w:pPr>
      <w:r w:rsidRPr="00731DDC">
        <w:rPr>
          <w:lang w:val="en-GB"/>
        </w:rPr>
        <w:t xml:space="preserve">In this report, we have taken a holistic approach and developed and applied criteria, which takes into account trade patterns and current and future industries, that are experiencing significant degree of digital transformation. Areas for prioritisation can include sectors or technologies that deliver: </w:t>
      </w:r>
    </w:p>
    <w:p w14:paraId="4CEC2CC9" w14:textId="77777777" w:rsidR="00C42A2A" w:rsidRPr="00731DDC" w:rsidRDefault="00C42A2A" w:rsidP="001F09E1">
      <w:pPr>
        <w:pStyle w:val="ListParagraph"/>
        <w:numPr>
          <w:ilvl w:val="0"/>
          <w:numId w:val="24"/>
        </w:numPr>
        <w:spacing w:before="0" w:after="160" w:line="276" w:lineRule="auto"/>
        <w:contextualSpacing/>
        <w:rPr>
          <w:rFonts w:eastAsiaTheme="minorEastAsia"/>
          <w:lang w:val="en-GB"/>
        </w:rPr>
      </w:pPr>
      <w:r w:rsidRPr="00731DDC">
        <w:rPr>
          <w:lang w:val="en-GB"/>
        </w:rPr>
        <w:t>Significant value of current trade between Australia and Singapore (e.g. food, education and tourism sectors);</w:t>
      </w:r>
    </w:p>
    <w:p w14:paraId="1B7EEB58" w14:textId="77777777" w:rsidR="00C42A2A" w:rsidRPr="00731DDC" w:rsidRDefault="00C42A2A" w:rsidP="001F09E1">
      <w:pPr>
        <w:pStyle w:val="ListParagraph"/>
        <w:numPr>
          <w:ilvl w:val="0"/>
          <w:numId w:val="24"/>
        </w:numPr>
        <w:spacing w:before="0" w:after="160" w:line="276" w:lineRule="auto"/>
        <w:contextualSpacing/>
        <w:rPr>
          <w:rFonts w:eastAsiaTheme="minorEastAsia"/>
          <w:lang w:val="en-GB"/>
        </w:rPr>
      </w:pPr>
      <w:r w:rsidRPr="00731DDC">
        <w:rPr>
          <w:lang w:val="en-GB"/>
        </w:rPr>
        <w:t>Significant value of digital trade between Australia and Singapore (e.g. financial services and digital payments);</w:t>
      </w:r>
    </w:p>
    <w:p w14:paraId="6F175E04" w14:textId="77777777" w:rsidR="00C42A2A" w:rsidRPr="00731DDC" w:rsidRDefault="00C42A2A" w:rsidP="001F09E1">
      <w:pPr>
        <w:pStyle w:val="ListParagraph"/>
        <w:numPr>
          <w:ilvl w:val="0"/>
          <w:numId w:val="24"/>
        </w:numPr>
        <w:spacing w:before="0" w:after="160" w:line="276" w:lineRule="auto"/>
        <w:contextualSpacing/>
        <w:rPr>
          <w:rFonts w:eastAsiaTheme="minorEastAsia"/>
          <w:lang w:val="en-GB"/>
        </w:rPr>
      </w:pPr>
      <w:r w:rsidRPr="00731DDC">
        <w:rPr>
          <w:lang w:val="en-GB"/>
        </w:rPr>
        <w:t>Significant value of future trade (e.g. trade opportunities related to development of smart cities); and</w:t>
      </w:r>
    </w:p>
    <w:p w14:paraId="6E7EB17E" w14:textId="77777777" w:rsidR="00C42A2A" w:rsidRPr="00731DDC" w:rsidRDefault="00C42A2A" w:rsidP="001F09E1">
      <w:pPr>
        <w:pStyle w:val="ListParagraph"/>
        <w:numPr>
          <w:ilvl w:val="0"/>
          <w:numId w:val="24"/>
        </w:numPr>
        <w:spacing w:before="0" w:after="160" w:line="276" w:lineRule="auto"/>
        <w:contextualSpacing/>
        <w:rPr>
          <w:lang w:val="en-GB"/>
        </w:rPr>
      </w:pPr>
      <w:r w:rsidRPr="00731DDC">
        <w:rPr>
          <w:lang w:val="en-GB"/>
        </w:rPr>
        <w:t>Comparative advantage by both or one of the countries (e.g. Singapore is a stronger exporter of electronics).</w:t>
      </w:r>
    </w:p>
    <w:p w14:paraId="0D6C1A4D" w14:textId="77777777" w:rsidR="00C42A2A" w:rsidRPr="00731DDC" w:rsidRDefault="00C42A2A" w:rsidP="005F4075">
      <w:pPr>
        <w:rPr>
          <w:rFonts w:ascii="Calibri" w:eastAsia="Calibri" w:hAnsi="Calibri" w:cs="Arial"/>
          <w:lang w:val="en-GB"/>
        </w:rPr>
      </w:pPr>
      <w:r w:rsidRPr="00731DDC">
        <w:rPr>
          <w:rFonts w:ascii="Calibri" w:eastAsia="Calibri" w:hAnsi="Calibri" w:cs="Arial"/>
          <w:lang w:val="en-GB"/>
        </w:rPr>
        <w:t xml:space="preserve">We have also considered feedback from government agencies. </w:t>
      </w:r>
      <w:r w:rsidRPr="00731DDC">
        <w:rPr>
          <w:lang w:val="en-GB"/>
        </w:rPr>
        <w:t>In order to ensure that the potential benefits of standards setting materialise and lead to increased trade, it is essential for both Singapore and Australian government agencies to take the lead in advocating the benefits. This involves encouraging relevant national agencies and their counterparts to update current and future workplans relating to new and emerging technologies and market needs and to consider relevant standards to help train and educate businesses in their countries. It also involves continuing to partner with industry and academia.</w:t>
      </w:r>
    </w:p>
    <w:p w14:paraId="0739A244" w14:textId="77777777" w:rsidR="00C42A2A" w:rsidRPr="00731DDC" w:rsidRDefault="00C42A2A" w:rsidP="005F4075">
      <w:pPr>
        <w:rPr>
          <w:lang w:val="en-GB"/>
        </w:rPr>
      </w:pPr>
      <w:r w:rsidRPr="00731DDC">
        <w:rPr>
          <w:lang w:val="en-GB"/>
        </w:rPr>
        <w:t xml:space="preserve">Cooperation between government agencies is critical in assessing areas for alignment, knowledge (and potential project) sharing, and prioritisation. For instance, if one country’s agency is advanced in a particular development, the other country can learn from their knowledge and align accordingly, saving time and resources.  For example, Standards Australia is leading the development of international blockchain </w:t>
      </w:r>
      <w:r w:rsidRPr="00731DDC">
        <w:rPr>
          <w:lang w:val="en-GB"/>
        </w:rPr>
        <w:lastRenderedPageBreak/>
        <w:t>standards. It was appointed by the International Organisation for Standardisation (ISO) to lead a technical committee on the development of international standards for blockchain. The Committee already has 39 different contributing countries, with 11 Standards currently at various stages of development. While Singapore is a participating member there is scope for closer cooperation.</w:t>
      </w:r>
    </w:p>
    <w:p w14:paraId="4912B736" w14:textId="1AEAF128" w:rsidR="00C42A2A" w:rsidRPr="00731DDC" w:rsidRDefault="00C42A2A" w:rsidP="005F4075">
      <w:pPr>
        <w:rPr>
          <w:lang w:val="en-GB"/>
        </w:rPr>
      </w:pPr>
      <w:r w:rsidRPr="00731DDC">
        <w:rPr>
          <w:lang w:val="en-GB"/>
        </w:rPr>
        <w:t>There is also the strong possibility for the two countries to identify where standards can serve to accelerate opportunities and so activate regional developments and regional focus in international standards bodies. Strengthening digital trade and cooperation on international standards in the region has increased in importance as a result of the COVID-19 pandemic, as the demand and use of digital technology has risen to keep economies functioning. By accelerating the use of technology and data like e-payments, telemedicine, and robots, that can reduce economic harm and loss of life, Australia and Singapore will showcase the</w:t>
      </w:r>
      <w:r w:rsidRPr="00731DDC">
        <w:rPr>
          <w:rFonts w:ascii="Verdana" w:hAnsi="Verdana"/>
          <w:lang w:val="en-GB"/>
        </w:rPr>
        <w:t xml:space="preserve"> </w:t>
      </w:r>
      <w:r w:rsidRPr="00731DDC">
        <w:rPr>
          <w:lang w:val="en-GB"/>
        </w:rPr>
        <w:t xml:space="preserve">pervasive role that digital enablement is going to play in each country’s </w:t>
      </w:r>
      <w:r w:rsidR="004A11C2">
        <w:rPr>
          <w:lang w:val="en-GB"/>
        </w:rPr>
        <w:t>recovery efforts</w:t>
      </w:r>
      <w:r w:rsidRPr="00D05787">
        <w:rPr>
          <w:lang w:val="en-GB"/>
        </w:rPr>
        <w:t>.</w:t>
      </w:r>
      <w:r w:rsidR="006674A1">
        <w:rPr>
          <w:rStyle w:val="FootnoteReference"/>
          <w:lang w:val="en-GB"/>
        </w:rPr>
        <w:footnoteReference w:id="93"/>
      </w:r>
      <w:r w:rsidRPr="00D05787">
        <w:rPr>
          <w:lang w:val="en-GB"/>
        </w:rPr>
        <w:t xml:space="preserve"> It is noted that Singapore’s Personal Data Protection Commission (PDPC) and the Office of Australia Information Commissioner (OAIC) have a good working relationship and have recently signed an MOU to foster closer collaboration and cooperation in safeguarding the data protection rights of Australians and Singaporeans.</w:t>
      </w:r>
    </w:p>
    <w:p w14:paraId="6E0B6868" w14:textId="77777777" w:rsidR="00C42A2A" w:rsidRPr="00731DDC" w:rsidRDefault="00C42A2A" w:rsidP="005F4075">
      <w:pPr>
        <w:rPr>
          <w:lang w:val="en-GB"/>
        </w:rPr>
      </w:pPr>
      <w:r w:rsidRPr="00731DDC">
        <w:rPr>
          <w:lang w:val="en-GB"/>
        </w:rPr>
        <w:t>Both Australia and Singapore are active and positive contributors of APEC Standards and Conformance Sub Committee (SCSC) and AANZFTA SC-STRACAP. These forums could potentially help drive regional digital standards activities and agendas and Australia and Singapore could consider jointly developing proposals for APEC SCSC.</w:t>
      </w:r>
    </w:p>
    <w:p w14:paraId="46B15D29" w14:textId="225111AC" w:rsidR="00C42A2A" w:rsidRPr="00731DDC" w:rsidRDefault="00AC3396" w:rsidP="00C42A2A">
      <w:pPr>
        <w:pStyle w:val="Heading2"/>
        <w:spacing w:before="0" w:line="276" w:lineRule="auto"/>
        <w:rPr>
          <w:lang w:val="en-GB"/>
        </w:rPr>
      </w:pPr>
      <w:bookmarkStart w:id="78" w:name="_Toc51167331"/>
      <w:r>
        <w:rPr>
          <w:lang w:val="en-GB"/>
        </w:rPr>
        <w:t xml:space="preserve">Recommended Priorities for </w:t>
      </w:r>
      <w:r w:rsidR="00C42A2A" w:rsidRPr="00731DDC">
        <w:rPr>
          <w:lang w:val="en-GB"/>
        </w:rPr>
        <w:t>Cooperation</w:t>
      </w:r>
      <w:bookmarkEnd w:id="78"/>
    </w:p>
    <w:p w14:paraId="469ED59C" w14:textId="3BA83BC9" w:rsidR="0080115D" w:rsidRDefault="00C42A2A" w:rsidP="005F4075">
      <w:pPr>
        <w:rPr>
          <w:lang w:val="en-GB"/>
        </w:rPr>
      </w:pPr>
      <w:r w:rsidRPr="00731DDC">
        <w:rPr>
          <w:lang w:val="en-GB"/>
        </w:rPr>
        <w:t xml:space="preserve">Out of the 18 areas identified in Section 7, </w:t>
      </w:r>
      <w:bookmarkStart w:id="79" w:name="_Hlk38983579"/>
      <w:r w:rsidRPr="00731DDC">
        <w:rPr>
          <w:lang w:val="en-GB"/>
        </w:rPr>
        <w:t xml:space="preserve">we recommend </w:t>
      </w:r>
      <w:r w:rsidR="0080115D">
        <w:rPr>
          <w:lang w:val="en-GB"/>
        </w:rPr>
        <w:t xml:space="preserve">that Australia and Singapore </w:t>
      </w:r>
      <w:r w:rsidRPr="00731DDC">
        <w:rPr>
          <w:lang w:val="en-GB"/>
        </w:rPr>
        <w:t xml:space="preserve">government agencies </w:t>
      </w:r>
      <w:r w:rsidR="0080115D">
        <w:rPr>
          <w:lang w:val="en-GB"/>
        </w:rPr>
        <w:t>prioritise</w:t>
      </w:r>
      <w:r w:rsidRPr="00731DDC">
        <w:rPr>
          <w:lang w:val="en-GB"/>
        </w:rPr>
        <w:t xml:space="preserve"> ten areas </w:t>
      </w:r>
      <w:r w:rsidR="0080115D">
        <w:rPr>
          <w:lang w:val="en-GB"/>
        </w:rPr>
        <w:t xml:space="preserve">for cooperation as set out in </w:t>
      </w:r>
      <w:r w:rsidR="0080115D">
        <w:rPr>
          <w:lang w:val="en-GB"/>
        </w:rPr>
        <w:fldChar w:fldCharType="begin"/>
      </w:r>
      <w:r w:rsidR="0080115D">
        <w:rPr>
          <w:lang w:val="en-GB"/>
        </w:rPr>
        <w:instrText xml:space="preserve"> REF _Ref51075573 \h </w:instrText>
      </w:r>
      <w:r w:rsidR="0080115D">
        <w:rPr>
          <w:lang w:val="en-GB"/>
        </w:rPr>
      </w:r>
      <w:r w:rsidR="0080115D">
        <w:rPr>
          <w:lang w:val="en-GB"/>
        </w:rPr>
        <w:fldChar w:fldCharType="separate"/>
      </w:r>
      <w:r w:rsidR="0080115D" w:rsidRPr="00731DDC">
        <w:rPr>
          <w:lang w:val="en-GB"/>
        </w:rPr>
        <w:t xml:space="preserve">Figure </w:t>
      </w:r>
      <w:r w:rsidR="0080115D">
        <w:rPr>
          <w:noProof/>
          <w:lang w:val="en-GB"/>
        </w:rPr>
        <w:t>8</w:t>
      </w:r>
      <w:r w:rsidR="0080115D">
        <w:rPr>
          <w:lang w:val="en-GB"/>
        </w:rPr>
        <w:fldChar w:fldCharType="end"/>
      </w:r>
      <w:r w:rsidR="0080115D">
        <w:rPr>
          <w:lang w:val="en-GB"/>
        </w:rPr>
        <w:t xml:space="preserve"> below</w:t>
      </w:r>
      <w:r w:rsidRPr="00731DDC">
        <w:rPr>
          <w:lang w:val="en-GB"/>
        </w:rPr>
        <w:t xml:space="preserve">. </w:t>
      </w:r>
    </w:p>
    <w:p w14:paraId="1D4FBFA5" w14:textId="2DAC50A7" w:rsidR="00C42A2A" w:rsidRPr="00731DDC" w:rsidRDefault="00C42A2A" w:rsidP="005F4075">
      <w:pPr>
        <w:rPr>
          <w:lang w:val="en-GB"/>
        </w:rPr>
      </w:pPr>
      <w:r w:rsidRPr="00731DDC">
        <w:rPr>
          <w:lang w:val="en-GB"/>
        </w:rPr>
        <w:t>Three of these areas relate to data as it is a key resource for facilitating digital trade. While data privacy is critical to protect cross border data flows in an increasing number of industries, we also consider data portability in the banking sector to be of mutual benefit to both countries.</w:t>
      </w:r>
    </w:p>
    <w:p w14:paraId="1777D6F0" w14:textId="400A64DD" w:rsidR="00C42A2A" w:rsidRPr="00731DDC" w:rsidRDefault="00C42A2A" w:rsidP="007C0781">
      <w:pPr>
        <w:pStyle w:val="Caption"/>
        <w:rPr>
          <w:lang w:val="en-GB"/>
        </w:rPr>
      </w:pPr>
      <w:bookmarkStart w:id="80" w:name="_Ref51075573"/>
      <w:bookmarkEnd w:id="79"/>
      <w:r w:rsidRPr="00731DDC">
        <w:rPr>
          <w:lang w:val="en-GB"/>
        </w:rPr>
        <w:lastRenderedPageBreak/>
        <w:t xml:space="preserve">Figure </w:t>
      </w:r>
      <w:r w:rsidRPr="00731DDC">
        <w:rPr>
          <w:lang w:val="en-GB"/>
        </w:rPr>
        <w:fldChar w:fldCharType="begin"/>
      </w:r>
      <w:r w:rsidRPr="00731DDC">
        <w:rPr>
          <w:lang w:val="en-GB"/>
        </w:rPr>
        <w:instrText xml:space="preserve"> SEQ Figure \* ARABIC </w:instrText>
      </w:r>
      <w:r w:rsidRPr="00731DDC">
        <w:rPr>
          <w:lang w:val="en-GB"/>
        </w:rPr>
        <w:fldChar w:fldCharType="separate"/>
      </w:r>
      <w:r w:rsidR="00C9081C">
        <w:rPr>
          <w:noProof/>
          <w:lang w:val="en-GB"/>
        </w:rPr>
        <w:t>8</w:t>
      </w:r>
      <w:r w:rsidRPr="00731DDC">
        <w:rPr>
          <w:lang w:val="en-GB"/>
        </w:rPr>
        <w:fldChar w:fldCharType="end"/>
      </w:r>
      <w:bookmarkEnd w:id="80"/>
      <w:r w:rsidRPr="00731DDC">
        <w:rPr>
          <w:lang w:val="en-GB"/>
        </w:rPr>
        <w:t xml:space="preserve">: </w:t>
      </w:r>
      <w:r w:rsidR="00AC3396">
        <w:rPr>
          <w:lang w:val="en-GB"/>
        </w:rPr>
        <w:t xml:space="preserve">Recommended Priorities for Cooperation </w:t>
      </w:r>
    </w:p>
    <w:p w14:paraId="6B7D7F4A" w14:textId="190F55F6" w:rsidR="00C42A2A" w:rsidRPr="00731DDC" w:rsidRDefault="00882E8A" w:rsidP="00882E8A">
      <w:pPr>
        <w:spacing w:line="276" w:lineRule="auto"/>
        <w:jc w:val="center"/>
        <w:rPr>
          <w:rFonts w:ascii="Calibri" w:eastAsia="Calibri" w:hAnsi="Calibri" w:cs="Arial"/>
          <w:lang w:val="en-GB"/>
        </w:rPr>
      </w:pPr>
      <w:r w:rsidRPr="00731DDC">
        <w:rPr>
          <w:noProof/>
          <w:lang w:val="en-AU" w:eastAsia="en-AU"/>
        </w:rPr>
        <w:drawing>
          <wp:inline distT="0" distB="0" distL="0" distR="0" wp14:anchorId="7C617489" wp14:editId="1F3B5AA4">
            <wp:extent cx="5731510" cy="2383155"/>
            <wp:effectExtent l="0" t="0" r="0" b="4445"/>
            <wp:docPr id="11" name="Picture 1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ocial media pos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2383155"/>
                    </a:xfrm>
                    <a:prstGeom prst="rect">
                      <a:avLst/>
                    </a:prstGeom>
                  </pic:spPr>
                </pic:pic>
              </a:graphicData>
            </a:graphic>
          </wp:inline>
        </w:drawing>
      </w:r>
    </w:p>
    <w:p w14:paraId="48892C5F" w14:textId="41AA89EB" w:rsidR="00C42A2A" w:rsidRPr="00731DDC" w:rsidRDefault="00C42A2A" w:rsidP="005F4075">
      <w:pPr>
        <w:rPr>
          <w:lang w:val="en-GB"/>
        </w:rPr>
      </w:pPr>
      <w:r w:rsidRPr="00731DDC">
        <w:rPr>
          <w:lang w:val="en-GB"/>
        </w:rPr>
        <w:t xml:space="preserve">In the first instance, in each of the above </w:t>
      </w:r>
      <w:r w:rsidR="00DA6BD6">
        <w:rPr>
          <w:lang w:val="en-GB"/>
        </w:rPr>
        <w:t>recommended priorities for cooperation,</w:t>
      </w:r>
      <w:r w:rsidR="00DA6BD6" w:rsidRPr="00731DDC">
        <w:rPr>
          <w:lang w:val="en-GB"/>
        </w:rPr>
        <w:t xml:space="preserve"> </w:t>
      </w:r>
      <w:r w:rsidRPr="00731DDC">
        <w:rPr>
          <w:lang w:val="en-GB"/>
        </w:rPr>
        <w:t>government agencies in each country ha</w:t>
      </w:r>
      <w:r w:rsidR="00AC3396">
        <w:rPr>
          <w:lang w:val="en-GB"/>
        </w:rPr>
        <w:t>ve</w:t>
      </w:r>
      <w:r w:rsidRPr="00731DDC">
        <w:rPr>
          <w:lang w:val="en-GB"/>
        </w:rPr>
        <w:t xml:space="preserve"> developed </w:t>
      </w:r>
      <w:r w:rsidR="00AC3396">
        <w:rPr>
          <w:lang w:val="en-GB"/>
        </w:rPr>
        <w:t xml:space="preserve">their </w:t>
      </w:r>
      <w:r w:rsidRPr="00731DDC">
        <w:rPr>
          <w:lang w:val="en-GB"/>
        </w:rPr>
        <w:t>own programmes</w:t>
      </w:r>
      <w:r w:rsidR="00DA6BD6">
        <w:rPr>
          <w:lang w:val="en-GB"/>
        </w:rPr>
        <w:t xml:space="preserve"> and </w:t>
      </w:r>
      <w:r w:rsidRPr="00731DDC">
        <w:rPr>
          <w:lang w:val="en-GB"/>
        </w:rPr>
        <w:t xml:space="preserve">initiatives to develop their </w:t>
      </w:r>
      <w:r w:rsidR="00DA6BD6">
        <w:rPr>
          <w:lang w:val="en-GB"/>
        </w:rPr>
        <w:t xml:space="preserve">respective </w:t>
      </w:r>
      <w:r w:rsidRPr="00731DDC">
        <w:rPr>
          <w:lang w:val="en-GB"/>
        </w:rPr>
        <w:t xml:space="preserve">digital economies. A detailed list of those programmes and initiatives </w:t>
      </w:r>
      <w:r w:rsidR="00DA6BD6">
        <w:rPr>
          <w:lang w:val="en-GB"/>
        </w:rPr>
        <w:t>is set out</w:t>
      </w:r>
      <w:r w:rsidRPr="00731DDC">
        <w:rPr>
          <w:lang w:val="en-GB"/>
        </w:rPr>
        <w:t xml:space="preserve"> in </w:t>
      </w:r>
      <w:r w:rsidR="00373B8F">
        <w:rPr>
          <w:lang w:val="en-GB"/>
        </w:rPr>
        <w:t>Appendix IV</w:t>
      </w:r>
      <w:r w:rsidR="00DA6BD6">
        <w:rPr>
          <w:lang w:val="en-GB"/>
        </w:rPr>
        <w:t xml:space="preserve">, demonstrating </w:t>
      </w:r>
      <w:r w:rsidRPr="00731DDC">
        <w:rPr>
          <w:lang w:val="en-GB"/>
        </w:rPr>
        <w:t xml:space="preserve">that there are several workplan activities where there is scope to cooperate, lead, implement standards and work with standard-setting bodies. For example, one of the initiatives includes Singapore’s Trade Trust initiatives which involves removing trade barriers created from manual submissions of trading documents (See </w:t>
      </w:r>
      <w:r w:rsidRPr="00731DDC">
        <w:rPr>
          <w:lang w:val="en-GB"/>
        </w:rPr>
        <w:fldChar w:fldCharType="begin"/>
      </w:r>
      <w:r w:rsidRPr="00731DDC">
        <w:rPr>
          <w:lang w:val="en-GB"/>
        </w:rPr>
        <w:instrText xml:space="preserve"> REF _Ref40901990 \h  \* MERGEFORMAT </w:instrText>
      </w:r>
      <w:r w:rsidRPr="00731DDC">
        <w:rPr>
          <w:lang w:val="en-GB"/>
        </w:rPr>
      </w:r>
      <w:r w:rsidRPr="00731DDC">
        <w:rPr>
          <w:lang w:val="en-GB"/>
        </w:rPr>
        <w:fldChar w:fldCharType="separate"/>
      </w:r>
      <w:r w:rsidR="00C9081C" w:rsidRPr="00731DDC">
        <w:rPr>
          <w:lang w:val="en-GB"/>
        </w:rPr>
        <w:t xml:space="preserve">Box </w:t>
      </w:r>
      <w:r w:rsidR="00C9081C">
        <w:rPr>
          <w:lang w:val="en-GB"/>
        </w:rPr>
        <w:t>3</w:t>
      </w:r>
      <w:r w:rsidRPr="00731DDC">
        <w:rPr>
          <w:lang w:val="en-GB"/>
        </w:rPr>
        <w:fldChar w:fldCharType="end"/>
      </w:r>
      <w:r w:rsidRPr="00731DDC">
        <w:rPr>
          <w:lang w:val="en-GB"/>
        </w:rPr>
        <w:t xml:space="preserve">). The other involves using standards to maximise the benefits of Australia’s Digital Identity programme (See </w:t>
      </w:r>
      <w:r w:rsidRPr="00731DDC">
        <w:rPr>
          <w:lang w:val="en-GB"/>
        </w:rPr>
        <w:fldChar w:fldCharType="begin"/>
      </w:r>
      <w:r w:rsidRPr="00731DDC">
        <w:rPr>
          <w:lang w:val="en-GB"/>
        </w:rPr>
        <w:instrText xml:space="preserve"> REF _Ref40902004 \h  \* MERGEFORMAT </w:instrText>
      </w:r>
      <w:r w:rsidRPr="00731DDC">
        <w:rPr>
          <w:lang w:val="en-GB"/>
        </w:rPr>
      </w:r>
      <w:r w:rsidRPr="00731DDC">
        <w:rPr>
          <w:lang w:val="en-GB"/>
        </w:rPr>
        <w:fldChar w:fldCharType="separate"/>
      </w:r>
      <w:r w:rsidR="00C9081C" w:rsidRPr="00731DDC">
        <w:rPr>
          <w:lang w:val="en-GB"/>
        </w:rPr>
        <w:t xml:space="preserve">Box </w:t>
      </w:r>
      <w:r w:rsidR="00C9081C">
        <w:rPr>
          <w:lang w:val="en-GB"/>
        </w:rPr>
        <w:t>4</w:t>
      </w:r>
      <w:r w:rsidRPr="00731DDC">
        <w:rPr>
          <w:lang w:val="en-GB"/>
        </w:rPr>
        <w:fldChar w:fldCharType="end"/>
      </w:r>
      <w:r w:rsidRPr="00731DDC">
        <w:rPr>
          <w:lang w:val="en-GB"/>
        </w:rPr>
        <w:t>).</w:t>
      </w:r>
    </w:p>
    <w:p w14:paraId="51782754" w14:textId="2374F0E8" w:rsidR="00C42A2A" w:rsidRPr="00731DDC" w:rsidRDefault="00C42A2A" w:rsidP="007C0781">
      <w:pPr>
        <w:pStyle w:val="Caption"/>
        <w:rPr>
          <w:lang w:val="en-GB"/>
        </w:rPr>
      </w:pPr>
      <w:bookmarkStart w:id="81" w:name="_Ref40901990"/>
      <w:r w:rsidRPr="00731DDC">
        <w:rPr>
          <w:lang w:val="en-GB"/>
        </w:rPr>
        <w:t xml:space="preserve">Box </w:t>
      </w:r>
      <w:r w:rsidRPr="00731DDC">
        <w:rPr>
          <w:lang w:val="en-GB"/>
        </w:rPr>
        <w:fldChar w:fldCharType="begin"/>
      </w:r>
      <w:r w:rsidRPr="00731DDC">
        <w:rPr>
          <w:lang w:val="en-GB"/>
        </w:rPr>
        <w:instrText xml:space="preserve"> SEQ Box \* ARABIC </w:instrText>
      </w:r>
      <w:r w:rsidRPr="00731DDC">
        <w:rPr>
          <w:lang w:val="en-GB"/>
        </w:rPr>
        <w:fldChar w:fldCharType="separate"/>
      </w:r>
      <w:r w:rsidR="00C9081C">
        <w:rPr>
          <w:noProof/>
          <w:lang w:val="en-GB"/>
        </w:rPr>
        <w:t>3</w:t>
      </w:r>
      <w:r w:rsidRPr="00731DDC">
        <w:rPr>
          <w:lang w:val="en-GB"/>
        </w:rPr>
        <w:fldChar w:fldCharType="end"/>
      </w:r>
      <w:bookmarkEnd w:id="81"/>
      <w:r w:rsidRPr="00731DDC">
        <w:rPr>
          <w:lang w:val="en-GB"/>
        </w:rPr>
        <w:t>: Reducing Trade Barriers with Standards</w:t>
      </w:r>
    </w:p>
    <w:tbl>
      <w:tblPr>
        <w:tblStyle w:val="TableGrid"/>
        <w:tblW w:w="0" w:type="auto"/>
        <w:jc w:val="center"/>
        <w:shd w:val="clear" w:color="auto" w:fill="D9E2F3" w:themeFill="accent1" w:themeFillTint="33"/>
        <w:tblLook w:val="04A0" w:firstRow="1" w:lastRow="0" w:firstColumn="1" w:lastColumn="0" w:noHBand="0" w:noVBand="1"/>
      </w:tblPr>
      <w:tblGrid>
        <w:gridCol w:w="9016"/>
      </w:tblGrid>
      <w:tr w:rsidR="00C42A2A" w:rsidRPr="00731DDC" w14:paraId="1AE90F80" w14:textId="77777777" w:rsidTr="005E530A">
        <w:trPr>
          <w:jc w:val="center"/>
        </w:trPr>
        <w:tc>
          <w:tcPr>
            <w:tcW w:w="9016"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0989B429" w14:textId="77777777" w:rsidR="00C42A2A" w:rsidRPr="00731DDC" w:rsidRDefault="00C42A2A" w:rsidP="00C42A2A">
            <w:pPr>
              <w:pStyle w:val="Tablelist"/>
              <w:spacing w:after="240"/>
              <w:ind w:left="316" w:hanging="316"/>
              <w:rPr>
                <w:lang w:val="en-GB"/>
              </w:rPr>
            </w:pPr>
            <w:bookmarkStart w:id="82" w:name="_Hlk38987195"/>
            <w:r w:rsidRPr="00731DDC">
              <w:rPr>
                <w:lang w:val="en-GB"/>
              </w:rPr>
              <w:t>Trade Trust comprises a set of legal frameworks, international standards and digital infrastructure, to connect governments and businesses to a public blockchain and enable interoperability of electronic trade documents across digital platforms. It addresses the inefficiencies of cross-border trade from paper-based documentation through distributed ledger technology (DLT), thereby providing proof of authenticity and source of origins for these documents.</w:t>
            </w:r>
            <w:r w:rsidRPr="00731DDC">
              <w:rPr>
                <w:rStyle w:val="FootnoteReference"/>
                <w:lang w:val="en-GB"/>
              </w:rPr>
              <w:footnoteReference w:id="94"/>
            </w:r>
          </w:p>
          <w:p w14:paraId="02D138ED" w14:textId="77777777" w:rsidR="00C42A2A" w:rsidRPr="00731DDC" w:rsidRDefault="00C42A2A" w:rsidP="00C42A2A">
            <w:pPr>
              <w:pStyle w:val="Tablelist"/>
              <w:spacing w:after="240"/>
              <w:ind w:left="316" w:hanging="316"/>
              <w:rPr>
                <w:lang w:val="en-GB"/>
              </w:rPr>
            </w:pPr>
            <w:r w:rsidRPr="00731DDC">
              <w:rPr>
                <w:szCs w:val="22"/>
                <w:lang w:val="en-GB"/>
              </w:rPr>
              <w:t>Singapore</w:t>
            </w:r>
            <w:r w:rsidRPr="00731DDC">
              <w:rPr>
                <w:lang w:val="en-GB"/>
              </w:rPr>
              <w:t xml:space="preserve"> has been active in efforts to drive and align TradeTrust with standards development such as inter-system interoperability (ISO TC/307) and process standards to exchange electronic trade documents at the United Nations Centre for Trade Facilitation and Electronic Business (UN/CEFACT). Another area that TradeTrust deals with is title transfer through digital means that are compliant with requirements laid out in the Model Law on Electronic Transferable Records (MLETR) published by the United Nations Commission on International Trade Law.</w:t>
            </w:r>
          </w:p>
          <w:p w14:paraId="2F81A022" w14:textId="77777777" w:rsidR="00C42A2A" w:rsidRPr="00731DDC" w:rsidRDefault="00C42A2A" w:rsidP="00C42A2A">
            <w:pPr>
              <w:pStyle w:val="Tablelist"/>
              <w:spacing w:after="240"/>
              <w:ind w:left="316" w:hanging="316"/>
              <w:rPr>
                <w:lang w:val="en-GB"/>
              </w:rPr>
            </w:pPr>
            <w:r w:rsidRPr="00731DDC">
              <w:rPr>
                <w:szCs w:val="22"/>
                <w:lang w:val="en-GB"/>
              </w:rPr>
              <w:t>This</w:t>
            </w:r>
            <w:r w:rsidRPr="00731DDC">
              <w:rPr>
                <w:lang w:val="en-GB"/>
              </w:rPr>
              <w:t xml:space="preserve"> presents opportunities for Australia and Singapore to explore the interoperability of Electronic Transferable Records (ETRs). At present, the World Economic Forum estimates that the costs of processing trade documents are as much as 20% of those of shifting goods. If both </w:t>
            </w:r>
            <w:r w:rsidRPr="00731DDC">
              <w:rPr>
                <w:lang w:val="en-GB"/>
              </w:rPr>
              <w:lastRenderedPageBreak/>
              <w:t xml:space="preserve">countries cooperate, it can bring numerous benefits to the shipping and logistics industry, including lowering cost of business, reducing risk of mis-deliveries, and enhancing security. </w:t>
            </w:r>
          </w:p>
        </w:tc>
      </w:tr>
      <w:bookmarkEnd w:id="82"/>
    </w:tbl>
    <w:p w14:paraId="7A044F21" w14:textId="77777777" w:rsidR="00C42A2A" w:rsidRPr="00731DDC" w:rsidRDefault="00C42A2A" w:rsidP="007C0781">
      <w:pPr>
        <w:pStyle w:val="Caption"/>
        <w:rPr>
          <w:lang w:val="en-GB"/>
        </w:rPr>
      </w:pPr>
    </w:p>
    <w:p w14:paraId="125C9695" w14:textId="0FA99A90" w:rsidR="00C42A2A" w:rsidRPr="00731DDC" w:rsidRDefault="00C42A2A" w:rsidP="007C0781">
      <w:pPr>
        <w:pStyle w:val="Caption"/>
        <w:rPr>
          <w:lang w:val="en-GB"/>
        </w:rPr>
      </w:pPr>
      <w:bookmarkStart w:id="83" w:name="_Ref40902004"/>
      <w:r w:rsidRPr="00731DDC">
        <w:rPr>
          <w:lang w:val="en-GB"/>
        </w:rPr>
        <w:t xml:space="preserve">Box </w:t>
      </w:r>
      <w:r w:rsidRPr="00731DDC">
        <w:rPr>
          <w:lang w:val="en-GB"/>
        </w:rPr>
        <w:fldChar w:fldCharType="begin"/>
      </w:r>
      <w:r w:rsidRPr="00731DDC">
        <w:rPr>
          <w:lang w:val="en-GB"/>
        </w:rPr>
        <w:instrText xml:space="preserve"> SEQ Box \* ARABIC </w:instrText>
      </w:r>
      <w:r w:rsidRPr="00731DDC">
        <w:rPr>
          <w:lang w:val="en-GB"/>
        </w:rPr>
        <w:fldChar w:fldCharType="separate"/>
      </w:r>
      <w:r w:rsidR="00C9081C">
        <w:rPr>
          <w:noProof/>
          <w:lang w:val="en-GB"/>
        </w:rPr>
        <w:t>4</w:t>
      </w:r>
      <w:r w:rsidRPr="00731DDC">
        <w:rPr>
          <w:lang w:val="en-GB"/>
        </w:rPr>
        <w:fldChar w:fldCharType="end"/>
      </w:r>
      <w:bookmarkEnd w:id="83"/>
      <w:r w:rsidRPr="00731DDC">
        <w:rPr>
          <w:lang w:val="en-GB"/>
        </w:rPr>
        <w:t>: Standards Can Enhance the Benefits of Digital Enablers</w:t>
      </w:r>
    </w:p>
    <w:tbl>
      <w:tblPr>
        <w:tblStyle w:val="TableGrid"/>
        <w:tblW w:w="0" w:type="auto"/>
        <w:jc w:val="center"/>
        <w:shd w:val="clear" w:color="auto" w:fill="D9E2F3" w:themeFill="accent1" w:themeFillTint="33"/>
        <w:tblLook w:val="04A0" w:firstRow="1" w:lastRow="0" w:firstColumn="1" w:lastColumn="0" w:noHBand="0" w:noVBand="1"/>
      </w:tblPr>
      <w:tblGrid>
        <w:gridCol w:w="9016"/>
      </w:tblGrid>
      <w:tr w:rsidR="00C42A2A" w:rsidRPr="00731DDC" w14:paraId="5ABDB2EA" w14:textId="77777777" w:rsidTr="005E530A">
        <w:trPr>
          <w:jc w:val="center"/>
        </w:trPr>
        <w:tc>
          <w:tcPr>
            <w:tcW w:w="9016"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050993B2" w14:textId="77777777" w:rsidR="00C42A2A" w:rsidRPr="00731DDC" w:rsidRDefault="00C42A2A" w:rsidP="00BA1194">
            <w:pPr>
              <w:rPr>
                <w:lang w:val="en-GB"/>
              </w:rPr>
            </w:pPr>
            <w:r w:rsidRPr="00731DDC">
              <w:rPr>
                <w:lang w:val="en-GB"/>
              </w:rPr>
              <w:t xml:space="preserve">Australia’s </w:t>
            </w:r>
            <w:r w:rsidRPr="00731DDC">
              <w:rPr>
                <w:b/>
                <w:bCs/>
                <w:lang w:val="en-GB"/>
              </w:rPr>
              <w:t>Digital Transformation Agency</w:t>
            </w:r>
            <w:r w:rsidRPr="00731DDC">
              <w:rPr>
                <w:lang w:val="en-GB"/>
              </w:rPr>
              <w:t xml:space="preserve"> has a Digital Identity program that will deliver benefits to:</w:t>
            </w:r>
          </w:p>
          <w:p w14:paraId="5B73C4AA" w14:textId="77777777" w:rsidR="00C42A2A" w:rsidRPr="00731DDC" w:rsidRDefault="00C42A2A" w:rsidP="00C42A2A">
            <w:pPr>
              <w:pStyle w:val="Tablelist"/>
              <w:spacing w:after="240"/>
              <w:ind w:left="360" w:hanging="360"/>
              <w:rPr>
                <w:lang w:val="en-GB"/>
              </w:rPr>
            </w:pPr>
            <w:r w:rsidRPr="00731DDC">
              <w:rPr>
                <w:b/>
                <w:bCs/>
                <w:lang w:val="en-GB"/>
              </w:rPr>
              <w:t>Individuals:</w:t>
            </w:r>
            <w:r w:rsidRPr="00731DDC">
              <w:rPr>
                <w:lang w:val="en-GB"/>
              </w:rPr>
              <w:t xml:space="preserve"> the ability to interact with government easily and safely will reduce citizens’ time spent establishing their identity with each government service they are seeking to access with cost benefits attributed to reducing red-tape.</w:t>
            </w:r>
          </w:p>
          <w:p w14:paraId="034CA606" w14:textId="77777777" w:rsidR="00C42A2A" w:rsidRPr="00731DDC" w:rsidRDefault="00C42A2A" w:rsidP="00C42A2A">
            <w:pPr>
              <w:pStyle w:val="Tablelist"/>
              <w:spacing w:after="240"/>
              <w:ind w:left="360" w:hanging="360"/>
              <w:rPr>
                <w:lang w:val="en-GB"/>
              </w:rPr>
            </w:pPr>
            <w:r w:rsidRPr="00731DDC">
              <w:rPr>
                <w:b/>
                <w:bCs/>
                <w:lang w:val="en-GB"/>
              </w:rPr>
              <w:t>Businesses:</w:t>
            </w:r>
            <w:r w:rsidRPr="00731DDC">
              <w:rPr>
                <w:lang w:val="en-GB"/>
              </w:rPr>
              <w:t xml:space="preserve"> will benefit from reduced operating costs. The need to maintain costly identity and access management systems and associated support systems such as help desks to support customers will be significantly reduced, enabling staff to be reallocated to focus on the delivery of services.</w:t>
            </w:r>
          </w:p>
          <w:p w14:paraId="2E89D5C0" w14:textId="77777777" w:rsidR="00C42A2A" w:rsidRPr="00731DDC" w:rsidRDefault="00C42A2A" w:rsidP="00C42A2A">
            <w:pPr>
              <w:pStyle w:val="Tablelist"/>
              <w:spacing w:after="240"/>
              <w:ind w:left="360" w:hanging="360"/>
              <w:rPr>
                <w:lang w:val="en-GB"/>
              </w:rPr>
            </w:pPr>
            <w:r w:rsidRPr="00731DDC">
              <w:rPr>
                <w:b/>
                <w:bCs/>
                <w:lang w:val="en-GB"/>
              </w:rPr>
              <w:t>Government</w:t>
            </w:r>
            <w:r w:rsidRPr="00731DDC">
              <w:rPr>
                <w:lang w:val="en-GB"/>
              </w:rPr>
              <w:t>: there are benefits at the whole of government level, gained through improved security and streamlining of processes across government agencies. Reduced need for multiple teams from different agencies to provide identity verification services across government agencies. Reduction in the cost of fraud and improving fraud prevention.</w:t>
            </w:r>
          </w:p>
          <w:p w14:paraId="78D9E89C" w14:textId="77777777" w:rsidR="00C42A2A" w:rsidRPr="00731DDC" w:rsidRDefault="00C42A2A" w:rsidP="00C42A2A">
            <w:pPr>
              <w:pStyle w:val="Tablelist"/>
              <w:spacing w:after="240"/>
              <w:ind w:left="360" w:hanging="360"/>
              <w:rPr>
                <w:lang w:val="en-GB"/>
              </w:rPr>
            </w:pPr>
            <w:r w:rsidRPr="00731DDC">
              <w:rPr>
                <w:lang w:val="en-GB"/>
              </w:rPr>
              <w:t>With alignment to international standards, these benefits could increase in magnitude, achieved at a faster rate and spread across orders facilitating trade in goods and services. Key areas for alignment could include Biometrics Standards including presentation attack detection and face matching algorithms.</w:t>
            </w:r>
          </w:p>
        </w:tc>
      </w:tr>
    </w:tbl>
    <w:p w14:paraId="3269D1F8" w14:textId="4679DD07" w:rsidR="00C42A2A" w:rsidRPr="00731DDC" w:rsidRDefault="00C42A2A" w:rsidP="005F4075">
      <w:pPr>
        <w:rPr>
          <w:lang w:val="en-GB"/>
        </w:rPr>
      </w:pPr>
      <w:r w:rsidRPr="00731DDC">
        <w:rPr>
          <w:lang w:val="en-GB"/>
        </w:rPr>
        <w:t>A key aspect of collaboration will be the provision of training and capacity building among businesses. To reap the benefits, harmonisation of standards is required not just at government level but also among businesses that are engaged in trade. Both Australia and Singapore already have programmes that provide training (</w:t>
      </w:r>
      <w:r w:rsidR="00DA6BD6">
        <w:rPr>
          <w:lang w:val="en-GB"/>
        </w:rPr>
        <w:t>s</w:t>
      </w:r>
      <w:r w:rsidRPr="00731DDC">
        <w:rPr>
          <w:lang w:val="en-GB"/>
        </w:rPr>
        <w:t xml:space="preserve">ee </w:t>
      </w:r>
      <w:r w:rsidR="00373B8F">
        <w:rPr>
          <w:lang w:val="en-GB"/>
        </w:rPr>
        <w:t>Appendix IV)</w:t>
      </w:r>
      <w:r w:rsidRPr="00731DDC">
        <w:rPr>
          <w:lang w:val="en-GB"/>
        </w:rPr>
        <w:t xml:space="preserve"> and so there is scope for these initiatives to be revised to incorporate standards of benefit to Singapore and Australia. For example, Standards Australia has developed the </w:t>
      </w:r>
      <w:r w:rsidRPr="00731DDC">
        <w:rPr>
          <w:b/>
          <w:bCs/>
          <w:lang w:val="en-GB"/>
        </w:rPr>
        <w:t>NEXTgen Program</w:t>
      </w:r>
      <w:r w:rsidRPr="00731DDC">
        <w:rPr>
          <w:lang w:val="en-GB"/>
        </w:rPr>
        <w:t xml:space="preserve"> that develops the next generation of standards leaders and experts, building a national network of stakeholders and peers across industry sectors. In Singapore, PDPC has developed an Implementation and Self-Assessment Guide for Organisations (ISAGO) for businesses adopting AI technology, together with a Compendium of Use Cases.</w:t>
      </w:r>
    </w:p>
    <w:p w14:paraId="20A8ED0A" w14:textId="1752910D" w:rsidR="00C42A2A" w:rsidRPr="00731DDC" w:rsidRDefault="00C42A2A" w:rsidP="00C42A2A">
      <w:pPr>
        <w:pStyle w:val="Heading3"/>
        <w:rPr>
          <w:lang w:val="en-GB"/>
        </w:rPr>
      </w:pPr>
      <w:r w:rsidRPr="00731DDC">
        <w:rPr>
          <w:lang w:val="en-GB"/>
        </w:rPr>
        <w:t>Government Projects and Programmes</w:t>
      </w:r>
    </w:p>
    <w:p w14:paraId="0B9A5939" w14:textId="288B1D1C" w:rsidR="00C42A2A" w:rsidRPr="00731DDC" w:rsidRDefault="00DA6BD6" w:rsidP="005F4075">
      <w:pPr>
        <w:rPr>
          <w:lang w:val="en-GB"/>
        </w:rPr>
      </w:pPr>
      <w:r>
        <w:rPr>
          <w:lang w:val="en-GB"/>
        </w:rPr>
        <w:fldChar w:fldCharType="begin"/>
      </w:r>
      <w:r>
        <w:rPr>
          <w:lang w:val="en-GB"/>
        </w:rPr>
        <w:instrText xml:space="preserve"> REF _Ref51076091 \h </w:instrText>
      </w:r>
      <w:r>
        <w:rPr>
          <w:lang w:val="en-GB"/>
        </w:rPr>
      </w:r>
      <w:r>
        <w:rPr>
          <w:lang w:val="en-GB"/>
        </w:rPr>
        <w:fldChar w:fldCharType="separate"/>
      </w:r>
      <w:r w:rsidRPr="00731DDC">
        <w:rPr>
          <w:lang w:val="en-GB"/>
        </w:rPr>
        <w:t xml:space="preserve">Table </w:t>
      </w:r>
      <w:r>
        <w:rPr>
          <w:noProof/>
          <w:lang w:val="en-GB"/>
        </w:rPr>
        <w:t>10</w:t>
      </w:r>
      <w:r>
        <w:rPr>
          <w:lang w:val="en-GB"/>
        </w:rPr>
        <w:fldChar w:fldCharType="end"/>
      </w:r>
      <w:r>
        <w:rPr>
          <w:lang w:val="en-GB"/>
        </w:rPr>
        <w:t xml:space="preserve"> </w:t>
      </w:r>
      <w:r w:rsidR="00C42A2A" w:rsidRPr="00731DDC">
        <w:rPr>
          <w:lang w:val="en-GB"/>
        </w:rPr>
        <w:t>below provides specific examples of projects</w:t>
      </w:r>
      <w:r>
        <w:rPr>
          <w:lang w:val="en-GB"/>
        </w:rPr>
        <w:t xml:space="preserve"> and </w:t>
      </w:r>
      <w:r w:rsidR="00C42A2A" w:rsidRPr="00731DDC">
        <w:rPr>
          <w:lang w:val="en-GB"/>
        </w:rPr>
        <w:t xml:space="preserve">programmes where government agencies can cooperate. In some cases, there is already a commitment from government agencies to cooperate through the Australia-Singapore </w:t>
      </w:r>
      <w:r w:rsidR="004042BC">
        <w:rPr>
          <w:lang w:val="en-GB"/>
        </w:rPr>
        <w:t>DEA</w:t>
      </w:r>
      <w:r w:rsidR="00C42A2A" w:rsidRPr="00731DDC">
        <w:rPr>
          <w:lang w:val="en-GB"/>
        </w:rPr>
        <w:t>.</w:t>
      </w:r>
      <w:r w:rsidR="00C42A2A" w:rsidRPr="00731DDC">
        <w:rPr>
          <w:b/>
          <w:bCs/>
          <w:lang w:val="en-GB"/>
        </w:rPr>
        <w:t xml:space="preserve"> </w:t>
      </w:r>
    </w:p>
    <w:p w14:paraId="3B5DA936" w14:textId="7BE8795C" w:rsidR="00C42A2A" w:rsidRPr="00731DDC" w:rsidRDefault="00C42A2A" w:rsidP="007C0781">
      <w:pPr>
        <w:pStyle w:val="Caption"/>
        <w:rPr>
          <w:lang w:val="en-GB"/>
        </w:rPr>
      </w:pPr>
      <w:bookmarkStart w:id="84" w:name="_Ref51076091"/>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10</w:t>
      </w:r>
      <w:r w:rsidRPr="00731DDC">
        <w:rPr>
          <w:lang w:val="en-GB"/>
        </w:rPr>
        <w:fldChar w:fldCharType="end"/>
      </w:r>
      <w:bookmarkEnd w:id="84"/>
      <w:r w:rsidRPr="00731DDC">
        <w:rPr>
          <w:lang w:val="en-GB"/>
        </w:rPr>
        <w:t xml:space="preserve">: </w:t>
      </w:r>
      <w:r w:rsidR="00AC3396">
        <w:rPr>
          <w:lang w:val="en-GB"/>
        </w:rPr>
        <w:t xml:space="preserve">Recommended Priorities for </w:t>
      </w:r>
      <w:r w:rsidRPr="00731DDC">
        <w:rPr>
          <w:lang w:val="en-GB"/>
        </w:rPr>
        <w:t>Cooperation</w:t>
      </w:r>
    </w:p>
    <w:tbl>
      <w:tblPr>
        <w:tblStyle w:val="GridTable4-Accent110"/>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69"/>
        <w:gridCol w:w="1523"/>
        <w:gridCol w:w="1772"/>
        <w:gridCol w:w="4671"/>
      </w:tblGrid>
      <w:tr w:rsidR="00C42A2A" w:rsidRPr="005E530A" w14:paraId="29769203" w14:textId="77777777" w:rsidTr="005E530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08" w:type="pct"/>
            <w:tcBorders>
              <w:top w:val="none" w:sz="0" w:space="0" w:color="auto"/>
              <w:left w:val="none" w:sz="0" w:space="0" w:color="auto"/>
              <w:bottom w:val="none" w:sz="0" w:space="0" w:color="auto"/>
              <w:right w:val="none" w:sz="0" w:space="0" w:color="auto"/>
            </w:tcBorders>
            <w:vAlign w:val="center"/>
          </w:tcPr>
          <w:p w14:paraId="13315DBA" w14:textId="77777777" w:rsidR="00C42A2A" w:rsidRPr="005E530A" w:rsidRDefault="00C42A2A" w:rsidP="00C9081C">
            <w:pPr>
              <w:spacing w:beforeLines="40" w:before="96" w:afterLines="40" w:after="96"/>
              <w:jc w:val="center"/>
              <w:rPr>
                <w:rFonts w:eastAsia="Calibri" w:cstheme="minorHAnsi"/>
                <w:sz w:val="20"/>
                <w:szCs w:val="20"/>
                <w:lang w:val="en-GB"/>
              </w:rPr>
            </w:pPr>
            <w:r w:rsidRPr="005E530A">
              <w:rPr>
                <w:rFonts w:eastAsia="Calibri" w:cstheme="minorHAnsi"/>
                <w:sz w:val="20"/>
                <w:szCs w:val="20"/>
                <w:lang w:val="en-GB"/>
              </w:rPr>
              <w:t>Digital Standards</w:t>
            </w:r>
          </w:p>
        </w:tc>
        <w:tc>
          <w:tcPr>
            <w:tcW w:w="782" w:type="pct"/>
            <w:tcBorders>
              <w:top w:val="none" w:sz="0" w:space="0" w:color="auto"/>
              <w:left w:val="none" w:sz="0" w:space="0" w:color="auto"/>
              <w:bottom w:val="none" w:sz="0" w:space="0" w:color="auto"/>
              <w:right w:val="none" w:sz="0" w:space="0" w:color="auto"/>
            </w:tcBorders>
            <w:vAlign w:val="center"/>
          </w:tcPr>
          <w:p w14:paraId="67E56BA1" w14:textId="77777777" w:rsidR="00C42A2A" w:rsidRPr="005E530A" w:rsidRDefault="00C42A2A" w:rsidP="00C9081C">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Rationale for prioritisation</w:t>
            </w:r>
          </w:p>
        </w:tc>
        <w:tc>
          <w:tcPr>
            <w:tcW w:w="910" w:type="pct"/>
            <w:tcBorders>
              <w:top w:val="none" w:sz="0" w:space="0" w:color="auto"/>
              <w:left w:val="none" w:sz="0" w:space="0" w:color="auto"/>
              <w:bottom w:val="none" w:sz="0" w:space="0" w:color="auto"/>
              <w:right w:val="none" w:sz="0" w:space="0" w:color="auto"/>
            </w:tcBorders>
            <w:vAlign w:val="center"/>
          </w:tcPr>
          <w:p w14:paraId="675EEF21" w14:textId="77777777" w:rsidR="00C42A2A" w:rsidRPr="005E530A" w:rsidRDefault="00C42A2A" w:rsidP="00C9081C">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Estimated Economic Benefit</w:t>
            </w:r>
          </w:p>
        </w:tc>
        <w:tc>
          <w:tcPr>
            <w:tcW w:w="2399" w:type="pct"/>
            <w:tcBorders>
              <w:top w:val="none" w:sz="0" w:space="0" w:color="auto"/>
              <w:left w:val="none" w:sz="0" w:space="0" w:color="auto"/>
              <w:bottom w:val="none" w:sz="0" w:space="0" w:color="auto"/>
              <w:right w:val="none" w:sz="0" w:space="0" w:color="auto"/>
            </w:tcBorders>
            <w:vAlign w:val="center"/>
          </w:tcPr>
          <w:p w14:paraId="4008B78E" w14:textId="2084B57C" w:rsidR="00C42A2A" w:rsidRPr="005E530A" w:rsidRDefault="00C42A2A" w:rsidP="00C9081C">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Australia and Singapore adoption of standards and </w:t>
            </w:r>
            <w:r w:rsidR="006F24F7">
              <w:rPr>
                <w:rFonts w:eastAsia="Calibri" w:cstheme="minorHAnsi"/>
                <w:sz w:val="20"/>
                <w:szCs w:val="20"/>
                <w:lang w:val="en-GB"/>
              </w:rPr>
              <w:t>recommended a</w:t>
            </w:r>
            <w:r w:rsidRPr="005E530A">
              <w:rPr>
                <w:rFonts w:eastAsia="Calibri" w:cstheme="minorHAnsi"/>
                <w:sz w:val="20"/>
                <w:szCs w:val="20"/>
                <w:lang w:val="en-GB"/>
              </w:rPr>
              <w:t>rea of co-operation</w:t>
            </w:r>
          </w:p>
        </w:tc>
      </w:tr>
      <w:tr w:rsidR="00C42A2A" w:rsidRPr="005E530A" w14:paraId="25015855"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vAlign w:val="center"/>
          </w:tcPr>
          <w:p w14:paraId="44CC453F"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t>AI</w:t>
            </w:r>
          </w:p>
        </w:tc>
        <w:tc>
          <w:tcPr>
            <w:tcW w:w="782" w:type="pct"/>
            <w:shd w:val="clear" w:color="auto" w:fill="FFFFFF" w:themeFill="background1"/>
            <w:vAlign w:val="center"/>
          </w:tcPr>
          <w:p w14:paraId="15E4EE79" w14:textId="3DA09ED9"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all sectors related to</w:t>
            </w:r>
            <w:r w:rsidR="00313740" w:rsidRPr="005E530A">
              <w:rPr>
                <w:rFonts w:eastAsia="Calibri" w:cstheme="minorHAnsi"/>
                <w:i/>
                <w:iCs/>
                <w:color w:val="4472C4" w:themeColor="accent1"/>
                <w:sz w:val="20"/>
                <w:szCs w:val="20"/>
                <w:lang w:val="en-GB"/>
              </w:rPr>
              <w:t xml:space="preserve"> </w:t>
            </w:r>
            <w:r w:rsidRPr="005E530A">
              <w:rPr>
                <w:rFonts w:eastAsia="Calibri" w:cstheme="minorHAnsi"/>
                <w:i/>
                <w:iCs/>
                <w:color w:val="4472C4" w:themeColor="accent1"/>
                <w:sz w:val="20"/>
                <w:szCs w:val="20"/>
                <w:lang w:val="en-GB"/>
              </w:rPr>
              <w:t xml:space="preserve">current and </w:t>
            </w:r>
            <w:r w:rsidRPr="005E530A">
              <w:rPr>
                <w:rFonts w:eastAsia="Calibri" w:cstheme="minorHAnsi"/>
                <w:i/>
                <w:iCs/>
                <w:color w:val="4472C4" w:themeColor="accent1"/>
                <w:sz w:val="20"/>
                <w:szCs w:val="20"/>
                <w:lang w:val="en-GB"/>
              </w:rPr>
              <w:lastRenderedPageBreak/>
              <w:t>future digital trade</w:t>
            </w:r>
          </w:p>
        </w:tc>
        <w:tc>
          <w:tcPr>
            <w:tcW w:w="910" w:type="pct"/>
            <w:shd w:val="clear" w:color="auto" w:fill="FFFFFF" w:themeFill="background1"/>
            <w:vAlign w:val="center"/>
          </w:tcPr>
          <w:p w14:paraId="5223F34F" w14:textId="55FABD8D"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 xml:space="preserve">In Australia, AI is valued at AUD1.98bn (2025), growing at an </w:t>
            </w:r>
            <w:r w:rsidRPr="005E530A">
              <w:rPr>
                <w:rFonts w:eastAsia="Calibri" w:cstheme="minorHAnsi"/>
                <w:sz w:val="20"/>
                <w:szCs w:val="20"/>
                <w:lang w:val="en-GB"/>
              </w:rPr>
              <w:lastRenderedPageBreak/>
              <w:t>estimated 22% a year.</w:t>
            </w:r>
            <w:r w:rsidRPr="005E530A">
              <w:rPr>
                <w:rFonts w:eastAsia="Calibri" w:cstheme="minorHAnsi"/>
                <w:sz w:val="20"/>
                <w:szCs w:val="20"/>
                <w:vertAlign w:val="superscript"/>
                <w:lang w:val="en-GB"/>
              </w:rPr>
              <w:footnoteReference w:id="95"/>
            </w:r>
          </w:p>
          <w:p w14:paraId="483A113D"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cstheme="minorHAnsi"/>
                <w:sz w:val="20"/>
                <w:szCs w:val="20"/>
                <w:lang w:val="en-GB"/>
              </w:rPr>
              <w:t>AI in Singapore is estimated to grow at a CAGR of 25.3%, and to reach an estimated AUD11.89bn by 2024.</w:t>
            </w:r>
          </w:p>
          <w:p w14:paraId="76B42E71"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p>
          <w:p w14:paraId="7966AAB8"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p>
        </w:tc>
        <w:tc>
          <w:tcPr>
            <w:tcW w:w="2399" w:type="pct"/>
            <w:shd w:val="clear" w:color="auto" w:fill="FFFFFF" w:themeFill="background1"/>
            <w:vAlign w:val="center"/>
          </w:tcPr>
          <w:p w14:paraId="72B056D7"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5E530A">
              <w:rPr>
                <w:rFonts w:cstheme="minorHAnsi"/>
                <w:sz w:val="20"/>
                <w:szCs w:val="20"/>
                <w:lang w:val="en-GB"/>
              </w:rPr>
              <w:lastRenderedPageBreak/>
              <w:t xml:space="preserve">Singapore has issued the Model AI Governance Framework. </w:t>
            </w:r>
          </w:p>
          <w:p w14:paraId="72007C0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5E530A">
              <w:rPr>
                <w:rFonts w:cstheme="minorHAnsi"/>
                <w:sz w:val="20"/>
                <w:szCs w:val="20"/>
                <w:lang w:val="en-GB"/>
              </w:rPr>
              <w:lastRenderedPageBreak/>
              <w:t xml:space="preserve">Australia is developing an AI Ethics Framework for businesses and governments. </w:t>
            </w:r>
          </w:p>
          <w:p w14:paraId="17A1FC9F"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5E530A">
              <w:rPr>
                <w:rFonts w:cstheme="minorHAnsi"/>
                <w:sz w:val="20"/>
                <w:szCs w:val="20"/>
                <w:lang w:val="en-GB"/>
              </w:rPr>
              <w:t>While both Singapore and Australia are participating in the international AI standard ISO/IEC JTC 1/SC 42 there is scope for knowledge sharing.</w:t>
            </w:r>
          </w:p>
          <w:p w14:paraId="3C65138A"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5E530A">
              <w:rPr>
                <w:rFonts w:cstheme="minorHAnsi"/>
                <w:sz w:val="20"/>
                <w:szCs w:val="20"/>
                <w:lang w:val="en-GB"/>
              </w:rPr>
              <w:t>Singapore’s Infocomm Media Development Authority (IMDA), Smart Nation and Digital Government Office (SNDGO) and Australia’s Department of Industry, Science, Energy and Resources (DISER) will work together on governance and ethics of AI.</w:t>
            </w:r>
            <w:r w:rsidRPr="005E530A">
              <w:rPr>
                <w:rStyle w:val="FootnoteReference"/>
                <w:rFonts w:eastAsia="Calibri" w:cstheme="minorHAnsi"/>
                <w:sz w:val="20"/>
                <w:szCs w:val="20"/>
                <w:lang w:val="en-GB"/>
              </w:rPr>
              <w:footnoteReference w:id="96"/>
            </w:r>
          </w:p>
          <w:p w14:paraId="0CAB5C51"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5E530A">
              <w:rPr>
                <w:rFonts w:cstheme="minorHAnsi"/>
                <w:sz w:val="20"/>
                <w:szCs w:val="20"/>
                <w:lang w:val="en-GB"/>
              </w:rPr>
              <w:t>In Singapore, the Monetary Authority of Singapore has introduced a set of principles on the use of AI and data analytics in Singapore’s financial sector.</w:t>
            </w:r>
            <w:r w:rsidRPr="005E530A">
              <w:rPr>
                <w:rStyle w:val="FootnoteReference"/>
                <w:rFonts w:eastAsia="Calibri" w:cstheme="minorHAnsi"/>
                <w:sz w:val="20"/>
                <w:szCs w:val="20"/>
                <w:lang w:val="en-GB"/>
              </w:rPr>
              <w:footnoteReference w:id="97"/>
            </w:r>
            <w:r w:rsidRPr="005E530A">
              <w:rPr>
                <w:rFonts w:cstheme="minorHAnsi"/>
                <w:sz w:val="20"/>
                <w:szCs w:val="20"/>
                <w:lang w:val="en-GB"/>
              </w:rPr>
              <w:t xml:space="preserve"> MAS could collaborate with the Reserve Bank of Australia to promote responsible use of AI in financial sector.</w:t>
            </w:r>
          </w:p>
        </w:tc>
      </w:tr>
      <w:tr w:rsidR="00C42A2A" w:rsidRPr="005E530A" w14:paraId="5BCA68F2" w14:textId="77777777" w:rsidTr="005E530A">
        <w:trPr>
          <w:trHeight w:val="1223"/>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3FA6849A"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Distributed Ledger Technology</w:t>
            </w:r>
          </w:p>
        </w:tc>
        <w:tc>
          <w:tcPr>
            <w:tcW w:w="782" w:type="pct"/>
            <w:shd w:val="clear" w:color="auto" w:fill="FFFFFF" w:themeFill="background1"/>
            <w:vAlign w:val="center"/>
          </w:tcPr>
          <w:p w14:paraId="7239EBF9"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all aspects of trade</w:t>
            </w:r>
          </w:p>
        </w:tc>
        <w:tc>
          <w:tcPr>
            <w:tcW w:w="910" w:type="pct"/>
            <w:shd w:val="clear" w:color="auto" w:fill="FFFFFF" w:themeFill="background1"/>
            <w:vAlign w:val="center"/>
          </w:tcPr>
          <w:p w14:paraId="331E9C1B"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Singapore blockchain technology has the potential to achieve market spending of AUD3.85bn by 2024, with a CAGR of 15%.</w:t>
            </w:r>
          </w:p>
          <w:p w14:paraId="385779F9"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There is also scope to reduce the cost of processing trade documents by as much as 20% </w:t>
            </w:r>
            <w:r w:rsidRPr="005E530A">
              <w:rPr>
                <w:rFonts w:eastAsia="Calibri" w:cstheme="minorHAnsi"/>
                <w:sz w:val="20"/>
                <w:szCs w:val="20"/>
                <w:lang w:val="en-GB"/>
              </w:rPr>
              <w:lastRenderedPageBreak/>
              <w:t>of the cost of shifting goods.</w:t>
            </w:r>
            <w:r w:rsidRPr="005E530A">
              <w:rPr>
                <w:rStyle w:val="FootnoteReference"/>
                <w:rFonts w:eastAsia="Calibri" w:cstheme="minorHAnsi"/>
                <w:sz w:val="20"/>
                <w:szCs w:val="20"/>
                <w:lang w:val="en-GB"/>
              </w:rPr>
              <w:footnoteReference w:id="98"/>
            </w:r>
          </w:p>
          <w:p w14:paraId="0EEF07D9"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p>
        </w:tc>
        <w:tc>
          <w:tcPr>
            <w:tcW w:w="2399" w:type="pct"/>
            <w:shd w:val="clear" w:color="auto" w:fill="FFFFFF" w:themeFill="background1"/>
            <w:vAlign w:val="center"/>
          </w:tcPr>
          <w:p w14:paraId="030CC0C4"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Australia is leading the ISO technical committee on international development of blockchain standards ISO TC 307. The Committee has 11 standards currently at various stages of development.</w:t>
            </w:r>
          </w:p>
          <w:p w14:paraId="1B4BC3C5"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 participates ISO TC307. It is also looking to align towards the Model Law on Electronic Transferable Records (MLETR) standards published by the United Nations Commission on International Trade Law in Sept 2017. Singapore is leading the Project working on MLETR-compliant Title Transfer standards at UN/CEFACT.</w:t>
            </w:r>
          </w:p>
          <w:p w14:paraId="44A2289F"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Singapore’s IMDA is actively working on developing and promoting an open framework called TradeTrust to promote digitalisation in cross-border trade by </w:t>
            </w:r>
            <w:r w:rsidRPr="005E530A">
              <w:rPr>
                <w:rFonts w:eastAsia="Calibri" w:cstheme="minorHAnsi"/>
                <w:sz w:val="20"/>
                <w:szCs w:val="20"/>
                <w:lang w:val="en-GB"/>
              </w:rPr>
              <w:lastRenderedPageBreak/>
              <w:t>utilising public blockchain technology (Ethereum as a start) to grant trust in trade documents.</w:t>
            </w:r>
            <w:r w:rsidRPr="005E530A">
              <w:rPr>
                <w:rFonts w:cstheme="minorHAnsi"/>
                <w:sz w:val="20"/>
                <w:szCs w:val="20"/>
                <w:lang w:val="en-GB"/>
              </w:rPr>
              <w:t xml:space="preserve"> </w:t>
            </w:r>
          </w:p>
          <w:p w14:paraId="1BFD3441"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 Customs, IMDA and the Australian Border Force will cooperate on the use of distributed ledger technology in the sharing and verification of trade administration documents such as Certificates of Origin, Certificates of Non-Manipulation and E-bills of Lading.</w:t>
            </w:r>
            <w:r w:rsidRPr="005E530A">
              <w:rPr>
                <w:rStyle w:val="FootnoteReference"/>
                <w:rFonts w:eastAsia="Calibri" w:cstheme="minorHAnsi"/>
                <w:sz w:val="20"/>
                <w:szCs w:val="20"/>
                <w:lang w:val="en-GB"/>
              </w:rPr>
              <w:footnoteReference w:id="99"/>
            </w:r>
          </w:p>
        </w:tc>
      </w:tr>
      <w:tr w:rsidR="00C42A2A" w:rsidRPr="005E530A" w14:paraId="070B1635" w14:textId="77777777" w:rsidTr="005E530A">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908" w:type="pct"/>
            <w:vAlign w:val="center"/>
          </w:tcPr>
          <w:p w14:paraId="7F28E2C1"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Smart Cities</w:t>
            </w:r>
          </w:p>
        </w:tc>
        <w:tc>
          <w:tcPr>
            <w:tcW w:w="782" w:type="pct"/>
            <w:shd w:val="clear" w:color="auto" w:fill="auto"/>
            <w:vAlign w:val="center"/>
          </w:tcPr>
          <w:p w14:paraId="5E8FF3F5"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all aspects of trade</w:t>
            </w:r>
          </w:p>
        </w:tc>
        <w:tc>
          <w:tcPr>
            <w:tcW w:w="910" w:type="pct"/>
            <w:shd w:val="clear" w:color="auto" w:fill="auto"/>
            <w:vAlign w:val="center"/>
          </w:tcPr>
          <w:p w14:paraId="538EE2EE"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Australia, total benefits due to improved travel times could be almost AUD10bn.</w:t>
            </w:r>
            <w:r w:rsidRPr="005E530A">
              <w:rPr>
                <w:rFonts w:eastAsia="Calibri" w:cstheme="minorHAnsi"/>
                <w:sz w:val="20"/>
                <w:szCs w:val="20"/>
                <w:vertAlign w:val="superscript"/>
                <w:lang w:val="en-GB"/>
              </w:rPr>
              <w:footnoteReference w:id="100"/>
            </w:r>
          </w:p>
          <w:p w14:paraId="2BA4B80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Singapore, public data and analytics for urban transportation resulted in 92% reduction in buses with crowding issues, and shortened average waiting times by 3-7 minutes.</w:t>
            </w:r>
            <w:r w:rsidRPr="005E530A">
              <w:rPr>
                <w:rStyle w:val="FootnoteReference"/>
                <w:rFonts w:eastAsia="Calibri" w:cstheme="minorHAnsi"/>
                <w:sz w:val="20"/>
                <w:szCs w:val="20"/>
                <w:lang w:val="en-GB"/>
              </w:rPr>
              <w:footnoteReference w:id="101"/>
            </w:r>
            <w:r w:rsidRPr="005E530A">
              <w:rPr>
                <w:rFonts w:eastAsia="Calibri" w:cstheme="minorHAnsi"/>
                <w:sz w:val="20"/>
                <w:szCs w:val="20"/>
                <w:lang w:val="en-GB"/>
              </w:rPr>
              <w:t xml:space="preserve"> </w:t>
            </w:r>
          </w:p>
        </w:tc>
        <w:tc>
          <w:tcPr>
            <w:tcW w:w="2399" w:type="pct"/>
            <w:shd w:val="clear" w:color="auto" w:fill="auto"/>
            <w:vAlign w:val="center"/>
          </w:tcPr>
          <w:p w14:paraId="6933B549" w14:textId="277A25E1"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Australia is looking to develop smart city solutions to </w:t>
            </w:r>
            <w:r w:rsidR="007044C9">
              <w:rPr>
                <w:rFonts w:eastAsia="Calibri" w:cstheme="minorHAnsi"/>
                <w:sz w:val="20"/>
                <w:szCs w:val="20"/>
                <w:lang w:val="en-GB"/>
              </w:rPr>
              <w:t xml:space="preserve">ensure </w:t>
            </w:r>
            <w:r w:rsidRPr="005E530A">
              <w:rPr>
                <w:rFonts w:eastAsia="Calibri" w:cstheme="minorHAnsi"/>
                <w:sz w:val="20"/>
                <w:szCs w:val="20"/>
                <w:lang w:val="en-GB"/>
              </w:rPr>
              <w:t>low-congestion cit</w:t>
            </w:r>
            <w:r w:rsidR="007044C9">
              <w:rPr>
                <w:rFonts w:eastAsia="Calibri" w:cstheme="minorHAnsi"/>
                <w:sz w:val="20"/>
                <w:szCs w:val="20"/>
                <w:lang w:val="en-GB"/>
              </w:rPr>
              <w:t>ies</w:t>
            </w:r>
            <w:r w:rsidRPr="005E530A">
              <w:rPr>
                <w:rFonts w:eastAsia="Calibri" w:cstheme="minorHAnsi"/>
                <w:sz w:val="20"/>
                <w:szCs w:val="20"/>
                <w:lang w:val="en-GB"/>
              </w:rPr>
              <w:t xml:space="preserve">. </w:t>
            </w:r>
          </w:p>
          <w:p w14:paraId="7FBE90D3"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Singapore’s ‘Smart Nation’ programme focuses on innovation and commercialisation of technologies.</w:t>
            </w:r>
          </w:p>
          <w:p w14:paraId="4CC6F0A7" w14:textId="2AE2E3EA"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Australia is currently participating in ISO/TC 268 for smart cities, while Singapore is observing. There are 10 published standards and 15 developing standards which suggests th</w:t>
            </w:r>
            <w:r w:rsidR="007044C9">
              <w:rPr>
                <w:rFonts w:eastAsia="Calibri" w:cstheme="minorHAnsi"/>
                <w:sz w:val="20"/>
                <w:szCs w:val="20"/>
                <w:lang w:val="en-GB"/>
              </w:rPr>
              <w:t>ere</w:t>
            </w:r>
            <w:r w:rsidRPr="005E530A">
              <w:rPr>
                <w:rFonts w:eastAsia="Calibri" w:cstheme="minorHAnsi"/>
                <w:sz w:val="20"/>
                <w:szCs w:val="20"/>
                <w:lang w:val="en-GB"/>
              </w:rPr>
              <w:t xml:space="preserve"> is scope for both Singapore to become involved and gain from Australia’s current knowledge.</w:t>
            </w:r>
          </w:p>
        </w:tc>
      </w:tr>
      <w:tr w:rsidR="00C42A2A" w:rsidRPr="005E530A" w14:paraId="3397FC3A" w14:textId="77777777" w:rsidTr="005E530A">
        <w:trPr>
          <w:cantSplit/>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4F5F9312"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Digital Identity</w:t>
            </w:r>
          </w:p>
        </w:tc>
        <w:tc>
          <w:tcPr>
            <w:tcW w:w="782" w:type="pct"/>
            <w:shd w:val="clear" w:color="auto" w:fill="auto"/>
            <w:vAlign w:val="center"/>
          </w:tcPr>
          <w:p w14:paraId="2099ECA3"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digital trade</w:t>
            </w:r>
          </w:p>
        </w:tc>
        <w:tc>
          <w:tcPr>
            <w:tcW w:w="910" w:type="pct"/>
            <w:shd w:val="clear" w:color="auto" w:fill="auto"/>
            <w:vAlign w:val="center"/>
          </w:tcPr>
          <w:p w14:paraId="4C17ED8D"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r w:rsidRPr="005E530A">
              <w:rPr>
                <w:rFonts w:eastAsia="Calibri" w:cstheme="minorHAnsi"/>
                <w:color w:val="000000"/>
                <w:sz w:val="20"/>
                <w:szCs w:val="20"/>
                <w:lang w:val="en-GB"/>
              </w:rPr>
              <w:t>In Australia economic value estimated to be AUD75.8bn (2030).</w:t>
            </w:r>
            <w:r w:rsidRPr="005E530A">
              <w:rPr>
                <w:rFonts w:eastAsia="Calibri" w:cstheme="minorHAnsi"/>
                <w:color w:val="000000"/>
                <w:sz w:val="20"/>
                <w:szCs w:val="20"/>
                <w:vertAlign w:val="superscript"/>
                <w:lang w:val="en-GB"/>
              </w:rPr>
              <w:footnoteReference w:id="102"/>
            </w:r>
          </w:p>
          <w:p w14:paraId="4D0106E0"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r w:rsidRPr="005E530A">
              <w:rPr>
                <w:rFonts w:eastAsia="Calibri" w:cstheme="minorHAnsi"/>
                <w:color w:val="000000"/>
                <w:sz w:val="20"/>
                <w:szCs w:val="20"/>
                <w:lang w:val="en-GB"/>
              </w:rPr>
              <w:t>In Singapore, the economic value estimated to be AUD</w:t>
            </w:r>
            <w:r w:rsidRPr="005E530A">
              <w:rPr>
                <w:rFonts w:eastAsia="Calibri" w:cstheme="minorHAnsi"/>
                <w:sz w:val="20"/>
                <w:szCs w:val="20"/>
                <w:lang w:val="en-GB"/>
              </w:rPr>
              <w:t>17.9bn (2030).</w:t>
            </w:r>
            <w:r w:rsidRPr="005E530A">
              <w:rPr>
                <w:rFonts w:eastAsia="Calibri" w:cstheme="minorHAnsi"/>
                <w:sz w:val="20"/>
                <w:szCs w:val="20"/>
                <w:vertAlign w:val="superscript"/>
                <w:lang w:val="en-GB"/>
              </w:rPr>
              <w:footnoteReference w:id="103"/>
            </w:r>
          </w:p>
        </w:tc>
        <w:tc>
          <w:tcPr>
            <w:tcW w:w="2399" w:type="pct"/>
            <w:shd w:val="clear" w:color="auto" w:fill="auto"/>
            <w:vAlign w:val="center"/>
          </w:tcPr>
          <w:p w14:paraId="3B71923F"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Singapore’s SNDGO and Australia’s Digital Transformation Agency (DTA) have developed a roadmap for each phase of the journey towards mutual recognition.</w:t>
            </w:r>
            <w:r w:rsidRPr="005E530A">
              <w:rPr>
                <w:rStyle w:val="FootnoteReference"/>
                <w:rFonts w:eastAsia="Calibri" w:cstheme="minorHAnsi"/>
                <w:sz w:val="20"/>
                <w:szCs w:val="20"/>
                <w:lang w:val="en-GB"/>
              </w:rPr>
              <w:footnoteReference w:id="104"/>
            </w:r>
            <w:r w:rsidRPr="005E530A">
              <w:rPr>
                <w:rFonts w:eastAsia="Calibri" w:cstheme="minorHAnsi"/>
                <w:sz w:val="20"/>
                <w:szCs w:val="20"/>
                <w:lang w:val="en-GB"/>
              </w:rPr>
              <w:t xml:space="preserve">  The agencies will study potential pilot projects such as opening bank accounts and applying for visas using Digital IDs. </w:t>
            </w:r>
          </w:p>
          <w:p w14:paraId="0F0450AF"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particular there is scope to cooperate on Biometric standards. Singapore is planning to adopt ISO standards for Biometric System-on-Cards to facilitate widespread adoption in payments and Australia is looking a Biometric standards as part of its Digital Identity programme.</w:t>
            </w:r>
          </w:p>
        </w:tc>
      </w:tr>
      <w:tr w:rsidR="00C42A2A" w:rsidRPr="005E530A" w14:paraId="17CA92D3"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68B40ED1"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t>E-payments</w:t>
            </w:r>
          </w:p>
        </w:tc>
        <w:tc>
          <w:tcPr>
            <w:tcW w:w="782" w:type="pct"/>
            <w:shd w:val="clear" w:color="auto" w:fill="auto"/>
            <w:vAlign w:val="center"/>
          </w:tcPr>
          <w:p w14:paraId="5EA94848"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all aspects of trade</w:t>
            </w:r>
          </w:p>
        </w:tc>
        <w:tc>
          <w:tcPr>
            <w:tcW w:w="910" w:type="pct"/>
            <w:shd w:val="clear" w:color="auto" w:fill="auto"/>
            <w:vAlign w:val="center"/>
          </w:tcPr>
          <w:p w14:paraId="1F46E2A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Australia, digital payments and alternative financing markets are expected to reach AUD36.44bn in 2020.</w:t>
            </w:r>
          </w:p>
          <w:p w14:paraId="7D70E04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Singapore, it is expected to reach AUD12.13bn in 2025, at a CAGR of 14%.</w:t>
            </w:r>
          </w:p>
          <w:p w14:paraId="6E57E611"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p>
          <w:p w14:paraId="3D220CE4"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p>
        </w:tc>
        <w:tc>
          <w:tcPr>
            <w:tcW w:w="2399" w:type="pct"/>
            <w:shd w:val="clear" w:color="auto" w:fill="auto"/>
            <w:vAlign w:val="center"/>
          </w:tcPr>
          <w:p w14:paraId="5E556443" w14:textId="3F7210D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Singapore has </w:t>
            </w:r>
            <w:r w:rsidRPr="009F3DFB">
              <w:rPr>
                <w:rFonts w:eastAsia="Calibri" w:cstheme="minorHAnsi"/>
                <w:sz w:val="20"/>
                <w:szCs w:val="20"/>
                <w:lang w:val="en-GB"/>
              </w:rPr>
              <w:t xml:space="preserve">a </w:t>
            </w:r>
            <w:r w:rsidR="009F3DFB" w:rsidRPr="009F3DFB">
              <w:rPr>
                <w:rFonts w:eastAsia="Calibri" w:cstheme="minorHAnsi"/>
                <w:sz w:val="20"/>
                <w:szCs w:val="20"/>
                <w:lang w:val="en-GB"/>
              </w:rPr>
              <w:t xml:space="preserve">standardised set of </w:t>
            </w:r>
            <w:r w:rsidRPr="005E530A">
              <w:rPr>
                <w:rFonts w:eastAsia="Calibri" w:cstheme="minorHAnsi"/>
                <w:sz w:val="20"/>
                <w:szCs w:val="20"/>
                <w:lang w:val="en-GB"/>
              </w:rPr>
              <w:t>QR code specification</w:t>
            </w:r>
            <w:r w:rsidR="009F3DFB">
              <w:rPr>
                <w:rFonts w:eastAsia="Calibri" w:cstheme="minorHAnsi"/>
                <w:sz w:val="20"/>
                <w:szCs w:val="20"/>
                <w:lang w:val="en-GB"/>
              </w:rPr>
              <w:t>s</w:t>
            </w:r>
            <w:r w:rsidRPr="005E530A">
              <w:rPr>
                <w:rFonts w:eastAsia="Calibri" w:cstheme="minorHAnsi"/>
                <w:sz w:val="20"/>
                <w:szCs w:val="20"/>
                <w:lang w:val="en-GB"/>
              </w:rPr>
              <w:t xml:space="preserve"> for e-payments </w:t>
            </w:r>
            <w:r w:rsidR="009F3DFB">
              <w:rPr>
                <w:rFonts w:eastAsia="Calibri" w:cstheme="minorHAnsi"/>
                <w:sz w:val="20"/>
                <w:szCs w:val="20"/>
                <w:lang w:val="en-GB"/>
              </w:rPr>
              <w:t xml:space="preserve">called SGQR. It is </w:t>
            </w:r>
            <w:r w:rsidRPr="005E530A">
              <w:rPr>
                <w:rFonts w:eastAsia="Calibri" w:cstheme="minorHAnsi"/>
                <w:sz w:val="20"/>
                <w:szCs w:val="20"/>
                <w:lang w:val="en-GB"/>
              </w:rPr>
              <w:t>based on EMV</w:t>
            </w:r>
            <w:r w:rsidR="009F3DFB">
              <w:rPr>
                <w:rFonts w:eastAsia="Calibri" w:cstheme="minorHAnsi"/>
                <w:sz w:val="20"/>
                <w:szCs w:val="20"/>
                <w:lang w:val="en-GB"/>
              </w:rPr>
              <w:t>Co</w:t>
            </w:r>
            <w:r w:rsidRPr="005E530A">
              <w:rPr>
                <w:rFonts w:eastAsia="Calibri" w:cstheme="minorHAnsi"/>
                <w:sz w:val="20"/>
                <w:szCs w:val="20"/>
                <w:lang w:val="en-GB"/>
              </w:rPr>
              <w:t xml:space="preserve"> standards </w:t>
            </w:r>
            <w:r w:rsidR="009F3DFB">
              <w:rPr>
                <w:rFonts w:eastAsia="Calibri" w:cstheme="minorHAnsi"/>
                <w:sz w:val="20"/>
                <w:szCs w:val="20"/>
                <w:lang w:val="en-GB"/>
              </w:rPr>
              <w:t>and has been further customised for the local market</w:t>
            </w:r>
            <w:r w:rsidRPr="005E530A">
              <w:rPr>
                <w:rFonts w:eastAsia="Calibri" w:cstheme="minorHAnsi"/>
                <w:sz w:val="20"/>
                <w:szCs w:val="20"/>
                <w:lang w:val="en-GB"/>
              </w:rPr>
              <w:t>.</w:t>
            </w:r>
          </w:p>
          <w:p w14:paraId="0CF44B97" w14:textId="3C1A3049"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MAS</w:t>
            </w:r>
            <w:r w:rsidR="009F3DFB">
              <w:rPr>
                <w:rFonts w:eastAsia="Calibri" w:cstheme="minorHAnsi"/>
                <w:sz w:val="20"/>
                <w:szCs w:val="20"/>
                <w:lang w:val="en-GB"/>
              </w:rPr>
              <w:t xml:space="preserve"> and </w:t>
            </w:r>
            <w:r w:rsidRPr="005E530A">
              <w:rPr>
                <w:rFonts w:eastAsia="Calibri" w:cstheme="minorHAnsi"/>
                <w:sz w:val="20"/>
                <w:szCs w:val="20"/>
                <w:lang w:val="en-GB"/>
              </w:rPr>
              <w:t>IMDA</w:t>
            </w:r>
            <w:r w:rsidR="009F3DFB">
              <w:t xml:space="preserve"> </w:t>
            </w:r>
            <w:r w:rsidR="009F3DFB" w:rsidRPr="009F3DFB">
              <w:rPr>
                <w:rFonts w:eastAsia="Calibri" w:cstheme="minorHAnsi"/>
                <w:sz w:val="20"/>
                <w:szCs w:val="20"/>
                <w:lang w:val="en-GB"/>
              </w:rPr>
              <w:t>are co-owners of the SGQR scheme, and</w:t>
            </w:r>
            <w:r w:rsidR="009F3DFB">
              <w:rPr>
                <w:rFonts w:eastAsia="Calibri" w:cstheme="minorHAnsi"/>
                <w:sz w:val="20"/>
                <w:szCs w:val="20"/>
                <w:lang w:val="en-GB"/>
              </w:rPr>
              <w:t xml:space="preserve"> </w:t>
            </w:r>
            <w:r w:rsidRPr="005E530A">
              <w:rPr>
                <w:rFonts w:eastAsia="Calibri" w:cstheme="minorHAnsi"/>
                <w:sz w:val="20"/>
                <w:szCs w:val="20"/>
                <w:lang w:val="en-GB"/>
              </w:rPr>
              <w:t xml:space="preserve">chair a SGQR Taskforce </w:t>
            </w:r>
            <w:r w:rsidR="009F3DFB">
              <w:rPr>
                <w:rFonts w:eastAsia="Calibri" w:cstheme="minorHAnsi"/>
                <w:sz w:val="20"/>
                <w:szCs w:val="20"/>
                <w:lang w:val="en-GB"/>
              </w:rPr>
              <w:t>that brings together</w:t>
            </w:r>
            <w:r w:rsidRPr="005E530A">
              <w:rPr>
                <w:rFonts w:eastAsia="Calibri" w:cstheme="minorHAnsi"/>
                <w:sz w:val="20"/>
                <w:szCs w:val="20"/>
                <w:lang w:val="en-GB"/>
              </w:rPr>
              <w:t xml:space="preserve"> industry players </w:t>
            </w:r>
            <w:r w:rsidR="009F3DFB">
              <w:rPr>
                <w:rFonts w:eastAsia="Calibri" w:cstheme="minorHAnsi"/>
                <w:sz w:val="20"/>
                <w:szCs w:val="20"/>
                <w:lang w:val="en-GB"/>
              </w:rPr>
              <w:t xml:space="preserve">and their expertise in the payment </w:t>
            </w:r>
            <w:r w:rsidRPr="005E530A">
              <w:rPr>
                <w:rFonts w:eastAsia="Calibri" w:cstheme="minorHAnsi"/>
                <w:sz w:val="20"/>
                <w:szCs w:val="20"/>
                <w:lang w:val="en-GB"/>
              </w:rPr>
              <w:t>QR</w:t>
            </w:r>
            <w:r w:rsidR="009F3DFB">
              <w:rPr>
                <w:rFonts w:eastAsia="Calibri" w:cstheme="minorHAnsi"/>
                <w:sz w:val="20"/>
                <w:szCs w:val="20"/>
                <w:lang w:val="en-GB"/>
              </w:rPr>
              <w:t xml:space="preserve"> space. The Taskforce continues its work in</w:t>
            </w:r>
            <w:r w:rsidRPr="005E530A">
              <w:rPr>
                <w:rFonts w:eastAsia="Calibri" w:cstheme="minorHAnsi"/>
                <w:sz w:val="20"/>
                <w:szCs w:val="20"/>
                <w:lang w:val="en-GB"/>
              </w:rPr>
              <w:t xml:space="preserve"> (a) </w:t>
            </w:r>
            <w:r w:rsidR="009F3DFB">
              <w:rPr>
                <w:rFonts w:eastAsia="Calibri" w:cstheme="minorHAnsi"/>
                <w:sz w:val="20"/>
                <w:szCs w:val="20"/>
                <w:lang w:val="en-GB"/>
              </w:rPr>
              <w:t xml:space="preserve">solving payment QR code fragmentation by </w:t>
            </w:r>
            <w:r w:rsidRPr="005E530A">
              <w:rPr>
                <w:rFonts w:eastAsia="Calibri" w:cstheme="minorHAnsi"/>
                <w:sz w:val="20"/>
                <w:szCs w:val="20"/>
                <w:lang w:val="en-GB"/>
              </w:rPr>
              <w:t xml:space="preserve">adopting </w:t>
            </w:r>
            <w:r w:rsidR="009F3DFB">
              <w:rPr>
                <w:rFonts w:eastAsia="Calibri" w:cstheme="minorHAnsi"/>
                <w:sz w:val="20"/>
                <w:szCs w:val="20"/>
                <w:lang w:val="en-GB"/>
              </w:rPr>
              <w:t>the SGQR standards</w:t>
            </w:r>
            <w:r w:rsidRPr="005E530A">
              <w:rPr>
                <w:rFonts w:eastAsia="Calibri" w:cstheme="minorHAnsi"/>
                <w:sz w:val="20"/>
                <w:szCs w:val="20"/>
                <w:lang w:val="en-GB"/>
              </w:rPr>
              <w:t xml:space="preserve">; (b) </w:t>
            </w:r>
            <w:r w:rsidR="009F3DFB">
              <w:rPr>
                <w:rFonts w:eastAsia="Calibri" w:cstheme="minorHAnsi"/>
                <w:sz w:val="20"/>
                <w:szCs w:val="20"/>
                <w:lang w:val="en-GB"/>
              </w:rPr>
              <w:t>promoting payment QR code interoperability through SGQR</w:t>
            </w:r>
            <w:r w:rsidRPr="005E530A">
              <w:rPr>
                <w:rFonts w:eastAsia="Calibri" w:cstheme="minorHAnsi"/>
                <w:sz w:val="20"/>
                <w:szCs w:val="20"/>
                <w:lang w:val="en-GB"/>
              </w:rPr>
              <w:t xml:space="preserve">; and (c) propagating best practices for consumer and merchant adoption of </w:t>
            </w:r>
            <w:r w:rsidR="009F3DFB">
              <w:rPr>
                <w:rFonts w:eastAsia="Calibri" w:cstheme="minorHAnsi"/>
                <w:sz w:val="20"/>
                <w:szCs w:val="20"/>
                <w:lang w:val="en-GB"/>
              </w:rPr>
              <w:t>SG</w:t>
            </w:r>
            <w:r w:rsidRPr="005E530A">
              <w:rPr>
                <w:rFonts w:eastAsia="Calibri" w:cstheme="minorHAnsi"/>
                <w:sz w:val="20"/>
                <w:szCs w:val="20"/>
                <w:lang w:val="en-GB"/>
              </w:rPr>
              <w:t xml:space="preserve">QR. </w:t>
            </w:r>
          </w:p>
          <w:p w14:paraId="13048CE4" w14:textId="48CB9D24"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Australia has also adopted EMV</w:t>
            </w:r>
            <w:r w:rsidR="009F3DFB">
              <w:rPr>
                <w:rFonts w:eastAsia="Calibri" w:cstheme="minorHAnsi"/>
                <w:sz w:val="20"/>
                <w:szCs w:val="20"/>
                <w:lang w:val="en-GB"/>
              </w:rPr>
              <w:t>Co</w:t>
            </w:r>
            <w:r w:rsidRPr="005E530A">
              <w:rPr>
                <w:rFonts w:eastAsia="Calibri" w:cstheme="minorHAnsi"/>
                <w:sz w:val="20"/>
                <w:szCs w:val="20"/>
                <w:lang w:val="en-GB"/>
              </w:rPr>
              <w:t xml:space="preserve"> standards for QR code payments under the New Payments Platform.</w:t>
            </w:r>
          </w:p>
          <w:p w14:paraId="309DC0AD"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Singapore and Australia can encourage internationally accepted standards such as the ISO20022 and </w:t>
            </w:r>
            <w:r w:rsidRPr="005E530A">
              <w:rPr>
                <w:rFonts w:eastAsia="Calibri" w:cstheme="minorHAnsi"/>
                <w:sz w:val="20"/>
                <w:szCs w:val="20"/>
                <w:lang w:val="en-GB"/>
              </w:rPr>
              <w:lastRenderedPageBreak/>
              <w:t>promote interoperability between their national e-payment systems.</w:t>
            </w:r>
            <w:r w:rsidRPr="005E530A">
              <w:rPr>
                <w:rStyle w:val="FootnoteReference"/>
                <w:rFonts w:eastAsia="Calibri" w:cstheme="minorHAnsi"/>
                <w:sz w:val="20"/>
                <w:szCs w:val="20"/>
                <w:lang w:val="en-GB"/>
              </w:rPr>
              <w:footnoteReference w:id="105"/>
            </w:r>
          </w:p>
          <w:p w14:paraId="2EF56904" w14:textId="581B05E5"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Other areas of for co-operation in </w:t>
            </w:r>
            <w:r w:rsidR="007044C9">
              <w:rPr>
                <w:rFonts w:eastAsia="Calibri" w:cstheme="minorHAnsi"/>
                <w:sz w:val="20"/>
                <w:szCs w:val="20"/>
                <w:lang w:val="en-GB"/>
              </w:rPr>
              <w:t xml:space="preserve">the </w:t>
            </w:r>
            <w:r w:rsidRPr="005E530A">
              <w:rPr>
                <w:rFonts w:eastAsia="Calibri" w:cstheme="minorHAnsi"/>
                <w:sz w:val="20"/>
                <w:szCs w:val="20"/>
                <w:lang w:val="en-GB"/>
              </w:rPr>
              <w:t xml:space="preserve">finance sector include trade/trade-related financing, digital services and business indexes.  </w:t>
            </w:r>
          </w:p>
        </w:tc>
      </w:tr>
      <w:tr w:rsidR="00C42A2A" w:rsidRPr="005E530A" w14:paraId="69894C59"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516F705C"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 xml:space="preserve">E-invoicing </w:t>
            </w:r>
          </w:p>
        </w:tc>
        <w:tc>
          <w:tcPr>
            <w:tcW w:w="782" w:type="pct"/>
            <w:shd w:val="clear" w:color="auto" w:fill="auto"/>
            <w:vAlign w:val="center"/>
          </w:tcPr>
          <w:p w14:paraId="3B364CBE"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sz w:val="20"/>
                <w:szCs w:val="20"/>
                <w:lang w:val="en-GB"/>
              </w:rPr>
            </w:pPr>
            <w:r w:rsidRPr="005E530A">
              <w:rPr>
                <w:rFonts w:eastAsia="Calibri" w:cstheme="minorHAnsi"/>
                <w:i/>
                <w:iCs/>
                <w:color w:val="4472C4" w:themeColor="accent1"/>
                <w:sz w:val="20"/>
                <w:szCs w:val="20"/>
                <w:lang w:val="en-GB"/>
              </w:rPr>
              <w:t>Potential to enhance all aspects of current and future trade</w:t>
            </w:r>
          </w:p>
        </w:tc>
        <w:tc>
          <w:tcPr>
            <w:tcW w:w="910" w:type="pct"/>
            <w:shd w:val="clear" w:color="auto" w:fill="auto"/>
            <w:vAlign w:val="center"/>
          </w:tcPr>
          <w:p w14:paraId="2D2AEE44"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Estimated to benefit the Australian economy by AUD28bn over ten years.</w:t>
            </w:r>
            <w:r w:rsidRPr="005E530A">
              <w:rPr>
                <w:rFonts w:eastAsia="Calibri" w:cstheme="minorHAnsi"/>
                <w:sz w:val="20"/>
                <w:szCs w:val="20"/>
                <w:vertAlign w:val="superscript"/>
                <w:lang w:val="en-GB"/>
              </w:rPr>
              <w:footnoteReference w:id="106"/>
            </w:r>
          </w:p>
          <w:p w14:paraId="630366FD"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In Singapore, an IMDA study in 2018 estimated that it cost companies SGD8.00 to process each manual invoice. E-invoicing could reduce these costs.</w:t>
            </w:r>
          </w:p>
        </w:tc>
        <w:tc>
          <w:tcPr>
            <w:tcW w:w="2399" w:type="pct"/>
            <w:shd w:val="clear" w:color="auto" w:fill="auto"/>
            <w:vAlign w:val="center"/>
          </w:tcPr>
          <w:p w14:paraId="1492F245" w14:textId="5D4E55EF"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 introduced Peppol e-invoicing standard in 2018, becoming the first national authority outside Europe to do so.</w:t>
            </w:r>
          </w:p>
          <w:p w14:paraId="64650C4B"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Australia adopted Peppol in 2019.</w:t>
            </w:r>
          </w:p>
          <w:p w14:paraId="1395812D" w14:textId="1FBE13DC"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IMDA and Australian Tax Office (ATO)</w:t>
            </w:r>
            <w:r w:rsidR="007044C9">
              <w:rPr>
                <w:rFonts w:eastAsia="Calibri" w:cstheme="minorHAnsi"/>
                <w:sz w:val="20"/>
                <w:szCs w:val="20"/>
                <w:lang w:val="en-GB"/>
              </w:rPr>
              <w:t xml:space="preserve"> </w:t>
            </w:r>
            <w:r w:rsidRPr="005E530A">
              <w:rPr>
                <w:rFonts w:eastAsia="Calibri" w:cstheme="minorHAnsi"/>
                <w:sz w:val="20"/>
                <w:szCs w:val="20"/>
                <w:lang w:val="en-GB"/>
              </w:rPr>
              <w:t>will jointly promote e-invoicing standards between Australian businesses and Singapore businesses.</w:t>
            </w:r>
            <w:r w:rsidRPr="005E530A">
              <w:rPr>
                <w:rStyle w:val="FootnoteReference"/>
                <w:rFonts w:eastAsia="Calibri" w:cstheme="minorHAnsi"/>
                <w:sz w:val="20"/>
                <w:szCs w:val="20"/>
                <w:lang w:val="en-GB"/>
              </w:rPr>
              <w:footnoteReference w:id="107"/>
            </w:r>
            <w:r w:rsidRPr="005E530A">
              <w:rPr>
                <w:rFonts w:eastAsia="Calibri" w:cstheme="minorHAnsi"/>
                <w:sz w:val="20"/>
                <w:szCs w:val="20"/>
                <w:lang w:val="en-GB"/>
              </w:rPr>
              <w:t xml:space="preserve"> Both agencies can also lead in the region and encourage adoption of the Peppol  standard as it can benefit business all over the region, in all aspects of trade. The Peppol framework can also potentially support e-procurement and e-Logistics.</w:t>
            </w:r>
          </w:p>
        </w:tc>
      </w:tr>
      <w:tr w:rsidR="00C42A2A" w:rsidRPr="005E530A" w14:paraId="7848BFCB"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5342EA97"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t>IoT</w:t>
            </w:r>
          </w:p>
        </w:tc>
        <w:tc>
          <w:tcPr>
            <w:tcW w:w="782" w:type="pct"/>
            <w:shd w:val="clear" w:color="auto" w:fill="auto"/>
            <w:vAlign w:val="center"/>
          </w:tcPr>
          <w:p w14:paraId="492E9126"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digital trade and future trade</w:t>
            </w:r>
          </w:p>
        </w:tc>
        <w:tc>
          <w:tcPr>
            <w:tcW w:w="910" w:type="pct"/>
            <w:shd w:val="clear" w:color="auto" w:fill="auto"/>
            <w:vAlign w:val="center"/>
          </w:tcPr>
          <w:p w14:paraId="1A834708"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Value of market in Australia estimated to be AUD33.69bn by 2024.</w:t>
            </w:r>
          </w:p>
          <w:p w14:paraId="3948CAC9"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Style w:val="CommentReference"/>
                <w:rFonts w:cstheme="minorHAnsi"/>
                <w:sz w:val="20"/>
                <w:szCs w:val="20"/>
                <w:lang w:val="en-GB"/>
              </w:rPr>
            </w:pPr>
            <w:r w:rsidRPr="005E530A">
              <w:rPr>
                <w:rFonts w:eastAsia="Calibri" w:cstheme="minorHAnsi"/>
                <w:sz w:val="20"/>
                <w:szCs w:val="20"/>
                <w:lang w:val="en-GB"/>
              </w:rPr>
              <w:t>Value of market in Singapore estimated to be AUD10.47bn (2024).</w:t>
            </w:r>
          </w:p>
        </w:tc>
        <w:tc>
          <w:tcPr>
            <w:tcW w:w="2399" w:type="pct"/>
            <w:shd w:val="clear" w:color="auto" w:fill="auto"/>
            <w:vAlign w:val="center"/>
          </w:tcPr>
          <w:p w14:paraId="3898426F"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Australia is currently developing the IoT Code of Practice. Jointly overseen by the Department of Home Affairs and the Australian Signals Directorate, the first version was released for consultation in November 2019. It is a voluntary code, aimed at industry and outlines security principles for device manufacturers, IoT service providers and application developers.  </w:t>
            </w:r>
          </w:p>
          <w:p w14:paraId="443965C1"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IMDA has an IoT Cyber Security Guide, for enterprise users intending to procure IoT systems, as well as for vendors, providing baseline recommendations, foundational concepts and checklists, focusing on the security aspects of IoT systems. </w:t>
            </w:r>
          </w:p>
          <w:p w14:paraId="6901774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On a broader level, ISO/IEC JTC 1/SC 41 focuses on standardisation in the area of IoT and related technologies. Australia and Singapore are members of working groups, focusing on IoT architecture, IoT interoperability and IoT applications.</w:t>
            </w:r>
          </w:p>
        </w:tc>
      </w:tr>
      <w:tr w:rsidR="00C42A2A" w:rsidRPr="005E530A" w14:paraId="46E3C1DD"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19F2BE04"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Data Protection and Privacy</w:t>
            </w:r>
          </w:p>
        </w:tc>
        <w:tc>
          <w:tcPr>
            <w:tcW w:w="782" w:type="pct"/>
            <w:shd w:val="clear" w:color="auto" w:fill="FFFFFF" w:themeFill="background1"/>
            <w:vAlign w:val="center"/>
          </w:tcPr>
          <w:p w14:paraId="04C9BA6A" w14:textId="2ADDF71F"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Strong privacy protections can increase community trust in digital initiatives which may have a positive impact on trade</w:t>
            </w:r>
          </w:p>
        </w:tc>
        <w:tc>
          <w:tcPr>
            <w:tcW w:w="910" w:type="pct"/>
            <w:shd w:val="clear" w:color="auto" w:fill="FFFFFF" w:themeFill="background1"/>
            <w:vAlign w:val="center"/>
          </w:tcPr>
          <w:p w14:paraId="4A0136E5"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A study found that the average cost of a cybersecurity attack for organisations in Singapore was estimated to be AUD1.68million per breach.</w:t>
            </w:r>
            <w:r w:rsidRPr="005E530A">
              <w:rPr>
                <w:rStyle w:val="FootnoteReference"/>
                <w:rFonts w:eastAsia="Calibri" w:cstheme="minorHAnsi"/>
                <w:sz w:val="20"/>
                <w:szCs w:val="20"/>
                <w:lang w:val="en-GB"/>
              </w:rPr>
              <w:footnoteReference w:id="108"/>
            </w:r>
            <w:r w:rsidRPr="005E530A">
              <w:rPr>
                <w:rFonts w:eastAsia="Calibri" w:cstheme="minorHAnsi"/>
                <w:sz w:val="20"/>
                <w:szCs w:val="20"/>
                <w:lang w:val="en-GB"/>
              </w:rPr>
              <w:t xml:space="preserve"> The same study found the cost in Australia to be AUD332,044.</w:t>
            </w:r>
          </w:p>
        </w:tc>
        <w:tc>
          <w:tcPr>
            <w:tcW w:w="2399" w:type="pct"/>
            <w:shd w:val="clear" w:color="auto" w:fill="FFFFFF" w:themeFill="background1"/>
            <w:vAlign w:val="center"/>
          </w:tcPr>
          <w:p w14:paraId="2BA3C67C"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On March 2020, Singapore’s PDPC and the OAIC signed a Memorandum of Understanding to foster closer collaboration and cooperation in safeguarding the data protection rights of Australians and Singaporeans, given the importance of data governance and cross border data flows to global trade.</w:t>
            </w:r>
            <w:r w:rsidRPr="005E530A">
              <w:rPr>
                <w:rStyle w:val="FootnoteReference"/>
                <w:rFonts w:eastAsia="Calibri" w:cstheme="minorHAnsi"/>
                <w:sz w:val="20"/>
                <w:szCs w:val="20"/>
                <w:lang w:val="en-GB"/>
              </w:rPr>
              <w:footnoteReference w:id="109"/>
            </w:r>
          </w:p>
          <w:p w14:paraId="04763BE0" w14:textId="21438812"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EF49B5">
              <w:rPr>
                <w:rFonts w:eastAsia="Calibri" w:cstheme="minorHAnsi"/>
                <w:sz w:val="20"/>
                <w:szCs w:val="20"/>
                <w:lang w:val="en-GB"/>
              </w:rPr>
              <w:t>Singapore and Australia could work together to promote interoperability of data protection frameworks</w:t>
            </w:r>
            <w:r w:rsidR="006519C6" w:rsidRPr="00EF49B5">
              <w:rPr>
                <w:rFonts w:eastAsia="Calibri" w:cstheme="minorHAnsi"/>
                <w:sz w:val="20"/>
                <w:szCs w:val="20"/>
                <w:lang w:val="en-GB"/>
              </w:rPr>
              <w:t xml:space="preserve"> such as APEC Cross Border Privacy Rules (CBPR), which both Singapore and Australia are participants</w:t>
            </w:r>
            <w:r w:rsidRPr="00EF49B5">
              <w:rPr>
                <w:rFonts w:eastAsia="Calibri" w:cstheme="minorHAnsi"/>
                <w:sz w:val="20"/>
                <w:szCs w:val="20"/>
                <w:lang w:val="en-GB"/>
              </w:rPr>
              <w:t>.</w:t>
            </w:r>
            <w:r w:rsidR="006519C6">
              <w:rPr>
                <w:rFonts w:eastAsia="Calibri" w:cstheme="minorHAnsi"/>
                <w:sz w:val="20"/>
                <w:szCs w:val="20"/>
                <w:lang w:val="en-GB"/>
              </w:rPr>
              <w:t xml:space="preserve"> </w:t>
            </w:r>
          </w:p>
        </w:tc>
      </w:tr>
      <w:tr w:rsidR="00C42A2A" w:rsidRPr="005E530A" w14:paraId="623D4D20"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vAlign w:val="center"/>
          </w:tcPr>
          <w:p w14:paraId="2A910BAF" w14:textId="52675155"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t>Cross-</w:t>
            </w:r>
            <w:r w:rsidR="00930FCE">
              <w:rPr>
                <w:rFonts w:eastAsia="Calibri" w:cstheme="minorHAnsi"/>
                <w:sz w:val="20"/>
                <w:szCs w:val="20"/>
                <w:lang w:val="en-GB"/>
              </w:rPr>
              <w:t>b</w:t>
            </w:r>
            <w:r w:rsidRPr="005E530A">
              <w:rPr>
                <w:rFonts w:eastAsia="Calibri" w:cstheme="minorHAnsi"/>
                <w:sz w:val="20"/>
                <w:szCs w:val="20"/>
                <w:lang w:val="en-GB"/>
              </w:rPr>
              <w:t>order Data</w:t>
            </w:r>
          </w:p>
        </w:tc>
        <w:tc>
          <w:tcPr>
            <w:tcW w:w="782" w:type="pct"/>
            <w:shd w:val="clear" w:color="auto" w:fill="auto"/>
            <w:vAlign w:val="center"/>
          </w:tcPr>
          <w:p w14:paraId="197A0E98"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digital trade</w:t>
            </w:r>
          </w:p>
        </w:tc>
        <w:tc>
          <w:tcPr>
            <w:tcW w:w="910" w:type="pct"/>
            <w:shd w:val="clear" w:color="auto" w:fill="auto"/>
            <w:vAlign w:val="center"/>
          </w:tcPr>
          <w:p w14:paraId="7A8EA4C6" w14:textId="05B0719E"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 xml:space="preserve">Promotes the exchange of data and allows businesses to access digital technologies. International data flows increased global GDP by </w:t>
            </w:r>
            <w:r w:rsidR="00EF689A">
              <w:rPr>
                <w:rFonts w:eastAsia="Calibri" w:cstheme="minorHAnsi"/>
                <w:sz w:val="20"/>
                <w:szCs w:val="20"/>
                <w:lang w:val="en-GB"/>
              </w:rPr>
              <w:t>3</w:t>
            </w:r>
            <w:r w:rsidRPr="005E530A">
              <w:rPr>
                <w:rFonts w:eastAsia="Calibri" w:cstheme="minorHAnsi"/>
                <w:sz w:val="20"/>
                <w:szCs w:val="20"/>
                <w:lang w:val="en-GB"/>
              </w:rPr>
              <w:t>%</w:t>
            </w:r>
            <w:r w:rsidR="000876DF">
              <w:rPr>
                <w:rFonts w:eastAsia="Calibri" w:cstheme="minorHAnsi"/>
                <w:sz w:val="20"/>
                <w:szCs w:val="20"/>
                <w:lang w:val="en-GB"/>
              </w:rPr>
              <w:t>, and all global flows (including goods, trade, data, migration and foreign direction investment (FDI)—</w:t>
            </w:r>
            <w:r w:rsidR="000876DF">
              <w:rPr>
                <w:rFonts w:eastAsia="Calibri" w:cstheme="minorHAnsi"/>
                <w:sz w:val="20"/>
                <w:szCs w:val="20"/>
                <w:lang w:val="en-GB"/>
              </w:rPr>
              <w:lastRenderedPageBreak/>
              <w:t>which data flows facilitates) increased global GDP by 10%</w:t>
            </w:r>
            <w:r w:rsidRPr="005E530A">
              <w:rPr>
                <w:rFonts w:eastAsia="Calibri" w:cstheme="minorHAnsi"/>
                <w:sz w:val="20"/>
                <w:szCs w:val="20"/>
                <w:lang w:val="en-GB"/>
              </w:rPr>
              <w:t>.</w:t>
            </w:r>
            <w:r w:rsidRPr="005E530A">
              <w:rPr>
                <w:rStyle w:val="FootnoteReference"/>
                <w:rFonts w:eastAsia="Calibri" w:cstheme="minorHAnsi"/>
                <w:sz w:val="20"/>
                <w:szCs w:val="20"/>
                <w:lang w:val="en-GB"/>
              </w:rPr>
              <w:footnoteReference w:id="110"/>
            </w:r>
          </w:p>
        </w:tc>
        <w:tc>
          <w:tcPr>
            <w:tcW w:w="2399" w:type="pct"/>
            <w:shd w:val="clear" w:color="auto" w:fill="auto"/>
            <w:vAlign w:val="center"/>
          </w:tcPr>
          <w:p w14:paraId="3535F69D" w14:textId="7EAE4A7A" w:rsidR="003A42EE" w:rsidRPr="003A42EE" w:rsidRDefault="003A42EE"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EF49B5">
              <w:rPr>
                <w:rFonts w:eastAsia="Calibri" w:cstheme="minorHAnsi"/>
                <w:sz w:val="20"/>
                <w:szCs w:val="20"/>
                <w:lang w:val="en-GB"/>
              </w:rPr>
              <w:lastRenderedPageBreak/>
              <w:t xml:space="preserve">Singapore and Australia </w:t>
            </w:r>
            <w:r w:rsidR="006519C6" w:rsidRPr="00EF49B5">
              <w:rPr>
                <w:rFonts w:eastAsia="Calibri" w:cstheme="minorHAnsi"/>
                <w:sz w:val="20"/>
                <w:szCs w:val="20"/>
                <w:lang w:val="en-GB"/>
              </w:rPr>
              <w:t xml:space="preserve">agreed to jointly promote </w:t>
            </w:r>
            <w:r w:rsidRPr="00EF49B5">
              <w:rPr>
                <w:rFonts w:eastAsia="Calibri" w:cstheme="minorHAnsi"/>
                <w:sz w:val="20"/>
                <w:szCs w:val="20"/>
                <w:lang w:val="en-GB"/>
              </w:rPr>
              <w:t>the APEC CBPR System</w:t>
            </w:r>
            <w:r w:rsidR="006519C6" w:rsidRPr="00EF49B5">
              <w:rPr>
                <w:rFonts w:eastAsia="Calibri" w:cstheme="minorHAnsi"/>
                <w:sz w:val="20"/>
                <w:szCs w:val="20"/>
                <w:lang w:val="en-GB"/>
              </w:rPr>
              <w:t xml:space="preserve"> to increase adoption by companies to facilitate data flows</w:t>
            </w:r>
            <w:r w:rsidRPr="00EF49B5">
              <w:rPr>
                <w:rFonts w:eastAsia="Calibri" w:cstheme="minorHAnsi"/>
                <w:sz w:val="20"/>
                <w:szCs w:val="20"/>
                <w:lang w:val="en-GB"/>
              </w:rPr>
              <w:t>.</w:t>
            </w:r>
            <w:r w:rsidRPr="00EF49B5">
              <w:rPr>
                <w:rStyle w:val="FootnoteReference"/>
                <w:rFonts w:eastAsia="Calibri" w:cstheme="minorHAnsi"/>
                <w:sz w:val="20"/>
                <w:szCs w:val="20"/>
                <w:lang w:val="en-GB"/>
              </w:rPr>
              <w:footnoteReference w:id="111"/>
            </w:r>
            <w:r w:rsidRPr="003A42EE">
              <w:rPr>
                <w:rFonts w:eastAsia="Calibri" w:cstheme="minorHAnsi"/>
                <w:sz w:val="20"/>
                <w:szCs w:val="20"/>
                <w:lang w:val="en-GB"/>
              </w:rPr>
              <w:t xml:space="preserve">   </w:t>
            </w:r>
          </w:p>
          <w:p w14:paraId="4D542BAD" w14:textId="12C1F08C"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cstheme="minorHAnsi"/>
                <w:sz w:val="20"/>
                <w:szCs w:val="20"/>
                <w:lang w:val="en-GB"/>
              </w:rPr>
              <w:t>The Australian Border Force (ABF) has signed a MOU on Trade Facilitation with Singapore’s IMDA to trial the digital exchange of trade documentation and to explore how trade single windows can be connected to facilitate customs data exchange.</w:t>
            </w:r>
            <w:r w:rsidRPr="005E530A">
              <w:rPr>
                <w:rStyle w:val="FootnoteReference"/>
                <w:rFonts w:cstheme="minorHAnsi"/>
                <w:sz w:val="20"/>
                <w:szCs w:val="20"/>
                <w:lang w:val="en-GB"/>
              </w:rPr>
              <w:footnoteReference w:id="112"/>
            </w:r>
          </w:p>
          <w:p w14:paraId="311C6D7B"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IMDA and DISER will promote benefits of trusted cross-border data flows through Identifying and supporting suitable cross-border data sharing projects to test innovative cross-border data sharing use cases.</w:t>
            </w:r>
            <w:r w:rsidRPr="005E530A">
              <w:rPr>
                <w:rStyle w:val="FootnoteReference"/>
                <w:rFonts w:eastAsia="Calibri" w:cstheme="minorHAnsi"/>
                <w:sz w:val="20"/>
                <w:szCs w:val="20"/>
                <w:lang w:val="en-GB"/>
              </w:rPr>
              <w:footnoteReference w:id="113"/>
            </w:r>
            <w:r w:rsidRPr="005E530A">
              <w:rPr>
                <w:rFonts w:eastAsia="Calibri" w:cstheme="minorHAnsi"/>
                <w:sz w:val="20"/>
                <w:szCs w:val="20"/>
                <w:lang w:val="en-GB"/>
              </w:rPr>
              <w:t xml:space="preserve"> </w:t>
            </w:r>
          </w:p>
          <w:p w14:paraId="2AA0D529"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Australia would be a good partner with Singapore in the BSB initiative. Tourism, e-commerce are examples of industries where cross border data initiatives between the two countries could be beneficial.</w:t>
            </w:r>
          </w:p>
          <w:p w14:paraId="771E58B0" w14:textId="77777777" w:rsidR="00C42A2A" w:rsidRPr="005E530A" w:rsidRDefault="00C42A2A" w:rsidP="00C9081C">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IMDA and MAS are driving an initiative called Business sans Borders (BSB), which connects domestic and cross-border online business platforms and marketplaces. Through open data, BSB will leverage AI to match goods and digital services between business buyers and sellers domestically, regionally, and internationally across participating platforms. Third-party value-added services such as logistics and trade financing will also be made available on BSB, and recommended after a trade is matched.  As a global initiative, BSB will improve the discoverability of businesses (including SMEs) and enhance trade opportunities across a wide spectrum of industries. IMDA and MAS are open to work with forward looking countries, such as Australia, to connect platforms and marketplaces to BSB, for greater cross border connectivity, better market reach, and deeper value chain digitalisation for our businesses.</w:t>
            </w:r>
          </w:p>
        </w:tc>
      </w:tr>
      <w:tr w:rsidR="00C42A2A" w:rsidRPr="005E530A" w14:paraId="132B38AA" w14:textId="77777777" w:rsidTr="005E530A">
        <w:trPr>
          <w:jc w:val="center"/>
        </w:trPr>
        <w:tc>
          <w:tcPr>
            <w:cnfStyle w:val="001000000000" w:firstRow="0" w:lastRow="0" w:firstColumn="1" w:lastColumn="0" w:oddVBand="0" w:evenVBand="0" w:oddHBand="0" w:evenHBand="0" w:firstRowFirstColumn="0" w:firstRowLastColumn="0" w:lastRowFirstColumn="0" w:lastRowLastColumn="0"/>
            <w:tcW w:w="908" w:type="pct"/>
            <w:shd w:val="clear" w:color="auto" w:fill="D9E2F3" w:themeFill="accent1" w:themeFillTint="33"/>
            <w:vAlign w:val="center"/>
          </w:tcPr>
          <w:p w14:paraId="64C4A1C2" w14:textId="77777777" w:rsidR="00C42A2A" w:rsidRPr="005E530A" w:rsidRDefault="00C42A2A" w:rsidP="00C9081C">
            <w:pPr>
              <w:spacing w:beforeLines="40" w:before="96" w:afterLines="40" w:after="96"/>
              <w:rPr>
                <w:rFonts w:eastAsia="Calibri" w:cstheme="minorHAnsi"/>
                <w:sz w:val="20"/>
                <w:szCs w:val="20"/>
                <w:lang w:val="en-GB"/>
              </w:rPr>
            </w:pPr>
            <w:r w:rsidRPr="005E530A">
              <w:rPr>
                <w:rFonts w:eastAsia="Calibri" w:cstheme="minorHAnsi"/>
                <w:sz w:val="20"/>
                <w:szCs w:val="20"/>
                <w:lang w:val="en-GB"/>
              </w:rPr>
              <w:lastRenderedPageBreak/>
              <w:t>Data Portability</w:t>
            </w:r>
          </w:p>
        </w:tc>
        <w:tc>
          <w:tcPr>
            <w:tcW w:w="782" w:type="pct"/>
            <w:shd w:val="clear" w:color="auto" w:fill="auto"/>
            <w:vAlign w:val="center"/>
          </w:tcPr>
          <w:p w14:paraId="667E8736"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i/>
                <w:iCs/>
                <w:color w:val="4472C4" w:themeColor="accent1"/>
                <w:sz w:val="20"/>
                <w:szCs w:val="20"/>
                <w:lang w:val="en-GB"/>
              </w:rPr>
            </w:pPr>
            <w:r w:rsidRPr="005E530A">
              <w:rPr>
                <w:rFonts w:eastAsia="Calibri" w:cstheme="minorHAnsi"/>
                <w:i/>
                <w:iCs/>
                <w:color w:val="4472C4" w:themeColor="accent1"/>
                <w:sz w:val="20"/>
                <w:szCs w:val="20"/>
                <w:lang w:val="en-GB"/>
              </w:rPr>
              <w:t>Potential to enhance digital and future trade</w:t>
            </w:r>
          </w:p>
        </w:tc>
        <w:tc>
          <w:tcPr>
            <w:tcW w:w="910" w:type="pct"/>
            <w:shd w:val="clear" w:color="auto" w:fill="auto"/>
            <w:vAlign w:val="center"/>
          </w:tcPr>
          <w:p w14:paraId="1F160680" w14:textId="765B35FC"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3A42EE">
              <w:rPr>
                <w:rFonts w:eastAsia="Calibri" w:cstheme="minorHAnsi"/>
                <w:sz w:val="20"/>
                <w:szCs w:val="20"/>
                <w:lang w:val="en-GB"/>
              </w:rPr>
              <w:t xml:space="preserve">Data mobility in financial services supports development of innovative financial services, assists with risk management and compliance programmes. Data-driven innovation has been estimated to </w:t>
            </w:r>
            <w:r w:rsidRPr="003A42EE">
              <w:rPr>
                <w:rFonts w:eastAsia="Calibri" w:cstheme="minorHAnsi"/>
                <w:sz w:val="20"/>
                <w:szCs w:val="20"/>
                <w:lang w:val="en-GB"/>
              </w:rPr>
              <w:lastRenderedPageBreak/>
              <w:t xml:space="preserve">add up to </w:t>
            </w:r>
            <w:r w:rsidR="00313740" w:rsidRPr="003A42EE">
              <w:rPr>
                <w:rFonts w:eastAsia="Calibri" w:cstheme="minorHAnsi"/>
                <w:sz w:val="20"/>
                <w:szCs w:val="20"/>
                <w:lang w:val="en-GB"/>
              </w:rPr>
              <w:t>AUD</w:t>
            </w:r>
            <w:r w:rsidRPr="003A42EE">
              <w:rPr>
                <w:rFonts w:eastAsia="Calibri" w:cstheme="minorHAnsi"/>
                <w:sz w:val="20"/>
                <w:szCs w:val="20"/>
                <w:lang w:val="en-GB"/>
              </w:rPr>
              <w:t>64</w:t>
            </w:r>
            <w:r w:rsidR="00313740" w:rsidRPr="003A42EE">
              <w:rPr>
                <w:rFonts w:eastAsia="Calibri" w:cstheme="minorHAnsi"/>
                <w:sz w:val="20"/>
                <w:szCs w:val="20"/>
                <w:lang w:val="en-GB"/>
              </w:rPr>
              <w:t xml:space="preserve">bn </w:t>
            </w:r>
            <w:r w:rsidRPr="003A42EE">
              <w:rPr>
                <w:rFonts w:eastAsia="Calibri" w:cstheme="minorHAnsi"/>
                <w:sz w:val="20"/>
                <w:szCs w:val="20"/>
                <w:lang w:val="en-GB"/>
              </w:rPr>
              <w:t>per annum to the Australian economy.</w:t>
            </w:r>
            <w:r w:rsidR="003A42EE">
              <w:rPr>
                <w:rStyle w:val="FootnoteReference"/>
                <w:rFonts w:eastAsia="Calibri" w:cstheme="minorHAnsi"/>
                <w:sz w:val="20"/>
                <w:szCs w:val="20"/>
                <w:lang w:val="en-GB"/>
              </w:rPr>
              <w:footnoteReference w:id="114"/>
            </w:r>
          </w:p>
        </w:tc>
        <w:tc>
          <w:tcPr>
            <w:tcW w:w="2399" w:type="pct"/>
            <w:shd w:val="clear" w:color="auto" w:fill="auto"/>
            <w:vAlign w:val="center"/>
          </w:tcPr>
          <w:p w14:paraId="2B0414D9" w14:textId="024C3301"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Australia introduced the Consumer Data Right (CDR) to give consumers greater control over their own data, including the ability to securely share data with a trusted third party. The CDR will be introduced in the banking sector from July 2020 and will roll out across other sectors of the economy, including energy and telecommunications.</w:t>
            </w:r>
            <w:r w:rsidR="003A42EE">
              <w:rPr>
                <w:rStyle w:val="FootnoteReference"/>
                <w:rFonts w:eastAsia="Calibri" w:cstheme="minorHAnsi"/>
                <w:sz w:val="20"/>
                <w:szCs w:val="20"/>
                <w:lang w:val="en-GB"/>
              </w:rPr>
              <w:footnoteReference w:id="115"/>
            </w:r>
            <w:r w:rsidRPr="005E530A">
              <w:rPr>
                <w:rFonts w:eastAsia="Calibri" w:cstheme="minorHAnsi"/>
                <w:sz w:val="20"/>
                <w:szCs w:val="20"/>
                <w:lang w:val="en-GB"/>
              </w:rPr>
              <w:t xml:space="preserve">  </w:t>
            </w:r>
          </w:p>
          <w:p w14:paraId="56A09316" w14:textId="7F6C145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t>Singapore is proposing Data Portability Obligations giving consumers control of personal data to strengthen accountability among organisations and consumer trust in the management of personal data.</w:t>
            </w:r>
            <w:r w:rsidR="00E75FDA">
              <w:rPr>
                <w:rStyle w:val="FootnoteReference"/>
                <w:rFonts w:eastAsia="Calibri" w:cstheme="minorHAnsi"/>
                <w:sz w:val="20"/>
                <w:szCs w:val="20"/>
                <w:lang w:val="en-GB"/>
              </w:rPr>
              <w:footnoteReference w:id="116"/>
            </w:r>
            <w:r w:rsidRPr="005E530A">
              <w:rPr>
                <w:rFonts w:eastAsia="Calibri" w:cstheme="minorHAnsi"/>
                <w:sz w:val="20"/>
                <w:szCs w:val="20"/>
                <w:lang w:val="en-GB"/>
              </w:rPr>
              <w:t xml:space="preserve"> </w:t>
            </w:r>
          </w:p>
          <w:p w14:paraId="69378D0E" w14:textId="77777777" w:rsidR="00C42A2A" w:rsidRPr="005E530A" w:rsidRDefault="00C42A2A" w:rsidP="00C9081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5E530A">
              <w:rPr>
                <w:rFonts w:eastAsia="Calibri" w:cstheme="minorHAnsi"/>
                <w:sz w:val="20"/>
                <w:szCs w:val="20"/>
                <w:lang w:val="en-GB"/>
              </w:rPr>
              <w:lastRenderedPageBreak/>
              <w:t>Singapore and Australia will promote transparent and facilitative rules encouraging open APIs.</w:t>
            </w:r>
            <w:r w:rsidRPr="005E530A">
              <w:rPr>
                <w:rStyle w:val="FootnoteReference"/>
                <w:rFonts w:eastAsia="Calibri" w:cstheme="minorHAnsi"/>
                <w:sz w:val="20"/>
                <w:szCs w:val="20"/>
                <w:lang w:val="en-GB"/>
              </w:rPr>
              <w:footnoteReference w:id="117"/>
            </w:r>
          </w:p>
        </w:tc>
      </w:tr>
    </w:tbl>
    <w:p w14:paraId="63BD545E" w14:textId="007E896C" w:rsidR="00C42A2A" w:rsidRPr="00731DDC" w:rsidRDefault="006F24F7" w:rsidP="00C42A2A">
      <w:pPr>
        <w:pStyle w:val="Heading3"/>
        <w:rPr>
          <w:lang w:val="en-GB"/>
        </w:rPr>
      </w:pPr>
      <w:bookmarkStart w:id="85" w:name="_Hlk39049951"/>
      <w:r>
        <w:rPr>
          <w:lang w:val="en-GB"/>
        </w:rPr>
        <w:lastRenderedPageBreak/>
        <w:t xml:space="preserve">Initial </w:t>
      </w:r>
      <w:r w:rsidR="00C42A2A" w:rsidRPr="00731DDC">
        <w:rPr>
          <w:lang w:val="en-GB"/>
        </w:rPr>
        <w:t>Priority Areas</w:t>
      </w:r>
    </w:p>
    <w:p w14:paraId="715A81C6" w14:textId="77777777" w:rsidR="00C42A2A" w:rsidRPr="00731DDC" w:rsidRDefault="00C42A2A" w:rsidP="005F4075">
      <w:pPr>
        <w:rPr>
          <w:lang w:val="en-GB"/>
        </w:rPr>
      </w:pPr>
      <w:r w:rsidRPr="00731DDC">
        <w:rPr>
          <w:lang w:val="en-GB"/>
        </w:rPr>
        <w:t>At present, both standards bodies, Enterprise Singapore and Standards Australia, have been prioritising standards for particular emerging areas, namely AI, Blockchain/ DLT and Smart Cities. As a starting point, cooperation on these areas can provide the following benefits to both countries.</w:t>
      </w:r>
    </w:p>
    <w:p w14:paraId="38316AC9" w14:textId="77777777" w:rsidR="00C42A2A" w:rsidRPr="00731DDC" w:rsidRDefault="00C42A2A" w:rsidP="001F09E1">
      <w:pPr>
        <w:pStyle w:val="ListParagraph"/>
        <w:numPr>
          <w:ilvl w:val="0"/>
          <w:numId w:val="16"/>
        </w:numPr>
        <w:spacing w:before="0" w:after="160" w:line="276" w:lineRule="auto"/>
        <w:ind w:left="426" w:hanging="426"/>
        <w:rPr>
          <w:b/>
          <w:bCs/>
          <w:lang w:val="en-GB"/>
        </w:rPr>
      </w:pPr>
      <w:r w:rsidRPr="00731DDC">
        <w:rPr>
          <w:b/>
          <w:bCs/>
          <w:lang w:val="en-GB"/>
        </w:rPr>
        <w:t>Grow industry sectors with scope for mutual trade</w:t>
      </w:r>
    </w:p>
    <w:p w14:paraId="5ADA838D" w14:textId="77777777" w:rsidR="00C42A2A" w:rsidRPr="00731DDC" w:rsidRDefault="00C42A2A" w:rsidP="00C42A2A">
      <w:pPr>
        <w:spacing w:line="276" w:lineRule="auto"/>
        <w:ind w:left="426"/>
        <w:rPr>
          <w:rFonts w:ascii="Calibri" w:eastAsia="Calibri" w:hAnsi="Calibri" w:cs="Arial"/>
          <w:lang w:val="en-GB"/>
        </w:rPr>
      </w:pPr>
      <w:r w:rsidRPr="00731DDC">
        <w:rPr>
          <w:rFonts w:ascii="Calibri" w:eastAsia="Calibri" w:hAnsi="Calibri" w:cs="Arial"/>
          <w:lang w:val="en-GB"/>
        </w:rPr>
        <w:t xml:space="preserve">AI has been identified as particularly valuable for both countries. Australia has developed a roadmap commissioned by DISER, which highlights standards for AI and the strategic importance of Australia’s international engagement and alignment. The roadmap recommends that Australia specialises its AI capability in: (i) </w:t>
      </w:r>
      <w:r w:rsidRPr="00731DDC">
        <w:rPr>
          <w:rFonts w:ascii="Calibri" w:eastAsia="Calibri" w:hAnsi="Calibri" w:cs="Arial"/>
          <w:b/>
          <w:bCs/>
          <w:lang w:val="en-GB"/>
        </w:rPr>
        <w:t>health, aged care and disability services; (ii) towns, cities and infrastructure; and (iii) managing the environment and natural resources</w:t>
      </w:r>
      <w:r w:rsidRPr="00731DDC">
        <w:rPr>
          <w:rFonts w:ascii="Calibri" w:eastAsia="Calibri" w:hAnsi="Calibri" w:cs="Arial"/>
          <w:lang w:val="en-GB"/>
        </w:rPr>
        <w:t>.</w:t>
      </w:r>
      <w:r w:rsidRPr="00731DDC">
        <w:rPr>
          <w:rStyle w:val="FootnoteReference"/>
          <w:rFonts w:ascii="Calibri" w:eastAsia="Calibri" w:hAnsi="Calibri" w:cs="Arial"/>
          <w:lang w:val="en-GB"/>
        </w:rPr>
        <w:footnoteReference w:id="118"/>
      </w:r>
      <w:r w:rsidRPr="00731DDC">
        <w:rPr>
          <w:rFonts w:ascii="Calibri" w:eastAsia="Calibri" w:hAnsi="Calibri" w:cs="Arial"/>
          <w:lang w:val="en-GB"/>
        </w:rPr>
        <w:t xml:space="preserve"> As such Australia is developing its Artificial Intelligence Ethics Framework to guide businesses and governments looking to design, develop and implement AI.</w:t>
      </w:r>
      <w:r w:rsidRPr="00731DDC">
        <w:rPr>
          <w:vertAlign w:val="superscript"/>
          <w:lang w:val="en-GB"/>
        </w:rPr>
        <w:footnoteReference w:id="119"/>
      </w:r>
      <w:r w:rsidRPr="00731DDC">
        <w:rPr>
          <w:rFonts w:ascii="Calibri" w:eastAsia="Calibri" w:hAnsi="Calibri" w:cs="Arial"/>
          <w:lang w:val="en-GB"/>
        </w:rPr>
        <w:t xml:space="preserve"> </w:t>
      </w:r>
    </w:p>
    <w:p w14:paraId="0BF58C98" w14:textId="20D822BE" w:rsidR="00C42A2A" w:rsidRPr="00731DDC" w:rsidRDefault="00C42A2A" w:rsidP="00C42A2A">
      <w:pPr>
        <w:spacing w:line="276" w:lineRule="auto"/>
        <w:ind w:left="426"/>
        <w:rPr>
          <w:rFonts w:ascii="Calibri" w:eastAsia="Calibri" w:hAnsi="Calibri" w:cs="Arial"/>
          <w:lang w:val="en-GB"/>
        </w:rPr>
      </w:pPr>
      <w:r w:rsidRPr="00731DDC">
        <w:rPr>
          <w:rFonts w:ascii="Calibri" w:eastAsia="Calibri" w:hAnsi="Calibri" w:cs="Arial"/>
          <w:lang w:val="en-GB"/>
        </w:rPr>
        <w:t xml:space="preserve">Singapore has identified </w:t>
      </w:r>
      <w:r w:rsidR="003A42EE">
        <w:rPr>
          <w:rFonts w:ascii="Calibri" w:eastAsia="Calibri" w:hAnsi="Calibri" w:cs="Arial"/>
          <w:lang w:val="en-GB"/>
        </w:rPr>
        <w:t>five</w:t>
      </w:r>
      <w:r w:rsidRPr="00731DDC">
        <w:rPr>
          <w:rFonts w:ascii="Calibri" w:eastAsia="Calibri" w:hAnsi="Calibri" w:cs="Arial"/>
          <w:lang w:val="en-GB"/>
        </w:rPr>
        <w:t xml:space="preserve"> National AI Projects in </w:t>
      </w:r>
      <w:r w:rsidRPr="00731DDC">
        <w:rPr>
          <w:rFonts w:ascii="Calibri" w:eastAsia="Calibri" w:hAnsi="Calibri" w:cs="Arial"/>
          <w:b/>
          <w:bCs/>
          <w:lang w:val="en-GB"/>
        </w:rPr>
        <w:t>transport and logistics, smart cities and estates, healthcare, education, and safety and security,</w:t>
      </w:r>
      <w:r w:rsidRPr="00731DDC">
        <w:rPr>
          <w:rFonts w:ascii="Calibri" w:eastAsia="Calibri" w:hAnsi="Calibri" w:cs="Arial"/>
          <w:lang w:val="en-GB"/>
        </w:rPr>
        <w:t xml:space="preserve"> where AI technologies will be used.</w:t>
      </w:r>
      <w:r w:rsidRPr="00731DDC">
        <w:rPr>
          <w:rStyle w:val="FootnoteReference"/>
          <w:rFonts w:ascii="Calibri" w:eastAsia="Calibri" w:hAnsi="Calibri" w:cs="Arial"/>
          <w:lang w:val="en-GB"/>
        </w:rPr>
        <w:footnoteReference w:id="120"/>
      </w:r>
      <w:r w:rsidRPr="00731DDC">
        <w:rPr>
          <w:rFonts w:ascii="Calibri" w:eastAsia="Calibri" w:hAnsi="Calibri" w:cs="Arial"/>
          <w:lang w:val="en-GB"/>
        </w:rPr>
        <w:t xml:space="preserve"> To support the adoption of AI technology, it has developed Model AI Governance Framework for broader consultation, adoption and feedback.</w:t>
      </w:r>
      <w:r w:rsidRPr="00731DDC">
        <w:rPr>
          <w:rStyle w:val="FootnoteReference"/>
          <w:rFonts w:ascii="Calibri" w:eastAsia="Calibri" w:hAnsi="Calibri" w:cs="Arial"/>
          <w:lang w:val="en-GB"/>
        </w:rPr>
        <w:footnoteReference w:id="121"/>
      </w:r>
      <w:r w:rsidRPr="00731DDC">
        <w:rPr>
          <w:rFonts w:ascii="Calibri" w:eastAsia="Calibri" w:hAnsi="Calibri" w:cs="Arial"/>
          <w:lang w:val="en-GB"/>
        </w:rPr>
        <w:t xml:space="preserve"> </w:t>
      </w:r>
    </w:p>
    <w:p w14:paraId="661F6AEC" w14:textId="6FD74A92" w:rsidR="00C42A2A" w:rsidRPr="00731DDC" w:rsidRDefault="00C42A2A" w:rsidP="00C42A2A">
      <w:pPr>
        <w:spacing w:line="276" w:lineRule="auto"/>
        <w:ind w:left="426"/>
        <w:rPr>
          <w:rFonts w:ascii="Calibri" w:eastAsia="Calibri" w:hAnsi="Calibri" w:cs="Arial"/>
          <w:lang w:val="en-GB"/>
        </w:rPr>
      </w:pPr>
      <w:r w:rsidRPr="00731DDC">
        <w:rPr>
          <w:rFonts w:ascii="Calibri" w:eastAsia="Calibri" w:hAnsi="Calibri" w:cs="Arial"/>
          <w:lang w:val="en-GB"/>
        </w:rPr>
        <w:lastRenderedPageBreak/>
        <w:t>While both Singapore and Australia are participating in the international standard ISO/IEC JTC 1/SC 42</w:t>
      </w:r>
      <w:r w:rsidRPr="00731DDC">
        <w:rPr>
          <w:rFonts w:ascii="Calibri" w:eastAsia="Calibri" w:hAnsi="Calibri" w:cs="Arial"/>
          <w:vertAlign w:val="superscript"/>
          <w:lang w:val="en-GB"/>
        </w:rPr>
        <w:footnoteReference w:id="122"/>
      </w:r>
      <w:r w:rsidRPr="00731DDC">
        <w:rPr>
          <w:rFonts w:ascii="Calibri" w:eastAsia="Calibri" w:hAnsi="Calibri" w:cs="Arial"/>
          <w:lang w:val="en-GB"/>
        </w:rPr>
        <w:t xml:space="preserve"> there is scope for each country to provide further learnings to each other, to support the identified industries and increase current and future trade opportunities in those sectors. Together they can lead the conversation in encouraging more widescale adoption of international standards for AI.</w:t>
      </w:r>
    </w:p>
    <w:p w14:paraId="5E55D96B" w14:textId="77777777" w:rsidR="00C42A2A" w:rsidRPr="00731DDC" w:rsidRDefault="00C42A2A" w:rsidP="001F09E1">
      <w:pPr>
        <w:pStyle w:val="ListParagraph"/>
        <w:numPr>
          <w:ilvl w:val="0"/>
          <w:numId w:val="16"/>
        </w:numPr>
        <w:spacing w:before="0" w:after="160" w:line="276" w:lineRule="auto"/>
        <w:ind w:left="426" w:hanging="426"/>
        <w:rPr>
          <w:rFonts w:ascii="Calibri" w:eastAsia="Calibri" w:hAnsi="Calibri" w:cs="Arial"/>
          <w:b/>
          <w:bCs/>
          <w:lang w:val="en-GB"/>
        </w:rPr>
      </w:pPr>
      <w:r w:rsidRPr="00731DDC">
        <w:rPr>
          <w:b/>
          <w:bCs/>
          <w:lang w:val="en-GB"/>
        </w:rPr>
        <w:t>Knowledge</w:t>
      </w:r>
      <w:r w:rsidRPr="00731DDC">
        <w:rPr>
          <w:rFonts w:ascii="Calibri" w:eastAsia="Calibri" w:hAnsi="Calibri" w:cs="Arial"/>
          <w:b/>
          <w:bCs/>
          <w:lang w:val="en-GB"/>
        </w:rPr>
        <w:t xml:space="preserve"> sharing to increase digital trade</w:t>
      </w:r>
      <w:bookmarkStart w:id="87" w:name="_Hlk39051179"/>
      <w:r w:rsidRPr="00731DDC">
        <w:rPr>
          <w:rFonts w:ascii="Calibri" w:eastAsia="Calibri" w:hAnsi="Calibri" w:cs="Arial"/>
          <w:b/>
          <w:bCs/>
          <w:lang w:val="en-GB"/>
        </w:rPr>
        <w:t xml:space="preserve"> </w:t>
      </w:r>
    </w:p>
    <w:p w14:paraId="1E82B71D" w14:textId="77777777" w:rsidR="00C42A2A" w:rsidRPr="00731DDC" w:rsidRDefault="00C42A2A" w:rsidP="00313740">
      <w:pPr>
        <w:pStyle w:val="ListParagraph"/>
        <w:numPr>
          <w:ilvl w:val="0"/>
          <w:numId w:val="0"/>
        </w:numPr>
        <w:spacing w:line="276" w:lineRule="auto"/>
        <w:ind w:left="426"/>
        <w:rPr>
          <w:rFonts w:ascii="Calibri" w:eastAsia="Calibri" w:hAnsi="Calibri" w:cs="Arial"/>
          <w:b/>
          <w:bCs/>
          <w:lang w:val="en-GB"/>
        </w:rPr>
      </w:pPr>
      <w:r w:rsidRPr="00731DDC">
        <w:rPr>
          <w:rFonts w:ascii="Calibri" w:eastAsia="Calibri" w:hAnsi="Calibri" w:cs="Times New Roman"/>
          <w:lang w:val="en-GB"/>
        </w:rPr>
        <w:t>Australia’s financial services sector undertakes nearly 40% of blockchain activity in the country. The professional, scientific and technical services sector represents nearly 20%, with the remaining activity spread across a wide range of sectors, from retail through to mining, contributing to approximately 40% of overall blockchain activity in Australia.</w:t>
      </w:r>
      <w:r w:rsidRPr="00731DDC">
        <w:rPr>
          <w:vertAlign w:val="superscript"/>
          <w:lang w:val="en-GB"/>
        </w:rPr>
        <w:footnoteReference w:id="123"/>
      </w:r>
    </w:p>
    <w:p w14:paraId="17B793D4" w14:textId="77777777" w:rsidR="00C42A2A" w:rsidRPr="00731DDC" w:rsidRDefault="00C42A2A" w:rsidP="00C42A2A">
      <w:pPr>
        <w:spacing w:line="276" w:lineRule="auto"/>
        <w:ind w:left="426"/>
        <w:rPr>
          <w:rFonts w:ascii="Calibri" w:eastAsia="Calibri" w:hAnsi="Calibri" w:cs="Times New Roman"/>
          <w:lang w:val="en-GB"/>
        </w:rPr>
      </w:pPr>
      <w:r w:rsidRPr="00731DDC">
        <w:rPr>
          <w:rFonts w:ascii="Calibri" w:eastAsia="Calibri" w:hAnsi="Calibri" w:cs="Times New Roman"/>
          <w:lang w:val="en-GB"/>
        </w:rPr>
        <w:t>Au</w:t>
      </w:r>
      <w:bookmarkEnd w:id="87"/>
      <w:r w:rsidRPr="00731DDC">
        <w:rPr>
          <w:rFonts w:ascii="Calibri" w:eastAsia="Calibri" w:hAnsi="Calibri" w:cs="Times New Roman"/>
          <w:lang w:val="en-GB"/>
        </w:rPr>
        <w:t xml:space="preserve">stralia has developed a roadmap that identifies the potential economic benefit of the strategic deployment of blockchain technology in the areas of </w:t>
      </w:r>
      <w:r w:rsidRPr="00731DDC">
        <w:rPr>
          <w:rFonts w:ascii="Calibri" w:eastAsia="Calibri" w:hAnsi="Calibri" w:cs="Times New Roman"/>
          <w:b/>
          <w:bCs/>
          <w:lang w:val="en-GB"/>
        </w:rPr>
        <w:t>supply chain, educational qualifications and credentials and identity</w:t>
      </w:r>
      <w:r w:rsidRPr="00731DDC">
        <w:rPr>
          <w:rFonts w:ascii="Calibri" w:eastAsia="Calibri" w:hAnsi="Calibri" w:cs="Times New Roman"/>
          <w:lang w:val="en-GB"/>
        </w:rPr>
        <w:t>.</w:t>
      </w:r>
      <w:r w:rsidRPr="00731DDC">
        <w:rPr>
          <w:rFonts w:ascii="Calibri" w:eastAsia="Calibri" w:hAnsi="Calibri" w:cs="Arial"/>
          <w:lang w:val="en-GB"/>
        </w:rPr>
        <w:t xml:space="preserve"> </w:t>
      </w:r>
      <w:bookmarkStart w:id="88" w:name="_Hlk39051227"/>
    </w:p>
    <w:bookmarkEnd w:id="88"/>
    <w:p w14:paraId="78AED9A5" w14:textId="77777777" w:rsidR="00C42A2A" w:rsidRPr="00731DDC" w:rsidRDefault="00C42A2A" w:rsidP="00C42A2A">
      <w:pPr>
        <w:spacing w:line="276" w:lineRule="auto"/>
        <w:ind w:left="426"/>
        <w:rPr>
          <w:rFonts w:ascii="Calibri" w:eastAsia="Calibri" w:hAnsi="Calibri" w:cs="Times New Roman"/>
          <w:lang w:val="en-GB"/>
        </w:rPr>
      </w:pPr>
      <w:r w:rsidRPr="00731DDC">
        <w:rPr>
          <w:rFonts w:ascii="Calibri" w:eastAsia="Calibri" w:hAnsi="Calibri" w:cs="Times New Roman"/>
          <w:lang w:val="en-GB"/>
        </w:rPr>
        <w:t>Singapore is using blockchain across a number of applications, infrastructure which include financial services, digital identity and digital assets.</w:t>
      </w:r>
      <w:r w:rsidRPr="00731DDC">
        <w:rPr>
          <w:rStyle w:val="FootnoteReference"/>
          <w:rFonts w:ascii="Calibri" w:eastAsia="Calibri" w:hAnsi="Calibri" w:cs="Times New Roman"/>
          <w:lang w:val="en-GB"/>
        </w:rPr>
        <w:footnoteReference w:id="124"/>
      </w:r>
      <w:r w:rsidRPr="00731DDC">
        <w:rPr>
          <w:rFonts w:ascii="Calibri" w:eastAsia="Calibri" w:hAnsi="Calibri" w:cs="Times New Roman"/>
          <w:lang w:val="en-GB"/>
        </w:rPr>
        <w:t xml:space="preserve"> The government agency, IMDA has developed TradeTrust, a blockchain-based framework for the</w:t>
      </w:r>
      <w:r w:rsidRPr="00731DDC">
        <w:rPr>
          <w:rFonts w:ascii="Calibri" w:eastAsia="Calibri" w:hAnsi="Calibri" w:cs="Times New Roman"/>
          <w:b/>
          <w:bCs/>
          <w:lang w:val="en-GB"/>
        </w:rPr>
        <w:t xml:space="preserve"> trade and logistics</w:t>
      </w:r>
      <w:r w:rsidRPr="00731DDC">
        <w:rPr>
          <w:rFonts w:ascii="Calibri" w:eastAsia="Calibri" w:hAnsi="Calibri" w:cs="Times New Roman"/>
          <w:lang w:val="en-GB"/>
        </w:rPr>
        <w:t xml:space="preserve"> community. TradeTrust aims to facilitate the interoperability of electronic trade documents exchanged between different digital ecosystems, and seeks to reduce inefficiencies and complexities of cross-border trade arising from the current usage of paper-based documentation.</w:t>
      </w:r>
    </w:p>
    <w:p w14:paraId="66E08088" w14:textId="77777777" w:rsidR="00C42A2A" w:rsidRPr="00731DDC" w:rsidRDefault="00C42A2A" w:rsidP="00C42A2A">
      <w:pPr>
        <w:spacing w:line="276" w:lineRule="auto"/>
        <w:ind w:left="426"/>
        <w:rPr>
          <w:rFonts w:ascii="Calibri" w:eastAsia="Calibri" w:hAnsi="Calibri" w:cs="Times New Roman"/>
          <w:lang w:val="en-GB"/>
        </w:rPr>
      </w:pPr>
      <w:r w:rsidRPr="00731DDC">
        <w:rPr>
          <w:rFonts w:ascii="Calibri" w:eastAsia="Calibri" w:hAnsi="Calibri" w:cs="Times New Roman"/>
          <w:lang w:val="en-GB"/>
        </w:rPr>
        <w:t>Australia has been leading the international development of a suite of blockchain standards with reference to architecture, taxonomy, ontology, security, privacy, identity and smart contracts.</w:t>
      </w:r>
      <w:r w:rsidRPr="00731DDC">
        <w:rPr>
          <w:vertAlign w:val="superscript"/>
          <w:lang w:val="en-GB"/>
        </w:rPr>
        <w:footnoteReference w:id="125"/>
      </w:r>
      <w:r w:rsidRPr="00731DDC">
        <w:rPr>
          <w:rFonts w:ascii="Calibri" w:eastAsia="Calibri" w:hAnsi="Calibri" w:cs="Times New Roman"/>
          <w:lang w:val="en-GB"/>
        </w:rPr>
        <w:t xml:space="preserve"> Joint cooperation on emerging blockchain standards can deliver productivity improvements in a number of industries where digital trade occurs between the two countries now and in the future.</w:t>
      </w:r>
    </w:p>
    <w:p w14:paraId="4DAFC955" w14:textId="77777777" w:rsidR="00C42A2A" w:rsidRPr="00731DDC" w:rsidRDefault="00C42A2A" w:rsidP="001F09E1">
      <w:pPr>
        <w:pStyle w:val="ListParagraph"/>
        <w:keepNext/>
        <w:numPr>
          <w:ilvl w:val="0"/>
          <w:numId w:val="16"/>
        </w:numPr>
        <w:spacing w:before="0" w:after="160" w:line="276" w:lineRule="auto"/>
        <w:ind w:left="425" w:hanging="425"/>
        <w:rPr>
          <w:rFonts w:ascii="Calibri" w:eastAsia="Calibri" w:hAnsi="Calibri" w:cs="Times New Roman"/>
          <w:b/>
          <w:bCs/>
          <w:lang w:val="en-GB"/>
        </w:rPr>
      </w:pPr>
      <w:r w:rsidRPr="00731DDC">
        <w:rPr>
          <w:rFonts w:ascii="Calibri" w:eastAsia="Calibri" w:hAnsi="Calibri" w:cs="Times New Roman"/>
          <w:b/>
          <w:bCs/>
          <w:lang w:val="en-GB"/>
        </w:rPr>
        <w:t>Grow future digital trade</w:t>
      </w:r>
    </w:p>
    <w:p w14:paraId="6BCB993E" w14:textId="77777777" w:rsidR="00C42A2A" w:rsidRPr="00731DDC" w:rsidRDefault="00C42A2A" w:rsidP="00C42A2A">
      <w:pPr>
        <w:spacing w:line="276" w:lineRule="auto"/>
        <w:ind w:left="426"/>
        <w:rPr>
          <w:rFonts w:ascii="Calibri" w:eastAsia="Calibri" w:hAnsi="Calibri" w:cs="Arial"/>
          <w:lang w:val="en-GB"/>
        </w:rPr>
      </w:pPr>
      <w:r w:rsidRPr="00731DDC">
        <w:rPr>
          <w:rFonts w:ascii="Calibri" w:eastAsia="Calibri" w:hAnsi="Calibri" w:cs="Arial"/>
          <w:lang w:val="en-GB"/>
        </w:rPr>
        <w:t xml:space="preserve">Both countries are keen to develop smart cities, which includes AVs, smart ports, and smart grids. </w:t>
      </w:r>
      <w:r w:rsidRPr="00731DDC">
        <w:rPr>
          <w:lang w:val="en-GB"/>
        </w:rPr>
        <w:t xml:space="preserve">Smart cities implement integrated and interconnected digital technologies to manage resources, services and assets efficiently. The objectives for Smart Cities are to improve social, economic and environmental sustainability outcomes for the city by providing better services more efficiently while improving quality of life and responding to urban challenges including climate change and rapid population migration and </w:t>
      </w:r>
      <w:r w:rsidRPr="00731DDC">
        <w:rPr>
          <w:lang w:val="en-GB"/>
        </w:rPr>
        <w:lastRenderedPageBreak/>
        <w:t>growth. Smart City plans require applying collaborative leadership methods working across disciplines and city systems.</w:t>
      </w:r>
      <w:r w:rsidRPr="00731DDC">
        <w:rPr>
          <w:rStyle w:val="FootnoteReference"/>
          <w:lang w:val="en-GB"/>
        </w:rPr>
        <w:footnoteReference w:id="126"/>
      </w:r>
    </w:p>
    <w:p w14:paraId="7CC2D7C8" w14:textId="77777777" w:rsidR="00C42A2A" w:rsidRPr="00731DDC" w:rsidRDefault="00C42A2A" w:rsidP="00C42A2A">
      <w:pPr>
        <w:spacing w:line="276" w:lineRule="auto"/>
        <w:ind w:left="426"/>
        <w:rPr>
          <w:lang w:val="en-GB"/>
        </w:rPr>
      </w:pPr>
      <w:bookmarkStart w:id="89" w:name="_Hlk32246605"/>
      <w:r w:rsidRPr="00731DDC">
        <w:rPr>
          <w:lang w:val="en-GB"/>
        </w:rPr>
        <w:t>Australia is seeking smart city solutions to reduce congestion between now and 2030. It is the total benefits due to improved travel times are estimated to be almost AUD10bn.</w:t>
      </w:r>
      <w:r w:rsidRPr="00731DDC">
        <w:rPr>
          <w:rStyle w:val="FootnoteReference"/>
          <w:lang w:val="en-GB"/>
        </w:rPr>
        <w:footnoteReference w:id="127"/>
      </w:r>
      <w:r w:rsidRPr="00731DDC">
        <w:rPr>
          <w:lang w:val="en-GB"/>
        </w:rPr>
        <w:t xml:space="preserve"> Similarly, Singapore ‘Smart Nation’ programme focuses on innovation and commercialisation of technologies provide opportunities for collaboration and commercial partnerships across sectors including cyber security and big data.</w:t>
      </w:r>
    </w:p>
    <w:bookmarkEnd w:id="89"/>
    <w:p w14:paraId="59DD0206" w14:textId="22890F19" w:rsidR="00C42A2A" w:rsidRPr="00731DDC" w:rsidRDefault="00C42A2A" w:rsidP="00C42A2A">
      <w:pPr>
        <w:spacing w:line="276" w:lineRule="auto"/>
        <w:ind w:left="426"/>
        <w:rPr>
          <w:rFonts w:ascii="Calibri" w:eastAsia="Calibri" w:hAnsi="Calibri" w:cs="Times New Roman"/>
          <w:lang w:val="en-GB"/>
        </w:rPr>
      </w:pPr>
      <w:r w:rsidRPr="00731DDC">
        <w:rPr>
          <w:lang w:val="en-GB"/>
        </w:rPr>
        <w:t xml:space="preserve">The main standards setting working group for smart cities is </w:t>
      </w:r>
      <w:r w:rsidRPr="00731DDC">
        <w:rPr>
          <w:b/>
          <w:bCs/>
          <w:lang w:val="en-GB"/>
        </w:rPr>
        <w:t>ISO TC 268 Sustainable Cities and Communities, where ISO/TC 268/SC1</w:t>
      </w:r>
      <w:r w:rsidRPr="00731DDC">
        <w:rPr>
          <w:lang w:val="en-GB"/>
        </w:rPr>
        <w:t xml:space="preserve"> has already published 13 standards and with another 13 under development.</w:t>
      </w:r>
      <w:r w:rsidRPr="00731DDC">
        <w:rPr>
          <w:rStyle w:val="FootnoteReference"/>
          <w:lang w:val="en-GB"/>
        </w:rPr>
        <w:footnoteReference w:id="128"/>
      </w:r>
      <w:r w:rsidRPr="00731DDC">
        <w:rPr>
          <w:lang w:val="en-GB"/>
        </w:rPr>
        <w:t xml:space="preserve"> This includes standardisation in the development of requirements, frameworks, guidance and supporting techniques and tools related to the achievement of sustainable development considering smartness and resilience, to help all cities and communities and their interested parties in both rural and urban areas become more sustainable. </w:t>
      </w:r>
      <w:r w:rsidRPr="00731DDC">
        <w:rPr>
          <w:rFonts w:ascii="Calibri" w:eastAsia="Calibri" w:hAnsi="Calibri" w:cs="Times New Roman"/>
          <w:lang w:val="en-GB"/>
        </w:rPr>
        <w:t>Both Australia and Singapore are participating in ISO/TC 268 for smart cities.</w:t>
      </w:r>
      <w:r w:rsidRPr="00731DDC">
        <w:rPr>
          <w:rFonts w:cs="Times New Roman"/>
          <w:vertAlign w:val="superscript"/>
          <w:lang w:val="en-GB"/>
        </w:rPr>
        <w:footnoteReference w:id="129"/>
      </w:r>
      <w:r w:rsidRPr="00731DDC">
        <w:rPr>
          <w:rFonts w:ascii="Calibri" w:eastAsia="Calibri" w:hAnsi="Calibri" w:cs="Times New Roman"/>
          <w:lang w:val="en-GB"/>
        </w:rPr>
        <w:t xml:space="preserve"> This suggests that is scope for knowledge sharing between the two countries Australia.</w:t>
      </w:r>
    </w:p>
    <w:p w14:paraId="0EA38F74" w14:textId="77777777" w:rsidR="00C42A2A" w:rsidRPr="00731DDC" w:rsidRDefault="00C42A2A" w:rsidP="00C42A2A">
      <w:pPr>
        <w:spacing w:line="276" w:lineRule="auto"/>
        <w:ind w:left="426"/>
        <w:rPr>
          <w:lang w:val="en-GB"/>
        </w:rPr>
      </w:pPr>
    </w:p>
    <w:p w14:paraId="05EFCA6B" w14:textId="77777777" w:rsidR="00313740" w:rsidRPr="00731DDC" w:rsidRDefault="00313740">
      <w:pPr>
        <w:spacing w:before="0" w:after="0"/>
        <w:rPr>
          <w:rFonts w:eastAsiaTheme="majorEastAsia" w:cstheme="majorBidi"/>
          <w:b/>
          <w:bCs/>
          <w:color w:val="2F5496" w:themeColor="accent1" w:themeShade="BF"/>
          <w:sz w:val="24"/>
          <w:szCs w:val="28"/>
          <w:lang w:val="en-GB"/>
        </w:rPr>
      </w:pPr>
      <w:bookmarkStart w:id="90" w:name="_Toc32223713"/>
      <w:bookmarkStart w:id="91" w:name="_Hlk29202226"/>
      <w:bookmarkStart w:id="92" w:name="_Hlk38760585"/>
      <w:bookmarkStart w:id="93" w:name="_Hlk38812665"/>
      <w:bookmarkEnd w:id="68"/>
      <w:bookmarkEnd w:id="85"/>
      <w:r w:rsidRPr="00731DDC">
        <w:rPr>
          <w:lang w:val="en-GB"/>
        </w:rPr>
        <w:br w:type="page"/>
      </w:r>
    </w:p>
    <w:p w14:paraId="33C2FE81" w14:textId="1C15A88C" w:rsidR="00C42A2A" w:rsidRPr="00731DDC" w:rsidRDefault="00C42A2A" w:rsidP="00C42A2A">
      <w:pPr>
        <w:pStyle w:val="Heading1"/>
        <w:rPr>
          <w:lang w:val="en-GB"/>
        </w:rPr>
      </w:pPr>
      <w:bookmarkStart w:id="94" w:name="_Toc51167332"/>
      <w:r w:rsidRPr="00731DDC">
        <w:rPr>
          <w:lang w:val="en-GB"/>
        </w:rPr>
        <w:lastRenderedPageBreak/>
        <w:t>Conclusions and Next Steps</w:t>
      </w:r>
      <w:bookmarkEnd w:id="90"/>
      <w:bookmarkEnd w:id="94"/>
    </w:p>
    <w:bookmarkEnd w:id="91"/>
    <w:p w14:paraId="5AAA5887" w14:textId="77777777" w:rsidR="00C42A2A" w:rsidRPr="00731DDC" w:rsidRDefault="00C42A2A" w:rsidP="005F4075">
      <w:pPr>
        <w:rPr>
          <w:lang w:val="en-GB"/>
        </w:rPr>
      </w:pPr>
      <w:r w:rsidRPr="00731DDC">
        <w:rPr>
          <w:lang w:val="en-GB"/>
        </w:rPr>
        <w:t>Australia and Singapore are already significant trading partners and have the opportunity through the DEA to further accelerate trade. At present each country has a growing digital economy. For instance, the Australian Bureau of Statistics estimated that Australia’s digital economy grew from approximately AUD79bn in 2012–13 to AUD93.5bn in 2016–17.</w:t>
      </w:r>
      <w:r w:rsidRPr="00731DDC">
        <w:rPr>
          <w:rStyle w:val="FootnoteReference"/>
          <w:lang w:val="en-GB"/>
        </w:rPr>
        <w:footnoteReference w:id="130"/>
      </w:r>
      <w:r w:rsidRPr="00731DDC">
        <w:rPr>
          <w:lang w:val="en-GB"/>
        </w:rPr>
        <w:t xml:space="preserve"> Singapore’s Internet economy</w:t>
      </w:r>
      <w:r w:rsidRPr="00731DDC">
        <w:rPr>
          <w:rStyle w:val="FootnoteReference"/>
          <w:rFonts w:ascii="Calibri" w:eastAsia="Calibri" w:hAnsi="Calibri" w:cs="Arial"/>
          <w:lang w:val="en-GB"/>
        </w:rPr>
        <w:footnoteReference w:id="131"/>
      </w:r>
      <w:r w:rsidRPr="00731DDC">
        <w:rPr>
          <w:lang w:val="en-GB"/>
        </w:rPr>
        <w:t xml:space="preserve"> is also booming, estimated to have reached AUD18.4bn in 2019.</w:t>
      </w:r>
      <w:r w:rsidRPr="00731DDC">
        <w:rPr>
          <w:rStyle w:val="FootnoteReference"/>
          <w:rFonts w:ascii="Calibri" w:eastAsia="Calibri" w:hAnsi="Calibri" w:cs="Arial"/>
          <w:lang w:val="en-GB"/>
        </w:rPr>
        <w:footnoteReference w:id="132"/>
      </w:r>
      <w:r w:rsidRPr="00731DDC">
        <w:rPr>
          <w:lang w:val="en-GB"/>
        </w:rPr>
        <w:t xml:space="preserve"> </w:t>
      </w:r>
    </w:p>
    <w:p w14:paraId="54131FB0" w14:textId="7F14F19E" w:rsidR="00C42A2A" w:rsidRPr="00731DDC" w:rsidRDefault="00C42A2A" w:rsidP="005F4075">
      <w:pPr>
        <w:rPr>
          <w:lang w:val="en-GB"/>
        </w:rPr>
      </w:pPr>
      <w:r w:rsidRPr="00731DDC">
        <w:rPr>
          <w:lang w:val="en-GB"/>
        </w:rPr>
        <w:t xml:space="preserve">Digital technologies lower barriers to trade, improve efficiency, and open access to markets creating new trade possibilities. For Australia, our research and analysis suggests that at a minimum, digital trade (as defined in this report) could rise to a projected </w:t>
      </w:r>
      <w:r w:rsidRPr="00731DDC">
        <w:rPr>
          <w:b/>
          <w:bCs/>
          <w:lang w:val="en-GB"/>
        </w:rPr>
        <w:t>AUD216.21bn by 2030</w:t>
      </w:r>
      <w:r w:rsidRPr="00731DDC">
        <w:rPr>
          <w:lang w:val="en-GB"/>
        </w:rPr>
        <w:t xml:space="preserve">. For Singapore,  digital trade could conservatively reach </w:t>
      </w:r>
      <w:r w:rsidRPr="00731DDC">
        <w:rPr>
          <w:b/>
          <w:bCs/>
          <w:lang w:val="en-GB"/>
        </w:rPr>
        <w:t>AUD95.62bn</w:t>
      </w:r>
      <w:r w:rsidRPr="00731DDC">
        <w:rPr>
          <w:lang w:val="en-GB"/>
        </w:rPr>
        <w:t xml:space="preserve">. This suggests that the economic value of digital trade has the potential to increase  </w:t>
      </w:r>
      <w:r w:rsidRPr="00731DDC">
        <w:rPr>
          <w:b/>
          <w:bCs/>
          <w:lang w:val="en-GB"/>
        </w:rPr>
        <w:t>60% and 70% for Australia and Singapore respectively.</w:t>
      </w:r>
      <w:r w:rsidR="00313740" w:rsidRPr="00731DDC">
        <w:rPr>
          <w:b/>
          <w:bCs/>
          <w:lang w:val="en-GB"/>
        </w:rPr>
        <w:t xml:space="preserve"> </w:t>
      </w:r>
      <w:r w:rsidRPr="00731DDC">
        <w:rPr>
          <w:lang w:val="en-GB"/>
        </w:rPr>
        <w:t>However, current efforts are based on leveraging of current comparative advantages and developing national policies, programmes that seek to promote and develop future digital technologies which they believe will drive economic growth. This approach creates significant risks to future technologies developed may not connect across borders and/or with other technologies. Cooperation on standards can lead to enhanced economic integration between the two economies and allows greater ease of doing businesses and economies of scale. For example, the payment sector in both countries is highly regulated with national regulations to serve national objectives. Payment mechanisms are essential to all forms of trade and it is important to detect fraud activities. Alignment on payment standards, will make it easier for businesses and consumers in Australia and Singapore to transact in a safe and secure manner. For example, standards underpinning Australia’s New Payments Platform (NPP) and Singapore’s PayNow could be expanded to allow seamless cross-border bank transfers at a lower cost. Similarly, joint standards for payment gateways could make it easier to complete e-commerce transactions.</w:t>
      </w:r>
    </w:p>
    <w:p w14:paraId="7CB38B4F" w14:textId="77777777" w:rsidR="00C42A2A" w:rsidRPr="00731DDC" w:rsidRDefault="00C42A2A" w:rsidP="005F4075">
      <w:pPr>
        <w:rPr>
          <w:lang w:val="en-GB"/>
        </w:rPr>
      </w:pPr>
      <w:r w:rsidRPr="00731DDC">
        <w:rPr>
          <w:lang w:val="en-GB"/>
        </w:rPr>
        <w:t xml:space="preserve">In this report, we highlight the relevant international standards that can support four aspects of digital trade, namely, (i) trade in digital goods and services, (ii) digital technologies that can assist trade in physical goods and services, (iii) digital enablers as well as (iv) emerging digital technologies. </w:t>
      </w:r>
    </w:p>
    <w:p w14:paraId="0EF456E1" w14:textId="0BE0BF77" w:rsidR="00C42A2A" w:rsidRPr="00731DDC" w:rsidRDefault="00C42A2A" w:rsidP="005F4075">
      <w:pPr>
        <w:rPr>
          <w:lang w:val="en-GB"/>
        </w:rPr>
      </w:pPr>
      <w:r w:rsidRPr="00731DDC">
        <w:rPr>
          <w:lang w:val="en-GB"/>
        </w:rPr>
        <w:t>International standards set out specifications and procedures and provide the following benefits</w:t>
      </w:r>
      <w:r w:rsidR="005F4075">
        <w:rPr>
          <w:lang w:val="en-GB"/>
        </w:rPr>
        <w:t>:</w:t>
      </w:r>
    </w:p>
    <w:p w14:paraId="4EB5AEE8" w14:textId="77777777" w:rsidR="00C42A2A" w:rsidRPr="00731DDC" w:rsidRDefault="00C42A2A" w:rsidP="001F09E1">
      <w:pPr>
        <w:pStyle w:val="ListParagraph"/>
        <w:numPr>
          <w:ilvl w:val="0"/>
          <w:numId w:val="25"/>
        </w:numPr>
        <w:spacing w:before="0" w:after="160" w:line="276" w:lineRule="auto"/>
        <w:contextualSpacing/>
        <w:rPr>
          <w:rFonts w:ascii="Calibri" w:eastAsia="Calibri" w:hAnsi="Calibri" w:cs="Arial"/>
          <w:lang w:val="en-GB"/>
        </w:rPr>
      </w:pPr>
      <w:r w:rsidRPr="00731DDC">
        <w:rPr>
          <w:b/>
          <w:bCs/>
          <w:lang w:val="en-GB"/>
        </w:rPr>
        <w:t>Interoperability</w:t>
      </w:r>
      <w:r w:rsidRPr="00731DDC">
        <w:rPr>
          <w:rFonts w:ascii="Calibri" w:eastAsia="Calibri" w:hAnsi="Calibri" w:cs="Arial"/>
          <w:b/>
          <w:bCs/>
          <w:lang w:val="en-GB"/>
        </w:rPr>
        <w:t>:</w:t>
      </w:r>
      <w:r w:rsidRPr="00731DDC">
        <w:rPr>
          <w:rFonts w:ascii="Calibri" w:eastAsia="Calibri" w:hAnsi="Calibri" w:cs="Arial"/>
          <w:lang w:val="en-GB"/>
        </w:rPr>
        <w:t xml:space="preserve"> in digital systems for transparency, simplicity, and compliance;</w:t>
      </w:r>
    </w:p>
    <w:p w14:paraId="2B03EAD3" w14:textId="77777777" w:rsidR="00C42A2A" w:rsidRPr="00731DDC" w:rsidRDefault="00C42A2A" w:rsidP="001F09E1">
      <w:pPr>
        <w:pStyle w:val="ListParagraph"/>
        <w:numPr>
          <w:ilvl w:val="0"/>
          <w:numId w:val="25"/>
        </w:numPr>
        <w:spacing w:before="0" w:after="160" w:line="276" w:lineRule="auto"/>
        <w:contextualSpacing/>
        <w:rPr>
          <w:rFonts w:ascii="Calibri" w:eastAsia="Calibri" w:hAnsi="Calibri" w:cs="Arial"/>
          <w:lang w:val="en-GB"/>
        </w:rPr>
      </w:pPr>
      <w:r w:rsidRPr="00731DDC">
        <w:rPr>
          <w:rFonts w:ascii="Calibri" w:eastAsia="Calibri" w:hAnsi="Calibri" w:cs="Arial"/>
          <w:b/>
          <w:bCs/>
          <w:lang w:val="en-GB"/>
        </w:rPr>
        <w:t>Mutual Compatibility:</w:t>
      </w:r>
      <w:r w:rsidRPr="00731DDC">
        <w:rPr>
          <w:rFonts w:ascii="Calibri" w:eastAsia="Calibri" w:hAnsi="Calibri" w:cs="Arial"/>
          <w:lang w:val="en-GB"/>
        </w:rPr>
        <w:t xml:space="preserve"> in products, components and services;</w:t>
      </w:r>
    </w:p>
    <w:p w14:paraId="505473BF" w14:textId="77777777" w:rsidR="00C42A2A" w:rsidRPr="00731DDC" w:rsidRDefault="00C42A2A" w:rsidP="001F09E1">
      <w:pPr>
        <w:pStyle w:val="ListParagraph"/>
        <w:numPr>
          <w:ilvl w:val="0"/>
          <w:numId w:val="25"/>
        </w:numPr>
        <w:spacing w:before="0" w:after="160" w:line="276" w:lineRule="auto"/>
        <w:contextualSpacing/>
        <w:rPr>
          <w:rFonts w:ascii="Calibri" w:eastAsia="Calibri" w:hAnsi="Calibri" w:cs="Arial"/>
          <w:lang w:val="en-GB"/>
        </w:rPr>
      </w:pPr>
      <w:r w:rsidRPr="00731DDC">
        <w:rPr>
          <w:rFonts w:ascii="Calibri" w:eastAsia="Calibri" w:hAnsi="Calibri" w:cs="Arial"/>
          <w:b/>
          <w:bCs/>
          <w:lang w:val="en-GB"/>
        </w:rPr>
        <w:t>Flexibility and Promptness</w:t>
      </w:r>
      <w:r w:rsidRPr="00731DDC">
        <w:rPr>
          <w:rFonts w:ascii="Calibri" w:eastAsia="Calibri" w:hAnsi="Calibri" w:cs="Arial"/>
          <w:lang w:val="en-GB"/>
        </w:rPr>
        <w:t>: in responding to new challenges or changes; and</w:t>
      </w:r>
    </w:p>
    <w:p w14:paraId="52E95115" w14:textId="77777777" w:rsidR="00C42A2A" w:rsidRPr="00731DDC" w:rsidRDefault="00C42A2A" w:rsidP="001F09E1">
      <w:pPr>
        <w:pStyle w:val="ListParagraph"/>
        <w:numPr>
          <w:ilvl w:val="0"/>
          <w:numId w:val="25"/>
        </w:numPr>
        <w:spacing w:before="0" w:after="160" w:line="276" w:lineRule="auto"/>
        <w:contextualSpacing/>
        <w:rPr>
          <w:rFonts w:ascii="Calibri" w:eastAsia="Calibri" w:hAnsi="Calibri" w:cs="Arial"/>
          <w:lang w:val="en-GB"/>
        </w:rPr>
      </w:pPr>
      <w:r w:rsidRPr="00731DDC">
        <w:rPr>
          <w:rFonts w:ascii="Calibri" w:eastAsia="Calibri" w:hAnsi="Calibri" w:cs="Arial"/>
          <w:b/>
          <w:bCs/>
          <w:lang w:val="en-GB"/>
        </w:rPr>
        <w:t>Consistent Quality</w:t>
      </w:r>
      <w:r w:rsidRPr="00731DDC">
        <w:rPr>
          <w:rFonts w:ascii="Calibri" w:eastAsia="Calibri" w:hAnsi="Calibri" w:cs="Arial"/>
          <w:lang w:val="en-GB"/>
        </w:rPr>
        <w:t>: of product or service with appropriate safety and security safeguards</w:t>
      </w:r>
    </w:p>
    <w:p w14:paraId="5BD885A4" w14:textId="77777777" w:rsidR="00C42A2A" w:rsidRPr="00731DDC" w:rsidRDefault="00C42A2A" w:rsidP="005F4075">
      <w:pPr>
        <w:rPr>
          <w:lang w:val="en-GB"/>
        </w:rPr>
      </w:pPr>
      <w:r w:rsidRPr="00731DDC">
        <w:rPr>
          <w:lang w:val="en-GB"/>
        </w:rPr>
        <w:t xml:space="preserve">Alignment on international standards could be more beneficial than long-term regulatory frameworks. For example, conformance to international standards involves assessing what devices and equipment need to </w:t>
      </w:r>
      <w:r w:rsidRPr="00731DDC">
        <w:rPr>
          <w:lang w:val="en-GB"/>
        </w:rPr>
        <w:lastRenderedPageBreak/>
        <w:t xml:space="preserve">align with standards. Existing and emerging digital technologies need to be considered based on their use case and application, making voluntary standards more suitable.  </w:t>
      </w:r>
    </w:p>
    <w:p w14:paraId="1C8BDDD1" w14:textId="77777777" w:rsidR="00C42A2A" w:rsidRPr="00731DDC" w:rsidRDefault="00C42A2A" w:rsidP="005F4075">
      <w:pPr>
        <w:rPr>
          <w:lang w:val="en-GB"/>
        </w:rPr>
      </w:pPr>
      <w:r w:rsidRPr="00731DDC">
        <w:rPr>
          <w:lang w:val="en-GB"/>
        </w:rPr>
        <w:t>Such cooperation must take place not just around well-known international trading bodies but also those that are less known but actively developing standards for new technologies. For example, QR code standardisation have been set by EMV. Further, IEEE are active in developing standards for IoT, AVs and Blockchain. NIST develops standards for AI and cybersecurity and FIDO Universal Authentication Framework is developing standards for digital identity.</w:t>
      </w:r>
    </w:p>
    <w:p w14:paraId="3CC94A5B" w14:textId="36C7D0A3" w:rsidR="00C42A2A" w:rsidRPr="00731DDC" w:rsidRDefault="00C42A2A" w:rsidP="005F4075">
      <w:pPr>
        <w:rPr>
          <w:lang w:val="en-GB"/>
        </w:rPr>
      </w:pPr>
      <w:r w:rsidRPr="00731DDC">
        <w:rPr>
          <w:lang w:val="en-GB"/>
        </w:rPr>
        <w:t xml:space="preserve">To summarise, Australia and Singapore can accelerate trade between </w:t>
      </w:r>
      <w:r w:rsidR="004042BC">
        <w:rPr>
          <w:lang w:val="en-GB"/>
        </w:rPr>
        <w:t>the two countries</w:t>
      </w:r>
      <w:r w:rsidR="004042BC" w:rsidRPr="00731DDC">
        <w:rPr>
          <w:lang w:val="en-GB"/>
        </w:rPr>
        <w:t xml:space="preserve"> </w:t>
      </w:r>
      <w:r w:rsidRPr="00731DDC">
        <w:rPr>
          <w:lang w:val="en-GB"/>
        </w:rPr>
        <w:t>by:</w:t>
      </w:r>
    </w:p>
    <w:p w14:paraId="11365E14" w14:textId="77777777" w:rsidR="00C42A2A" w:rsidRPr="00731DDC" w:rsidRDefault="00C42A2A" w:rsidP="001F09E1">
      <w:pPr>
        <w:pStyle w:val="ListParagraph"/>
        <w:numPr>
          <w:ilvl w:val="0"/>
          <w:numId w:val="26"/>
        </w:numPr>
        <w:spacing w:before="0" w:after="160" w:line="276" w:lineRule="auto"/>
        <w:contextualSpacing/>
        <w:rPr>
          <w:rFonts w:ascii="Calibri" w:eastAsia="Calibri" w:hAnsi="Calibri" w:cs="Arial"/>
          <w:lang w:val="en-GB"/>
        </w:rPr>
      </w:pPr>
      <w:r w:rsidRPr="00731DDC">
        <w:rPr>
          <w:lang w:val="en-GB"/>
        </w:rPr>
        <w:t>Adopting</w:t>
      </w:r>
      <w:r w:rsidRPr="00731DDC">
        <w:rPr>
          <w:rFonts w:ascii="Calibri" w:eastAsia="Calibri" w:hAnsi="Calibri" w:cs="Arial"/>
          <w:lang w:val="en-GB"/>
        </w:rPr>
        <w:t xml:space="preserve"> a holistic approach to enhance interoperability and improve efficiencies for digital trade within the countries;</w:t>
      </w:r>
    </w:p>
    <w:p w14:paraId="6DC3D0A6" w14:textId="77777777" w:rsidR="00C42A2A" w:rsidRPr="00731DDC" w:rsidRDefault="00C42A2A" w:rsidP="001F09E1">
      <w:pPr>
        <w:pStyle w:val="ListParagraph"/>
        <w:numPr>
          <w:ilvl w:val="0"/>
          <w:numId w:val="26"/>
        </w:numPr>
        <w:spacing w:before="0" w:after="160" w:line="276" w:lineRule="auto"/>
        <w:contextualSpacing/>
        <w:rPr>
          <w:rFonts w:ascii="Calibri" w:eastAsia="Calibri" w:hAnsi="Calibri" w:cs="Arial"/>
          <w:lang w:val="en-GB"/>
        </w:rPr>
      </w:pPr>
      <w:r w:rsidRPr="00731DDC">
        <w:rPr>
          <w:rFonts w:ascii="Calibri" w:eastAsia="Calibri" w:hAnsi="Calibri" w:cs="Arial"/>
          <w:lang w:val="en-GB"/>
        </w:rPr>
        <w:t>Increasing digitalisation across all sectors using systems that can interoperate and interconnect with one another;</w:t>
      </w:r>
    </w:p>
    <w:p w14:paraId="0C2850AA" w14:textId="77777777" w:rsidR="00C42A2A" w:rsidRPr="00731DDC" w:rsidRDefault="00C42A2A" w:rsidP="001F09E1">
      <w:pPr>
        <w:pStyle w:val="ListParagraph"/>
        <w:numPr>
          <w:ilvl w:val="0"/>
          <w:numId w:val="26"/>
        </w:numPr>
        <w:spacing w:before="0" w:after="160" w:line="276" w:lineRule="auto"/>
        <w:contextualSpacing/>
        <w:rPr>
          <w:rFonts w:ascii="Calibri" w:eastAsia="Calibri" w:hAnsi="Calibri" w:cs="Arial"/>
          <w:lang w:val="en-GB"/>
        </w:rPr>
      </w:pPr>
      <w:r w:rsidRPr="00731DDC">
        <w:rPr>
          <w:rFonts w:ascii="Calibri" w:eastAsia="Calibri" w:hAnsi="Calibri" w:cs="Arial"/>
          <w:lang w:val="en-GB"/>
        </w:rPr>
        <w:t>Leveraging the use of international digital trade standards; and</w:t>
      </w:r>
    </w:p>
    <w:p w14:paraId="01AB5404" w14:textId="77777777" w:rsidR="00C42A2A" w:rsidRPr="00731DDC" w:rsidRDefault="00C42A2A" w:rsidP="001F09E1">
      <w:pPr>
        <w:pStyle w:val="ListParagraph"/>
        <w:numPr>
          <w:ilvl w:val="0"/>
          <w:numId w:val="26"/>
        </w:numPr>
        <w:spacing w:before="0" w:after="160" w:line="276" w:lineRule="auto"/>
        <w:contextualSpacing/>
        <w:rPr>
          <w:rFonts w:ascii="Calibri" w:eastAsia="Calibri" w:hAnsi="Calibri" w:cs="Arial"/>
          <w:lang w:val="en-GB"/>
        </w:rPr>
      </w:pPr>
      <w:r w:rsidRPr="00731DDC">
        <w:rPr>
          <w:rFonts w:ascii="Calibri" w:eastAsia="Calibri" w:hAnsi="Calibri" w:cs="Arial"/>
          <w:lang w:val="en-GB"/>
        </w:rPr>
        <w:t xml:space="preserve">Aligning national standards with international standards when they are available. </w:t>
      </w:r>
    </w:p>
    <w:p w14:paraId="24C2D128" w14:textId="386ABC30" w:rsidR="00C42A2A" w:rsidRPr="00731DDC" w:rsidRDefault="00C42A2A" w:rsidP="005F4075">
      <w:pPr>
        <w:rPr>
          <w:lang w:val="en-GB"/>
        </w:rPr>
      </w:pPr>
      <w:bookmarkStart w:id="95" w:name="_Hlk39051968"/>
      <w:r w:rsidRPr="00731DDC">
        <w:rPr>
          <w:lang w:val="en-GB"/>
        </w:rPr>
        <w:t xml:space="preserve">We recommend </w:t>
      </w:r>
      <w:r w:rsidR="004042BC">
        <w:rPr>
          <w:lang w:val="en-GB"/>
        </w:rPr>
        <w:t xml:space="preserve">Australia and Singapore </w:t>
      </w:r>
      <w:r w:rsidRPr="00731DDC">
        <w:rPr>
          <w:lang w:val="en-GB"/>
        </w:rPr>
        <w:t xml:space="preserve">government agencies </w:t>
      </w:r>
      <w:r w:rsidR="004042BC">
        <w:rPr>
          <w:lang w:val="en-GB"/>
        </w:rPr>
        <w:t>prioritise cooperation</w:t>
      </w:r>
      <w:r w:rsidR="004042BC" w:rsidRPr="00731DDC">
        <w:rPr>
          <w:lang w:val="en-GB"/>
        </w:rPr>
        <w:t xml:space="preserve"> </w:t>
      </w:r>
      <w:r w:rsidR="004042BC">
        <w:rPr>
          <w:lang w:val="en-GB"/>
        </w:rPr>
        <w:t xml:space="preserve">in </w:t>
      </w:r>
      <w:r w:rsidRPr="00731DDC">
        <w:rPr>
          <w:lang w:val="en-GB"/>
        </w:rPr>
        <w:t xml:space="preserve">the following ten areas: </w:t>
      </w:r>
    </w:p>
    <w:p w14:paraId="60DEABBF"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AI; </w:t>
      </w:r>
    </w:p>
    <w:p w14:paraId="596FA26A"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DLT; </w:t>
      </w:r>
    </w:p>
    <w:p w14:paraId="2AB6A928"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Smart cities; </w:t>
      </w:r>
    </w:p>
    <w:p w14:paraId="3C84258B"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Digital identities; </w:t>
      </w:r>
    </w:p>
    <w:p w14:paraId="34A1204F"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E-payments; </w:t>
      </w:r>
    </w:p>
    <w:p w14:paraId="2461563C"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E-invoicing; </w:t>
      </w:r>
    </w:p>
    <w:p w14:paraId="453605FA"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IoT; </w:t>
      </w:r>
    </w:p>
    <w:p w14:paraId="44901AEA"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Data protection and privacy; </w:t>
      </w:r>
    </w:p>
    <w:p w14:paraId="67656DB4"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Cross-border sharing; and </w:t>
      </w:r>
    </w:p>
    <w:p w14:paraId="392E8568" w14:textId="77777777" w:rsidR="00C42A2A" w:rsidRPr="00731DDC" w:rsidRDefault="00C42A2A" w:rsidP="001F09E1">
      <w:pPr>
        <w:pStyle w:val="ListParagraph"/>
        <w:numPr>
          <w:ilvl w:val="0"/>
          <w:numId w:val="31"/>
        </w:numPr>
        <w:spacing w:before="0" w:after="160" w:line="276" w:lineRule="auto"/>
        <w:ind w:left="993" w:hanging="284"/>
        <w:contextualSpacing/>
        <w:rPr>
          <w:rFonts w:ascii="Calibri" w:eastAsia="Calibri" w:hAnsi="Calibri" w:cs="Arial"/>
          <w:lang w:val="en-GB"/>
        </w:rPr>
      </w:pPr>
      <w:r w:rsidRPr="00731DDC">
        <w:rPr>
          <w:rFonts w:ascii="Calibri" w:eastAsia="Calibri" w:hAnsi="Calibri" w:cs="Arial"/>
          <w:lang w:val="en-GB"/>
        </w:rPr>
        <w:t xml:space="preserve">Data portability. </w:t>
      </w:r>
    </w:p>
    <w:p w14:paraId="48C0B9A7" w14:textId="47D48DE1" w:rsidR="00C42A2A" w:rsidRPr="00731DDC" w:rsidRDefault="00C42A2A" w:rsidP="005F4075">
      <w:pPr>
        <w:rPr>
          <w:lang w:val="en-GB"/>
        </w:rPr>
      </w:pPr>
      <w:r w:rsidRPr="00731DDC">
        <w:rPr>
          <w:lang w:val="en-GB"/>
        </w:rPr>
        <w:t xml:space="preserve">These efforts should add to those of the current prioritisation focus by Standards Australia and Enterprise Singapore on AI, DLT which includes blockchain technology, and smart cities. </w:t>
      </w:r>
      <w:bookmarkStart w:id="96" w:name="_Hlk46822631"/>
      <w:r w:rsidRPr="00731DDC">
        <w:rPr>
          <w:lang w:val="en-GB"/>
        </w:rPr>
        <w:t>We recommend continuing and accelerating cooperation in these three areas, and expanding the focus to encompass a portfolio of standards that will accelerate overall trade beyond a select group of disruptive technologies</w:t>
      </w:r>
      <w:bookmarkEnd w:id="96"/>
      <w:r w:rsidRPr="00731DDC">
        <w:rPr>
          <w:lang w:val="en-GB"/>
        </w:rPr>
        <w:t>.</w:t>
      </w:r>
    </w:p>
    <w:bookmarkEnd w:id="92"/>
    <w:bookmarkEnd w:id="93"/>
    <w:p w14:paraId="249F1176" w14:textId="68A96BC8" w:rsidR="00C42A2A" w:rsidRPr="00731DDC" w:rsidRDefault="00C42A2A" w:rsidP="005F4075">
      <w:pPr>
        <w:rPr>
          <w:lang w:val="en-GB"/>
        </w:rPr>
      </w:pPr>
      <w:r w:rsidRPr="00731DDC">
        <w:rPr>
          <w:lang w:val="en-GB"/>
        </w:rPr>
        <w:t xml:space="preserve">Cooperation can facilitate knowledge-sharing between the two countries. If one country’s agency is advanced in an area or has the first-mover advantage, the other country can learn from their knowledge and align accordingly, saving time and resources. For example, Standards Australia is leading the development of international blockchain standards. It was appointed by </w:t>
      </w:r>
      <w:r w:rsidR="00A06689">
        <w:rPr>
          <w:lang w:val="en-GB"/>
        </w:rPr>
        <w:t>ISO</w:t>
      </w:r>
      <w:r w:rsidRPr="00731DDC">
        <w:rPr>
          <w:lang w:val="en-GB"/>
        </w:rPr>
        <w:t xml:space="preserve"> to lead a technical committee on the development of international standards for blockchain. The Committee already has 39 different contributing countries, with 11 Standards currently at various stages of development. While Singapore is a participating member there is scope for even closer cooperation given this potential leadership.</w:t>
      </w:r>
    </w:p>
    <w:bookmarkEnd w:id="95"/>
    <w:p w14:paraId="056DB4E3" w14:textId="77777777" w:rsidR="00C42A2A" w:rsidRPr="00731DDC" w:rsidRDefault="00C42A2A" w:rsidP="005F4075">
      <w:pPr>
        <w:rPr>
          <w:lang w:val="en-GB"/>
        </w:rPr>
      </w:pPr>
      <w:r w:rsidRPr="00731DDC">
        <w:rPr>
          <w:lang w:val="en-GB"/>
        </w:rPr>
        <w:t xml:space="preserve">The success of government cooperation will depend on the extent of training and education provided to businesses on the benefits of  international standards and how to implement such standards when deploying existing and future technology. Hence, a key action for government agencies will be to expand or develop training or certification programmes to help businesses understand digital standards. </w:t>
      </w:r>
      <w:bookmarkStart w:id="97" w:name="_Hlk44501972"/>
      <w:r w:rsidRPr="00731DDC">
        <w:rPr>
          <w:lang w:val="en-GB"/>
        </w:rPr>
        <w:t xml:space="preserve">For example, in Singapore, PDPC encourages organisations to ensure that their cloud service provider meets relevant industry standards (e.g. ISO27001). IMDA has been organising monthly briefings via webinars for local </w:t>
      </w:r>
      <w:r w:rsidRPr="00731DDC">
        <w:rPr>
          <w:lang w:val="en-GB"/>
        </w:rPr>
        <w:lastRenderedPageBreak/>
        <w:t>businesses for them to learn about the benefits of e-invoicing and the steps to on-board onto the Peppol network.</w:t>
      </w:r>
    </w:p>
    <w:p w14:paraId="5CC113D9" w14:textId="77777777" w:rsidR="00C42A2A" w:rsidRPr="00731DDC" w:rsidRDefault="00C42A2A" w:rsidP="005F4075">
      <w:pPr>
        <w:rPr>
          <w:lang w:val="en-GB"/>
        </w:rPr>
      </w:pPr>
      <w:r w:rsidRPr="00731DDC">
        <w:rPr>
          <w:lang w:val="en-GB"/>
        </w:rPr>
        <w:t xml:space="preserve">In Australia, the Australian Cyber Security Centre (ACSC) produced the Australian Government Information Security Manual to outline a cybersecurity framework that businesses can apply to protect themselves from cyber threats. It contains practical guidelines as well as recommended standards for organisations to follow. </w:t>
      </w:r>
      <w:bookmarkStart w:id="98" w:name="_Hlk45016014"/>
      <w:r w:rsidRPr="00731DDC">
        <w:rPr>
          <w:lang w:val="en-GB"/>
        </w:rPr>
        <w:t xml:space="preserve">The OAIC provides guidance to entities covered by the Privacy Act 1988, including agencies, organisations, credit reporting bodies, credit providers and tax file number recipients, on reasonable steps entities are required to take to secure personal information. This includes guidance on protecting personal information entities hold from misuse, interference, loss, unauthorised access, modification or disclosure, and guidance related to the destruction and de-identification of personal information. </w:t>
      </w:r>
      <w:bookmarkEnd w:id="98"/>
    </w:p>
    <w:p w14:paraId="76234C30" w14:textId="77777777" w:rsidR="00C42A2A" w:rsidRPr="00731DDC" w:rsidRDefault="00C42A2A" w:rsidP="005F4075">
      <w:pPr>
        <w:rPr>
          <w:lang w:val="en-GB"/>
        </w:rPr>
      </w:pPr>
      <w:bookmarkStart w:id="99" w:name="_Hlk45093017"/>
      <w:bookmarkEnd w:id="97"/>
      <w:r w:rsidRPr="00731DDC">
        <w:rPr>
          <w:lang w:val="en-GB"/>
        </w:rPr>
        <w:t>The aim is to create a ‘culture of alignment’ among government agencies and businesses to use technologies that are interconnected and interoperable, as without this focus , the gains from digital trade cannot be maximised.</w:t>
      </w:r>
    </w:p>
    <w:bookmarkEnd w:id="99"/>
    <w:p w14:paraId="522EE534" w14:textId="77777777" w:rsidR="005634C4" w:rsidRDefault="005634C4">
      <w:pPr>
        <w:spacing w:before="0" w:after="0"/>
        <w:rPr>
          <w:rFonts w:eastAsiaTheme="majorEastAsia" w:cstheme="majorBidi"/>
          <w:b/>
          <w:bCs/>
          <w:color w:val="2F5496" w:themeColor="accent1" w:themeShade="BF"/>
          <w:sz w:val="24"/>
          <w:szCs w:val="28"/>
          <w:lang w:val="en-GB"/>
        </w:rPr>
        <w:sectPr w:rsidR="005634C4" w:rsidSect="006D41A6">
          <w:footerReference w:type="default" r:id="rId23"/>
          <w:endnotePr>
            <w:numFmt w:val="decimal"/>
          </w:endnotePr>
          <w:pgSz w:w="11900" w:h="16840"/>
          <w:pgMar w:top="1378" w:right="953" w:bottom="955" w:left="1202" w:header="561" w:footer="244" w:gutter="0"/>
          <w:cols w:space="708"/>
          <w:docGrid w:linePitch="360"/>
        </w:sectPr>
      </w:pPr>
      <w:r>
        <w:rPr>
          <w:rFonts w:eastAsiaTheme="majorEastAsia" w:cstheme="majorBidi"/>
          <w:b/>
          <w:bCs/>
          <w:color w:val="2F5496" w:themeColor="accent1" w:themeShade="BF"/>
          <w:sz w:val="24"/>
          <w:szCs w:val="28"/>
          <w:lang w:val="en-GB"/>
        </w:rPr>
        <w:br w:type="page"/>
      </w:r>
    </w:p>
    <w:p w14:paraId="00158A16" w14:textId="77777777" w:rsidR="005634C4" w:rsidRPr="00731DDC" w:rsidRDefault="005634C4" w:rsidP="005634C4">
      <w:pPr>
        <w:pStyle w:val="AppendixHeading"/>
        <w:rPr>
          <w:lang w:val="en-GB"/>
        </w:rPr>
      </w:pPr>
      <w:bookmarkStart w:id="100" w:name="_Toc51167333"/>
      <w:r w:rsidRPr="00731DDC">
        <w:rPr>
          <w:lang w:val="en-GB"/>
        </w:rPr>
        <w:lastRenderedPageBreak/>
        <w:t>Digital Trade Measurement</w:t>
      </w:r>
      <w:bookmarkEnd w:id="100"/>
    </w:p>
    <w:p w14:paraId="13CFC0D5" w14:textId="5A91D2CB" w:rsidR="005634C4" w:rsidRDefault="005634C4" w:rsidP="005634C4">
      <w:pPr>
        <w:pStyle w:val="Caption"/>
      </w:pPr>
      <w:r>
        <w:t xml:space="preserve">Table </w:t>
      </w:r>
      <w:fldSimple w:instr=" SEQ Table \* ARABIC ">
        <w:r w:rsidR="00C9081C">
          <w:rPr>
            <w:noProof/>
          </w:rPr>
          <w:t>11</w:t>
        </w:r>
      </w:fldSimple>
      <w:r>
        <w:t>: Digital Goods and Services</w:t>
      </w:r>
    </w:p>
    <w:tbl>
      <w:tblPr>
        <w:tblStyle w:val="TableGrid"/>
        <w:tblW w:w="4989"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49"/>
        <w:gridCol w:w="1000"/>
        <w:gridCol w:w="901"/>
        <w:gridCol w:w="1048"/>
        <w:gridCol w:w="853"/>
        <w:gridCol w:w="1010"/>
        <w:gridCol w:w="1036"/>
        <w:gridCol w:w="1048"/>
        <w:gridCol w:w="1069"/>
      </w:tblGrid>
      <w:tr w:rsidR="005634C4" w:rsidRPr="004206AE" w14:paraId="4CD7D3CC" w14:textId="77777777" w:rsidTr="005634C4">
        <w:trPr>
          <w:trHeight w:val="20"/>
        </w:trPr>
        <w:tc>
          <w:tcPr>
            <w:tcW w:w="901" w:type="pct"/>
            <w:vMerge w:val="restart"/>
            <w:shd w:val="clear" w:color="auto" w:fill="4472C4" w:themeFill="accent1"/>
            <w:vAlign w:val="center"/>
          </w:tcPr>
          <w:p w14:paraId="3C1E1B14" w14:textId="77777777" w:rsidR="005634C4" w:rsidRPr="004206AE" w:rsidRDefault="005634C4" w:rsidP="005634C4">
            <w:pPr>
              <w:spacing w:before="0" w:after="0"/>
              <w:jc w:val="center"/>
              <w:rPr>
                <w:rFonts w:cstheme="minorHAnsi"/>
                <w:b/>
                <w:bCs/>
                <w:color w:val="FFFFFF" w:themeColor="background1"/>
                <w:sz w:val="20"/>
                <w:szCs w:val="20"/>
                <w:lang w:val="en-GB"/>
              </w:rPr>
            </w:pPr>
            <w:r w:rsidRPr="004206AE">
              <w:rPr>
                <w:rFonts w:cstheme="minorHAnsi"/>
                <w:b/>
                <w:bCs/>
                <w:color w:val="FFFFFF" w:themeColor="background1"/>
                <w:sz w:val="20"/>
                <w:szCs w:val="20"/>
                <w:lang w:val="en-GB"/>
              </w:rPr>
              <w:t>Industry/Sector</w:t>
            </w:r>
          </w:p>
        </w:tc>
        <w:tc>
          <w:tcPr>
            <w:tcW w:w="1957" w:type="pct"/>
            <w:gridSpan w:val="4"/>
            <w:shd w:val="clear" w:color="auto" w:fill="4472C4" w:themeFill="accent1"/>
            <w:vAlign w:val="center"/>
          </w:tcPr>
          <w:p w14:paraId="6A01B3F1" w14:textId="77777777" w:rsidR="005634C4" w:rsidRPr="004206AE" w:rsidRDefault="005634C4" w:rsidP="005634C4">
            <w:pPr>
              <w:spacing w:before="0" w:after="0"/>
              <w:jc w:val="center"/>
              <w:rPr>
                <w:rFonts w:cstheme="minorHAnsi"/>
                <w:b/>
                <w:bCs/>
                <w:color w:val="FFFFFF" w:themeColor="background1"/>
                <w:sz w:val="20"/>
                <w:szCs w:val="20"/>
                <w:lang w:val="en-GB"/>
              </w:rPr>
            </w:pPr>
            <w:r w:rsidRPr="004206AE">
              <w:rPr>
                <w:rFonts w:cstheme="minorHAnsi"/>
                <w:b/>
                <w:bCs/>
                <w:color w:val="FFFFFF" w:themeColor="background1"/>
                <w:sz w:val="20"/>
                <w:szCs w:val="20"/>
                <w:lang w:val="en-GB"/>
              </w:rPr>
              <w:t>Recent/Present: 2015-2019</w:t>
            </w:r>
          </w:p>
        </w:tc>
        <w:tc>
          <w:tcPr>
            <w:tcW w:w="2142" w:type="pct"/>
            <w:gridSpan w:val="4"/>
            <w:shd w:val="clear" w:color="auto" w:fill="4472C4" w:themeFill="accent1"/>
            <w:vAlign w:val="center"/>
          </w:tcPr>
          <w:p w14:paraId="5E61110C" w14:textId="77777777" w:rsidR="005634C4" w:rsidRPr="004206AE" w:rsidRDefault="005634C4" w:rsidP="005634C4">
            <w:pPr>
              <w:spacing w:before="0" w:after="0"/>
              <w:jc w:val="center"/>
              <w:rPr>
                <w:rFonts w:cstheme="minorHAnsi"/>
                <w:b/>
                <w:bCs/>
                <w:color w:val="FFFFFF" w:themeColor="background1"/>
                <w:sz w:val="20"/>
                <w:szCs w:val="20"/>
                <w:lang w:val="en-GB"/>
              </w:rPr>
            </w:pPr>
            <w:r w:rsidRPr="004206AE">
              <w:rPr>
                <w:rFonts w:cstheme="minorHAnsi"/>
                <w:b/>
                <w:bCs/>
                <w:color w:val="FFFFFF" w:themeColor="background1"/>
                <w:sz w:val="20"/>
                <w:szCs w:val="20"/>
                <w:lang w:val="en-GB"/>
              </w:rPr>
              <w:t>Projected/Future: 2020-2030</w:t>
            </w:r>
          </w:p>
        </w:tc>
      </w:tr>
      <w:tr w:rsidR="005634C4" w:rsidRPr="004206AE" w14:paraId="2BFE7DF2" w14:textId="77777777" w:rsidTr="005634C4">
        <w:trPr>
          <w:trHeight w:val="20"/>
        </w:trPr>
        <w:tc>
          <w:tcPr>
            <w:tcW w:w="901" w:type="pct"/>
            <w:vMerge/>
            <w:vAlign w:val="center"/>
          </w:tcPr>
          <w:p w14:paraId="0EE51C2B" w14:textId="77777777" w:rsidR="005634C4" w:rsidRPr="004206AE" w:rsidRDefault="005634C4" w:rsidP="005634C4">
            <w:pPr>
              <w:spacing w:before="0" w:after="0"/>
              <w:jc w:val="center"/>
              <w:rPr>
                <w:rFonts w:cstheme="minorHAnsi"/>
                <w:color w:val="FFFFFF" w:themeColor="background1"/>
                <w:sz w:val="20"/>
                <w:szCs w:val="20"/>
                <w:lang w:val="en-GB"/>
              </w:rPr>
            </w:pPr>
          </w:p>
        </w:tc>
        <w:tc>
          <w:tcPr>
            <w:tcW w:w="515" w:type="pct"/>
            <w:shd w:val="clear" w:color="auto" w:fill="D9E2F3" w:themeFill="accent1" w:themeFillTint="33"/>
            <w:vAlign w:val="center"/>
          </w:tcPr>
          <w:p w14:paraId="0676560C"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Australia</w:t>
            </w:r>
          </w:p>
          <w:p w14:paraId="04CFB539" w14:textId="77777777" w:rsidR="005634C4" w:rsidRPr="004206AE" w:rsidRDefault="005634C4" w:rsidP="005634C4">
            <w:pPr>
              <w:spacing w:before="0" w:after="0"/>
              <w:jc w:val="center"/>
              <w:rPr>
                <w:rFonts w:cstheme="minorHAnsi"/>
                <w:b/>
                <w:bCs/>
                <w:sz w:val="20"/>
                <w:szCs w:val="20"/>
                <w:lang w:val="en-GB"/>
              </w:rPr>
            </w:pPr>
            <w:r w:rsidRPr="004206AE">
              <w:rPr>
                <w:b/>
                <w:bCs/>
                <w:sz w:val="20"/>
                <w:szCs w:val="20"/>
                <w:lang w:val="en-GB"/>
              </w:rPr>
              <w:t>(AUD Billion)</w:t>
            </w:r>
            <w:r w:rsidRPr="004206AE">
              <w:rPr>
                <w:rStyle w:val="EndnoteReference"/>
                <w:sz w:val="20"/>
                <w:szCs w:val="20"/>
                <w:lang w:val="en-GB"/>
              </w:rPr>
              <w:endnoteReference w:id="2"/>
            </w:r>
          </w:p>
        </w:tc>
        <w:tc>
          <w:tcPr>
            <w:tcW w:w="464" w:type="pct"/>
            <w:shd w:val="clear" w:color="auto" w:fill="D9E2F3" w:themeFill="accent1" w:themeFillTint="33"/>
            <w:vAlign w:val="center"/>
          </w:tcPr>
          <w:p w14:paraId="2F67FB4A"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CAGR (%)</w:t>
            </w:r>
          </w:p>
        </w:tc>
        <w:tc>
          <w:tcPr>
            <w:tcW w:w="539" w:type="pct"/>
            <w:shd w:val="clear" w:color="auto" w:fill="D9E2F3" w:themeFill="accent1" w:themeFillTint="33"/>
            <w:vAlign w:val="center"/>
          </w:tcPr>
          <w:p w14:paraId="43200679"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Singapore</w:t>
            </w:r>
          </w:p>
          <w:p w14:paraId="3EA51976"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(AUD Billion)</w:t>
            </w:r>
          </w:p>
        </w:tc>
        <w:tc>
          <w:tcPr>
            <w:tcW w:w="439" w:type="pct"/>
            <w:shd w:val="clear" w:color="auto" w:fill="D9E2F3" w:themeFill="accent1" w:themeFillTint="33"/>
            <w:vAlign w:val="center"/>
          </w:tcPr>
          <w:p w14:paraId="5ECEA4F9"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CAGR (%)</w:t>
            </w:r>
          </w:p>
        </w:tc>
        <w:tc>
          <w:tcPr>
            <w:tcW w:w="520" w:type="pct"/>
            <w:shd w:val="clear" w:color="auto" w:fill="D9E2F3" w:themeFill="accent1" w:themeFillTint="33"/>
            <w:vAlign w:val="center"/>
          </w:tcPr>
          <w:p w14:paraId="389BCDE2"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Australia</w:t>
            </w:r>
          </w:p>
          <w:p w14:paraId="4C362062"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(AUD Billion)</w:t>
            </w:r>
          </w:p>
        </w:tc>
        <w:tc>
          <w:tcPr>
            <w:tcW w:w="533" w:type="pct"/>
            <w:shd w:val="clear" w:color="auto" w:fill="D9E2F3" w:themeFill="accent1" w:themeFillTint="33"/>
            <w:vAlign w:val="center"/>
          </w:tcPr>
          <w:p w14:paraId="53851BCE"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CAGR (%)</w:t>
            </w:r>
          </w:p>
        </w:tc>
        <w:tc>
          <w:tcPr>
            <w:tcW w:w="539" w:type="pct"/>
            <w:shd w:val="clear" w:color="auto" w:fill="D9E2F3" w:themeFill="accent1" w:themeFillTint="33"/>
            <w:vAlign w:val="center"/>
          </w:tcPr>
          <w:p w14:paraId="34887D43"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Singapore</w:t>
            </w:r>
          </w:p>
          <w:p w14:paraId="733A3B7E"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(AUD Billion)</w:t>
            </w:r>
          </w:p>
        </w:tc>
        <w:tc>
          <w:tcPr>
            <w:tcW w:w="549" w:type="pct"/>
            <w:shd w:val="clear" w:color="auto" w:fill="D9E2F3" w:themeFill="accent1" w:themeFillTint="33"/>
            <w:vAlign w:val="center"/>
          </w:tcPr>
          <w:p w14:paraId="1C094DE8" w14:textId="77777777" w:rsidR="005634C4" w:rsidRPr="004206AE" w:rsidRDefault="005634C4" w:rsidP="005634C4">
            <w:pPr>
              <w:spacing w:before="0" w:after="0"/>
              <w:jc w:val="center"/>
              <w:rPr>
                <w:rFonts w:cstheme="minorHAnsi"/>
                <w:b/>
                <w:bCs/>
                <w:sz w:val="20"/>
                <w:szCs w:val="20"/>
                <w:lang w:val="en-GB"/>
              </w:rPr>
            </w:pPr>
            <w:r w:rsidRPr="004206AE">
              <w:rPr>
                <w:rFonts w:cstheme="minorHAnsi"/>
                <w:b/>
                <w:bCs/>
                <w:sz w:val="20"/>
                <w:szCs w:val="20"/>
                <w:lang w:val="en-GB"/>
              </w:rPr>
              <w:t>CAGR (%)</w:t>
            </w:r>
          </w:p>
        </w:tc>
      </w:tr>
      <w:tr w:rsidR="005634C4" w:rsidRPr="004206AE" w14:paraId="0184E17E" w14:textId="77777777" w:rsidTr="005634C4">
        <w:trPr>
          <w:trHeight w:val="20"/>
        </w:trPr>
        <w:tc>
          <w:tcPr>
            <w:tcW w:w="901" w:type="pct"/>
            <w:shd w:val="clear" w:color="auto" w:fill="FFFFFF" w:themeFill="background1"/>
            <w:vAlign w:val="center"/>
          </w:tcPr>
          <w:p w14:paraId="5D327D63"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Software</w:t>
            </w:r>
          </w:p>
        </w:tc>
        <w:tc>
          <w:tcPr>
            <w:tcW w:w="515" w:type="pct"/>
            <w:vAlign w:val="center"/>
          </w:tcPr>
          <w:p w14:paraId="75011BF3"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14.6 (2018)</w:t>
            </w:r>
            <w:r w:rsidRPr="005634C4">
              <w:rPr>
                <w:rStyle w:val="EndnoteReference"/>
                <w:sz w:val="20"/>
                <w:szCs w:val="20"/>
                <w:lang w:val="en-GB"/>
              </w:rPr>
              <w:endnoteReference w:id="3"/>
            </w:r>
          </w:p>
        </w:tc>
        <w:tc>
          <w:tcPr>
            <w:tcW w:w="464" w:type="pct"/>
            <w:vAlign w:val="center"/>
          </w:tcPr>
          <w:p w14:paraId="469A2313" w14:textId="77777777" w:rsidR="005634C4" w:rsidRPr="005634C4" w:rsidRDefault="005634C4" w:rsidP="005634C4">
            <w:pPr>
              <w:spacing w:before="0" w:after="0"/>
              <w:jc w:val="center"/>
              <w:textAlignment w:val="baseline"/>
              <w:rPr>
                <w:rFonts w:eastAsia="Times New Roman" w:cstheme="minorHAnsi"/>
                <w:sz w:val="20"/>
                <w:szCs w:val="20"/>
                <w:lang w:val="en-GB" w:eastAsia="zh-TW"/>
              </w:rPr>
            </w:pPr>
            <w:r w:rsidRPr="005634C4">
              <w:rPr>
                <w:rFonts w:eastAsia="Times New Roman" w:cstheme="minorHAnsi"/>
                <w:sz w:val="20"/>
                <w:szCs w:val="20"/>
                <w:lang w:val="en-GB" w:eastAsia="zh-TW"/>
              </w:rPr>
              <w:t>-</w:t>
            </w:r>
          </w:p>
        </w:tc>
        <w:tc>
          <w:tcPr>
            <w:tcW w:w="539" w:type="pct"/>
            <w:vAlign w:val="center"/>
          </w:tcPr>
          <w:p w14:paraId="22407C07"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17.16 (2018)</w:t>
            </w:r>
            <w:r w:rsidRPr="005634C4">
              <w:rPr>
                <w:rStyle w:val="EndnoteReference"/>
                <w:sz w:val="20"/>
                <w:szCs w:val="20"/>
                <w:lang w:val="en-GB"/>
              </w:rPr>
              <w:t xml:space="preserve"> </w:t>
            </w:r>
            <w:r w:rsidRPr="005634C4">
              <w:rPr>
                <w:rStyle w:val="EndnoteReference"/>
                <w:sz w:val="20"/>
                <w:szCs w:val="20"/>
                <w:lang w:val="en-GB"/>
              </w:rPr>
              <w:endnoteReference w:id="4"/>
            </w:r>
          </w:p>
        </w:tc>
        <w:tc>
          <w:tcPr>
            <w:tcW w:w="439" w:type="pct"/>
            <w:vAlign w:val="center"/>
          </w:tcPr>
          <w:p w14:paraId="1EE2D02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vAlign w:val="center"/>
          </w:tcPr>
          <w:p w14:paraId="7E57C65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21.2 (2022)</w:t>
            </w:r>
          </w:p>
        </w:tc>
        <w:tc>
          <w:tcPr>
            <w:tcW w:w="533" w:type="pct"/>
            <w:vAlign w:val="center"/>
          </w:tcPr>
          <w:p w14:paraId="08622DCA" w14:textId="77777777" w:rsidR="005634C4" w:rsidRPr="005634C4" w:rsidRDefault="005634C4" w:rsidP="005634C4">
            <w:pPr>
              <w:spacing w:before="0" w:after="0"/>
              <w:jc w:val="center"/>
              <w:textAlignment w:val="baseline"/>
              <w:rPr>
                <w:rFonts w:eastAsia="Times New Roman" w:cstheme="minorHAnsi"/>
                <w:sz w:val="20"/>
                <w:szCs w:val="20"/>
                <w:lang w:val="en-GB" w:eastAsia="zh-TW"/>
              </w:rPr>
            </w:pPr>
            <w:r w:rsidRPr="005634C4">
              <w:rPr>
                <w:rFonts w:eastAsia="Times New Roman" w:cstheme="minorHAnsi"/>
                <w:sz w:val="20"/>
                <w:szCs w:val="20"/>
                <w:lang w:val="en-GB" w:eastAsia="zh-TW"/>
              </w:rPr>
              <w:t>10 (2018-2022)</w:t>
            </w:r>
          </w:p>
        </w:tc>
        <w:tc>
          <w:tcPr>
            <w:tcW w:w="539" w:type="pct"/>
            <w:vAlign w:val="center"/>
          </w:tcPr>
          <w:p w14:paraId="39835ADA"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20.38 (2020)</w:t>
            </w:r>
            <w:r w:rsidRPr="005634C4">
              <w:rPr>
                <w:rStyle w:val="EndnoteReference"/>
                <w:sz w:val="20"/>
                <w:szCs w:val="20"/>
                <w:lang w:val="en-GB"/>
              </w:rPr>
              <w:endnoteReference w:id="5"/>
            </w:r>
          </w:p>
        </w:tc>
        <w:tc>
          <w:tcPr>
            <w:tcW w:w="549" w:type="pct"/>
            <w:vAlign w:val="center"/>
          </w:tcPr>
          <w:p w14:paraId="7F412712"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9 (2018-2020)</w:t>
            </w:r>
          </w:p>
        </w:tc>
      </w:tr>
      <w:tr w:rsidR="005634C4" w:rsidRPr="004206AE" w14:paraId="3DAF1FC9" w14:textId="77777777" w:rsidTr="005634C4">
        <w:trPr>
          <w:trHeight w:val="20"/>
        </w:trPr>
        <w:tc>
          <w:tcPr>
            <w:tcW w:w="901" w:type="pct"/>
            <w:shd w:val="clear" w:color="auto" w:fill="FFFFFF" w:themeFill="background1"/>
            <w:vAlign w:val="center"/>
          </w:tcPr>
          <w:p w14:paraId="61CB4D4D"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Cloud computing</w:t>
            </w:r>
          </w:p>
        </w:tc>
        <w:tc>
          <w:tcPr>
            <w:tcW w:w="515" w:type="pct"/>
            <w:vAlign w:val="center"/>
          </w:tcPr>
          <w:p w14:paraId="4F617B75"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Style w:val="normaltextrun"/>
                <w:rFonts w:asciiTheme="minorHAnsi" w:hAnsiTheme="minorHAnsi" w:cstheme="minorBidi"/>
                <w:sz w:val="20"/>
                <w:szCs w:val="20"/>
                <w:lang w:val="en-GB"/>
              </w:rPr>
              <w:t>6.33 (2018)</w:t>
            </w:r>
            <w:r w:rsidRPr="005634C4">
              <w:rPr>
                <w:rStyle w:val="EndnoteReference"/>
                <w:rFonts w:asciiTheme="minorHAnsi" w:eastAsiaTheme="majorEastAsia" w:hAnsiTheme="minorHAnsi" w:cstheme="minorBidi"/>
                <w:sz w:val="20"/>
                <w:szCs w:val="20"/>
                <w:lang w:val="en-GB"/>
              </w:rPr>
              <w:endnoteReference w:id="6"/>
            </w:r>
          </w:p>
        </w:tc>
        <w:tc>
          <w:tcPr>
            <w:tcW w:w="464" w:type="pct"/>
            <w:vAlign w:val="center"/>
          </w:tcPr>
          <w:p w14:paraId="69CA1FCD"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39" w:type="pct"/>
            <w:vAlign w:val="center"/>
          </w:tcPr>
          <w:p w14:paraId="0A32F5AF"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Style w:val="normaltextrun"/>
                <w:rFonts w:asciiTheme="minorHAnsi" w:hAnsiTheme="minorHAnsi" w:cstheme="minorBidi"/>
                <w:sz w:val="20"/>
                <w:szCs w:val="20"/>
                <w:lang w:val="en-GB"/>
              </w:rPr>
              <w:t>2.02 (2018)</w:t>
            </w:r>
            <w:r w:rsidRPr="005634C4">
              <w:rPr>
                <w:rStyle w:val="EndnoteReference"/>
                <w:rFonts w:asciiTheme="minorHAnsi" w:eastAsiaTheme="majorEastAsia" w:hAnsiTheme="minorHAnsi" w:cstheme="minorBidi"/>
                <w:sz w:val="20"/>
                <w:szCs w:val="20"/>
                <w:lang w:val="en-GB"/>
              </w:rPr>
              <w:endnoteReference w:id="7"/>
            </w:r>
          </w:p>
        </w:tc>
        <w:tc>
          <w:tcPr>
            <w:tcW w:w="439" w:type="pct"/>
            <w:vAlign w:val="center"/>
          </w:tcPr>
          <w:p w14:paraId="6007F7DD"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vAlign w:val="center"/>
          </w:tcPr>
          <w:p w14:paraId="2CBCC974" w14:textId="77777777" w:rsidR="005634C4" w:rsidRPr="005634C4" w:rsidRDefault="005634C4" w:rsidP="005634C4">
            <w:pPr>
              <w:pStyle w:val="paragraph"/>
              <w:spacing w:before="0" w:beforeAutospacing="0" w:after="0" w:afterAutospacing="0"/>
              <w:jc w:val="center"/>
              <w:textAlignment w:val="baseline"/>
              <w:rPr>
                <w:rStyle w:val="EndnoteReference"/>
                <w:rFonts w:asciiTheme="minorHAnsi" w:eastAsiaTheme="majorEastAsia" w:hAnsiTheme="minorHAnsi" w:cstheme="minorHAnsi"/>
                <w:sz w:val="20"/>
                <w:szCs w:val="20"/>
                <w:lang w:val="en-GB"/>
              </w:rPr>
            </w:pPr>
            <w:r w:rsidRPr="005634C4">
              <w:rPr>
                <w:rStyle w:val="normaltextrun"/>
                <w:rFonts w:asciiTheme="minorHAnsi" w:hAnsiTheme="minorHAnsi" w:cstheme="minorHAnsi"/>
                <w:sz w:val="20"/>
                <w:szCs w:val="20"/>
                <w:lang w:val="en-GB"/>
              </w:rPr>
              <w:t>14.15 (2023)</w:t>
            </w:r>
          </w:p>
        </w:tc>
        <w:tc>
          <w:tcPr>
            <w:tcW w:w="533" w:type="pct"/>
            <w:vAlign w:val="center"/>
          </w:tcPr>
          <w:p w14:paraId="61893DC2"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17 (2018 -2023)</w:t>
            </w:r>
          </w:p>
        </w:tc>
        <w:tc>
          <w:tcPr>
            <w:tcW w:w="539" w:type="pct"/>
            <w:vAlign w:val="center"/>
          </w:tcPr>
          <w:p w14:paraId="6913146A"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4.72 (2023)</w:t>
            </w:r>
          </w:p>
        </w:tc>
        <w:tc>
          <w:tcPr>
            <w:tcW w:w="549" w:type="pct"/>
            <w:vAlign w:val="center"/>
          </w:tcPr>
          <w:p w14:paraId="1C0317A7"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20 (2018-2023)</w:t>
            </w:r>
          </w:p>
        </w:tc>
      </w:tr>
      <w:tr w:rsidR="005634C4" w:rsidRPr="004206AE" w14:paraId="28B9EE9A" w14:textId="77777777" w:rsidTr="005634C4">
        <w:trPr>
          <w:trHeight w:val="20"/>
        </w:trPr>
        <w:tc>
          <w:tcPr>
            <w:tcW w:w="901" w:type="pct"/>
            <w:tcBorders>
              <w:bottom w:val="single" w:sz="4" w:space="0" w:color="4472C4"/>
            </w:tcBorders>
            <w:vAlign w:val="center"/>
          </w:tcPr>
          <w:p w14:paraId="02632BC1" w14:textId="77777777" w:rsidR="005634C4" w:rsidRPr="004206AE" w:rsidRDefault="005634C4" w:rsidP="005634C4">
            <w:pPr>
              <w:spacing w:before="0" w:after="0"/>
              <w:jc w:val="center"/>
              <w:rPr>
                <w:rFonts w:cstheme="minorHAnsi"/>
                <w:sz w:val="20"/>
                <w:szCs w:val="20"/>
                <w:highlight w:val="yellow"/>
                <w:lang w:val="en-GB"/>
              </w:rPr>
            </w:pPr>
            <w:r w:rsidRPr="004206AE">
              <w:rPr>
                <w:rFonts w:cstheme="minorHAnsi"/>
                <w:sz w:val="20"/>
                <w:szCs w:val="20"/>
                <w:lang w:val="en-GB"/>
              </w:rPr>
              <w:t>Videoconferencing</w:t>
            </w:r>
          </w:p>
        </w:tc>
        <w:tc>
          <w:tcPr>
            <w:tcW w:w="515" w:type="pct"/>
            <w:tcBorders>
              <w:bottom w:val="single" w:sz="4" w:space="0" w:color="4472C4"/>
            </w:tcBorders>
            <w:vAlign w:val="center"/>
          </w:tcPr>
          <w:p w14:paraId="31923466"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Style w:val="normaltextrun"/>
                <w:rFonts w:asciiTheme="minorHAnsi" w:hAnsiTheme="minorHAnsi" w:cstheme="minorBidi"/>
                <w:sz w:val="20"/>
                <w:szCs w:val="20"/>
                <w:lang w:val="en-GB"/>
              </w:rPr>
              <w:t>0.7 (2018)</w:t>
            </w:r>
            <w:r w:rsidRPr="005634C4">
              <w:rPr>
                <w:rStyle w:val="EndnoteReference"/>
                <w:rFonts w:asciiTheme="minorHAnsi" w:eastAsiaTheme="majorEastAsia" w:hAnsiTheme="minorHAnsi" w:cstheme="minorBidi"/>
                <w:sz w:val="20"/>
                <w:szCs w:val="20"/>
                <w:lang w:val="en-GB"/>
              </w:rPr>
              <w:endnoteReference w:id="8"/>
            </w:r>
          </w:p>
        </w:tc>
        <w:tc>
          <w:tcPr>
            <w:tcW w:w="464" w:type="pct"/>
            <w:tcBorders>
              <w:bottom w:val="single" w:sz="4" w:space="0" w:color="4472C4"/>
            </w:tcBorders>
            <w:vAlign w:val="center"/>
          </w:tcPr>
          <w:p w14:paraId="50F10A1E"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18 (2011-2017)</w:t>
            </w:r>
          </w:p>
        </w:tc>
        <w:tc>
          <w:tcPr>
            <w:tcW w:w="539" w:type="pct"/>
            <w:tcBorders>
              <w:bottom w:val="single" w:sz="4" w:space="0" w:color="4472C4"/>
            </w:tcBorders>
            <w:vAlign w:val="center"/>
          </w:tcPr>
          <w:p w14:paraId="4A1E024E"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w:t>
            </w:r>
          </w:p>
        </w:tc>
        <w:tc>
          <w:tcPr>
            <w:tcW w:w="439" w:type="pct"/>
            <w:tcBorders>
              <w:bottom w:val="single" w:sz="4" w:space="0" w:color="4472C4"/>
            </w:tcBorders>
            <w:vAlign w:val="center"/>
          </w:tcPr>
          <w:p w14:paraId="7C4B494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tcBorders>
              <w:bottom w:val="single" w:sz="4" w:space="0" w:color="4472C4"/>
            </w:tcBorders>
            <w:vAlign w:val="center"/>
          </w:tcPr>
          <w:p w14:paraId="6F46BB39"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Style w:val="normaltextrun"/>
                <w:rFonts w:asciiTheme="minorHAnsi" w:hAnsiTheme="minorHAnsi" w:cstheme="minorBidi"/>
                <w:sz w:val="20"/>
                <w:szCs w:val="20"/>
                <w:lang w:val="en-GB"/>
              </w:rPr>
              <w:t>0.98 (2020)</w:t>
            </w:r>
            <w:r w:rsidRPr="005634C4">
              <w:rPr>
                <w:rStyle w:val="EndnoteReference"/>
                <w:rFonts w:asciiTheme="minorHAnsi" w:eastAsiaTheme="majorEastAsia" w:hAnsiTheme="minorHAnsi" w:cstheme="minorBidi"/>
                <w:sz w:val="20"/>
                <w:szCs w:val="20"/>
                <w:lang w:val="en-GB"/>
              </w:rPr>
              <w:endnoteReference w:id="9"/>
            </w:r>
          </w:p>
        </w:tc>
        <w:tc>
          <w:tcPr>
            <w:tcW w:w="533" w:type="pct"/>
            <w:tcBorders>
              <w:bottom w:val="single" w:sz="4" w:space="0" w:color="4472C4"/>
            </w:tcBorders>
            <w:vAlign w:val="center"/>
          </w:tcPr>
          <w:p w14:paraId="07896DED"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18 (2018-2020)</w:t>
            </w:r>
          </w:p>
        </w:tc>
        <w:tc>
          <w:tcPr>
            <w:tcW w:w="539" w:type="pct"/>
            <w:tcBorders>
              <w:bottom w:val="single" w:sz="4" w:space="0" w:color="4472C4"/>
            </w:tcBorders>
            <w:vAlign w:val="center"/>
          </w:tcPr>
          <w:p w14:paraId="3E4AC615"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w:t>
            </w:r>
          </w:p>
        </w:tc>
        <w:tc>
          <w:tcPr>
            <w:tcW w:w="549" w:type="pct"/>
            <w:tcBorders>
              <w:bottom w:val="single" w:sz="4" w:space="0" w:color="4472C4"/>
            </w:tcBorders>
            <w:vAlign w:val="center"/>
          </w:tcPr>
          <w:p w14:paraId="559DFB2E"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Style w:val="normaltextrun"/>
                <w:rFonts w:asciiTheme="minorHAnsi" w:hAnsiTheme="minorHAnsi" w:cstheme="minorHAnsi"/>
                <w:sz w:val="20"/>
                <w:szCs w:val="20"/>
                <w:lang w:val="en-GB"/>
              </w:rPr>
              <w:t>-</w:t>
            </w:r>
          </w:p>
        </w:tc>
      </w:tr>
      <w:tr w:rsidR="005634C4" w:rsidRPr="004206AE" w14:paraId="78C86A31" w14:textId="77777777" w:rsidTr="005634C4">
        <w:trPr>
          <w:trHeight w:val="20"/>
        </w:trPr>
        <w:tc>
          <w:tcPr>
            <w:tcW w:w="901" w:type="pct"/>
            <w:tcBorders>
              <w:top w:val="single" w:sz="4" w:space="0" w:color="4472C4"/>
              <w:left w:val="single" w:sz="4" w:space="0" w:color="4472C4"/>
              <w:bottom w:val="single" w:sz="4" w:space="0" w:color="4472C4"/>
              <w:right w:val="nil"/>
            </w:tcBorders>
            <w:shd w:val="clear" w:color="auto" w:fill="D9E2F3" w:themeFill="accent1" w:themeFillTint="33"/>
            <w:vAlign w:val="center"/>
          </w:tcPr>
          <w:p w14:paraId="00034A17" w14:textId="77777777" w:rsidR="005634C4" w:rsidRPr="004206AE" w:rsidRDefault="005634C4" w:rsidP="005634C4">
            <w:pPr>
              <w:keepNext/>
              <w:spacing w:before="0" w:after="0"/>
              <w:jc w:val="center"/>
              <w:rPr>
                <w:rFonts w:cstheme="minorHAnsi"/>
                <w:sz w:val="20"/>
                <w:szCs w:val="20"/>
                <w:lang w:val="en-GB"/>
              </w:rPr>
            </w:pPr>
            <w:r w:rsidRPr="004206AE">
              <w:rPr>
                <w:rFonts w:cstheme="minorHAnsi"/>
                <w:sz w:val="20"/>
                <w:szCs w:val="20"/>
                <w:lang w:val="en-GB"/>
              </w:rPr>
              <w:t>Digital Media</w:t>
            </w:r>
          </w:p>
        </w:tc>
        <w:tc>
          <w:tcPr>
            <w:tcW w:w="4099" w:type="pct"/>
            <w:gridSpan w:val="8"/>
            <w:tcBorders>
              <w:top w:val="single" w:sz="4" w:space="0" w:color="4472C4"/>
              <w:left w:val="nil"/>
              <w:bottom w:val="single" w:sz="4" w:space="0" w:color="4472C4"/>
              <w:right w:val="single" w:sz="4" w:space="0" w:color="4472C4"/>
            </w:tcBorders>
            <w:shd w:val="clear" w:color="auto" w:fill="D9E2F3" w:themeFill="accent1" w:themeFillTint="33"/>
            <w:vAlign w:val="center"/>
          </w:tcPr>
          <w:p w14:paraId="193DF40E"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p>
        </w:tc>
      </w:tr>
      <w:tr w:rsidR="005634C4" w:rsidRPr="004206AE" w14:paraId="12893932" w14:textId="77777777" w:rsidTr="005634C4">
        <w:trPr>
          <w:trHeight w:val="20"/>
        </w:trPr>
        <w:tc>
          <w:tcPr>
            <w:tcW w:w="901" w:type="pct"/>
            <w:tcBorders>
              <w:top w:val="single" w:sz="4" w:space="0" w:color="4472C4"/>
            </w:tcBorders>
            <w:vAlign w:val="center"/>
          </w:tcPr>
          <w:p w14:paraId="3B9ECECD" w14:textId="77777777" w:rsidR="005634C4" w:rsidRPr="004206AE" w:rsidRDefault="005634C4" w:rsidP="005634C4">
            <w:pPr>
              <w:spacing w:before="0" w:after="0"/>
              <w:jc w:val="center"/>
              <w:rPr>
                <w:rFonts w:cstheme="minorHAnsi"/>
                <w:sz w:val="20"/>
                <w:szCs w:val="20"/>
                <w:lang w:val="en-GB"/>
              </w:rPr>
            </w:pPr>
            <w:r w:rsidRPr="004206AE">
              <w:rPr>
                <w:rFonts w:cstheme="minorHAnsi"/>
                <w:i/>
                <w:iCs/>
                <w:sz w:val="20"/>
                <w:szCs w:val="20"/>
                <w:lang w:val="en-GB"/>
              </w:rPr>
              <w:t>Video Games</w:t>
            </w:r>
          </w:p>
        </w:tc>
        <w:tc>
          <w:tcPr>
            <w:tcW w:w="515" w:type="pct"/>
            <w:tcBorders>
              <w:top w:val="single" w:sz="4" w:space="0" w:color="4472C4"/>
            </w:tcBorders>
            <w:vAlign w:val="center"/>
          </w:tcPr>
          <w:p w14:paraId="56706D68"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Fonts w:asciiTheme="minorHAnsi" w:hAnsiTheme="minorHAnsi" w:cstheme="minorHAnsi"/>
                <w:sz w:val="20"/>
                <w:szCs w:val="20"/>
                <w:lang w:val="en-GB"/>
              </w:rPr>
              <w:t>0.59 (2019)</w:t>
            </w:r>
          </w:p>
        </w:tc>
        <w:tc>
          <w:tcPr>
            <w:tcW w:w="464" w:type="pct"/>
            <w:tcBorders>
              <w:top w:val="single" w:sz="4" w:space="0" w:color="4472C4"/>
            </w:tcBorders>
            <w:vAlign w:val="center"/>
          </w:tcPr>
          <w:p w14:paraId="32220DF1"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39" w:type="pct"/>
            <w:tcBorders>
              <w:top w:val="single" w:sz="4" w:space="0" w:color="4472C4"/>
            </w:tcBorders>
            <w:vAlign w:val="center"/>
          </w:tcPr>
          <w:p w14:paraId="5F7DA440"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Fonts w:asciiTheme="minorHAnsi" w:hAnsiTheme="minorHAnsi" w:cstheme="minorHAnsi"/>
                <w:sz w:val="20"/>
                <w:szCs w:val="20"/>
                <w:lang w:val="en-GB"/>
              </w:rPr>
              <w:t>0.16 (2019)</w:t>
            </w:r>
          </w:p>
        </w:tc>
        <w:tc>
          <w:tcPr>
            <w:tcW w:w="439" w:type="pct"/>
            <w:tcBorders>
              <w:top w:val="single" w:sz="4" w:space="0" w:color="4472C4"/>
            </w:tcBorders>
            <w:vAlign w:val="center"/>
          </w:tcPr>
          <w:p w14:paraId="721312F3"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tcBorders>
              <w:top w:val="single" w:sz="4" w:space="0" w:color="4472C4"/>
            </w:tcBorders>
            <w:vAlign w:val="center"/>
          </w:tcPr>
          <w:p w14:paraId="60CADD1A"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Fonts w:asciiTheme="minorHAnsi" w:hAnsiTheme="minorHAnsi" w:cstheme="minorBidi"/>
                <w:sz w:val="20"/>
                <w:szCs w:val="20"/>
                <w:lang w:val="en-GB"/>
              </w:rPr>
              <w:t>0.69 (2024)</w:t>
            </w:r>
            <w:r w:rsidRPr="005634C4">
              <w:rPr>
                <w:rStyle w:val="EndnoteReference"/>
                <w:rFonts w:asciiTheme="minorHAnsi" w:eastAsiaTheme="majorEastAsia" w:hAnsiTheme="minorHAnsi" w:cstheme="minorBidi"/>
                <w:sz w:val="20"/>
                <w:szCs w:val="20"/>
                <w:lang w:val="en-GB"/>
              </w:rPr>
              <w:endnoteReference w:id="10"/>
            </w:r>
          </w:p>
        </w:tc>
        <w:tc>
          <w:tcPr>
            <w:tcW w:w="533" w:type="pct"/>
            <w:tcBorders>
              <w:top w:val="single" w:sz="4" w:space="0" w:color="4472C4"/>
            </w:tcBorders>
            <w:vAlign w:val="center"/>
          </w:tcPr>
          <w:p w14:paraId="61910CC7" w14:textId="77777777" w:rsidR="005634C4" w:rsidRPr="005634C4" w:rsidRDefault="005634C4" w:rsidP="005634C4">
            <w:pPr>
              <w:pStyle w:val="paragraph"/>
              <w:spacing w:before="0" w:beforeAutospacing="0" w:after="0" w:afterAutospacing="0"/>
              <w:jc w:val="center"/>
              <w:textAlignment w:val="baseline"/>
              <w:rPr>
                <w:rStyle w:val="normaltextrun"/>
                <w:rFonts w:asciiTheme="minorHAnsi" w:hAnsiTheme="minorHAnsi" w:cstheme="minorHAnsi"/>
                <w:sz w:val="20"/>
                <w:szCs w:val="20"/>
                <w:lang w:val="en-GB"/>
              </w:rPr>
            </w:pPr>
            <w:r w:rsidRPr="005634C4">
              <w:rPr>
                <w:rFonts w:asciiTheme="minorHAnsi" w:hAnsiTheme="minorHAnsi" w:cstheme="minorHAnsi"/>
                <w:sz w:val="20"/>
                <w:szCs w:val="20"/>
                <w:lang w:val="en-GB"/>
              </w:rPr>
              <w:t>2.8 (2020-2024)</w:t>
            </w:r>
          </w:p>
        </w:tc>
        <w:tc>
          <w:tcPr>
            <w:tcW w:w="539" w:type="pct"/>
            <w:tcBorders>
              <w:top w:val="single" w:sz="4" w:space="0" w:color="4472C4"/>
            </w:tcBorders>
            <w:vAlign w:val="center"/>
          </w:tcPr>
          <w:p w14:paraId="14A4226F"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0.18 (2024)</w:t>
            </w:r>
            <w:r w:rsidRPr="005634C4">
              <w:rPr>
                <w:rStyle w:val="EndnoteReference"/>
                <w:rFonts w:asciiTheme="minorHAnsi" w:eastAsiaTheme="majorEastAsia" w:hAnsiTheme="minorHAnsi" w:cstheme="minorBidi"/>
                <w:sz w:val="20"/>
                <w:szCs w:val="20"/>
                <w:lang w:val="en-GB"/>
              </w:rPr>
              <w:endnoteReference w:id="11"/>
            </w:r>
          </w:p>
        </w:tc>
        <w:tc>
          <w:tcPr>
            <w:tcW w:w="549" w:type="pct"/>
            <w:tcBorders>
              <w:top w:val="single" w:sz="4" w:space="0" w:color="4472C4"/>
            </w:tcBorders>
            <w:vAlign w:val="center"/>
          </w:tcPr>
          <w:p w14:paraId="77C9C4A0" w14:textId="77777777" w:rsidR="005634C4" w:rsidRPr="005634C4" w:rsidRDefault="005634C4" w:rsidP="005634C4">
            <w:pPr>
              <w:spacing w:before="0" w:after="0"/>
              <w:jc w:val="center"/>
              <w:rPr>
                <w:rStyle w:val="normaltextrun"/>
                <w:rFonts w:cstheme="minorHAnsi"/>
                <w:sz w:val="20"/>
                <w:szCs w:val="20"/>
                <w:lang w:val="en-GB"/>
              </w:rPr>
            </w:pPr>
            <w:r w:rsidRPr="005634C4">
              <w:rPr>
                <w:rFonts w:cstheme="minorHAnsi"/>
                <w:sz w:val="20"/>
                <w:szCs w:val="20"/>
                <w:lang w:val="en-GB"/>
              </w:rPr>
              <w:t>1.5 (2020-2024)</w:t>
            </w:r>
          </w:p>
        </w:tc>
      </w:tr>
      <w:tr w:rsidR="005634C4" w:rsidRPr="004206AE" w14:paraId="6FD6712D" w14:textId="77777777" w:rsidTr="005634C4">
        <w:trPr>
          <w:trHeight w:val="20"/>
        </w:trPr>
        <w:tc>
          <w:tcPr>
            <w:tcW w:w="901" w:type="pct"/>
            <w:vAlign w:val="center"/>
          </w:tcPr>
          <w:p w14:paraId="3563EB70" w14:textId="77777777" w:rsidR="005634C4" w:rsidRPr="004206AE" w:rsidRDefault="005634C4" w:rsidP="005634C4">
            <w:pPr>
              <w:spacing w:before="0" w:after="0"/>
              <w:jc w:val="center"/>
              <w:rPr>
                <w:rFonts w:cstheme="minorHAnsi"/>
                <w:i/>
                <w:iCs/>
                <w:sz w:val="20"/>
                <w:szCs w:val="20"/>
                <w:lang w:val="en-GB"/>
              </w:rPr>
            </w:pPr>
            <w:r w:rsidRPr="004206AE">
              <w:rPr>
                <w:rFonts w:cstheme="minorHAnsi"/>
                <w:i/>
                <w:iCs/>
                <w:sz w:val="20"/>
                <w:szCs w:val="20"/>
                <w:lang w:val="en-GB"/>
              </w:rPr>
              <w:t>Video-on-Demand</w:t>
            </w:r>
          </w:p>
        </w:tc>
        <w:tc>
          <w:tcPr>
            <w:tcW w:w="515" w:type="pct"/>
            <w:vAlign w:val="center"/>
          </w:tcPr>
          <w:p w14:paraId="554BEAF9"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0.44 (2019)</w:t>
            </w:r>
          </w:p>
        </w:tc>
        <w:tc>
          <w:tcPr>
            <w:tcW w:w="464" w:type="pct"/>
            <w:vAlign w:val="center"/>
          </w:tcPr>
          <w:p w14:paraId="5C8230A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39" w:type="pct"/>
            <w:vAlign w:val="center"/>
          </w:tcPr>
          <w:p w14:paraId="0990E9C9"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0.11 (2019)</w:t>
            </w:r>
          </w:p>
        </w:tc>
        <w:tc>
          <w:tcPr>
            <w:tcW w:w="439" w:type="pct"/>
            <w:vAlign w:val="center"/>
          </w:tcPr>
          <w:p w14:paraId="17656E35"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vAlign w:val="center"/>
          </w:tcPr>
          <w:p w14:paraId="2941A4D9"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0.61 (2024)</w:t>
            </w:r>
            <w:r w:rsidRPr="005634C4">
              <w:rPr>
                <w:rStyle w:val="EndnoteReference"/>
                <w:rFonts w:asciiTheme="minorHAnsi" w:eastAsiaTheme="majorEastAsia" w:hAnsiTheme="minorHAnsi" w:cstheme="minorBidi"/>
                <w:sz w:val="20"/>
                <w:szCs w:val="20"/>
                <w:lang w:val="en-GB"/>
              </w:rPr>
              <w:endnoteReference w:id="12"/>
            </w:r>
          </w:p>
        </w:tc>
        <w:tc>
          <w:tcPr>
            <w:tcW w:w="533" w:type="pct"/>
            <w:vAlign w:val="center"/>
          </w:tcPr>
          <w:p w14:paraId="565DD825"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6.4 (2020-2024)</w:t>
            </w:r>
          </w:p>
        </w:tc>
        <w:tc>
          <w:tcPr>
            <w:tcW w:w="539" w:type="pct"/>
            <w:vAlign w:val="center"/>
          </w:tcPr>
          <w:p w14:paraId="6939EFEF"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0.13 (2024)</w:t>
            </w:r>
            <w:r w:rsidRPr="005634C4">
              <w:rPr>
                <w:rStyle w:val="EndnoteReference"/>
                <w:rFonts w:asciiTheme="minorHAnsi" w:eastAsiaTheme="majorEastAsia" w:hAnsiTheme="minorHAnsi" w:cstheme="minorBidi"/>
                <w:sz w:val="20"/>
                <w:szCs w:val="20"/>
                <w:lang w:val="en-GB"/>
              </w:rPr>
              <w:endnoteReference w:id="13"/>
            </w:r>
            <w:r w:rsidRPr="005634C4">
              <w:rPr>
                <w:rFonts w:asciiTheme="minorHAnsi" w:hAnsiTheme="minorHAnsi" w:cstheme="minorBidi"/>
                <w:sz w:val="20"/>
                <w:szCs w:val="20"/>
                <w:lang w:val="en-GB"/>
              </w:rPr>
              <w:t xml:space="preserve"> </w:t>
            </w:r>
          </w:p>
        </w:tc>
        <w:tc>
          <w:tcPr>
            <w:tcW w:w="549" w:type="pct"/>
            <w:vAlign w:val="center"/>
          </w:tcPr>
          <w:p w14:paraId="6EB6A4A0"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5 (2020-2024) </w:t>
            </w:r>
          </w:p>
        </w:tc>
      </w:tr>
      <w:tr w:rsidR="005634C4" w:rsidRPr="004206AE" w14:paraId="41ABA6A6" w14:textId="77777777" w:rsidTr="005634C4">
        <w:trPr>
          <w:trHeight w:val="20"/>
        </w:trPr>
        <w:tc>
          <w:tcPr>
            <w:tcW w:w="901" w:type="pct"/>
            <w:vAlign w:val="center"/>
          </w:tcPr>
          <w:p w14:paraId="10C0D0A6" w14:textId="77777777" w:rsidR="005634C4" w:rsidRPr="004206AE" w:rsidRDefault="005634C4" w:rsidP="005634C4">
            <w:pPr>
              <w:spacing w:before="0" w:after="0"/>
              <w:jc w:val="center"/>
              <w:rPr>
                <w:rFonts w:cstheme="minorHAnsi"/>
                <w:i/>
                <w:iCs/>
                <w:sz w:val="20"/>
                <w:szCs w:val="20"/>
                <w:lang w:val="en-GB"/>
              </w:rPr>
            </w:pPr>
            <w:r w:rsidRPr="004206AE">
              <w:rPr>
                <w:rFonts w:cstheme="minorHAnsi"/>
                <w:i/>
                <w:iCs/>
                <w:sz w:val="20"/>
                <w:szCs w:val="20"/>
                <w:lang w:val="en-GB"/>
              </w:rPr>
              <w:t>E-Publishing</w:t>
            </w:r>
          </w:p>
        </w:tc>
        <w:tc>
          <w:tcPr>
            <w:tcW w:w="515" w:type="pct"/>
            <w:vAlign w:val="center"/>
          </w:tcPr>
          <w:p w14:paraId="5011292D"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0.28 (2019)</w:t>
            </w:r>
          </w:p>
        </w:tc>
        <w:tc>
          <w:tcPr>
            <w:tcW w:w="464" w:type="pct"/>
            <w:vAlign w:val="center"/>
          </w:tcPr>
          <w:p w14:paraId="3D65780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39" w:type="pct"/>
            <w:vAlign w:val="center"/>
          </w:tcPr>
          <w:p w14:paraId="78BA1508"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0.05 (2019)</w:t>
            </w:r>
          </w:p>
        </w:tc>
        <w:tc>
          <w:tcPr>
            <w:tcW w:w="439" w:type="pct"/>
            <w:vAlign w:val="center"/>
          </w:tcPr>
          <w:p w14:paraId="15C5BD1C"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0" w:type="pct"/>
            <w:vAlign w:val="center"/>
          </w:tcPr>
          <w:p w14:paraId="5DF48F8C"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0.35 (2024)</w:t>
            </w:r>
            <w:r w:rsidRPr="005634C4">
              <w:rPr>
                <w:rStyle w:val="EndnoteReference"/>
                <w:rFonts w:asciiTheme="minorHAnsi" w:eastAsiaTheme="majorEastAsia" w:hAnsiTheme="minorHAnsi" w:cstheme="minorBidi"/>
                <w:sz w:val="20"/>
                <w:szCs w:val="20"/>
                <w:lang w:val="en-GB"/>
              </w:rPr>
              <w:endnoteReference w:id="14"/>
            </w:r>
            <w:r w:rsidRPr="005634C4">
              <w:rPr>
                <w:rFonts w:asciiTheme="minorHAnsi" w:hAnsiTheme="minorHAnsi" w:cstheme="minorBidi"/>
                <w:sz w:val="20"/>
                <w:szCs w:val="20"/>
                <w:lang w:val="en-GB"/>
              </w:rPr>
              <w:t xml:space="preserve"> </w:t>
            </w:r>
          </w:p>
        </w:tc>
        <w:tc>
          <w:tcPr>
            <w:tcW w:w="533" w:type="pct"/>
            <w:vAlign w:val="center"/>
          </w:tcPr>
          <w:p w14:paraId="0A33C66E"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 xml:space="preserve">4.7 (2020-2024) </w:t>
            </w:r>
          </w:p>
        </w:tc>
        <w:tc>
          <w:tcPr>
            <w:tcW w:w="539" w:type="pct"/>
            <w:vAlign w:val="center"/>
          </w:tcPr>
          <w:p w14:paraId="7F5011E5"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0.06 (2024)</w:t>
            </w:r>
            <w:r w:rsidRPr="005634C4">
              <w:rPr>
                <w:rStyle w:val="EndnoteReference"/>
                <w:rFonts w:asciiTheme="minorHAnsi" w:eastAsiaTheme="majorEastAsia" w:hAnsiTheme="minorHAnsi" w:cstheme="minorBidi"/>
                <w:sz w:val="20"/>
                <w:szCs w:val="20"/>
                <w:lang w:val="en-GB"/>
              </w:rPr>
              <w:t xml:space="preserve"> </w:t>
            </w:r>
            <w:r w:rsidRPr="005634C4">
              <w:rPr>
                <w:rStyle w:val="EndnoteReference"/>
                <w:rFonts w:asciiTheme="minorHAnsi" w:eastAsiaTheme="majorEastAsia" w:hAnsiTheme="minorHAnsi" w:cstheme="minorBidi"/>
                <w:sz w:val="20"/>
                <w:szCs w:val="20"/>
                <w:lang w:val="en-GB"/>
              </w:rPr>
              <w:endnoteReference w:id="15"/>
            </w:r>
          </w:p>
        </w:tc>
        <w:tc>
          <w:tcPr>
            <w:tcW w:w="549" w:type="pct"/>
            <w:vAlign w:val="center"/>
          </w:tcPr>
          <w:p w14:paraId="3DCB7747"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1.8 (2020-2024)</w:t>
            </w:r>
          </w:p>
        </w:tc>
      </w:tr>
      <w:tr w:rsidR="005634C4" w:rsidRPr="004206AE" w14:paraId="4C08A723" w14:textId="77777777" w:rsidTr="005634C4">
        <w:trPr>
          <w:trHeight w:val="20"/>
        </w:trPr>
        <w:tc>
          <w:tcPr>
            <w:tcW w:w="901" w:type="pct"/>
            <w:vAlign w:val="center"/>
          </w:tcPr>
          <w:p w14:paraId="71250F8F" w14:textId="77777777" w:rsidR="005634C4" w:rsidRPr="004206AE" w:rsidRDefault="005634C4" w:rsidP="005634C4">
            <w:pPr>
              <w:spacing w:before="0" w:after="0"/>
              <w:jc w:val="center"/>
              <w:rPr>
                <w:rFonts w:cstheme="minorHAnsi"/>
                <w:i/>
                <w:iCs/>
                <w:sz w:val="20"/>
                <w:szCs w:val="20"/>
                <w:lang w:val="en-GB"/>
              </w:rPr>
            </w:pPr>
            <w:r w:rsidRPr="004206AE">
              <w:rPr>
                <w:rFonts w:cstheme="minorHAnsi"/>
                <w:i/>
                <w:iCs/>
                <w:sz w:val="20"/>
                <w:szCs w:val="20"/>
                <w:lang w:val="en-GB"/>
              </w:rPr>
              <w:t xml:space="preserve">Digital music </w:t>
            </w:r>
          </w:p>
        </w:tc>
        <w:tc>
          <w:tcPr>
            <w:tcW w:w="515" w:type="pct"/>
            <w:vAlign w:val="center"/>
          </w:tcPr>
          <w:p w14:paraId="35D2D850"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0.58 (2019)</w:t>
            </w:r>
          </w:p>
        </w:tc>
        <w:tc>
          <w:tcPr>
            <w:tcW w:w="464" w:type="pct"/>
            <w:vAlign w:val="center"/>
          </w:tcPr>
          <w:p w14:paraId="74C1362C"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39" w:type="pct"/>
            <w:vAlign w:val="center"/>
          </w:tcPr>
          <w:p w14:paraId="33483045"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0.07 (2019)</w:t>
            </w:r>
          </w:p>
        </w:tc>
        <w:tc>
          <w:tcPr>
            <w:tcW w:w="439" w:type="pct"/>
            <w:vAlign w:val="center"/>
          </w:tcPr>
          <w:p w14:paraId="73708B53"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 -</w:t>
            </w:r>
          </w:p>
        </w:tc>
        <w:tc>
          <w:tcPr>
            <w:tcW w:w="520" w:type="pct"/>
            <w:vAlign w:val="center"/>
          </w:tcPr>
          <w:p w14:paraId="3F9DDB33"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0.63 (2024)</w:t>
            </w:r>
            <w:r w:rsidRPr="005634C4">
              <w:rPr>
                <w:rStyle w:val="EndnoteReference"/>
                <w:rFonts w:asciiTheme="minorHAnsi" w:eastAsiaTheme="majorEastAsia" w:hAnsiTheme="minorHAnsi" w:cstheme="minorBidi"/>
                <w:sz w:val="20"/>
                <w:szCs w:val="20"/>
                <w:lang w:val="en-GB"/>
              </w:rPr>
              <w:endnoteReference w:id="16"/>
            </w:r>
            <w:r w:rsidRPr="005634C4">
              <w:rPr>
                <w:rFonts w:asciiTheme="minorHAnsi" w:hAnsiTheme="minorHAnsi" w:cstheme="minorBidi"/>
                <w:sz w:val="20"/>
                <w:szCs w:val="20"/>
                <w:lang w:val="en-GB"/>
              </w:rPr>
              <w:t xml:space="preserve"> </w:t>
            </w:r>
          </w:p>
        </w:tc>
        <w:tc>
          <w:tcPr>
            <w:tcW w:w="533" w:type="pct"/>
            <w:vAlign w:val="center"/>
          </w:tcPr>
          <w:p w14:paraId="25EF0AAC"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 xml:space="preserve">1.7 (2020-2024) </w:t>
            </w:r>
          </w:p>
        </w:tc>
        <w:tc>
          <w:tcPr>
            <w:tcW w:w="539" w:type="pct"/>
            <w:vAlign w:val="center"/>
          </w:tcPr>
          <w:p w14:paraId="5E792579"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0.09 (2024)</w:t>
            </w:r>
            <w:r w:rsidRPr="005634C4">
              <w:rPr>
                <w:rStyle w:val="EndnoteReference"/>
                <w:rFonts w:asciiTheme="minorHAnsi" w:eastAsiaTheme="majorEastAsia" w:hAnsiTheme="minorHAnsi" w:cstheme="minorBidi"/>
                <w:sz w:val="20"/>
                <w:szCs w:val="20"/>
                <w:lang w:val="en-GB"/>
              </w:rPr>
              <w:t xml:space="preserve"> </w:t>
            </w:r>
            <w:r w:rsidRPr="005634C4">
              <w:rPr>
                <w:rStyle w:val="EndnoteReference"/>
                <w:rFonts w:asciiTheme="minorHAnsi" w:eastAsiaTheme="majorEastAsia" w:hAnsiTheme="minorHAnsi" w:cstheme="minorBidi"/>
                <w:sz w:val="20"/>
                <w:szCs w:val="20"/>
                <w:lang w:val="en-GB"/>
              </w:rPr>
              <w:endnoteReference w:id="17"/>
            </w:r>
          </w:p>
        </w:tc>
        <w:tc>
          <w:tcPr>
            <w:tcW w:w="549" w:type="pct"/>
            <w:vAlign w:val="center"/>
          </w:tcPr>
          <w:p w14:paraId="689F8D9D"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7.1 (2020-2024) </w:t>
            </w:r>
          </w:p>
        </w:tc>
      </w:tr>
      <w:tr w:rsidR="005634C4" w:rsidRPr="004206AE" w14:paraId="0D4A4918" w14:textId="77777777" w:rsidTr="005634C4">
        <w:trPr>
          <w:trHeight w:val="20"/>
        </w:trPr>
        <w:tc>
          <w:tcPr>
            <w:tcW w:w="901" w:type="pct"/>
            <w:vAlign w:val="center"/>
          </w:tcPr>
          <w:p w14:paraId="0300C129" w14:textId="77777777" w:rsidR="005634C4" w:rsidRPr="004206AE" w:rsidRDefault="005634C4" w:rsidP="005634C4">
            <w:pPr>
              <w:spacing w:before="0" w:after="0"/>
              <w:jc w:val="center"/>
              <w:rPr>
                <w:rFonts w:cstheme="minorHAnsi"/>
                <w:iCs/>
                <w:sz w:val="20"/>
                <w:szCs w:val="20"/>
                <w:lang w:val="en-GB"/>
              </w:rPr>
            </w:pPr>
            <w:r w:rsidRPr="004206AE">
              <w:rPr>
                <w:rFonts w:cstheme="minorHAnsi"/>
                <w:iCs/>
                <w:sz w:val="20"/>
                <w:szCs w:val="20"/>
                <w:lang w:val="en-GB"/>
              </w:rPr>
              <w:t>Digital advertising</w:t>
            </w:r>
          </w:p>
        </w:tc>
        <w:tc>
          <w:tcPr>
            <w:tcW w:w="515" w:type="pct"/>
            <w:vAlign w:val="center"/>
          </w:tcPr>
          <w:p w14:paraId="4EFEF465" w14:textId="4F9C6A70"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9.05 (2019)</w:t>
            </w:r>
            <w:r w:rsidRPr="005634C4">
              <w:rPr>
                <w:rStyle w:val="EndnoteReference"/>
                <w:rFonts w:asciiTheme="minorHAnsi" w:eastAsiaTheme="majorEastAsia" w:hAnsiTheme="minorHAnsi" w:cstheme="minorBidi"/>
                <w:sz w:val="20"/>
                <w:szCs w:val="20"/>
                <w:lang w:val="en-GB"/>
              </w:rPr>
              <w:endnoteReference w:id="18"/>
            </w:r>
          </w:p>
        </w:tc>
        <w:tc>
          <w:tcPr>
            <w:tcW w:w="464" w:type="pct"/>
            <w:vAlign w:val="center"/>
          </w:tcPr>
          <w:p w14:paraId="25F2B0DE"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7.1% increase from 2018</w:t>
            </w:r>
          </w:p>
        </w:tc>
        <w:tc>
          <w:tcPr>
            <w:tcW w:w="539" w:type="pct"/>
            <w:vAlign w:val="center"/>
          </w:tcPr>
          <w:p w14:paraId="6A780DE3"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Bidi"/>
                <w:sz w:val="20"/>
                <w:szCs w:val="20"/>
                <w:lang w:val="en-GB"/>
              </w:rPr>
              <w:t>0.41 (2017)</w:t>
            </w:r>
            <w:r w:rsidRPr="005634C4">
              <w:rPr>
                <w:rStyle w:val="EndnoteReference"/>
                <w:rFonts w:asciiTheme="minorHAnsi" w:eastAsiaTheme="majorEastAsia" w:hAnsiTheme="minorHAnsi" w:cstheme="minorBidi"/>
                <w:sz w:val="20"/>
                <w:szCs w:val="20"/>
                <w:lang w:val="en-GB"/>
              </w:rPr>
              <w:endnoteReference w:id="19"/>
            </w:r>
          </w:p>
        </w:tc>
        <w:tc>
          <w:tcPr>
            <w:tcW w:w="439" w:type="pct"/>
            <w:vAlign w:val="center"/>
          </w:tcPr>
          <w:p w14:paraId="1AB9A41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8.4</w:t>
            </w:r>
          </w:p>
          <w:p w14:paraId="5ED9E6E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(2017-2022)</w:t>
            </w:r>
          </w:p>
        </w:tc>
        <w:tc>
          <w:tcPr>
            <w:tcW w:w="520" w:type="pct"/>
            <w:vAlign w:val="center"/>
          </w:tcPr>
          <w:p w14:paraId="687BAA6B"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Bidi"/>
                <w:sz w:val="20"/>
                <w:szCs w:val="20"/>
                <w:lang w:val="en-GB"/>
              </w:rPr>
            </w:pPr>
            <w:r w:rsidRPr="005634C4">
              <w:rPr>
                <w:rFonts w:asciiTheme="minorHAnsi" w:hAnsiTheme="minorHAnsi" w:cstheme="minorBidi"/>
                <w:sz w:val="20"/>
                <w:szCs w:val="20"/>
                <w:lang w:val="en-GB"/>
              </w:rPr>
              <w:t xml:space="preserve">11.12 (2022) </w:t>
            </w:r>
          </w:p>
        </w:tc>
        <w:tc>
          <w:tcPr>
            <w:tcW w:w="533" w:type="pct"/>
            <w:vAlign w:val="center"/>
          </w:tcPr>
          <w:p w14:paraId="6B45B2CB"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Bidi"/>
                <w:sz w:val="20"/>
                <w:szCs w:val="20"/>
                <w:lang w:val="en-GB"/>
              </w:rPr>
            </w:pPr>
            <w:r w:rsidRPr="005634C4">
              <w:rPr>
                <w:rFonts w:asciiTheme="minorHAnsi" w:hAnsiTheme="minorHAnsi" w:cstheme="minorBidi"/>
                <w:sz w:val="20"/>
                <w:szCs w:val="20"/>
                <w:lang w:val="en-GB"/>
              </w:rPr>
              <w:t>7.1 (2018-2022)</w:t>
            </w:r>
          </w:p>
        </w:tc>
        <w:tc>
          <w:tcPr>
            <w:tcW w:w="539" w:type="pct"/>
            <w:vAlign w:val="center"/>
          </w:tcPr>
          <w:p w14:paraId="6BE91379" w14:textId="77777777" w:rsidR="005634C4" w:rsidRPr="005634C4" w:rsidRDefault="005634C4" w:rsidP="005634C4">
            <w:pPr>
              <w:pStyle w:val="paragraph"/>
              <w:spacing w:before="0" w:beforeAutospacing="0" w:after="0" w:afterAutospacing="0"/>
              <w:jc w:val="center"/>
              <w:textAlignment w:val="baseline"/>
              <w:rPr>
                <w:rFonts w:asciiTheme="minorHAnsi" w:hAnsiTheme="minorHAnsi" w:cstheme="minorHAnsi"/>
                <w:sz w:val="20"/>
                <w:szCs w:val="20"/>
                <w:lang w:val="en-GB"/>
              </w:rPr>
            </w:pPr>
            <w:r w:rsidRPr="005634C4">
              <w:rPr>
                <w:rFonts w:asciiTheme="minorHAnsi" w:hAnsiTheme="minorHAnsi" w:cstheme="minorHAnsi"/>
                <w:sz w:val="20"/>
                <w:szCs w:val="20"/>
                <w:lang w:val="en-GB"/>
              </w:rPr>
              <w:t>0.61 (2022)</w:t>
            </w:r>
          </w:p>
        </w:tc>
        <w:tc>
          <w:tcPr>
            <w:tcW w:w="549" w:type="pct"/>
            <w:vAlign w:val="center"/>
          </w:tcPr>
          <w:p w14:paraId="679D015D"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8.4 (2017-2022)</w:t>
            </w:r>
          </w:p>
        </w:tc>
      </w:tr>
    </w:tbl>
    <w:p w14:paraId="781A624C" w14:textId="77777777" w:rsidR="005634C4" w:rsidRDefault="005634C4" w:rsidP="005634C4">
      <w:pPr>
        <w:pStyle w:val="Caption"/>
      </w:pPr>
    </w:p>
    <w:p w14:paraId="75E2DE4E" w14:textId="3352AD6C" w:rsidR="005634C4" w:rsidRPr="005634C4" w:rsidRDefault="005634C4" w:rsidP="005634C4">
      <w:pPr>
        <w:pStyle w:val="Caption"/>
      </w:pPr>
      <w:r>
        <w:t xml:space="preserve">Table </w:t>
      </w:r>
      <w:fldSimple w:instr=" SEQ Table \* ARABIC ">
        <w:r w:rsidR="00C9081C">
          <w:rPr>
            <w:noProof/>
          </w:rPr>
          <w:t>12</w:t>
        </w:r>
      </w:fldSimple>
      <w:r>
        <w:t xml:space="preserve">: </w:t>
      </w:r>
      <w:r w:rsidRPr="00731DDC">
        <w:rPr>
          <w:bCs/>
          <w:lang w:val="en-GB"/>
        </w:rPr>
        <w:t>Tangible Goods and Services Delivered Digitally</w:t>
      </w:r>
    </w:p>
    <w:tbl>
      <w:tblPr>
        <w:tblStyle w:val="TableGrid"/>
        <w:tblW w:w="5000"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780"/>
        <w:gridCol w:w="1057"/>
        <w:gridCol w:w="927"/>
        <w:gridCol w:w="1051"/>
        <w:gridCol w:w="884"/>
        <w:gridCol w:w="989"/>
        <w:gridCol w:w="989"/>
        <w:gridCol w:w="1108"/>
        <w:gridCol w:w="950"/>
      </w:tblGrid>
      <w:tr w:rsidR="005634C4" w:rsidRPr="004206AE" w14:paraId="0625D9FD" w14:textId="77777777" w:rsidTr="005F4075">
        <w:trPr>
          <w:trHeight w:val="20"/>
        </w:trPr>
        <w:tc>
          <w:tcPr>
            <w:tcW w:w="914" w:type="pct"/>
            <w:vMerge w:val="restart"/>
            <w:shd w:val="clear" w:color="auto" w:fill="4472C4" w:themeFill="accent1"/>
            <w:vAlign w:val="center"/>
          </w:tcPr>
          <w:p w14:paraId="1B774635"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Industry/Sector</w:t>
            </w:r>
          </w:p>
        </w:tc>
        <w:tc>
          <w:tcPr>
            <w:tcW w:w="2013" w:type="pct"/>
            <w:gridSpan w:val="4"/>
            <w:shd w:val="clear" w:color="auto" w:fill="4472C4" w:themeFill="accent1"/>
            <w:vAlign w:val="center"/>
          </w:tcPr>
          <w:p w14:paraId="49CD1A13"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Recent/Present: 2015-2019</w:t>
            </w:r>
          </w:p>
        </w:tc>
        <w:tc>
          <w:tcPr>
            <w:tcW w:w="2073" w:type="pct"/>
            <w:gridSpan w:val="4"/>
            <w:shd w:val="clear" w:color="auto" w:fill="4472C4" w:themeFill="accent1"/>
            <w:vAlign w:val="center"/>
          </w:tcPr>
          <w:p w14:paraId="5C6E14EE"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Projected/Future: 2020-2030</w:t>
            </w:r>
          </w:p>
        </w:tc>
      </w:tr>
      <w:tr w:rsidR="005634C4" w:rsidRPr="004206AE" w14:paraId="3B0C68A6" w14:textId="77777777" w:rsidTr="005F4075">
        <w:trPr>
          <w:trHeight w:val="20"/>
        </w:trPr>
        <w:tc>
          <w:tcPr>
            <w:tcW w:w="914" w:type="pct"/>
            <w:vMerge/>
            <w:vAlign w:val="center"/>
          </w:tcPr>
          <w:p w14:paraId="7528651F" w14:textId="77777777" w:rsidR="005634C4" w:rsidRPr="004206AE" w:rsidRDefault="005634C4" w:rsidP="005634C4">
            <w:pPr>
              <w:keepNext/>
              <w:spacing w:before="0" w:after="0"/>
              <w:jc w:val="center"/>
              <w:rPr>
                <w:color w:val="FFFFFF" w:themeColor="background1"/>
                <w:sz w:val="20"/>
                <w:szCs w:val="20"/>
                <w:lang w:val="en-GB"/>
              </w:rPr>
            </w:pPr>
          </w:p>
        </w:tc>
        <w:tc>
          <w:tcPr>
            <w:tcW w:w="543" w:type="pct"/>
            <w:shd w:val="clear" w:color="auto" w:fill="D9E2F3" w:themeFill="accent1" w:themeFillTint="33"/>
            <w:vAlign w:val="center"/>
          </w:tcPr>
          <w:p w14:paraId="29BC4887"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37373D08"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76" w:type="pct"/>
            <w:shd w:val="clear" w:color="auto" w:fill="D9E2F3" w:themeFill="accent1" w:themeFillTint="33"/>
            <w:vAlign w:val="center"/>
          </w:tcPr>
          <w:p w14:paraId="5D2D3B83"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40" w:type="pct"/>
            <w:shd w:val="clear" w:color="auto" w:fill="D9E2F3" w:themeFill="accent1" w:themeFillTint="33"/>
            <w:vAlign w:val="center"/>
          </w:tcPr>
          <w:p w14:paraId="2B51081A"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5EB09C6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54" w:type="pct"/>
            <w:shd w:val="clear" w:color="auto" w:fill="D9E2F3" w:themeFill="accent1" w:themeFillTint="33"/>
            <w:vAlign w:val="center"/>
          </w:tcPr>
          <w:p w14:paraId="386D9FF2"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08" w:type="pct"/>
            <w:shd w:val="clear" w:color="auto" w:fill="D9E2F3" w:themeFill="accent1" w:themeFillTint="33"/>
            <w:vAlign w:val="center"/>
          </w:tcPr>
          <w:p w14:paraId="609DD00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21431AA1"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508" w:type="pct"/>
            <w:shd w:val="clear" w:color="auto" w:fill="D9E2F3" w:themeFill="accent1" w:themeFillTint="33"/>
            <w:vAlign w:val="center"/>
          </w:tcPr>
          <w:p w14:paraId="266143C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69" w:type="pct"/>
            <w:shd w:val="clear" w:color="auto" w:fill="D9E2F3" w:themeFill="accent1" w:themeFillTint="33"/>
            <w:vAlign w:val="center"/>
          </w:tcPr>
          <w:p w14:paraId="7C728A26"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512AD7FA"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8" w:type="pct"/>
            <w:shd w:val="clear" w:color="auto" w:fill="D9E2F3" w:themeFill="accent1" w:themeFillTint="33"/>
            <w:vAlign w:val="center"/>
          </w:tcPr>
          <w:p w14:paraId="73AC7B8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r>
      <w:tr w:rsidR="005634C4" w:rsidRPr="004206AE" w14:paraId="1D5F4DFE" w14:textId="77777777" w:rsidTr="005F4075">
        <w:trPr>
          <w:trHeight w:val="20"/>
        </w:trPr>
        <w:tc>
          <w:tcPr>
            <w:tcW w:w="914" w:type="pct"/>
            <w:vAlign w:val="center"/>
          </w:tcPr>
          <w:p w14:paraId="66178A8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E-commerce</w:t>
            </w:r>
          </w:p>
        </w:tc>
        <w:tc>
          <w:tcPr>
            <w:tcW w:w="543" w:type="pct"/>
            <w:vAlign w:val="center"/>
          </w:tcPr>
          <w:p w14:paraId="302A88A1"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29.27 (2019)</w:t>
            </w:r>
          </w:p>
        </w:tc>
        <w:tc>
          <w:tcPr>
            <w:tcW w:w="476" w:type="pct"/>
            <w:vAlign w:val="center"/>
          </w:tcPr>
          <w:p w14:paraId="6AC860AD"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40" w:type="pct"/>
            <w:vAlign w:val="center"/>
          </w:tcPr>
          <w:p w14:paraId="2431C50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3.44 (2019)</w:t>
            </w:r>
          </w:p>
        </w:tc>
        <w:tc>
          <w:tcPr>
            <w:tcW w:w="454" w:type="pct"/>
            <w:vAlign w:val="center"/>
          </w:tcPr>
          <w:p w14:paraId="2460AB3C"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08" w:type="pct"/>
            <w:vAlign w:val="center"/>
          </w:tcPr>
          <w:p w14:paraId="2B95E2C8"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37.36 (2024)</w:t>
            </w:r>
            <w:r w:rsidRPr="004206AE">
              <w:rPr>
                <w:rStyle w:val="EndnoteReference"/>
                <w:sz w:val="20"/>
                <w:szCs w:val="20"/>
                <w:lang w:val="en-GB"/>
              </w:rPr>
              <w:endnoteReference w:id="20"/>
            </w:r>
          </w:p>
        </w:tc>
        <w:tc>
          <w:tcPr>
            <w:tcW w:w="508" w:type="pct"/>
            <w:vAlign w:val="center"/>
          </w:tcPr>
          <w:p w14:paraId="3029DF2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5 (2020-2024)</w:t>
            </w:r>
          </w:p>
        </w:tc>
        <w:tc>
          <w:tcPr>
            <w:tcW w:w="569" w:type="pct"/>
            <w:vAlign w:val="center"/>
          </w:tcPr>
          <w:p w14:paraId="5162ECD4"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5.31 (2024)</w:t>
            </w:r>
            <w:r w:rsidRPr="004206AE">
              <w:rPr>
                <w:rStyle w:val="EndnoteReference"/>
                <w:sz w:val="20"/>
                <w:szCs w:val="20"/>
                <w:lang w:val="en-GB"/>
              </w:rPr>
              <w:endnoteReference w:id="21"/>
            </w:r>
          </w:p>
        </w:tc>
        <w:tc>
          <w:tcPr>
            <w:tcW w:w="488" w:type="pct"/>
            <w:vAlign w:val="center"/>
          </w:tcPr>
          <w:p w14:paraId="5B245F0D"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9.1 (2020-2024)</w:t>
            </w:r>
          </w:p>
        </w:tc>
      </w:tr>
      <w:tr w:rsidR="005634C4" w:rsidRPr="004206AE" w14:paraId="6998E803" w14:textId="77777777" w:rsidTr="005F4075">
        <w:trPr>
          <w:trHeight w:val="20"/>
        </w:trPr>
        <w:tc>
          <w:tcPr>
            <w:tcW w:w="914" w:type="pct"/>
            <w:vAlign w:val="center"/>
          </w:tcPr>
          <w:p w14:paraId="6C3FBBB3"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Transport</w:t>
            </w:r>
          </w:p>
          <w:p w14:paraId="6410A53B" w14:textId="77777777" w:rsidR="005634C4" w:rsidRPr="004206AE" w:rsidRDefault="005634C4" w:rsidP="005634C4">
            <w:pPr>
              <w:spacing w:before="0" w:after="0"/>
              <w:jc w:val="center"/>
              <w:rPr>
                <w:rFonts w:cstheme="minorHAnsi"/>
                <w:i/>
                <w:iCs/>
                <w:sz w:val="20"/>
                <w:szCs w:val="20"/>
                <w:lang w:val="en-GB"/>
              </w:rPr>
            </w:pPr>
            <w:r w:rsidRPr="004206AE">
              <w:rPr>
                <w:rFonts w:cstheme="minorHAnsi"/>
                <w:sz w:val="20"/>
                <w:szCs w:val="20"/>
                <w:lang w:val="en-GB"/>
              </w:rPr>
              <w:t>(ride hailing and/or taxi)</w:t>
            </w:r>
          </w:p>
        </w:tc>
        <w:tc>
          <w:tcPr>
            <w:tcW w:w="543" w:type="pct"/>
            <w:vAlign w:val="center"/>
          </w:tcPr>
          <w:p w14:paraId="6D9FB527"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4.38 (2019)</w:t>
            </w:r>
            <w:r w:rsidRPr="005634C4">
              <w:rPr>
                <w:rStyle w:val="EndnoteReference"/>
                <w:sz w:val="20"/>
                <w:szCs w:val="20"/>
                <w:lang w:val="en-GB"/>
              </w:rPr>
              <w:endnoteReference w:id="22"/>
            </w:r>
          </w:p>
        </w:tc>
        <w:tc>
          <w:tcPr>
            <w:tcW w:w="476" w:type="pct"/>
            <w:vAlign w:val="center"/>
          </w:tcPr>
          <w:p w14:paraId="22F58883"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40" w:type="pct"/>
            <w:vAlign w:val="center"/>
          </w:tcPr>
          <w:p w14:paraId="4082E06F"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1.51 (2019)</w:t>
            </w:r>
            <w:r w:rsidRPr="004206AE">
              <w:rPr>
                <w:rStyle w:val="EndnoteReference"/>
                <w:sz w:val="20"/>
                <w:szCs w:val="20"/>
                <w:lang w:val="en-GB"/>
              </w:rPr>
              <w:endnoteReference w:id="23"/>
            </w:r>
          </w:p>
        </w:tc>
        <w:tc>
          <w:tcPr>
            <w:tcW w:w="454" w:type="pct"/>
            <w:vAlign w:val="center"/>
          </w:tcPr>
          <w:p w14:paraId="77E8C9CD"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08" w:type="pct"/>
            <w:vAlign w:val="center"/>
          </w:tcPr>
          <w:p w14:paraId="3892C89E"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5.05 (2024)</w:t>
            </w:r>
            <w:r w:rsidRPr="004206AE">
              <w:rPr>
                <w:rStyle w:val="EndnoteReference"/>
                <w:sz w:val="20"/>
                <w:szCs w:val="20"/>
                <w:lang w:val="en-GB"/>
              </w:rPr>
              <w:t xml:space="preserve"> </w:t>
            </w:r>
            <w:r w:rsidRPr="004206AE">
              <w:rPr>
                <w:rStyle w:val="EndnoteReference"/>
                <w:sz w:val="20"/>
                <w:szCs w:val="20"/>
                <w:lang w:val="en-GB"/>
              </w:rPr>
              <w:endnoteReference w:id="24"/>
            </w:r>
          </w:p>
        </w:tc>
        <w:tc>
          <w:tcPr>
            <w:tcW w:w="508" w:type="pct"/>
            <w:vAlign w:val="center"/>
          </w:tcPr>
          <w:p w14:paraId="722714B6"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2.9 (2020-2024)</w:t>
            </w:r>
          </w:p>
        </w:tc>
        <w:tc>
          <w:tcPr>
            <w:tcW w:w="569" w:type="pct"/>
            <w:vAlign w:val="center"/>
          </w:tcPr>
          <w:p w14:paraId="6052769D"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1.89 (2024)</w:t>
            </w:r>
            <w:r w:rsidRPr="004206AE">
              <w:rPr>
                <w:rStyle w:val="EndnoteReference"/>
                <w:sz w:val="20"/>
                <w:szCs w:val="20"/>
                <w:lang w:val="en-GB"/>
              </w:rPr>
              <w:t xml:space="preserve"> </w:t>
            </w:r>
            <w:r w:rsidRPr="004206AE">
              <w:rPr>
                <w:rStyle w:val="EndnoteReference"/>
                <w:sz w:val="20"/>
                <w:szCs w:val="20"/>
                <w:lang w:val="en-GB"/>
              </w:rPr>
              <w:endnoteReference w:id="25"/>
            </w:r>
          </w:p>
        </w:tc>
        <w:tc>
          <w:tcPr>
            <w:tcW w:w="488" w:type="pct"/>
            <w:vAlign w:val="center"/>
          </w:tcPr>
          <w:p w14:paraId="569D3F7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4.5 (2020-2024)</w:t>
            </w:r>
          </w:p>
        </w:tc>
      </w:tr>
      <w:tr w:rsidR="005634C4" w:rsidRPr="004206AE" w14:paraId="3A9E1444" w14:textId="77777777" w:rsidTr="005F4075">
        <w:trPr>
          <w:trHeight w:val="20"/>
        </w:trPr>
        <w:tc>
          <w:tcPr>
            <w:tcW w:w="914" w:type="pct"/>
            <w:shd w:val="clear" w:color="auto" w:fill="FFFFFF" w:themeFill="background1"/>
            <w:vAlign w:val="center"/>
          </w:tcPr>
          <w:p w14:paraId="2A0999E0"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Digital Financial Services</w:t>
            </w:r>
          </w:p>
        </w:tc>
        <w:tc>
          <w:tcPr>
            <w:tcW w:w="543" w:type="pct"/>
            <w:vAlign w:val="center"/>
          </w:tcPr>
          <w:p w14:paraId="4D60F799"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30.67 (2019)</w:t>
            </w:r>
          </w:p>
        </w:tc>
        <w:tc>
          <w:tcPr>
            <w:tcW w:w="476" w:type="pct"/>
            <w:vAlign w:val="center"/>
          </w:tcPr>
          <w:p w14:paraId="1C077E87"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40" w:type="pct"/>
            <w:vAlign w:val="center"/>
          </w:tcPr>
          <w:p w14:paraId="668DC1A1" w14:textId="77777777" w:rsidR="005634C4" w:rsidRPr="004206AE" w:rsidRDefault="005634C4" w:rsidP="005634C4">
            <w:pPr>
              <w:spacing w:before="0" w:after="0"/>
              <w:jc w:val="center"/>
              <w:rPr>
                <w:rFonts w:cstheme="minorHAnsi"/>
                <w:sz w:val="20"/>
                <w:szCs w:val="20"/>
                <w:lang w:val="en-GB"/>
              </w:rPr>
            </w:pPr>
            <w:r w:rsidRPr="004206AE">
              <w:rPr>
                <w:rStyle w:val="eop"/>
                <w:sz w:val="20"/>
                <w:szCs w:val="20"/>
                <w:lang w:val="en-GB"/>
              </w:rPr>
              <w:t>5.39 (2019)</w:t>
            </w:r>
            <w:r w:rsidRPr="004206AE">
              <w:rPr>
                <w:rStyle w:val="EndnoteReference"/>
                <w:sz w:val="20"/>
                <w:szCs w:val="20"/>
                <w:lang w:val="en-GB"/>
              </w:rPr>
              <w:endnoteReference w:id="26"/>
            </w:r>
          </w:p>
        </w:tc>
        <w:tc>
          <w:tcPr>
            <w:tcW w:w="454" w:type="pct"/>
            <w:vAlign w:val="center"/>
          </w:tcPr>
          <w:p w14:paraId="674A2D5B" w14:textId="77777777" w:rsidR="005634C4" w:rsidRPr="004206AE" w:rsidRDefault="005634C4" w:rsidP="005634C4">
            <w:pPr>
              <w:spacing w:before="0" w:after="0"/>
              <w:jc w:val="center"/>
              <w:rPr>
                <w:rStyle w:val="EndnoteReference"/>
                <w:rFonts w:cstheme="minorHAnsi"/>
                <w:sz w:val="20"/>
                <w:szCs w:val="20"/>
                <w:highlight w:val="yellow"/>
                <w:lang w:val="en-GB"/>
              </w:rPr>
            </w:pPr>
            <w:r w:rsidRPr="004206AE">
              <w:rPr>
                <w:rFonts w:cstheme="minorHAnsi"/>
                <w:sz w:val="20"/>
                <w:szCs w:val="20"/>
                <w:lang w:val="en-GB"/>
              </w:rPr>
              <w:t>-</w:t>
            </w:r>
          </w:p>
        </w:tc>
        <w:tc>
          <w:tcPr>
            <w:tcW w:w="508" w:type="pct"/>
            <w:vAlign w:val="center"/>
          </w:tcPr>
          <w:p w14:paraId="23BADD2B" w14:textId="77777777" w:rsidR="005634C4" w:rsidRPr="004206AE" w:rsidRDefault="005634C4" w:rsidP="005634C4">
            <w:pPr>
              <w:spacing w:before="0" w:after="0"/>
              <w:jc w:val="center"/>
              <w:rPr>
                <w:rStyle w:val="normaltextrun"/>
                <w:rFonts w:cstheme="minorHAnsi"/>
                <w:sz w:val="20"/>
                <w:szCs w:val="20"/>
                <w:lang w:val="en-GB"/>
              </w:rPr>
            </w:pPr>
            <w:r w:rsidRPr="004206AE">
              <w:rPr>
                <w:rFonts w:cstheme="minorHAnsi"/>
                <w:sz w:val="20"/>
                <w:szCs w:val="20"/>
                <w:lang w:val="en-GB"/>
              </w:rPr>
              <w:t>36.44 (2020)</w:t>
            </w:r>
          </w:p>
        </w:tc>
        <w:tc>
          <w:tcPr>
            <w:tcW w:w="508" w:type="pct"/>
            <w:vAlign w:val="center"/>
          </w:tcPr>
          <w:p w14:paraId="52C37DAE"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69" w:type="pct"/>
            <w:vAlign w:val="center"/>
          </w:tcPr>
          <w:p w14:paraId="30B96BDB" w14:textId="77777777" w:rsidR="005634C4" w:rsidRPr="004206AE" w:rsidRDefault="005634C4" w:rsidP="005634C4">
            <w:pPr>
              <w:spacing w:before="0" w:after="0"/>
              <w:jc w:val="center"/>
              <w:rPr>
                <w:rStyle w:val="eop"/>
                <w:rFonts w:cstheme="minorHAnsi"/>
                <w:sz w:val="20"/>
                <w:szCs w:val="20"/>
                <w:lang w:val="en-GB"/>
              </w:rPr>
            </w:pPr>
            <w:r w:rsidRPr="004206AE">
              <w:rPr>
                <w:rStyle w:val="normaltextrun"/>
                <w:rFonts w:cstheme="minorHAnsi"/>
                <w:sz w:val="20"/>
                <w:szCs w:val="20"/>
                <w:lang w:val="en-GB"/>
              </w:rPr>
              <w:t>12.13</w:t>
            </w:r>
            <w:r w:rsidRPr="004206AE">
              <w:rPr>
                <w:rStyle w:val="eop"/>
                <w:rFonts w:cstheme="minorHAnsi"/>
                <w:sz w:val="20"/>
                <w:szCs w:val="20"/>
                <w:lang w:val="en-GB"/>
              </w:rPr>
              <w:t xml:space="preserve"> (2025)</w:t>
            </w:r>
          </w:p>
        </w:tc>
        <w:tc>
          <w:tcPr>
            <w:tcW w:w="488" w:type="pct"/>
            <w:vAlign w:val="center"/>
          </w:tcPr>
          <w:p w14:paraId="546B7CC2"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14 (2019-2025)</w:t>
            </w:r>
          </w:p>
        </w:tc>
      </w:tr>
      <w:tr w:rsidR="005634C4" w:rsidRPr="004206AE" w14:paraId="40AF3200" w14:textId="77777777" w:rsidTr="005F4075">
        <w:trPr>
          <w:trHeight w:val="20"/>
        </w:trPr>
        <w:tc>
          <w:tcPr>
            <w:tcW w:w="914" w:type="pct"/>
            <w:shd w:val="clear" w:color="auto" w:fill="FFFFFF" w:themeFill="background1"/>
            <w:vAlign w:val="center"/>
          </w:tcPr>
          <w:p w14:paraId="5D7C3CDC" w14:textId="77777777" w:rsidR="005634C4" w:rsidRPr="004206AE" w:rsidRDefault="005634C4" w:rsidP="005634C4">
            <w:pPr>
              <w:spacing w:before="0" w:after="0"/>
              <w:jc w:val="center"/>
              <w:rPr>
                <w:rFonts w:cstheme="minorHAnsi"/>
                <w:sz w:val="20"/>
                <w:szCs w:val="20"/>
                <w:lang w:val="en-GB"/>
              </w:rPr>
            </w:pPr>
            <w:r w:rsidRPr="004206AE">
              <w:rPr>
                <w:rFonts w:cstheme="minorHAnsi"/>
                <w:i/>
                <w:iCs/>
                <w:sz w:val="20"/>
                <w:szCs w:val="20"/>
                <w:lang w:val="en-GB"/>
              </w:rPr>
              <w:t>Digital Payments</w:t>
            </w:r>
          </w:p>
        </w:tc>
        <w:tc>
          <w:tcPr>
            <w:tcW w:w="543" w:type="pct"/>
            <w:vAlign w:val="center"/>
          </w:tcPr>
          <w:p w14:paraId="02379AB1"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25.2 (2019)</w:t>
            </w:r>
            <w:r w:rsidRPr="005634C4">
              <w:rPr>
                <w:rStyle w:val="EndnoteReference"/>
                <w:sz w:val="20"/>
                <w:szCs w:val="20"/>
                <w:lang w:val="en-GB"/>
              </w:rPr>
              <w:endnoteReference w:id="27"/>
            </w:r>
          </w:p>
        </w:tc>
        <w:tc>
          <w:tcPr>
            <w:tcW w:w="476" w:type="pct"/>
            <w:vAlign w:val="center"/>
          </w:tcPr>
          <w:p w14:paraId="2A3638D1"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3.7</w:t>
            </w:r>
          </w:p>
          <w:p w14:paraId="7D2E6C76"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(2019-2025)</w:t>
            </w:r>
          </w:p>
        </w:tc>
        <w:tc>
          <w:tcPr>
            <w:tcW w:w="540" w:type="pct"/>
            <w:vAlign w:val="center"/>
          </w:tcPr>
          <w:p w14:paraId="7903E718"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454" w:type="pct"/>
            <w:vAlign w:val="center"/>
          </w:tcPr>
          <w:p w14:paraId="25C58A38" w14:textId="77777777" w:rsidR="005634C4" w:rsidRPr="004206AE" w:rsidRDefault="005634C4" w:rsidP="005634C4">
            <w:pPr>
              <w:spacing w:before="0" w:after="0"/>
              <w:jc w:val="center"/>
              <w:rPr>
                <w:rStyle w:val="EndnoteReference"/>
                <w:rFonts w:cstheme="minorHAnsi"/>
                <w:sz w:val="20"/>
                <w:szCs w:val="20"/>
                <w:lang w:val="en-GB"/>
              </w:rPr>
            </w:pPr>
            <w:r w:rsidRPr="004206AE">
              <w:rPr>
                <w:rFonts w:cstheme="minorHAnsi"/>
                <w:sz w:val="20"/>
                <w:szCs w:val="20"/>
                <w:lang w:val="en-GB"/>
              </w:rPr>
              <w:t>-</w:t>
            </w:r>
          </w:p>
        </w:tc>
        <w:tc>
          <w:tcPr>
            <w:tcW w:w="508" w:type="pct"/>
            <w:vAlign w:val="center"/>
          </w:tcPr>
          <w:p w14:paraId="26543B9F" w14:textId="77777777" w:rsidR="005634C4" w:rsidRPr="004206AE" w:rsidRDefault="005634C4" w:rsidP="005634C4">
            <w:pPr>
              <w:spacing w:before="0" w:after="0"/>
              <w:jc w:val="center"/>
              <w:rPr>
                <w:rStyle w:val="normaltextrun"/>
                <w:rFonts w:cstheme="minorHAnsi"/>
                <w:sz w:val="20"/>
                <w:szCs w:val="20"/>
                <w:lang w:val="en-GB"/>
              </w:rPr>
            </w:pPr>
            <w:r w:rsidRPr="004206AE">
              <w:rPr>
                <w:rFonts w:cstheme="minorHAnsi"/>
                <w:sz w:val="20"/>
                <w:szCs w:val="20"/>
                <w:lang w:val="en-GB"/>
              </w:rPr>
              <w:t>26.14 (2020)</w:t>
            </w:r>
          </w:p>
        </w:tc>
        <w:tc>
          <w:tcPr>
            <w:tcW w:w="508" w:type="pct"/>
            <w:vAlign w:val="center"/>
          </w:tcPr>
          <w:p w14:paraId="087FFBDC"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3.7 (2019-2025)</w:t>
            </w:r>
          </w:p>
        </w:tc>
        <w:tc>
          <w:tcPr>
            <w:tcW w:w="569" w:type="pct"/>
            <w:vAlign w:val="center"/>
          </w:tcPr>
          <w:p w14:paraId="30EDEA22" w14:textId="77777777" w:rsidR="005634C4" w:rsidRPr="004206AE" w:rsidRDefault="005634C4" w:rsidP="005634C4">
            <w:pPr>
              <w:spacing w:before="0" w:after="0"/>
              <w:jc w:val="center"/>
              <w:rPr>
                <w:rStyle w:val="eop"/>
                <w:rFonts w:cstheme="minorHAnsi"/>
                <w:sz w:val="20"/>
                <w:szCs w:val="20"/>
                <w:lang w:val="en-GB"/>
              </w:rPr>
            </w:pPr>
            <w:r w:rsidRPr="004206AE">
              <w:rPr>
                <w:rFonts w:cstheme="minorHAnsi"/>
                <w:sz w:val="20"/>
                <w:szCs w:val="20"/>
                <w:lang w:val="en-GB"/>
              </w:rPr>
              <w:t>-</w:t>
            </w:r>
          </w:p>
        </w:tc>
        <w:tc>
          <w:tcPr>
            <w:tcW w:w="488" w:type="pct"/>
            <w:vAlign w:val="center"/>
          </w:tcPr>
          <w:p w14:paraId="323BF192"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r>
      <w:tr w:rsidR="005634C4" w:rsidRPr="004206AE" w14:paraId="13C8D37B" w14:textId="77777777" w:rsidTr="005F4075">
        <w:trPr>
          <w:trHeight w:val="20"/>
        </w:trPr>
        <w:tc>
          <w:tcPr>
            <w:tcW w:w="914" w:type="pct"/>
            <w:shd w:val="clear" w:color="auto" w:fill="FFFFFF" w:themeFill="background1"/>
            <w:vAlign w:val="center"/>
          </w:tcPr>
          <w:p w14:paraId="1C1DFA2D" w14:textId="77777777" w:rsidR="005634C4" w:rsidRPr="004206AE" w:rsidRDefault="005634C4" w:rsidP="005634C4">
            <w:pPr>
              <w:spacing w:before="0" w:after="0"/>
              <w:jc w:val="center"/>
              <w:rPr>
                <w:rFonts w:cstheme="minorHAnsi"/>
                <w:sz w:val="20"/>
                <w:szCs w:val="20"/>
                <w:lang w:val="en-GB"/>
              </w:rPr>
            </w:pPr>
            <w:r w:rsidRPr="004206AE">
              <w:rPr>
                <w:rFonts w:cstheme="minorHAnsi"/>
                <w:i/>
                <w:iCs/>
                <w:sz w:val="20"/>
                <w:szCs w:val="20"/>
                <w:lang w:val="en-GB"/>
              </w:rPr>
              <w:t>Alternative Financing</w:t>
            </w:r>
          </w:p>
        </w:tc>
        <w:tc>
          <w:tcPr>
            <w:tcW w:w="543" w:type="pct"/>
            <w:vAlign w:val="center"/>
          </w:tcPr>
          <w:p w14:paraId="45135176" w14:textId="77777777" w:rsidR="005634C4" w:rsidRPr="005634C4" w:rsidRDefault="005634C4" w:rsidP="005634C4">
            <w:pPr>
              <w:spacing w:before="0" w:after="0"/>
              <w:jc w:val="center"/>
              <w:rPr>
                <w:rFonts w:cstheme="minorHAnsi"/>
                <w:sz w:val="20"/>
                <w:szCs w:val="20"/>
                <w:lang w:val="en-GB"/>
              </w:rPr>
            </w:pPr>
            <w:r w:rsidRPr="005634C4">
              <w:rPr>
                <w:sz w:val="20"/>
                <w:szCs w:val="20"/>
                <w:lang w:val="en-GB"/>
              </w:rPr>
              <w:t>5.47 (2019)</w:t>
            </w:r>
            <w:r w:rsidRPr="005634C4">
              <w:rPr>
                <w:rStyle w:val="EndnoteReference"/>
                <w:sz w:val="20"/>
                <w:szCs w:val="20"/>
                <w:lang w:val="en-GB"/>
              </w:rPr>
              <w:endnoteReference w:id="28"/>
            </w:r>
          </w:p>
        </w:tc>
        <w:tc>
          <w:tcPr>
            <w:tcW w:w="476" w:type="pct"/>
            <w:vAlign w:val="center"/>
          </w:tcPr>
          <w:p w14:paraId="1128EFCA"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88% increase</w:t>
            </w:r>
          </w:p>
        </w:tc>
        <w:tc>
          <w:tcPr>
            <w:tcW w:w="540" w:type="pct"/>
            <w:vAlign w:val="center"/>
          </w:tcPr>
          <w:p w14:paraId="6A83DCA4"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454" w:type="pct"/>
            <w:vAlign w:val="center"/>
          </w:tcPr>
          <w:p w14:paraId="5FB46BA0" w14:textId="77777777" w:rsidR="005634C4" w:rsidRPr="004206AE" w:rsidRDefault="005634C4" w:rsidP="005634C4">
            <w:pPr>
              <w:spacing w:before="0" w:after="0"/>
              <w:jc w:val="center"/>
              <w:rPr>
                <w:rStyle w:val="EndnoteReference"/>
                <w:rFonts w:cstheme="minorHAnsi"/>
                <w:sz w:val="20"/>
                <w:szCs w:val="20"/>
                <w:lang w:val="en-GB"/>
              </w:rPr>
            </w:pPr>
            <w:r w:rsidRPr="004206AE">
              <w:rPr>
                <w:rFonts w:cstheme="minorHAnsi"/>
                <w:sz w:val="20"/>
                <w:szCs w:val="20"/>
                <w:lang w:val="en-GB"/>
              </w:rPr>
              <w:t>-</w:t>
            </w:r>
          </w:p>
        </w:tc>
        <w:tc>
          <w:tcPr>
            <w:tcW w:w="508" w:type="pct"/>
            <w:vAlign w:val="center"/>
          </w:tcPr>
          <w:p w14:paraId="2791B01E" w14:textId="77777777" w:rsidR="005634C4" w:rsidRPr="004206AE" w:rsidRDefault="005634C4" w:rsidP="005634C4">
            <w:pPr>
              <w:spacing w:before="0" w:after="0"/>
              <w:jc w:val="center"/>
              <w:rPr>
                <w:rStyle w:val="normaltextrun"/>
                <w:rFonts w:cstheme="minorHAnsi"/>
                <w:i/>
                <w:sz w:val="20"/>
                <w:szCs w:val="20"/>
                <w:lang w:val="en-GB"/>
              </w:rPr>
            </w:pPr>
            <w:r w:rsidRPr="004206AE">
              <w:rPr>
                <w:i/>
                <w:iCs/>
                <w:sz w:val="20"/>
                <w:szCs w:val="20"/>
                <w:lang w:val="en-GB"/>
              </w:rPr>
              <w:t>10.3 (2020)</w:t>
            </w:r>
            <w:r w:rsidRPr="004206AE">
              <w:rPr>
                <w:rStyle w:val="EndnoteReference"/>
                <w:i/>
                <w:iCs/>
                <w:sz w:val="20"/>
                <w:szCs w:val="20"/>
                <w:lang w:val="en-GB"/>
              </w:rPr>
              <w:endnoteReference w:id="29"/>
            </w:r>
          </w:p>
        </w:tc>
        <w:tc>
          <w:tcPr>
            <w:tcW w:w="508" w:type="pct"/>
            <w:vAlign w:val="center"/>
          </w:tcPr>
          <w:p w14:paraId="1B1E4452"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69" w:type="pct"/>
            <w:vAlign w:val="center"/>
          </w:tcPr>
          <w:p w14:paraId="732FB3F6" w14:textId="77777777" w:rsidR="005634C4" w:rsidRPr="004206AE" w:rsidRDefault="005634C4" w:rsidP="005634C4">
            <w:pPr>
              <w:spacing w:before="0" w:after="0"/>
              <w:jc w:val="center"/>
              <w:rPr>
                <w:rStyle w:val="eop"/>
                <w:rFonts w:cstheme="minorHAnsi"/>
                <w:sz w:val="20"/>
                <w:szCs w:val="20"/>
                <w:lang w:val="en-GB"/>
              </w:rPr>
            </w:pPr>
            <w:r w:rsidRPr="004206AE">
              <w:rPr>
                <w:rFonts w:cstheme="minorHAnsi"/>
                <w:sz w:val="20"/>
                <w:szCs w:val="20"/>
                <w:lang w:val="en-GB"/>
              </w:rPr>
              <w:t>-</w:t>
            </w:r>
          </w:p>
        </w:tc>
        <w:tc>
          <w:tcPr>
            <w:tcW w:w="488" w:type="pct"/>
            <w:vAlign w:val="center"/>
          </w:tcPr>
          <w:p w14:paraId="0817CAB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r>
      <w:tr w:rsidR="005634C4" w:rsidRPr="004206AE" w14:paraId="7C54C7EA" w14:textId="77777777" w:rsidTr="005F4075">
        <w:trPr>
          <w:trHeight w:val="20"/>
        </w:trPr>
        <w:tc>
          <w:tcPr>
            <w:tcW w:w="914" w:type="pct"/>
            <w:shd w:val="clear" w:color="auto" w:fill="FFFFFF" w:themeFill="background1"/>
            <w:vAlign w:val="center"/>
          </w:tcPr>
          <w:p w14:paraId="1A65D8F9"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Online Travel</w:t>
            </w:r>
          </w:p>
        </w:tc>
        <w:tc>
          <w:tcPr>
            <w:tcW w:w="543" w:type="pct"/>
            <w:vAlign w:val="center"/>
          </w:tcPr>
          <w:p w14:paraId="50418047" w14:textId="77777777" w:rsidR="005634C4" w:rsidRPr="005634C4" w:rsidRDefault="005634C4" w:rsidP="005634C4">
            <w:pPr>
              <w:spacing w:before="0" w:after="0"/>
              <w:ind w:right="37"/>
              <w:jc w:val="center"/>
              <w:rPr>
                <w:rFonts w:cstheme="minorHAnsi"/>
                <w:sz w:val="20"/>
                <w:szCs w:val="20"/>
                <w:lang w:val="en-GB"/>
              </w:rPr>
            </w:pPr>
            <w:r w:rsidRPr="005634C4">
              <w:rPr>
                <w:sz w:val="20"/>
                <w:szCs w:val="20"/>
                <w:lang w:val="en-GB"/>
              </w:rPr>
              <w:t>8.32 (2019)</w:t>
            </w:r>
            <w:r w:rsidRPr="005634C4">
              <w:rPr>
                <w:rStyle w:val="EndnoteReference"/>
                <w:sz w:val="20"/>
                <w:szCs w:val="20"/>
                <w:lang w:val="en-GB"/>
              </w:rPr>
              <w:endnoteReference w:id="30"/>
            </w:r>
          </w:p>
        </w:tc>
        <w:tc>
          <w:tcPr>
            <w:tcW w:w="476" w:type="pct"/>
            <w:vAlign w:val="center"/>
          </w:tcPr>
          <w:p w14:paraId="7BE309FE"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40" w:type="pct"/>
            <w:vAlign w:val="center"/>
          </w:tcPr>
          <w:p w14:paraId="50034C2F" w14:textId="77777777" w:rsidR="005634C4" w:rsidRPr="004206AE" w:rsidRDefault="005634C4" w:rsidP="005634C4">
            <w:pPr>
              <w:spacing w:before="0" w:after="0"/>
              <w:ind w:right="37"/>
              <w:jc w:val="center"/>
              <w:rPr>
                <w:rFonts w:cstheme="minorHAnsi"/>
                <w:sz w:val="20"/>
                <w:szCs w:val="20"/>
                <w:lang w:val="en-GB"/>
              </w:rPr>
            </w:pPr>
            <w:r w:rsidRPr="004206AE">
              <w:rPr>
                <w:sz w:val="20"/>
                <w:szCs w:val="20"/>
                <w:lang w:val="en-GB"/>
              </w:rPr>
              <w:t>8.22 (2019)</w:t>
            </w:r>
            <w:r w:rsidRPr="004206AE">
              <w:rPr>
                <w:rStyle w:val="EndnoteReference"/>
                <w:sz w:val="20"/>
                <w:szCs w:val="20"/>
                <w:lang w:val="en-GB"/>
              </w:rPr>
              <w:endnoteReference w:id="31"/>
            </w:r>
          </w:p>
        </w:tc>
        <w:tc>
          <w:tcPr>
            <w:tcW w:w="454" w:type="pct"/>
            <w:vAlign w:val="center"/>
          </w:tcPr>
          <w:p w14:paraId="298E8B1B" w14:textId="77777777" w:rsidR="005634C4" w:rsidRPr="004206AE" w:rsidRDefault="005634C4" w:rsidP="005634C4">
            <w:pPr>
              <w:spacing w:before="0" w:after="0"/>
              <w:ind w:right="37"/>
              <w:jc w:val="center"/>
              <w:rPr>
                <w:rFonts w:cstheme="minorHAnsi"/>
                <w:sz w:val="20"/>
                <w:szCs w:val="20"/>
                <w:lang w:val="en-GB"/>
              </w:rPr>
            </w:pPr>
            <w:r w:rsidRPr="004206AE">
              <w:rPr>
                <w:rFonts w:cstheme="minorHAnsi"/>
                <w:sz w:val="20"/>
                <w:szCs w:val="20"/>
                <w:lang w:val="en-GB"/>
              </w:rPr>
              <w:t>11 (2015-2019)</w:t>
            </w:r>
          </w:p>
        </w:tc>
        <w:tc>
          <w:tcPr>
            <w:tcW w:w="508" w:type="pct"/>
            <w:vAlign w:val="center"/>
          </w:tcPr>
          <w:p w14:paraId="5C7B5117" w14:textId="77777777" w:rsidR="005634C4" w:rsidRPr="004206AE" w:rsidRDefault="005634C4" w:rsidP="005634C4">
            <w:pPr>
              <w:spacing w:before="0" w:after="0"/>
              <w:ind w:right="37"/>
              <w:jc w:val="center"/>
              <w:rPr>
                <w:rStyle w:val="normaltextrun"/>
                <w:rFonts w:cstheme="minorHAnsi"/>
                <w:sz w:val="20"/>
                <w:szCs w:val="20"/>
                <w:lang w:val="en-GB"/>
              </w:rPr>
            </w:pPr>
            <w:r w:rsidRPr="004206AE">
              <w:rPr>
                <w:sz w:val="20"/>
                <w:szCs w:val="20"/>
                <w:lang w:val="en-GB"/>
              </w:rPr>
              <w:t>8.45 (2020)</w:t>
            </w:r>
            <w:r w:rsidRPr="004206AE">
              <w:rPr>
                <w:rStyle w:val="EndnoteReference"/>
                <w:sz w:val="20"/>
                <w:szCs w:val="20"/>
                <w:lang w:val="en-GB"/>
              </w:rPr>
              <w:endnoteReference w:id="32"/>
            </w:r>
          </w:p>
        </w:tc>
        <w:tc>
          <w:tcPr>
            <w:tcW w:w="508" w:type="pct"/>
            <w:vAlign w:val="center"/>
          </w:tcPr>
          <w:p w14:paraId="01E2C7BC"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c>
          <w:tcPr>
            <w:tcW w:w="569" w:type="pct"/>
            <w:vAlign w:val="center"/>
          </w:tcPr>
          <w:p w14:paraId="74152BBE" w14:textId="77777777" w:rsidR="005634C4" w:rsidRPr="004206AE" w:rsidRDefault="005634C4" w:rsidP="005634C4">
            <w:pPr>
              <w:spacing w:before="0" w:after="0"/>
              <w:jc w:val="center"/>
              <w:rPr>
                <w:rStyle w:val="eop"/>
                <w:rFonts w:cstheme="minorHAnsi"/>
                <w:sz w:val="20"/>
                <w:szCs w:val="20"/>
                <w:lang w:val="en-GB"/>
              </w:rPr>
            </w:pPr>
            <w:r w:rsidRPr="004206AE">
              <w:rPr>
                <w:sz w:val="20"/>
                <w:szCs w:val="20"/>
                <w:lang w:val="en-GB"/>
              </w:rPr>
              <w:t>14.82 (2025)</w:t>
            </w:r>
            <w:r w:rsidRPr="004206AE">
              <w:rPr>
                <w:rStyle w:val="EndnoteReference"/>
                <w:sz w:val="20"/>
                <w:szCs w:val="20"/>
                <w:lang w:val="en-GB"/>
              </w:rPr>
              <w:endnoteReference w:id="33"/>
            </w:r>
          </w:p>
        </w:tc>
        <w:tc>
          <w:tcPr>
            <w:tcW w:w="488" w:type="pct"/>
            <w:vAlign w:val="center"/>
          </w:tcPr>
          <w:p w14:paraId="6B3C1DEC"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w:t>
            </w:r>
          </w:p>
        </w:tc>
      </w:tr>
      <w:tr w:rsidR="005634C4" w:rsidRPr="004206AE" w14:paraId="785A9527" w14:textId="77777777" w:rsidTr="005F4075">
        <w:trPr>
          <w:trHeight w:val="20"/>
        </w:trPr>
        <w:tc>
          <w:tcPr>
            <w:tcW w:w="914" w:type="pct"/>
            <w:shd w:val="clear" w:color="auto" w:fill="FFFFFF" w:themeFill="background1"/>
            <w:vAlign w:val="center"/>
          </w:tcPr>
          <w:p w14:paraId="5B864C79" w14:textId="77777777" w:rsidR="005634C4" w:rsidRPr="004206AE" w:rsidRDefault="005634C4" w:rsidP="005634C4">
            <w:pPr>
              <w:spacing w:before="0" w:after="0"/>
              <w:jc w:val="center"/>
              <w:rPr>
                <w:rStyle w:val="EndnoteReference"/>
                <w:sz w:val="20"/>
                <w:szCs w:val="20"/>
                <w:lang w:val="en-GB"/>
              </w:rPr>
            </w:pPr>
            <w:r w:rsidRPr="004206AE">
              <w:rPr>
                <w:sz w:val="20"/>
                <w:szCs w:val="20"/>
                <w:lang w:val="en-GB"/>
              </w:rPr>
              <w:lastRenderedPageBreak/>
              <w:t>E-services</w:t>
            </w:r>
          </w:p>
        </w:tc>
        <w:tc>
          <w:tcPr>
            <w:tcW w:w="543" w:type="pct"/>
            <w:vAlign w:val="center"/>
          </w:tcPr>
          <w:p w14:paraId="4A30B086" w14:textId="77777777" w:rsidR="005634C4" w:rsidRPr="005634C4" w:rsidRDefault="005634C4" w:rsidP="005634C4">
            <w:pPr>
              <w:spacing w:before="0" w:after="0"/>
              <w:jc w:val="center"/>
              <w:rPr>
                <w:sz w:val="20"/>
                <w:szCs w:val="20"/>
                <w:lang w:val="en-GB"/>
              </w:rPr>
            </w:pPr>
            <w:r w:rsidRPr="005634C4">
              <w:rPr>
                <w:sz w:val="20"/>
                <w:szCs w:val="20"/>
                <w:lang w:val="en-GB"/>
              </w:rPr>
              <w:t>4.47 (2019)</w:t>
            </w:r>
          </w:p>
        </w:tc>
        <w:tc>
          <w:tcPr>
            <w:tcW w:w="476" w:type="pct"/>
            <w:vAlign w:val="center"/>
          </w:tcPr>
          <w:p w14:paraId="48F0D41A"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40" w:type="pct"/>
            <w:vAlign w:val="center"/>
          </w:tcPr>
          <w:p w14:paraId="5A05D7F7" w14:textId="77777777" w:rsidR="005634C4" w:rsidRPr="004206AE" w:rsidRDefault="005634C4" w:rsidP="005634C4">
            <w:pPr>
              <w:spacing w:before="0" w:after="0"/>
              <w:jc w:val="center"/>
              <w:rPr>
                <w:sz w:val="20"/>
                <w:szCs w:val="20"/>
                <w:lang w:val="en-GB"/>
              </w:rPr>
            </w:pPr>
            <w:r w:rsidRPr="004206AE">
              <w:rPr>
                <w:sz w:val="20"/>
                <w:szCs w:val="20"/>
                <w:lang w:val="en-GB"/>
              </w:rPr>
              <w:t>0.73 (2019)</w:t>
            </w:r>
          </w:p>
        </w:tc>
        <w:tc>
          <w:tcPr>
            <w:tcW w:w="454" w:type="pct"/>
            <w:vAlign w:val="center"/>
          </w:tcPr>
          <w:p w14:paraId="2D3AF580" w14:textId="77777777" w:rsidR="005634C4" w:rsidRPr="004206AE" w:rsidRDefault="005634C4" w:rsidP="005634C4">
            <w:pPr>
              <w:spacing w:before="0" w:after="0"/>
              <w:jc w:val="center"/>
              <w:rPr>
                <w:rStyle w:val="EndnoteReference"/>
                <w:sz w:val="20"/>
                <w:szCs w:val="20"/>
                <w:highlight w:val="yellow"/>
                <w:lang w:val="en-GB"/>
              </w:rPr>
            </w:pPr>
            <w:r w:rsidRPr="004206AE">
              <w:rPr>
                <w:sz w:val="20"/>
                <w:szCs w:val="20"/>
                <w:lang w:val="en-GB"/>
              </w:rPr>
              <w:t>-</w:t>
            </w:r>
          </w:p>
        </w:tc>
        <w:tc>
          <w:tcPr>
            <w:tcW w:w="508" w:type="pct"/>
            <w:vAlign w:val="center"/>
          </w:tcPr>
          <w:p w14:paraId="49E8F003" w14:textId="77777777" w:rsidR="005634C4" w:rsidRPr="004206AE" w:rsidRDefault="005634C4" w:rsidP="005634C4">
            <w:pPr>
              <w:spacing w:before="0" w:after="0"/>
              <w:jc w:val="center"/>
              <w:rPr>
                <w:rStyle w:val="eop"/>
                <w:sz w:val="20"/>
                <w:szCs w:val="20"/>
                <w:lang w:val="en-GB"/>
              </w:rPr>
            </w:pPr>
            <w:r w:rsidRPr="004206AE">
              <w:rPr>
                <w:rStyle w:val="normaltextrun"/>
                <w:sz w:val="20"/>
                <w:szCs w:val="20"/>
                <w:lang w:val="en-GB"/>
              </w:rPr>
              <w:t>5.93 (2024)</w:t>
            </w:r>
            <w:r w:rsidRPr="004206AE">
              <w:rPr>
                <w:rStyle w:val="EndnoteReference"/>
                <w:sz w:val="20"/>
                <w:szCs w:val="20"/>
                <w:lang w:val="en-GB"/>
              </w:rPr>
              <w:t xml:space="preserve"> </w:t>
            </w:r>
            <w:r w:rsidRPr="004206AE">
              <w:rPr>
                <w:rStyle w:val="EndnoteReference"/>
                <w:sz w:val="20"/>
                <w:szCs w:val="20"/>
                <w:lang w:val="en-GB"/>
              </w:rPr>
              <w:endnoteReference w:id="34"/>
            </w:r>
          </w:p>
        </w:tc>
        <w:tc>
          <w:tcPr>
            <w:tcW w:w="508" w:type="pct"/>
            <w:vAlign w:val="center"/>
          </w:tcPr>
          <w:p w14:paraId="084C8BFE"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6.4 (2020-2024)</w:t>
            </w:r>
          </w:p>
        </w:tc>
        <w:tc>
          <w:tcPr>
            <w:tcW w:w="569" w:type="pct"/>
            <w:vAlign w:val="center"/>
          </w:tcPr>
          <w:p w14:paraId="7BA34E23" w14:textId="77777777" w:rsidR="005634C4" w:rsidRPr="004206AE" w:rsidRDefault="005634C4" w:rsidP="005634C4">
            <w:pPr>
              <w:spacing w:before="0" w:after="0"/>
              <w:jc w:val="center"/>
              <w:rPr>
                <w:rStyle w:val="eop"/>
                <w:sz w:val="20"/>
                <w:szCs w:val="20"/>
                <w:lang w:val="en-GB"/>
              </w:rPr>
            </w:pPr>
            <w:r w:rsidRPr="004206AE">
              <w:rPr>
                <w:rStyle w:val="eop"/>
                <w:sz w:val="20"/>
                <w:szCs w:val="20"/>
                <w:lang w:val="en-GB"/>
              </w:rPr>
              <w:t>1.19 (2024)</w:t>
            </w:r>
            <w:r w:rsidRPr="004206AE">
              <w:rPr>
                <w:rStyle w:val="EndnoteReference"/>
                <w:sz w:val="20"/>
                <w:szCs w:val="20"/>
                <w:lang w:val="en-GB"/>
              </w:rPr>
              <w:endnoteReference w:id="35"/>
            </w:r>
          </w:p>
        </w:tc>
        <w:tc>
          <w:tcPr>
            <w:tcW w:w="488" w:type="pct"/>
            <w:vAlign w:val="center"/>
          </w:tcPr>
          <w:p w14:paraId="42F97DC4" w14:textId="77777777" w:rsidR="005634C4" w:rsidRPr="004206AE" w:rsidRDefault="005634C4" w:rsidP="005634C4">
            <w:pPr>
              <w:spacing w:before="0" w:after="0"/>
              <w:jc w:val="center"/>
              <w:rPr>
                <w:rFonts w:cstheme="minorHAnsi"/>
                <w:sz w:val="20"/>
                <w:szCs w:val="20"/>
                <w:lang w:val="en-GB"/>
              </w:rPr>
            </w:pPr>
            <w:r w:rsidRPr="004206AE">
              <w:rPr>
                <w:rFonts w:cstheme="minorHAnsi"/>
                <w:sz w:val="20"/>
                <w:szCs w:val="20"/>
                <w:lang w:val="en-GB"/>
              </w:rPr>
              <w:t>10.2 (2020-2024)</w:t>
            </w:r>
          </w:p>
        </w:tc>
      </w:tr>
    </w:tbl>
    <w:p w14:paraId="0C6138BA" w14:textId="77777777" w:rsidR="005634C4" w:rsidRDefault="005634C4" w:rsidP="005634C4">
      <w:pPr>
        <w:pStyle w:val="Heading2"/>
        <w:numPr>
          <w:ilvl w:val="0"/>
          <w:numId w:val="0"/>
        </w:numPr>
        <w:jc w:val="center"/>
        <w:rPr>
          <w:lang w:val="en-GB"/>
        </w:rPr>
      </w:pPr>
    </w:p>
    <w:p w14:paraId="4618E7E9" w14:textId="29FE1E4E" w:rsidR="005634C4" w:rsidRPr="00731DDC" w:rsidRDefault="005634C4" w:rsidP="005634C4">
      <w:pPr>
        <w:pStyle w:val="Caption"/>
        <w:rPr>
          <w:bCs/>
          <w:lang w:val="en-GB"/>
        </w:rPr>
      </w:pPr>
      <w:r>
        <w:t xml:space="preserve">Table </w:t>
      </w:r>
      <w:fldSimple w:instr=" SEQ Table \* ARABIC ">
        <w:r w:rsidR="00C9081C">
          <w:rPr>
            <w:noProof/>
          </w:rPr>
          <w:t>13</w:t>
        </w:r>
      </w:fldSimple>
      <w:r>
        <w:t xml:space="preserve">: </w:t>
      </w:r>
      <w:r w:rsidRPr="00731DDC">
        <w:rPr>
          <w:bCs/>
          <w:lang w:val="en-GB"/>
        </w:rPr>
        <w:t>Key Sectors being Digitalised</w:t>
      </w:r>
    </w:p>
    <w:tbl>
      <w:tblPr>
        <w:tblStyle w:val="TableGrid"/>
        <w:tblW w:w="5000"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46"/>
        <w:gridCol w:w="961"/>
        <w:gridCol w:w="826"/>
        <w:gridCol w:w="1199"/>
        <w:gridCol w:w="797"/>
        <w:gridCol w:w="1168"/>
        <w:gridCol w:w="895"/>
        <w:gridCol w:w="1397"/>
        <w:gridCol w:w="746"/>
      </w:tblGrid>
      <w:tr w:rsidR="005634C4" w:rsidRPr="004206AE" w14:paraId="28A1B9B0" w14:textId="77777777" w:rsidTr="005634C4">
        <w:trPr>
          <w:trHeight w:val="20"/>
        </w:trPr>
        <w:tc>
          <w:tcPr>
            <w:tcW w:w="938" w:type="pct"/>
            <w:vMerge w:val="restart"/>
            <w:shd w:val="clear" w:color="auto" w:fill="4472C4" w:themeFill="accent1"/>
            <w:vAlign w:val="center"/>
          </w:tcPr>
          <w:p w14:paraId="4485C177" w14:textId="77777777" w:rsidR="005634C4" w:rsidRPr="004206AE" w:rsidRDefault="005634C4" w:rsidP="005634C4">
            <w:pPr>
              <w:spacing w:before="0" w:after="0"/>
              <w:jc w:val="center"/>
              <w:rPr>
                <w:b/>
                <w:bCs/>
                <w:color w:val="FFFFFF" w:themeColor="background1"/>
                <w:sz w:val="20"/>
                <w:szCs w:val="20"/>
                <w:lang w:val="en-GB"/>
              </w:rPr>
            </w:pPr>
            <w:r w:rsidRPr="004206AE">
              <w:rPr>
                <w:b/>
                <w:bCs/>
                <w:color w:val="FFFFFF" w:themeColor="background1"/>
                <w:sz w:val="20"/>
                <w:szCs w:val="20"/>
                <w:lang w:val="en-GB"/>
              </w:rPr>
              <w:t>Industry/Sector</w:t>
            </w:r>
          </w:p>
        </w:tc>
        <w:tc>
          <w:tcPr>
            <w:tcW w:w="2000" w:type="pct"/>
            <w:gridSpan w:val="4"/>
            <w:shd w:val="clear" w:color="auto" w:fill="4472C4" w:themeFill="accent1"/>
            <w:vAlign w:val="center"/>
          </w:tcPr>
          <w:p w14:paraId="5A5BDAAE" w14:textId="77777777" w:rsidR="005634C4" w:rsidRPr="004206AE" w:rsidRDefault="005634C4" w:rsidP="005634C4">
            <w:pPr>
              <w:spacing w:before="0" w:after="0"/>
              <w:jc w:val="center"/>
              <w:rPr>
                <w:b/>
                <w:bCs/>
                <w:color w:val="FFFFFF" w:themeColor="background1"/>
                <w:sz w:val="20"/>
                <w:szCs w:val="20"/>
                <w:lang w:val="en-GB"/>
              </w:rPr>
            </w:pPr>
            <w:r w:rsidRPr="004206AE">
              <w:rPr>
                <w:b/>
                <w:bCs/>
                <w:color w:val="FFFFFF" w:themeColor="background1"/>
                <w:sz w:val="20"/>
                <w:szCs w:val="20"/>
                <w:lang w:val="en-GB"/>
              </w:rPr>
              <w:t>Recent/Present: 2015-2019</w:t>
            </w:r>
          </w:p>
        </w:tc>
        <w:tc>
          <w:tcPr>
            <w:tcW w:w="2062" w:type="pct"/>
            <w:gridSpan w:val="4"/>
            <w:shd w:val="clear" w:color="auto" w:fill="4472C4" w:themeFill="accent1"/>
            <w:vAlign w:val="center"/>
          </w:tcPr>
          <w:p w14:paraId="10E126FF" w14:textId="77777777" w:rsidR="005634C4" w:rsidRPr="004206AE" w:rsidRDefault="005634C4" w:rsidP="005634C4">
            <w:pPr>
              <w:spacing w:before="0" w:after="0"/>
              <w:jc w:val="center"/>
              <w:rPr>
                <w:b/>
                <w:bCs/>
                <w:color w:val="FFFFFF" w:themeColor="background1"/>
                <w:sz w:val="20"/>
                <w:szCs w:val="20"/>
                <w:lang w:val="en-GB"/>
              </w:rPr>
            </w:pPr>
            <w:r w:rsidRPr="004206AE">
              <w:rPr>
                <w:b/>
                <w:bCs/>
                <w:color w:val="FFFFFF" w:themeColor="background1"/>
                <w:sz w:val="20"/>
                <w:szCs w:val="20"/>
                <w:lang w:val="en-GB"/>
              </w:rPr>
              <w:t>Projected/Future: 2020-2030</w:t>
            </w:r>
          </w:p>
        </w:tc>
      </w:tr>
      <w:tr w:rsidR="005634C4" w:rsidRPr="004206AE" w14:paraId="056CC72A" w14:textId="77777777" w:rsidTr="005634C4">
        <w:trPr>
          <w:trHeight w:val="20"/>
        </w:trPr>
        <w:tc>
          <w:tcPr>
            <w:tcW w:w="938" w:type="pct"/>
            <w:vMerge/>
            <w:vAlign w:val="center"/>
          </w:tcPr>
          <w:p w14:paraId="5F5D5F7D" w14:textId="77777777" w:rsidR="005634C4" w:rsidRPr="004206AE" w:rsidRDefault="005634C4" w:rsidP="005634C4">
            <w:pPr>
              <w:spacing w:before="0" w:after="0"/>
              <w:jc w:val="center"/>
              <w:rPr>
                <w:color w:val="FFFFFF" w:themeColor="background1"/>
                <w:sz w:val="20"/>
                <w:szCs w:val="20"/>
                <w:lang w:val="en-GB"/>
              </w:rPr>
            </w:pPr>
          </w:p>
        </w:tc>
        <w:tc>
          <w:tcPr>
            <w:tcW w:w="528" w:type="pct"/>
            <w:shd w:val="clear" w:color="auto" w:fill="D9E2F3" w:themeFill="accent1" w:themeFillTint="33"/>
            <w:vAlign w:val="center"/>
          </w:tcPr>
          <w:p w14:paraId="1C25345A" w14:textId="77777777" w:rsidR="005634C4" w:rsidRPr="004206AE" w:rsidRDefault="005634C4" w:rsidP="005634C4">
            <w:pPr>
              <w:spacing w:before="0" w:after="0"/>
              <w:jc w:val="center"/>
              <w:rPr>
                <w:b/>
                <w:bCs/>
                <w:sz w:val="20"/>
                <w:szCs w:val="20"/>
                <w:lang w:val="en-GB"/>
              </w:rPr>
            </w:pPr>
            <w:r w:rsidRPr="004206AE">
              <w:rPr>
                <w:b/>
                <w:bCs/>
                <w:sz w:val="20"/>
                <w:szCs w:val="20"/>
                <w:lang w:val="en-GB"/>
              </w:rPr>
              <w:t>Australia</w:t>
            </w:r>
          </w:p>
          <w:p w14:paraId="5A56106C" w14:textId="77777777" w:rsidR="005634C4" w:rsidRPr="004206AE" w:rsidRDefault="005634C4" w:rsidP="005634C4">
            <w:pPr>
              <w:spacing w:before="0" w:after="0"/>
              <w:jc w:val="center"/>
              <w:rPr>
                <w:b/>
                <w:bCs/>
                <w:sz w:val="20"/>
                <w:szCs w:val="20"/>
                <w:lang w:val="en-GB"/>
              </w:rPr>
            </w:pPr>
            <w:r w:rsidRPr="004206AE">
              <w:rPr>
                <w:b/>
                <w:bCs/>
                <w:sz w:val="20"/>
                <w:szCs w:val="20"/>
                <w:lang w:val="en-GB"/>
              </w:rPr>
              <w:t>(AUD Billion)</w:t>
            </w:r>
          </w:p>
        </w:tc>
        <w:tc>
          <w:tcPr>
            <w:tcW w:w="472" w:type="pct"/>
            <w:shd w:val="clear" w:color="auto" w:fill="D9E2F3" w:themeFill="accent1" w:themeFillTint="33"/>
            <w:vAlign w:val="center"/>
          </w:tcPr>
          <w:p w14:paraId="32C0F420" w14:textId="77777777" w:rsidR="005634C4" w:rsidRPr="004206AE" w:rsidRDefault="005634C4" w:rsidP="005634C4">
            <w:pPr>
              <w:spacing w:before="0" w:after="0"/>
              <w:jc w:val="center"/>
              <w:rPr>
                <w:b/>
                <w:bCs/>
                <w:sz w:val="20"/>
                <w:szCs w:val="20"/>
                <w:lang w:val="en-GB"/>
              </w:rPr>
            </w:pPr>
            <w:r w:rsidRPr="004206AE">
              <w:rPr>
                <w:b/>
                <w:bCs/>
                <w:sz w:val="20"/>
                <w:szCs w:val="20"/>
                <w:lang w:val="en-GB"/>
              </w:rPr>
              <w:t>CAGR (%)</w:t>
            </w:r>
          </w:p>
        </w:tc>
        <w:tc>
          <w:tcPr>
            <w:tcW w:w="550" w:type="pct"/>
            <w:shd w:val="clear" w:color="auto" w:fill="D9E2F3" w:themeFill="accent1" w:themeFillTint="33"/>
            <w:vAlign w:val="center"/>
          </w:tcPr>
          <w:p w14:paraId="2F6230E4" w14:textId="77777777" w:rsidR="005634C4" w:rsidRPr="004206AE" w:rsidRDefault="005634C4" w:rsidP="005634C4">
            <w:pPr>
              <w:spacing w:before="0" w:after="0"/>
              <w:jc w:val="center"/>
              <w:rPr>
                <w:b/>
                <w:bCs/>
                <w:sz w:val="20"/>
                <w:szCs w:val="20"/>
                <w:lang w:val="en-GB"/>
              </w:rPr>
            </w:pPr>
            <w:r w:rsidRPr="004206AE">
              <w:rPr>
                <w:b/>
                <w:bCs/>
                <w:sz w:val="20"/>
                <w:szCs w:val="20"/>
                <w:lang w:val="en-GB"/>
              </w:rPr>
              <w:t>Singapore</w:t>
            </w:r>
          </w:p>
          <w:p w14:paraId="64FA5652" w14:textId="77777777" w:rsidR="005634C4" w:rsidRPr="004206AE" w:rsidRDefault="005634C4" w:rsidP="005634C4">
            <w:pPr>
              <w:spacing w:before="0" w:after="0"/>
              <w:jc w:val="center"/>
              <w:rPr>
                <w:b/>
                <w:bCs/>
                <w:sz w:val="20"/>
                <w:szCs w:val="20"/>
                <w:lang w:val="en-GB"/>
              </w:rPr>
            </w:pPr>
            <w:r w:rsidRPr="004206AE">
              <w:rPr>
                <w:b/>
                <w:bCs/>
                <w:sz w:val="20"/>
                <w:szCs w:val="20"/>
                <w:lang w:val="en-GB"/>
              </w:rPr>
              <w:t>(AUD Billion)</w:t>
            </w:r>
          </w:p>
        </w:tc>
        <w:tc>
          <w:tcPr>
            <w:tcW w:w="450" w:type="pct"/>
            <w:shd w:val="clear" w:color="auto" w:fill="D9E2F3" w:themeFill="accent1" w:themeFillTint="33"/>
            <w:vAlign w:val="center"/>
          </w:tcPr>
          <w:p w14:paraId="72CE6A2B" w14:textId="77777777" w:rsidR="005634C4" w:rsidRPr="004206AE" w:rsidRDefault="005634C4" w:rsidP="005634C4">
            <w:pPr>
              <w:spacing w:before="0" w:after="0"/>
              <w:jc w:val="center"/>
              <w:rPr>
                <w:b/>
                <w:bCs/>
                <w:sz w:val="20"/>
                <w:szCs w:val="20"/>
                <w:lang w:val="en-GB"/>
              </w:rPr>
            </w:pPr>
            <w:r w:rsidRPr="004206AE">
              <w:rPr>
                <w:b/>
                <w:bCs/>
                <w:sz w:val="20"/>
                <w:szCs w:val="20"/>
                <w:lang w:val="en-GB"/>
              </w:rPr>
              <w:t>CAGR (%)</w:t>
            </w:r>
          </w:p>
        </w:tc>
        <w:tc>
          <w:tcPr>
            <w:tcW w:w="603" w:type="pct"/>
            <w:shd w:val="clear" w:color="auto" w:fill="D9E2F3" w:themeFill="accent1" w:themeFillTint="33"/>
            <w:vAlign w:val="center"/>
          </w:tcPr>
          <w:p w14:paraId="73CBE06A" w14:textId="77777777" w:rsidR="005634C4" w:rsidRPr="004206AE" w:rsidRDefault="005634C4" w:rsidP="005634C4">
            <w:pPr>
              <w:spacing w:before="0" w:after="0"/>
              <w:jc w:val="center"/>
              <w:rPr>
                <w:b/>
                <w:bCs/>
                <w:sz w:val="20"/>
                <w:szCs w:val="20"/>
                <w:lang w:val="en-GB"/>
              </w:rPr>
            </w:pPr>
            <w:r w:rsidRPr="004206AE">
              <w:rPr>
                <w:b/>
                <w:bCs/>
                <w:sz w:val="20"/>
                <w:szCs w:val="20"/>
                <w:lang w:val="en-GB"/>
              </w:rPr>
              <w:t>Australia</w:t>
            </w:r>
          </w:p>
          <w:p w14:paraId="6F6D38D1" w14:textId="77777777" w:rsidR="005634C4" w:rsidRPr="004206AE" w:rsidRDefault="005634C4" w:rsidP="005634C4">
            <w:pPr>
              <w:spacing w:before="0" w:after="0"/>
              <w:jc w:val="center"/>
              <w:rPr>
                <w:b/>
                <w:bCs/>
                <w:sz w:val="20"/>
                <w:szCs w:val="20"/>
                <w:lang w:val="en-GB"/>
              </w:rPr>
            </w:pPr>
            <w:r w:rsidRPr="004206AE">
              <w:rPr>
                <w:b/>
                <w:bCs/>
                <w:sz w:val="20"/>
                <w:szCs w:val="20"/>
                <w:lang w:val="en-GB"/>
              </w:rPr>
              <w:t>(AUD Billion)</w:t>
            </w:r>
          </w:p>
        </w:tc>
        <w:tc>
          <w:tcPr>
            <w:tcW w:w="421" w:type="pct"/>
            <w:shd w:val="clear" w:color="auto" w:fill="D9E2F3" w:themeFill="accent1" w:themeFillTint="33"/>
            <w:vAlign w:val="center"/>
          </w:tcPr>
          <w:p w14:paraId="4C29A2EF" w14:textId="77777777" w:rsidR="005634C4" w:rsidRPr="004206AE" w:rsidRDefault="005634C4" w:rsidP="005634C4">
            <w:pPr>
              <w:spacing w:before="0" w:after="0"/>
              <w:jc w:val="center"/>
              <w:rPr>
                <w:b/>
                <w:bCs/>
                <w:sz w:val="20"/>
                <w:szCs w:val="20"/>
                <w:lang w:val="en-GB"/>
              </w:rPr>
            </w:pPr>
            <w:r w:rsidRPr="004206AE">
              <w:rPr>
                <w:b/>
                <w:bCs/>
                <w:sz w:val="20"/>
                <w:szCs w:val="20"/>
                <w:lang w:val="en-GB"/>
              </w:rPr>
              <w:t>CAGR (%)</w:t>
            </w:r>
          </w:p>
        </w:tc>
        <w:tc>
          <w:tcPr>
            <w:tcW w:w="577" w:type="pct"/>
            <w:shd w:val="clear" w:color="auto" w:fill="D9E2F3" w:themeFill="accent1" w:themeFillTint="33"/>
            <w:vAlign w:val="center"/>
          </w:tcPr>
          <w:p w14:paraId="745C9226" w14:textId="77777777" w:rsidR="005634C4" w:rsidRPr="004206AE" w:rsidRDefault="005634C4" w:rsidP="005634C4">
            <w:pPr>
              <w:spacing w:before="0" w:after="0"/>
              <w:jc w:val="center"/>
              <w:rPr>
                <w:b/>
                <w:bCs/>
                <w:sz w:val="20"/>
                <w:szCs w:val="20"/>
                <w:lang w:val="en-GB"/>
              </w:rPr>
            </w:pPr>
            <w:r w:rsidRPr="004206AE">
              <w:rPr>
                <w:b/>
                <w:bCs/>
                <w:sz w:val="20"/>
                <w:szCs w:val="20"/>
                <w:lang w:val="en-GB"/>
              </w:rPr>
              <w:t>Singapore</w:t>
            </w:r>
          </w:p>
          <w:p w14:paraId="1E5FA827" w14:textId="77777777" w:rsidR="005634C4" w:rsidRPr="004206AE" w:rsidRDefault="005634C4" w:rsidP="005634C4">
            <w:pPr>
              <w:spacing w:before="0" w:after="0"/>
              <w:jc w:val="center"/>
              <w:rPr>
                <w:b/>
                <w:bCs/>
                <w:sz w:val="20"/>
                <w:szCs w:val="20"/>
                <w:lang w:val="en-GB"/>
              </w:rPr>
            </w:pPr>
            <w:r w:rsidRPr="004206AE">
              <w:rPr>
                <w:b/>
                <w:bCs/>
                <w:sz w:val="20"/>
                <w:szCs w:val="20"/>
                <w:lang w:val="en-GB"/>
              </w:rPr>
              <w:t>(AUD Billion)</w:t>
            </w:r>
          </w:p>
        </w:tc>
        <w:tc>
          <w:tcPr>
            <w:tcW w:w="461" w:type="pct"/>
            <w:shd w:val="clear" w:color="auto" w:fill="D9E2F3" w:themeFill="accent1" w:themeFillTint="33"/>
            <w:vAlign w:val="center"/>
          </w:tcPr>
          <w:p w14:paraId="56C2ACD2" w14:textId="77777777" w:rsidR="005634C4" w:rsidRPr="004206AE" w:rsidRDefault="005634C4" w:rsidP="005634C4">
            <w:pPr>
              <w:spacing w:before="0" w:after="0"/>
              <w:jc w:val="center"/>
              <w:rPr>
                <w:b/>
                <w:bCs/>
                <w:sz w:val="20"/>
                <w:szCs w:val="20"/>
                <w:lang w:val="en-GB"/>
              </w:rPr>
            </w:pPr>
            <w:r w:rsidRPr="004206AE">
              <w:rPr>
                <w:b/>
                <w:bCs/>
                <w:sz w:val="20"/>
                <w:szCs w:val="20"/>
                <w:lang w:val="en-GB"/>
              </w:rPr>
              <w:t>CAGR (%)</w:t>
            </w:r>
          </w:p>
        </w:tc>
      </w:tr>
      <w:tr w:rsidR="005634C4" w:rsidRPr="004206AE" w14:paraId="1AE3939F" w14:textId="77777777" w:rsidTr="005634C4">
        <w:trPr>
          <w:trHeight w:val="20"/>
        </w:trPr>
        <w:tc>
          <w:tcPr>
            <w:tcW w:w="938" w:type="pct"/>
            <w:vAlign w:val="center"/>
          </w:tcPr>
          <w:p w14:paraId="392145B0" w14:textId="77777777" w:rsidR="005634C4" w:rsidRPr="004206AE" w:rsidRDefault="005634C4" w:rsidP="005634C4">
            <w:pPr>
              <w:spacing w:before="0" w:after="0"/>
              <w:jc w:val="center"/>
              <w:rPr>
                <w:sz w:val="20"/>
                <w:szCs w:val="20"/>
                <w:lang w:val="en-GB"/>
              </w:rPr>
            </w:pPr>
            <w:r w:rsidRPr="004206AE">
              <w:rPr>
                <w:sz w:val="20"/>
                <w:szCs w:val="20"/>
                <w:lang w:val="en-GB"/>
              </w:rPr>
              <w:t>Healthcare</w:t>
            </w:r>
          </w:p>
        </w:tc>
        <w:tc>
          <w:tcPr>
            <w:tcW w:w="528" w:type="pct"/>
            <w:vAlign w:val="center"/>
          </w:tcPr>
          <w:p w14:paraId="4C7B49F4"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13.72 (2017)</w:t>
            </w:r>
            <w:r w:rsidRPr="004206AE">
              <w:rPr>
                <w:rStyle w:val="EndnoteReference"/>
                <w:sz w:val="20"/>
                <w:szCs w:val="20"/>
                <w:lang w:val="en-GB"/>
              </w:rPr>
              <w:endnoteReference w:id="36"/>
            </w:r>
          </w:p>
        </w:tc>
        <w:tc>
          <w:tcPr>
            <w:tcW w:w="472" w:type="pct"/>
            <w:vAlign w:val="center"/>
          </w:tcPr>
          <w:p w14:paraId="30D0E763" w14:textId="77777777" w:rsidR="005634C4" w:rsidRPr="004206AE" w:rsidRDefault="005634C4" w:rsidP="005634C4">
            <w:pPr>
              <w:spacing w:before="0" w:after="0"/>
              <w:jc w:val="center"/>
              <w:rPr>
                <w:sz w:val="20"/>
                <w:szCs w:val="20"/>
                <w:lang w:val="en-GB"/>
              </w:rPr>
            </w:pPr>
            <w:r w:rsidRPr="004206AE">
              <w:rPr>
                <w:rStyle w:val="eop"/>
                <w:rFonts w:ascii="Calibri" w:hAnsi="Calibri" w:cs="Calibri"/>
                <w:sz w:val="20"/>
                <w:szCs w:val="20"/>
                <w:lang w:val="en-GB"/>
              </w:rPr>
              <w:t>6 (2017-2023)</w:t>
            </w:r>
          </w:p>
        </w:tc>
        <w:tc>
          <w:tcPr>
            <w:tcW w:w="550" w:type="pct"/>
            <w:vAlign w:val="center"/>
          </w:tcPr>
          <w:p w14:paraId="5949A152" w14:textId="77777777" w:rsidR="005634C4" w:rsidRPr="004206AE" w:rsidRDefault="005634C4" w:rsidP="005634C4">
            <w:pPr>
              <w:spacing w:before="0" w:after="0"/>
              <w:jc w:val="center"/>
              <w:rPr>
                <w:sz w:val="20"/>
                <w:szCs w:val="20"/>
                <w:lang w:val="en-GB"/>
              </w:rPr>
            </w:pPr>
            <w:r w:rsidRPr="004206AE">
              <w:rPr>
                <w:sz w:val="20"/>
                <w:szCs w:val="20"/>
                <w:lang w:val="en-GB"/>
              </w:rPr>
              <w:t>13.11 (2018)</w:t>
            </w:r>
            <w:r w:rsidRPr="004206AE">
              <w:rPr>
                <w:rStyle w:val="EndnoteReference"/>
                <w:sz w:val="20"/>
                <w:szCs w:val="20"/>
                <w:lang w:val="en-GB"/>
              </w:rPr>
              <w:endnoteReference w:id="37"/>
            </w:r>
          </w:p>
        </w:tc>
        <w:tc>
          <w:tcPr>
            <w:tcW w:w="450" w:type="pct"/>
            <w:vAlign w:val="center"/>
          </w:tcPr>
          <w:p w14:paraId="78BEB74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47892B1B" w14:textId="77777777" w:rsidR="005634C4" w:rsidRPr="004206AE" w:rsidRDefault="005634C4" w:rsidP="005634C4">
            <w:pPr>
              <w:spacing w:before="0" w:after="0"/>
              <w:jc w:val="center"/>
              <w:rPr>
                <w:sz w:val="20"/>
                <w:szCs w:val="20"/>
                <w:lang w:val="en-GB"/>
              </w:rPr>
            </w:pPr>
            <w:r w:rsidRPr="004206AE">
              <w:rPr>
                <w:sz w:val="20"/>
                <w:szCs w:val="20"/>
                <w:lang w:val="en-GB"/>
              </w:rPr>
              <w:t>19.78 (2023)</w:t>
            </w:r>
          </w:p>
        </w:tc>
        <w:tc>
          <w:tcPr>
            <w:tcW w:w="421" w:type="pct"/>
            <w:vAlign w:val="center"/>
          </w:tcPr>
          <w:p w14:paraId="74477343" w14:textId="77777777" w:rsidR="005634C4" w:rsidRPr="004206AE" w:rsidRDefault="005634C4" w:rsidP="005634C4">
            <w:pPr>
              <w:spacing w:before="0" w:after="0"/>
              <w:jc w:val="center"/>
              <w:rPr>
                <w:sz w:val="20"/>
                <w:szCs w:val="20"/>
                <w:lang w:val="en-GB"/>
              </w:rPr>
            </w:pPr>
            <w:r w:rsidRPr="004206AE">
              <w:rPr>
                <w:rStyle w:val="eop"/>
                <w:rFonts w:ascii="Calibri" w:hAnsi="Calibri" w:cs="Calibri"/>
                <w:sz w:val="20"/>
                <w:szCs w:val="20"/>
                <w:lang w:val="en-GB"/>
              </w:rPr>
              <w:t>6 (2017-2023)</w:t>
            </w:r>
          </w:p>
        </w:tc>
        <w:tc>
          <w:tcPr>
            <w:tcW w:w="577" w:type="pct"/>
            <w:vAlign w:val="center"/>
          </w:tcPr>
          <w:p w14:paraId="741DC3FA" w14:textId="77777777" w:rsidR="005634C4" w:rsidRPr="004206AE" w:rsidRDefault="005634C4" w:rsidP="005634C4">
            <w:pPr>
              <w:spacing w:before="0" w:after="0"/>
              <w:jc w:val="center"/>
              <w:rPr>
                <w:sz w:val="20"/>
                <w:szCs w:val="20"/>
                <w:lang w:val="en-GB"/>
              </w:rPr>
            </w:pPr>
            <w:r w:rsidRPr="004206AE">
              <w:rPr>
                <w:sz w:val="20"/>
                <w:szCs w:val="20"/>
                <w:lang w:val="en-GB"/>
              </w:rPr>
              <w:t>17.55(2023)</w:t>
            </w:r>
            <w:r w:rsidRPr="004206AE">
              <w:rPr>
                <w:rStyle w:val="EndnoteReference"/>
                <w:sz w:val="20"/>
                <w:szCs w:val="20"/>
                <w:lang w:val="en-GB"/>
              </w:rPr>
              <w:endnoteReference w:id="38"/>
            </w:r>
          </w:p>
        </w:tc>
        <w:tc>
          <w:tcPr>
            <w:tcW w:w="461" w:type="pct"/>
            <w:vAlign w:val="center"/>
          </w:tcPr>
          <w:p w14:paraId="34F44ABA" w14:textId="77777777" w:rsidR="005634C4" w:rsidRPr="004206AE" w:rsidRDefault="005634C4" w:rsidP="005634C4">
            <w:pPr>
              <w:spacing w:before="0" w:after="0"/>
              <w:jc w:val="center"/>
              <w:rPr>
                <w:sz w:val="20"/>
                <w:szCs w:val="20"/>
                <w:lang w:val="en-GB"/>
              </w:rPr>
            </w:pPr>
            <w:r w:rsidRPr="004206AE">
              <w:rPr>
                <w:rStyle w:val="eop"/>
                <w:rFonts w:ascii="Calibri" w:hAnsi="Calibri" w:cs="Calibri"/>
                <w:sz w:val="20"/>
                <w:szCs w:val="20"/>
                <w:lang w:val="en-GB"/>
              </w:rPr>
              <w:t>6 (2018-2023)</w:t>
            </w:r>
          </w:p>
        </w:tc>
      </w:tr>
      <w:tr w:rsidR="005634C4" w:rsidRPr="004206AE" w14:paraId="538663A9" w14:textId="77777777" w:rsidTr="005634C4">
        <w:trPr>
          <w:trHeight w:val="20"/>
        </w:trPr>
        <w:tc>
          <w:tcPr>
            <w:tcW w:w="938" w:type="pct"/>
            <w:vAlign w:val="center"/>
          </w:tcPr>
          <w:p w14:paraId="27A2EA45" w14:textId="77777777" w:rsidR="005634C4" w:rsidRPr="004206AE" w:rsidRDefault="005634C4" w:rsidP="005634C4">
            <w:pPr>
              <w:spacing w:before="0" w:after="0"/>
              <w:jc w:val="center"/>
              <w:rPr>
                <w:sz w:val="20"/>
                <w:szCs w:val="20"/>
                <w:lang w:val="en-GB"/>
              </w:rPr>
            </w:pPr>
            <w:r w:rsidRPr="004206AE">
              <w:rPr>
                <w:sz w:val="20"/>
                <w:szCs w:val="20"/>
                <w:lang w:val="en-GB"/>
              </w:rPr>
              <w:t>Education</w:t>
            </w:r>
          </w:p>
        </w:tc>
        <w:tc>
          <w:tcPr>
            <w:tcW w:w="528" w:type="pct"/>
            <w:vAlign w:val="center"/>
          </w:tcPr>
          <w:p w14:paraId="300212B0" w14:textId="77777777" w:rsidR="005634C4" w:rsidRPr="004206AE" w:rsidRDefault="005634C4" w:rsidP="005634C4">
            <w:pPr>
              <w:spacing w:before="0" w:after="0"/>
              <w:jc w:val="center"/>
              <w:rPr>
                <w:rFonts w:cstheme="minorHAnsi"/>
                <w:sz w:val="20"/>
                <w:szCs w:val="20"/>
                <w:lang w:val="en-GB"/>
              </w:rPr>
            </w:pPr>
            <w:r w:rsidRPr="004206AE">
              <w:rPr>
                <w:sz w:val="20"/>
                <w:szCs w:val="20"/>
                <w:lang w:val="en-GB"/>
              </w:rPr>
              <w:t>5.39 (2018)</w:t>
            </w:r>
            <w:r w:rsidRPr="004206AE">
              <w:rPr>
                <w:rStyle w:val="EndnoteReference"/>
                <w:sz w:val="20"/>
                <w:szCs w:val="20"/>
                <w:lang w:val="en-GB"/>
              </w:rPr>
              <w:endnoteReference w:id="39"/>
            </w:r>
          </w:p>
        </w:tc>
        <w:tc>
          <w:tcPr>
            <w:tcW w:w="472" w:type="pct"/>
            <w:vAlign w:val="center"/>
          </w:tcPr>
          <w:p w14:paraId="5A93B790" w14:textId="77777777" w:rsidR="005634C4" w:rsidRPr="004206AE" w:rsidRDefault="005634C4" w:rsidP="005634C4">
            <w:pPr>
              <w:pStyle w:val="paragraph"/>
              <w:spacing w:before="0" w:beforeAutospacing="0" w:after="0" w:afterAutospacing="0"/>
              <w:jc w:val="center"/>
              <w:textAlignment w:val="baseline"/>
              <w:rPr>
                <w:sz w:val="20"/>
                <w:szCs w:val="20"/>
                <w:lang w:val="en-GB"/>
              </w:rPr>
            </w:pPr>
            <w:r w:rsidRPr="004206AE">
              <w:rPr>
                <w:rStyle w:val="normaltextrun"/>
                <w:rFonts w:ascii="Calibri" w:hAnsi="Calibri" w:cs="Calibri"/>
                <w:sz w:val="20"/>
                <w:szCs w:val="20"/>
                <w:lang w:val="en-GB"/>
              </w:rPr>
              <w:t>Over 8</w:t>
            </w:r>
            <w:r w:rsidRPr="004206AE">
              <w:rPr>
                <w:rStyle w:val="eop"/>
                <w:rFonts w:ascii="Calibri" w:hAnsi="Calibri" w:cs="Calibri"/>
                <w:sz w:val="20"/>
                <w:szCs w:val="20"/>
                <w:lang w:val="en-GB"/>
              </w:rPr>
              <w:t> </w:t>
            </w:r>
          </w:p>
          <w:p w14:paraId="6FF5F00B" w14:textId="77777777" w:rsidR="005634C4" w:rsidRPr="004206AE" w:rsidRDefault="005634C4" w:rsidP="005634C4">
            <w:pPr>
              <w:spacing w:before="0" w:after="0"/>
              <w:jc w:val="center"/>
              <w:rPr>
                <w:sz w:val="20"/>
                <w:szCs w:val="20"/>
                <w:lang w:val="en-GB"/>
              </w:rPr>
            </w:pPr>
            <w:r w:rsidRPr="004206AE">
              <w:rPr>
                <w:rStyle w:val="normaltextrun"/>
                <w:rFonts w:ascii="Calibri" w:hAnsi="Calibri" w:cs="Calibri"/>
                <w:sz w:val="20"/>
                <w:szCs w:val="20"/>
                <w:lang w:val="en-GB"/>
              </w:rPr>
              <w:t>(2018-2024)</w:t>
            </w:r>
            <w:r w:rsidRPr="004206AE">
              <w:rPr>
                <w:rStyle w:val="eop"/>
                <w:rFonts w:ascii="Calibri" w:hAnsi="Calibri" w:cs="Calibri"/>
                <w:sz w:val="20"/>
                <w:szCs w:val="20"/>
                <w:lang w:val="en-GB"/>
              </w:rPr>
              <w:t> </w:t>
            </w:r>
          </w:p>
        </w:tc>
        <w:tc>
          <w:tcPr>
            <w:tcW w:w="550" w:type="pct"/>
            <w:vAlign w:val="center"/>
          </w:tcPr>
          <w:p w14:paraId="4906C2F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50" w:type="pct"/>
            <w:vAlign w:val="center"/>
          </w:tcPr>
          <w:p w14:paraId="23717596"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52B8D3C2" w14:textId="77777777" w:rsidR="005634C4" w:rsidRPr="004206AE" w:rsidRDefault="005634C4" w:rsidP="005634C4">
            <w:pPr>
              <w:spacing w:before="0" w:after="0"/>
              <w:jc w:val="center"/>
              <w:rPr>
                <w:sz w:val="20"/>
                <w:szCs w:val="20"/>
                <w:lang w:val="en-GB"/>
              </w:rPr>
            </w:pPr>
            <w:r w:rsidRPr="004206AE">
              <w:rPr>
                <w:sz w:val="20"/>
                <w:szCs w:val="20"/>
                <w:lang w:val="en-GB"/>
              </w:rPr>
              <w:t>9.43 (2024)</w:t>
            </w:r>
          </w:p>
        </w:tc>
        <w:tc>
          <w:tcPr>
            <w:tcW w:w="421" w:type="pct"/>
            <w:vAlign w:val="center"/>
          </w:tcPr>
          <w:p w14:paraId="17A09245" w14:textId="77777777" w:rsidR="005634C4" w:rsidRPr="004206AE" w:rsidRDefault="005634C4" w:rsidP="005634C4">
            <w:pPr>
              <w:pStyle w:val="paragraph"/>
              <w:spacing w:before="0" w:beforeAutospacing="0" w:after="0" w:afterAutospacing="0"/>
              <w:jc w:val="center"/>
              <w:textAlignment w:val="baseline"/>
              <w:rPr>
                <w:sz w:val="20"/>
                <w:szCs w:val="20"/>
                <w:lang w:val="en-GB"/>
              </w:rPr>
            </w:pPr>
            <w:r w:rsidRPr="004206AE">
              <w:rPr>
                <w:rStyle w:val="normaltextrun"/>
                <w:rFonts w:ascii="Calibri" w:hAnsi="Calibri" w:cs="Calibri"/>
                <w:sz w:val="20"/>
                <w:szCs w:val="20"/>
                <w:lang w:val="en-GB"/>
              </w:rPr>
              <w:t>Over 8</w:t>
            </w:r>
            <w:r w:rsidRPr="004206AE">
              <w:rPr>
                <w:rStyle w:val="eop"/>
                <w:rFonts w:ascii="Calibri" w:hAnsi="Calibri" w:cs="Calibri"/>
                <w:sz w:val="20"/>
                <w:szCs w:val="20"/>
                <w:lang w:val="en-GB"/>
              </w:rPr>
              <w:t> </w:t>
            </w:r>
          </w:p>
          <w:p w14:paraId="06181DE9" w14:textId="77777777" w:rsidR="005634C4" w:rsidRPr="004206AE" w:rsidRDefault="005634C4" w:rsidP="005634C4">
            <w:pPr>
              <w:spacing w:before="0" w:after="0"/>
              <w:jc w:val="center"/>
              <w:rPr>
                <w:sz w:val="20"/>
                <w:szCs w:val="20"/>
                <w:lang w:val="en-GB"/>
              </w:rPr>
            </w:pPr>
            <w:r w:rsidRPr="004206AE">
              <w:rPr>
                <w:rStyle w:val="normaltextrun"/>
                <w:rFonts w:ascii="Calibri" w:hAnsi="Calibri" w:cs="Calibri"/>
                <w:sz w:val="20"/>
                <w:szCs w:val="20"/>
                <w:lang w:val="en-GB"/>
              </w:rPr>
              <w:t>(2018-2024)</w:t>
            </w:r>
            <w:r w:rsidRPr="004206AE">
              <w:rPr>
                <w:rStyle w:val="eop"/>
                <w:rFonts w:ascii="Calibri" w:hAnsi="Calibri" w:cs="Calibri"/>
                <w:sz w:val="20"/>
                <w:szCs w:val="20"/>
                <w:lang w:val="en-GB"/>
              </w:rPr>
              <w:t> </w:t>
            </w:r>
          </w:p>
        </w:tc>
        <w:tc>
          <w:tcPr>
            <w:tcW w:w="577" w:type="pct"/>
            <w:vAlign w:val="center"/>
          </w:tcPr>
          <w:p w14:paraId="66403A00"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61" w:type="pct"/>
            <w:vAlign w:val="center"/>
          </w:tcPr>
          <w:p w14:paraId="48FE0158" w14:textId="77777777" w:rsidR="005634C4" w:rsidRPr="004206AE" w:rsidRDefault="005634C4" w:rsidP="005634C4">
            <w:pPr>
              <w:spacing w:before="0" w:after="0"/>
              <w:jc w:val="center"/>
              <w:rPr>
                <w:sz w:val="20"/>
                <w:szCs w:val="20"/>
                <w:lang w:val="en-GB"/>
              </w:rPr>
            </w:pPr>
            <w:r w:rsidRPr="004206AE">
              <w:rPr>
                <w:sz w:val="20"/>
                <w:szCs w:val="20"/>
                <w:lang w:val="en-GB"/>
              </w:rPr>
              <w:t>-</w:t>
            </w:r>
          </w:p>
        </w:tc>
      </w:tr>
      <w:tr w:rsidR="005634C4" w:rsidRPr="004206AE" w14:paraId="41DDF03E" w14:textId="77777777" w:rsidTr="005634C4">
        <w:trPr>
          <w:trHeight w:val="20"/>
        </w:trPr>
        <w:tc>
          <w:tcPr>
            <w:tcW w:w="938" w:type="pct"/>
            <w:vAlign w:val="center"/>
          </w:tcPr>
          <w:p w14:paraId="65AA2A4D" w14:textId="77777777" w:rsidR="005634C4" w:rsidRPr="004206AE" w:rsidRDefault="005634C4" w:rsidP="005634C4">
            <w:pPr>
              <w:spacing w:before="0" w:after="0"/>
              <w:jc w:val="center"/>
              <w:rPr>
                <w:sz w:val="20"/>
                <w:szCs w:val="20"/>
                <w:lang w:val="en-GB"/>
              </w:rPr>
            </w:pPr>
            <w:r w:rsidRPr="004206AE">
              <w:rPr>
                <w:sz w:val="20"/>
                <w:szCs w:val="20"/>
                <w:lang w:val="en-GB"/>
              </w:rPr>
              <w:t>Energy and Resources</w:t>
            </w:r>
          </w:p>
        </w:tc>
        <w:tc>
          <w:tcPr>
            <w:tcW w:w="528" w:type="pct"/>
            <w:vAlign w:val="center"/>
          </w:tcPr>
          <w:p w14:paraId="4C25B8FE" w14:textId="77777777" w:rsidR="005634C4" w:rsidRPr="004206AE" w:rsidRDefault="005634C4" w:rsidP="005634C4">
            <w:pPr>
              <w:spacing w:before="0" w:after="0"/>
              <w:jc w:val="center"/>
              <w:rPr>
                <w:rFonts w:cstheme="minorHAnsi"/>
                <w:sz w:val="20"/>
                <w:szCs w:val="20"/>
                <w:lang w:val="en-GB"/>
              </w:rPr>
            </w:pPr>
          </w:p>
        </w:tc>
        <w:tc>
          <w:tcPr>
            <w:tcW w:w="472" w:type="pct"/>
            <w:vAlign w:val="center"/>
          </w:tcPr>
          <w:p w14:paraId="5E36CD20"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50" w:type="pct"/>
            <w:vAlign w:val="center"/>
          </w:tcPr>
          <w:p w14:paraId="77683131" w14:textId="77777777" w:rsidR="005634C4" w:rsidRPr="004206AE" w:rsidRDefault="005634C4" w:rsidP="005634C4">
            <w:pPr>
              <w:spacing w:before="0" w:after="0"/>
              <w:jc w:val="center"/>
              <w:rPr>
                <w:sz w:val="20"/>
                <w:szCs w:val="20"/>
                <w:lang w:val="en-GB"/>
              </w:rPr>
            </w:pPr>
            <w:r w:rsidRPr="004206AE">
              <w:rPr>
                <w:sz w:val="20"/>
                <w:szCs w:val="20"/>
                <w:lang w:val="en-GB"/>
              </w:rPr>
              <w:t>79.87(2015)</w:t>
            </w:r>
          </w:p>
        </w:tc>
        <w:tc>
          <w:tcPr>
            <w:tcW w:w="450" w:type="pct"/>
            <w:vAlign w:val="center"/>
          </w:tcPr>
          <w:p w14:paraId="73342C9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339EBBF9" w14:textId="77777777" w:rsidR="005634C4" w:rsidRPr="004206AE" w:rsidRDefault="005634C4" w:rsidP="005634C4">
            <w:pPr>
              <w:spacing w:before="0" w:after="0"/>
              <w:jc w:val="center"/>
              <w:rPr>
                <w:sz w:val="20"/>
                <w:szCs w:val="20"/>
                <w:lang w:val="en-GB"/>
              </w:rPr>
            </w:pPr>
            <w:r w:rsidRPr="004206AE">
              <w:rPr>
                <w:sz w:val="20"/>
                <w:szCs w:val="20"/>
                <w:lang w:val="en-GB"/>
              </w:rPr>
              <w:t>Increase in profits: 40 (2025)</w:t>
            </w:r>
            <w:r w:rsidRPr="004206AE">
              <w:rPr>
                <w:rStyle w:val="EndnoteReference"/>
                <w:sz w:val="20"/>
                <w:szCs w:val="20"/>
                <w:lang w:val="en-GB"/>
              </w:rPr>
              <w:endnoteReference w:id="40"/>
            </w:r>
            <w:r w:rsidRPr="004206AE">
              <w:rPr>
                <w:sz w:val="20"/>
                <w:szCs w:val="20"/>
                <w:lang w:val="en-GB"/>
              </w:rPr>
              <w:t xml:space="preserve"> </w:t>
            </w:r>
          </w:p>
        </w:tc>
        <w:tc>
          <w:tcPr>
            <w:tcW w:w="421" w:type="pct"/>
            <w:vAlign w:val="center"/>
          </w:tcPr>
          <w:p w14:paraId="6B9E1EB0"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77" w:type="pct"/>
            <w:vAlign w:val="center"/>
          </w:tcPr>
          <w:p w14:paraId="2C0C40F9" w14:textId="77777777" w:rsidR="005634C4" w:rsidRPr="004206AE" w:rsidRDefault="005634C4" w:rsidP="005634C4">
            <w:pPr>
              <w:spacing w:before="0" w:after="0"/>
              <w:jc w:val="center"/>
              <w:rPr>
                <w:sz w:val="20"/>
                <w:szCs w:val="20"/>
                <w:lang w:val="en-GB"/>
              </w:rPr>
            </w:pPr>
            <w:r w:rsidRPr="004206AE">
              <w:rPr>
                <w:sz w:val="20"/>
                <w:szCs w:val="20"/>
                <w:lang w:val="en-GB"/>
              </w:rPr>
              <w:t xml:space="preserve">Value added: </w:t>
            </w:r>
          </w:p>
          <w:p w14:paraId="6D254DD2" w14:textId="77777777" w:rsidR="005634C4" w:rsidRPr="004206AE" w:rsidRDefault="005634C4" w:rsidP="005634C4">
            <w:pPr>
              <w:spacing w:before="0" w:after="0"/>
              <w:jc w:val="center"/>
              <w:rPr>
                <w:sz w:val="20"/>
                <w:szCs w:val="20"/>
                <w:lang w:val="en-GB"/>
              </w:rPr>
            </w:pPr>
            <w:r w:rsidRPr="004206AE">
              <w:rPr>
                <w:sz w:val="20"/>
                <w:szCs w:val="20"/>
                <w:lang w:val="en-GB"/>
              </w:rPr>
              <w:t>12.52 (2025)</w:t>
            </w:r>
            <w:r w:rsidRPr="004206AE">
              <w:rPr>
                <w:rStyle w:val="EndnoteReference"/>
                <w:sz w:val="20"/>
                <w:szCs w:val="20"/>
                <w:lang w:val="en-GB"/>
              </w:rPr>
              <w:endnoteReference w:id="41"/>
            </w:r>
          </w:p>
        </w:tc>
        <w:tc>
          <w:tcPr>
            <w:tcW w:w="461" w:type="pct"/>
            <w:vAlign w:val="center"/>
          </w:tcPr>
          <w:p w14:paraId="4B27686D" w14:textId="77777777" w:rsidR="005634C4" w:rsidRPr="004206AE" w:rsidRDefault="005634C4" w:rsidP="005634C4">
            <w:pPr>
              <w:spacing w:before="0" w:after="0"/>
              <w:jc w:val="center"/>
              <w:rPr>
                <w:sz w:val="20"/>
                <w:szCs w:val="20"/>
                <w:lang w:val="en-GB"/>
              </w:rPr>
            </w:pPr>
            <w:r w:rsidRPr="004206AE">
              <w:rPr>
                <w:sz w:val="20"/>
                <w:szCs w:val="20"/>
                <w:lang w:val="en-GB"/>
              </w:rPr>
              <w:t>-</w:t>
            </w:r>
          </w:p>
        </w:tc>
      </w:tr>
      <w:tr w:rsidR="005634C4" w:rsidRPr="004206AE" w14:paraId="0F9C4DE2" w14:textId="77777777" w:rsidTr="005634C4">
        <w:trPr>
          <w:trHeight w:val="20"/>
        </w:trPr>
        <w:tc>
          <w:tcPr>
            <w:tcW w:w="938" w:type="pct"/>
            <w:vAlign w:val="center"/>
          </w:tcPr>
          <w:p w14:paraId="7A5661C5" w14:textId="77777777" w:rsidR="005634C4" w:rsidRPr="004206AE" w:rsidRDefault="005634C4" w:rsidP="005634C4">
            <w:pPr>
              <w:spacing w:before="0" w:after="0"/>
              <w:jc w:val="center"/>
              <w:rPr>
                <w:sz w:val="20"/>
                <w:szCs w:val="20"/>
                <w:lang w:val="en-GB"/>
              </w:rPr>
            </w:pPr>
            <w:r w:rsidRPr="004206AE">
              <w:rPr>
                <w:sz w:val="20"/>
                <w:szCs w:val="20"/>
                <w:lang w:val="en-GB"/>
              </w:rPr>
              <w:t xml:space="preserve">Food and Agriculture </w:t>
            </w:r>
          </w:p>
        </w:tc>
        <w:tc>
          <w:tcPr>
            <w:tcW w:w="528" w:type="pct"/>
            <w:vAlign w:val="center"/>
          </w:tcPr>
          <w:p w14:paraId="5EF1CE4E" w14:textId="77777777" w:rsidR="005634C4" w:rsidRPr="004206AE" w:rsidRDefault="005634C4" w:rsidP="005634C4">
            <w:pPr>
              <w:spacing w:before="0" w:after="0"/>
              <w:jc w:val="center"/>
              <w:rPr>
                <w:sz w:val="20"/>
                <w:szCs w:val="20"/>
                <w:lang w:val="en-GB"/>
              </w:rPr>
            </w:pPr>
            <w:r w:rsidRPr="004206AE">
              <w:rPr>
                <w:sz w:val="20"/>
                <w:szCs w:val="20"/>
                <w:lang w:val="en-GB"/>
              </w:rPr>
              <w:t>81 (2014-2015)</w:t>
            </w:r>
            <w:r w:rsidRPr="004206AE">
              <w:rPr>
                <w:rStyle w:val="EndnoteReference"/>
                <w:sz w:val="20"/>
                <w:szCs w:val="20"/>
                <w:lang w:val="en-GB"/>
              </w:rPr>
              <w:endnoteReference w:id="42"/>
            </w:r>
          </w:p>
        </w:tc>
        <w:tc>
          <w:tcPr>
            <w:tcW w:w="472" w:type="pct"/>
            <w:vAlign w:val="center"/>
          </w:tcPr>
          <w:p w14:paraId="7D847D65"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50" w:type="pct"/>
            <w:vAlign w:val="center"/>
          </w:tcPr>
          <w:p w14:paraId="5ECB7D95"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50" w:type="pct"/>
            <w:vAlign w:val="center"/>
          </w:tcPr>
          <w:p w14:paraId="3F9D9A9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1C3F738F" w14:textId="77777777" w:rsidR="005634C4" w:rsidRPr="004206AE" w:rsidRDefault="005634C4" w:rsidP="005634C4">
            <w:pPr>
              <w:spacing w:before="0" w:after="0"/>
              <w:jc w:val="center"/>
              <w:rPr>
                <w:sz w:val="20"/>
                <w:szCs w:val="20"/>
                <w:lang w:val="en-GB"/>
              </w:rPr>
            </w:pPr>
            <w:r w:rsidRPr="004206AE">
              <w:rPr>
                <w:sz w:val="20"/>
                <w:szCs w:val="20"/>
                <w:lang w:val="en-GB"/>
              </w:rPr>
              <w:t xml:space="preserve">Increase in production: </w:t>
            </w:r>
          </w:p>
          <w:p w14:paraId="49410858" w14:textId="77777777" w:rsidR="005634C4" w:rsidRPr="004206AE" w:rsidRDefault="005634C4" w:rsidP="005634C4">
            <w:pPr>
              <w:spacing w:before="0" w:after="0"/>
              <w:jc w:val="center"/>
              <w:rPr>
                <w:sz w:val="20"/>
                <w:szCs w:val="20"/>
                <w:lang w:val="en-GB"/>
              </w:rPr>
            </w:pPr>
            <w:r w:rsidRPr="004206AE">
              <w:rPr>
                <w:sz w:val="20"/>
                <w:szCs w:val="20"/>
                <w:lang w:val="en-GB"/>
              </w:rPr>
              <w:t>20.3 (2030)</w:t>
            </w:r>
            <w:r w:rsidRPr="004206AE">
              <w:rPr>
                <w:rStyle w:val="EndnoteReference"/>
                <w:sz w:val="20"/>
                <w:szCs w:val="20"/>
                <w:lang w:val="en-GB"/>
              </w:rPr>
              <w:endnoteReference w:id="43"/>
            </w:r>
          </w:p>
        </w:tc>
        <w:tc>
          <w:tcPr>
            <w:tcW w:w="421" w:type="pct"/>
            <w:vAlign w:val="center"/>
          </w:tcPr>
          <w:p w14:paraId="5EE9F82D" w14:textId="77777777" w:rsidR="005634C4" w:rsidRPr="004206AE" w:rsidRDefault="005634C4" w:rsidP="005634C4">
            <w:pPr>
              <w:spacing w:before="0" w:after="0"/>
              <w:jc w:val="center"/>
              <w:rPr>
                <w:sz w:val="20"/>
                <w:szCs w:val="20"/>
                <w:lang w:val="en-GB"/>
              </w:rPr>
            </w:pPr>
            <w:r w:rsidRPr="004206AE">
              <w:rPr>
                <w:sz w:val="20"/>
                <w:szCs w:val="20"/>
                <w:lang w:val="en-GB"/>
              </w:rPr>
              <w:t>25% increase</w:t>
            </w:r>
          </w:p>
        </w:tc>
        <w:tc>
          <w:tcPr>
            <w:tcW w:w="577" w:type="pct"/>
            <w:vAlign w:val="center"/>
          </w:tcPr>
          <w:p w14:paraId="50E2B8E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61" w:type="pct"/>
            <w:vAlign w:val="center"/>
          </w:tcPr>
          <w:p w14:paraId="24DB641C" w14:textId="77777777" w:rsidR="005634C4" w:rsidRPr="004206AE" w:rsidRDefault="005634C4" w:rsidP="005634C4">
            <w:pPr>
              <w:spacing w:before="0" w:after="0"/>
              <w:jc w:val="center"/>
              <w:rPr>
                <w:sz w:val="20"/>
                <w:szCs w:val="20"/>
                <w:lang w:val="en-GB"/>
              </w:rPr>
            </w:pPr>
            <w:r w:rsidRPr="004206AE">
              <w:rPr>
                <w:sz w:val="20"/>
                <w:szCs w:val="20"/>
                <w:lang w:val="en-GB"/>
              </w:rPr>
              <w:t>-</w:t>
            </w:r>
          </w:p>
        </w:tc>
      </w:tr>
      <w:tr w:rsidR="005634C4" w:rsidRPr="004206AE" w14:paraId="1F58B0E2" w14:textId="77777777" w:rsidTr="005634C4">
        <w:trPr>
          <w:trHeight w:val="20"/>
        </w:trPr>
        <w:tc>
          <w:tcPr>
            <w:tcW w:w="938" w:type="pct"/>
            <w:vAlign w:val="center"/>
          </w:tcPr>
          <w:p w14:paraId="7A64840E" w14:textId="77777777" w:rsidR="005634C4" w:rsidRPr="004206AE" w:rsidRDefault="005634C4" w:rsidP="005634C4">
            <w:pPr>
              <w:spacing w:before="0" w:after="0"/>
              <w:jc w:val="center"/>
              <w:rPr>
                <w:sz w:val="20"/>
                <w:szCs w:val="20"/>
                <w:lang w:val="en-GB"/>
              </w:rPr>
            </w:pPr>
            <w:r w:rsidRPr="004206AE">
              <w:rPr>
                <w:sz w:val="20"/>
                <w:szCs w:val="20"/>
                <w:lang w:val="en-GB"/>
              </w:rPr>
              <w:t>Electronics Manufacturing</w:t>
            </w:r>
          </w:p>
        </w:tc>
        <w:tc>
          <w:tcPr>
            <w:tcW w:w="528" w:type="pct"/>
            <w:vAlign w:val="center"/>
          </w:tcPr>
          <w:p w14:paraId="7D2B0CAF"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72" w:type="pct"/>
            <w:vAlign w:val="center"/>
          </w:tcPr>
          <w:p w14:paraId="7792A2A9"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50" w:type="pct"/>
            <w:vAlign w:val="center"/>
          </w:tcPr>
          <w:p w14:paraId="4F772ECC" w14:textId="77777777" w:rsidR="005634C4" w:rsidRPr="004206AE" w:rsidRDefault="005634C4" w:rsidP="005634C4">
            <w:pPr>
              <w:spacing w:before="0" w:after="0"/>
              <w:jc w:val="center"/>
              <w:rPr>
                <w:sz w:val="20"/>
                <w:szCs w:val="20"/>
                <w:lang w:val="en-GB"/>
              </w:rPr>
            </w:pPr>
            <w:r w:rsidRPr="004206AE">
              <w:rPr>
                <w:sz w:val="20"/>
                <w:szCs w:val="20"/>
                <w:lang w:val="en-GB"/>
              </w:rPr>
              <w:t>88.74 (2017)</w:t>
            </w:r>
          </w:p>
        </w:tc>
        <w:tc>
          <w:tcPr>
            <w:tcW w:w="450" w:type="pct"/>
            <w:vAlign w:val="center"/>
          </w:tcPr>
          <w:p w14:paraId="2A4B1643"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1DA1CD20"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21" w:type="pct"/>
            <w:vAlign w:val="center"/>
          </w:tcPr>
          <w:p w14:paraId="634714B9"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77" w:type="pct"/>
            <w:vAlign w:val="center"/>
          </w:tcPr>
          <w:p w14:paraId="38F2DDB7" w14:textId="77777777" w:rsidR="005634C4" w:rsidRPr="004206AE" w:rsidRDefault="005634C4" w:rsidP="005634C4">
            <w:pPr>
              <w:spacing w:before="0" w:after="0"/>
              <w:jc w:val="center"/>
              <w:rPr>
                <w:sz w:val="20"/>
                <w:szCs w:val="20"/>
                <w:lang w:val="en-GB"/>
              </w:rPr>
            </w:pPr>
            <w:r w:rsidRPr="004206AE">
              <w:rPr>
                <w:sz w:val="20"/>
                <w:szCs w:val="20"/>
                <w:lang w:val="en-GB"/>
              </w:rPr>
              <w:t>Value added:</w:t>
            </w:r>
          </w:p>
          <w:p w14:paraId="58308D85" w14:textId="77777777" w:rsidR="005634C4" w:rsidRPr="004206AE" w:rsidRDefault="005634C4" w:rsidP="005634C4">
            <w:pPr>
              <w:spacing w:before="0" w:after="0"/>
              <w:jc w:val="center"/>
              <w:rPr>
                <w:sz w:val="20"/>
                <w:szCs w:val="20"/>
                <w:lang w:val="en-GB"/>
              </w:rPr>
            </w:pPr>
            <w:r w:rsidRPr="004206AE">
              <w:rPr>
                <w:sz w:val="20"/>
                <w:szCs w:val="20"/>
                <w:lang w:val="en-GB"/>
              </w:rPr>
              <w:t>21.89 (2020)</w:t>
            </w:r>
            <w:r w:rsidRPr="004206AE">
              <w:rPr>
                <w:rStyle w:val="EndnoteReference"/>
                <w:sz w:val="20"/>
                <w:szCs w:val="20"/>
                <w:lang w:val="en-GB"/>
              </w:rPr>
              <w:endnoteReference w:id="44"/>
            </w:r>
          </w:p>
        </w:tc>
        <w:tc>
          <w:tcPr>
            <w:tcW w:w="461" w:type="pct"/>
            <w:vAlign w:val="center"/>
          </w:tcPr>
          <w:p w14:paraId="59B21190" w14:textId="77777777" w:rsidR="005634C4" w:rsidRPr="004206AE" w:rsidRDefault="005634C4" w:rsidP="005634C4">
            <w:pPr>
              <w:spacing w:before="0" w:after="0"/>
              <w:jc w:val="center"/>
              <w:rPr>
                <w:sz w:val="20"/>
                <w:szCs w:val="20"/>
                <w:lang w:val="en-GB"/>
              </w:rPr>
            </w:pPr>
            <w:r w:rsidRPr="004206AE">
              <w:rPr>
                <w:sz w:val="20"/>
                <w:szCs w:val="20"/>
                <w:lang w:val="en-GB"/>
              </w:rPr>
              <w:t>-</w:t>
            </w:r>
          </w:p>
        </w:tc>
      </w:tr>
      <w:tr w:rsidR="005634C4" w:rsidRPr="004206AE" w14:paraId="342FB5A3" w14:textId="77777777" w:rsidTr="005634C4">
        <w:trPr>
          <w:trHeight w:val="20"/>
        </w:trPr>
        <w:tc>
          <w:tcPr>
            <w:tcW w:w="938" w:type="pct"/>
            <w:vAlign w:val="center"/>
          </w:tcPr>
          <w:p w14:paraId="28869356" w14:textId="77777777" w:rsidR="005634C4" w:rsidRPr="004206AE" w:rsidRDefault="005634C4" w:rsidP="005634C4">
            <w:pPr>
              <w:spacing w:before="0" w:after="0"/>
              <w:jc w:val="center"/>
              <w:rPr>
                <w:sz w:val="20"/>
                <w:szCs w:val="20"/>
                <w:lang w:val="en-GB"/>
              </w:rPr>
            </w:pPr>
            <w:r w:rsidRPr="004206AE">
              <w:rPr>
                <w:sz w:val="20"/>
                <w:szCs w:val="20"/>
                <w:lang w:val="en-GB"/>
              </w:rPr>
              <w:t>Jobs</w:t>
            </w:r>
          </w:p>
        </w:tc>
        <w:tc>
          <w:tcPr>
            <w:tcW w:w="528" w:type="pct"/>
            <w:vAlign w:val="center"/>
          </w:tcPr>
          <w:p w14:paraId="4DCF1DC9"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72" w:type="pct"/>
            <w:vAlign w:val="center"/>
          </w:tcPr>
          <w:p w14:paraId="1DB6962B"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50" w:type="pct"/>
            <w:vAlign w:val="center"/>
          </w:tcPr>
          <w:p w14:paraId="00ABA38D"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450" w:type="pct"/>
            <w:vAlign w:val="center"/>
          </w:tcPr>
          <w:p w14:paraId="53AE06FA"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603" w:type="pct"/>
            <w:vAlign w:val="center"/>
          </w:tcPr>
          <w:p w14:paraId="564E8BD9" w14:textId="77777777" w:rsidR="005634C4" w:rsidRPr="004206AE" w:rsidRDefault="005634C4" w:rsidP="005634C4">
            <w:pPr>
              <w:spacing w:before="0" w:after="0"/>
              <w:jc w:val="center"/>
              <w:rPr>
                <w:sz w:val="20"/>
                <w:szCs w:val="20"/>
                <w:lang w:val="en-GB"/>
              </w:rPr>
            </w:pPr>
            <w:r w:rsidRPr="004206AE">
              <w:rPr>
                <w:sz w:val="20"/>
                <w:szCs w:val="20"/>
                <w:lang w:val="en-GB"/>
              </w:rPr>
              <w:t>37.74 (2025)</w:t>
            </w:r>
            <w:r w:rsidRPr="004206AE">
              <w:rPr>
                <w:rStyle w:val="EndnoteReference"/>
                <w:sz w:val="20"/>
                <w:szCs w:val="20"/>
                <w:lang w:val="en-GB"/>
              </w:rPr>
              <w:endnoteReference w:id="45"/>
            </w:r>
          </w:p>
        </w:tc>
        <w:tc>
          <w:tcPr>
            <w:tcW w:w="421" w:type="pct"/>
            <w:vAlign w:val="center"/>
          </w:tcPr>
          <w:p w14:paraId="1E57DFC5"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77" w:type="pct"/>
            <w:vAlign w:val="center"/>
          </w:tcPr>
          <w:p w14:paraId="2C305D89" w14:textId="77777777" w:rsidR="005634C4" w:rsidRPr="004206AE" w:rsidRDefault="005634C4" w:rsidP="005634C4">
            <w:pPr>
              <w:spacing w:before="0" w:after="0"/>
              <w:jc w:val="center"/>
              <w:rPr>
                <w:sz w:val="20"/>
                <w:szCs w:val="20"/>
                <w:lang w:val="en-GB"/>
              </w:rPr>
            </w:pPr>
            <w:r w:rsidRPr="004206AE">
              <w:rPr>
                <w:sz w:val="20"/>
                <w:szCs w:val="20"/>
                <w:lang w:val="en-GB"/>
              </w:rPr>
              <w:t>12.13 (2025)</w:t>
            </w:r>
          </w:p>
        </w:tc>
        <w:tc>
          <w:tcPr>
            <w:tcW w:w="461" w:type="pct"/>
            <w:vAlign w:val="center"/>
          </w:tcPr>
          <w:p w14:paraId="568129DC" w14:textId="77777777" w:rsidR="005634C4" w:rsidRPr="004206AE" w:rsidRDefault="005634C4" w:rsidP="005634C4">
            <w:pPr>
              <w:spacing w:before="0" w:after="0"/>
              <w:jc w:val="center"/>
              <w:rPr>
                <w:sz w:val="20"/>
                <w:szCs w:val="20"/>
                <w:lang w:val="en-GB"/>
              </w:rPr>
            </w:pPr>
            <w:r w:rsidRPr="004206AE">
              <w:rPr>
                <w:sz w:val="20"/>
                <w:szCs w:val="20"/>
                <w:lang w:val="en-GB"/>
              </w:rPr>
              <w:t>-</w:t>
            </w:r>
          </w:p>
        </w:tc>
      </w:tr>
    </w:tbl>
    <w:p w14:paraId="196C180B" w14:textId="77777777" w:rsidR="005634C4" w:rsidRDefault="005634C4" w:rsidP="005634C4">
      <w:pPr>
        <w:pStyle w:val="Heading2"/>
        <w:numPr>
          <w:ilvl w:val="0"/>
          <w:numId w:val="0"/>
        </w:numPr>
        <w:rPr>
          <w:lang w:val="en-GB"/>
        </w:rPr>
      </w:pPr>
    </w:p>
    <w:p w14:paraId="25580A74" w14:textId="3A5B7C1C" w:rsidR="005634C4" w:rsidRPr="00731DDC" w:rsidRDefault="005634C4" w:rsidP="005634C4">
      <w:pPr>
        <w:pStyle w:val="Caption"/>
        <w:rPr>
          <w:bCs/>
          <w:lang w:val="en-GB"/>
        </w:rPr>
      </w:pPr>
      <w:r>
        <w:t xml:space="preserve">Table </w:t>
      </w:r>
      <w:fldSimple w:instr=" SEQ Table \* ARABIC ">
        <w:r w:rsidR="00C9081C">
          <w:rPr>
            <w:noProof/>
          </w:rPr>
          <w:t>14</w:t>
        </w:r>
      </w:fldSimple>
      <w:r>
        <w:t xml:space="preserve">: </w:t>
      </w:r>
      <w:r w:rsidRPr="00731DDC">
        <w:rPr>
          <w:bCs/>
          <w:lang w:val="en-GB"/>
        </w:rPr>
        <w:t>Digital Enablers</w:t>
      </w:r>
    </w:p>
    <w:tbl>
      <w:tblPr>
        <w:tblStyle w:val="TableGrid"/>
        <w:tblW w:w="4984"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811"/>
        <w:gridCol w:w="961"/>
        <w:gridCol w:w="965"/>
        <w:gridCol w:w="1048"/>
        <w:gridCol w:w="929"/>
        <w:gridCol w:w="1051"/>
        <w:gridCol w:w="968"/>
        <w:gridCol w:w="1048"/>
        <w:gridCol w:w="923"/>
      </w:tblGrid>
      <w:tr w:rsidR="005634C4" w:rsidRPr="004206AE" w14:paraId="354B6FF0" w14:textId="77777777" w:rsidTr="005634C4">
        <w:trPr>
          <w:trHeight w:val="20"/>
        </w:trPr>
        <w:tc>
          <w:tcPr>
            <w:tcW w:w="941" w:type="pct"/>
            <w:vMerge w:val="restart"/>
            <w:shd w:val="clear" w:color="auto" w:fill="4472C4" w:themeFill="accent1"/>
            <w:vAlign w:val="center"/>
          </w:tcPr>
          <w:p w14:paraId="3D95CE9F"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Industry/Sector</w:t>
            </w:r>
          </w:p>
        </w:tc>
        <w:tc>
          <w:tcPr>
            <w:tcW w:w="1992" w:type="pct"/>
            <w:gridSpan w:val="4"/>
            <w:shd w:val="clear" w:color="auto" w:fill="4472C4" w:themeFill="accent1"/>
            <w:vAlign w:val="center"/>
          </w:tcPr>
          <w:p w14:paraId="3724725E"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Recent/Present: 2015-2019</w:t>
            </w:r>
          </w:p>
        </w:tc>
        <w:tc>
          <w:tcPr>
            <w:tcW w:w="2067" w:type="pct"/>
            <w:gridSpan w:val="4"/>
            <w:shd w:val="clear" w:color="auto" w:fill="4472C4" w:themeFill="accent1"/>
            <w:vAlign w:val="center"/>
          </w:tcPr>
          <w:p w14:paraId="0C445A5E"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Projected/Future: 2020-2030</w:t>
            </w:r>
          </w:p>
        </w:tc>
      </w:tr>
      <w:tr w:rsidR="005634C4" w:rsidRPr="004206AE" w14:paraId="3DE84A58" w14:textId="77777777" w:rsidTr="005634C4">
        <w:trPr>
          <w:trHeight w:val="20"/>
        </w:trPr>
        <w:tc>
          <w:tcPr>
            <w:tcW w:w="941" w:type="pct"/>
            <w:vMerge/>
            <w:vAlign w:val="center"/>
          </w:tcPr>
          <w:p w14:paraId="2A120EF9" w14:textId="77777777" w:rsidR="005634C4" w:rsidRPr="004206AE" w:rsidRDefault="005634C4" w:rsidP="005634C4">
            <w:pPr>
              <w:keepNext/>
              <w:spacing w:before="0" w:after="0"/>
              <w:jc w:val="center"/>
              <w:rPr>
                <w:color w:val="FFFFFF" w:themeColor="background1"/>
                <w:sz w:val="20"/>
                <w:szCs w:val="20"/>
                <w:lang w:val="en-GB"/>
              </w:rPr>
            </w:pPr>
          </w:p>
        </w:tc>
        <w:tc>
          <w:tcPr>
            <w:tcW w:w="471" w:type="pct"/>
            <w:shd w:val="clear" w:color="auto" w:fill="D9E2F3" w:themeFill="accent1" w:themeFillTint="33"/>
            <w:vAlign w:val="center"/>
          </w:tcPr>
          <w:p w14:paraId="11D5368F"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3B9AC618"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505" w:type="pct"/>
            <w:shd w:val="clear" w:color="auto" w:fill="D9E2F3" w:themeFill="accent1" w:themeFillTint="33"/>
            <w:vAlign w:val="center"/>
          </w:tcPr>
          <w:p w14:paraId="3BAE5EC3"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30" w:type="pct"/>
            <w:shd w:val="clear" w:color="auto" w:fill="D9E2F3" w:themeFill="accent1" w:themeFillTint="33"/>
            <w:vAlign w:val="center"/>
          </w:tcPr>
          <w:p w14:paraId="2B7622BA"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6E1F02C6"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6" w:type="pct"/>
            <w:shd w:val="clear" w:color="auto" w:fill="D9E2F3" w:themeFill="accent1" w:themeFillTint="33"/>
            <w:vAlign w:val="center"/>
          </w:tcPr>
          <w:p w14:paraId="36BA5187"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49" w:type="pct"/>
            <w:shd w:val="clear" w:color="auto" w:fill="D9E2F3" w:themeFill="accent1" w:themeFillTint="33"/>
            <w:vAlign w:val="center"/>
          </w:tcPr>
          <w:p w14:paraId="24D67B97"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535017A3"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506" w:type="pct"/>
            <w:shd w:val="clear" w:color="auto" w:fill="D9E2F3" w:themeFill="accent1" w:themeFillTint="33"/>
            <w:vAlign w:val="center"/>
          </w:tcPr>
          <w:p w14:paraId="42A7A281"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29" w:type="pct"/>
            <w:shd w:val="clear" w:color="auto" w:fill="D9E2F3" w:themeFill="accent1" w:themeFillTint="33"/>
            <w:vAlign w:val="center"/>
          </w:tcPr>
          <w:p w14:paraId="341203FC"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322F9B36"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3" w:type="pct"/>
            <w:shd w:val="clear" w:color="auto" w:fill="D9E2F3" w:themeFill="accent1" w:themeFillTint="33"/>
            <w:vAlign w:val="center"/>
          </w:tcPr>
          <w:p w14:paraId="67623717"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r>
      <w:tr w:rsidR="005634C4" w:rsidRPr="004206AE" w14:paraId="411F4A25" w14:textId="77777777" w:rsidTr="005634C4">
        <w:trPr>
          <w:trHeight w:val="20"/>
        </w:trPr>
        <w:tc>
          <w:tcPr>
            <w:tcW w:w="941" w:type="pct"/>
            <w:vAlign w:val="center"/>
          </w:tcPr>
          <w:p w14:paraId="1378D568" w14:textId="77777777" w:rsidR="005634C4" w:rsidRPr="004206AE" w:rsidRDefault="005634C4" w:rsidP="005634C4">
            <w:pPr>
              <w:spacing w:before="0" w:after="0"/>
              <w:jc w:val="center"/>
              <w:rPr>
                <w:sz w:val="20"/>
                <w:szCs w:val="20"/>
                <w:lang w:val="en-GB"/>
              </w:rPr>
            </w:pPr>
            <w:r w:rsidRPr="004206AE">
              <w:rPr>
                <w:sz w:val="20"/>
                <w:szCs w:val="20"/>
                <w:lang w:val="en-GB"/>
              </w:rPr>
              <w:t>IT Equipment</w:t>
            </w:r>
          </w:p>
        </w:tc>
        <w:tc>
          <w:tcPr>
            <w:tcW w:w="471" w:type="pct"/>
            <w:vAlign w:val="center"/>
          </w:tcPr>
          <w:p w14:paraId="1D9FBC8B" w14:textId="77777777" w:rsidR="005634C4" w:rsidRPr="004206AE" w:rsidRDefault="005634C4" w:rsidP="005634C4">
            <w:pPr>
              <w:spacing w:before="0" w:after="0"/>
              <w:jc w:val="center"/>
              <w:rPr>
                <w:sz w:val="20"/>
                <w:szCs w:val="20"/>
                <w:lang w:val="en-GB"/>
              </w:rPr>
            </w:pPr>
            <w:r w:rsidRPr="004206AE">
              <w:rPr>
                <w:sz w:val="20"/>
                <w:szCs w:val="20"/>
                <w:lang w:val="en-GB"/>
              </w:rPr>
              <w:t>10.13 (2019)</w:t>
            </w:r>
            <w:r w:rsidRPr="004206AE">
              <w:rPr>
                <w:rStyle w:val="EndnoteReference"/>
                <w:sz w:val="20"/>
                <w:szCs w:val="20"/>
                <w:lang w:val="en-GB"/>
              </w:rPr>
              <w:endnoteReference w:id="46"/>
            </w:r>
          </w:p>
        </w:tc>
        <w:tc>
          <w:tcPr>
            <w:tcW w:w="505" w:type="pct"/>
            <w:vAlign w:val="center"/>
          </w:tcPr>
          <w:p w14:paraId="1410D819" w14:textId="77777777" w:rsidR="005634C4" w:rsidRPr="004206AE" w:rsidRDefault="005634C4" w:rsidP="005634C4">
            <w:pPr>
              <w:spacing w:before="0" w:after="0"/>
              <w:jc w:val="center"/>
              <w:rPr>
                <w:sz w:val="20"/>
                <w:szCs w:val="20"/>
                <w:lang w:val="en-GB"/>
              </w:rPr>
            </w:pPr>
            <w:r w:rsidRPr="004206AE">
              <w:rPr>
                <w:sz w:val="20"/>
                <w:szCs w:val="20"/>
                <w:lang w:val="en-GB"/>
              </w:rPr>
              <w:t>1.7 (2019-2023)</w:t>
            </w:r>
          </w:p>
        </w:tc>
        <w:tc>
          <w:tcPr>
            <w:tcW w:w="530" w:type="pct"/>
            <w:vAlign w:val="center"/>
          </w:tcPr>
          <w:p w14:paraId="653EE204" w14:textId="77777777" w:rsidR="005634C4" w:rsidRPr="004206AE" w:rsidRDefault="005634C4" w:rsidP="005634C4">
            <w:pPr>
              <w:spacing w:before="0" w:after="0"/>
              <w:jc w:val="center"/>
              <w:rPr>
                <w:sz w:val="20"/>
                <w:szCs w:val="20"/>
                <w:lang w:val="en-GB"/>
              </w:rPr>
            </w:pPr>
            <w:r w:rsidRPr="004206AE">
              <w:rPr>
                <w:sz w:val="20"/>
                <w:szCs w:val="20"/>
                <w:lang w:val="en-GB"/>
              </w:rPr>
              <w:t>3.14 (2018)</w:t>
            </w:r>
            <w:r w:rsidRPr="004206AE">
              <w:rPr>
                <w:rStyle w:val="EndnoteReference"/>
                <w:sz w:val="20"/>
                <w:szCs w:val="20"/>
                <w:lang w:val="en-GB"/>
              </w:rPr>
              <w:endnoteReference w:id="47"/>
            </w:r>
          </w:p>
        </w:tc>
        <w:tc>
          <w:tcPr>
            <w:tcW w:w="486" w:type="pct"/>
            <w:vAlign w:val="center"/>
          </w:tcPr>
          <w:p w14:paraId="3871905D" w14:textId="77777777" w:rsidR="005634C4" w:rsidRPr="004206AE" w:rsidRDefault="005634C4" w:rsidP="005634C4">
            <w:pPr>
              <w:spacing w:before="0" w:after="0"/>
              <w:jc w:val="center"/>
              <w:rPr>
                <w:sz w:val="20"/>
                <w:szCs w:val="20"/>
                <w:lang w:val="en-GB"/>
              </w:rPr>
            </w:pPr>
            <w:r w:rsidRPr="004206AE">
              <w:rPr>
                <w:sz w:val="20"/>
                <w:szCs w:val="20"/>
                <w:lang w:val="en-GB"/>
              </w:rPr>
              <w:t>0.6</w:t>
            </w:r>
          </w:p>
          <w:p w14:paraId="77BC229D" w14:textId="77777777" w:rsidR="005634C4" w:rsidRPr="004206AE" w:rsidRDefault="005634C4" w:rsidP="005634C4">
            <w:pPr>
              <w:spacing w:before="0" w:after="0"/>
              <w:jc w:val="center"/>
              <w:rPr>
                <w:sz w:val="20"/>
                <w:szCs w:val="20"/>
                <w:lang w:val="en-GB"/>
              </w:rPr>
            </w:pPr>
            <w:r w:rsidRPr="004206AE">
              <w:rPr>
                <w:sz w:val="20"/>
                <w:szCs w:val="20"/>
                <w:lang w:val="en-GB"/>
              </w:rPr>
              <w:t>(2014-2018)</w:t>
            </w:r>
          </w:p>
        </w:tc>
        <w:tc>
          <w:tcPr>
            <w:tcW w:w="549" w:type="pct"/>
            <w:vAlign w:val="center"/>
          </w:tcPr>
          <w:p w14:paraId="0788D148" w14:textId="77777777" w:rsidR="005634C4" w:rsidRPr="004206AE" w:rsidRDefault="005634C4" w:rsidP="005634C4">
            <w:pPr>
              <w:spacing w:before="0" w:after="0"/>
              <w:jc w:val="center"/>
              <w:rPr>
                <w:sz w:val="20"/>
                <w:szCs w:val="20"/>
                <w:lang w:val="en-GB"/>
              </w:rPr>
            </w:pPr>
            <w:r w:rsidRPr="004206AE">
              <w:rPr>
                <w:sz w:val="20"/>
                <w:szCs w:val="20"/>
                <w:lang w:val="en-GB"/>
              </w:rPr>
              <w:t xml:space="preserve">10.31 (2023) </w:t>
            </w:r>
            <w:r w:rsidRPr="004206AE">
              <w:rPr>
                <w:rStyle w:val="EndnoteReference"/>
                <w:sz w:val="20"/>
                <w:szCs w:val="20"/>
                <w:lang w:val="en-GB"/>
              </w:rPr>
              <w:endnoteReference w:id="48"/>
            </w:r>
          </w:p>
        </w:tc>
        <w:tc>
          <w:tcPr>
            <w:tcW w:w="506" w:type="pct"/>
            <w:vAlign w:val="center"/>
          </w:tcPr>
          <w:p w14:paraId="26D16E88" w14:textId="77777777" w:rsidR="005634C4" w:rsidRPr="004206AE" w:rsidRDefault="005634C4" w:rsidP="005634C4">
            <w:pPr>
              <w:spacing w:before="0" w:after="0"/>
              <w:jc w:val="center"/>
              <w:rPr>
                <w:sz w:val="20"/>
                <w:szCs w:val="20"/>
                <w:lang w:val="en-GB"/>
              </w:rPr>
            </w:pPr>
            <w:r w:rsidRPr="004206AE">
              <w:rPr>
                <w:sz w:val="20"/>
                <w:szCs w:val="20"/>
                <w:lang w:val="en-GB"/>
              </w:rPr>
              <w:t xml:space="preserve">1.7 (2020-2023) </w:t>
            </w:r>
          </w:p>
        </w:tc>
        <w:tc>
          <w:tcPr>
            <w:tcW w:w="529" w:type="pct"/>
            <w:vAlign w:val="center"/>
          </w:tcPr>
          <w:p w14:paraId="4B8A13CC" w14:textId="77777777" w:rsidR="005634C4" w:rsidRPr="004206AE" w:rsidRDefault="005634C4" w:rsidP="005634C4">
            <w:pPr>
              <w:spacing w:before="0" w:after="0"/>
              <w:jc w:val="center"/>
              <w:rPr>
                <w:sz w:val="20"/>
                <w:szCs w:val="20"/>
                <w:lang w:val="en-GB"/>
              </w:rPr>
            </w:pPr>
            <w:r w:rsidRPr="004206AE">
              <w:rPr>
                <w:sz w:val="20"/>
                <w:szCs w:val="20"/>
                <w:lang w:val="en-GB"/>
              </w:rPr>
              <w:t>3.05 (2020)</w:t>
            </w:r>
            <w:r w:rsidRPr="004206AE">
              <w:rPr>
                <w:rStyle w:val="EndnoteReference"/>
                <w:sz w:val="20"/>
                <w:szCs w:val="20"/>
                <w:lang w:val="en-GB"/>
              </w:rPr>
              <w:endnoteReference w:id="49"/>
            </w:r>
          </w:p>
        </w:tc>
        <w:tc>
          <w:tcPr>
            <w:tcW w:w="483" w:type="pct"/>
            <w:vAlign w:val="center"/>
          </w:tcPr>
          <w:p w14:paraId="0B266263" w14:textId="77777777" w:rsidR="005634C4" w:rsidRPr="004206AE" w:rsidRDefault="005634C4" w:rsidP="005634C4">
            <w:pPr>
              <w:spacing w:before="0" w:after="0"/>
              <w:jc w:val="center"/>
              <w:rPr>
                <w:sz w:val="20"/>
                <w:szCs w:val="20"/>
                <w:lang w:val="en-GB"/>
              </w:rPr>
            </w:pPr>
            <w:r w:rsidRPr="004206AE">
              <w:rPr>
                <w:sz w:val="20"/>
                <w:szCs w:val="20"/>
                <w:lang w:val="en-GB"/>
              </w:rPr>
              <w:t xml:space="preserve">0.6 </w:t>
            </w:r>
          </w:p>
          <w:p w14:paraId="5A992B4F" w14:textId="77777777" w:rsidR="005634C4" w:rsidRPr="004206AE" w:rsidRDefault="005634C4" w:rsidP="005634C4">
            <w:pPr>
              <w:spacing w:before="0" w:after="0"/>
              <w:jc w:val="center"/>
              <w:rPr>
                <w:sz w:val="20"/>
                <w:szCs w:val="20"/>
                <w:lang w:val="en-GB"/>
              </w:rPr>
            </w:pPr>
            <w:r w:rsidRPr="004206AE">
              <w:rPr>
                <w:sz w:val="20"/>
                <w:szCs w:val="20"/>
                <w:lang w:val="en-GB"/>
              </w:rPr>
              <w:t>(2018-2020)</w:t>
            </w:r>
          </w:p>
        </w:tc>
      </w:tr>
      <w:tr w:rsidR="005634C4" w:rsidRPr="004206AE" w14:paraId="2479DFFF" w14:textId="77777777" w:rsidTr="005634C4">
        <w:trPr>
          <w:trHeight w:val="20"/>
        </w:trPr>
        <w:tc>
          <w:tcPr>
            <w:tcW w:w="941" w:type="pct"/>
            <w:shd w:val="clear" w:color="auto" w:fill="FFFFFF" w:themeFill="background1"/>
            <w:vAlign w:val="center"/>
          </w:tcPr>
          <w:p w14:paraId="686C3C1D" w14:textId="77777777" w:rsidR="005634C4" w:rsidRPr="004206AE" w:rsidRDefault="005634C4" w:rsidP="005634C4">
            <w:pPr>
              <w:spacing w:before="0" w:after="0"/>
              <w:jc w:val="center"/>
              <w:rPr>
                <w:sz w:val="20"/>
                <w:szCs w:val="20"/>
                <w:lang w:val="en-GB"/>
              </w:rPr>
            </w:pPr>
            <w:r w:rsidRPr="004206AE">
              <w:rPr>
                <w:sz w:val="20"/>
                <w:szCs w:val="20"/>
                <w:lang w:val="en-GB"/>
              </w:rPr>
              <w:t>Cybersecurity</w:t>
            </w:r>
          </w:p>
        </w:tc>
        <w:tc>
          <w:tcPr>
            <w:tcW w:w="471" w:type="pct"/>
            <w:vAlign w:val="center"/>
          </w:tcPr>
          <w:p w14:paraId="1B4B1A1A" w14:textId="77777777" w:rsidR="005634C4" w:rsidRPr="004206AE" w:rsidRDefault="005634C4" w:rsidP="005634C4">
            <w:pPr>
              <w:spacing w:before="0" w:after="0"/>
              <w:jc w:val="center"/>
              <w:rPr>
                <w:sz w:val="20"/>
                <w:szCs w:val="20"/>
                <w:u w:val="single"/>
                <w:lang w:val="en-GB"/>
              </w:rPr>
            </w:pPr>
            <w:r w:rsidRPr="004206AE">
              <w:rPr>
                <w:sz w:val="20"/>
                <w:szCs w:val="20"/>
                <w:lang w:val="en-GB"/>
              </w:rPr>
              <w:t>2.2 (2016)</w:t>
            </w:r>
            <w:r w:rsidRPr="004206AE">
              <w:rPr>
                <w:rStyle w:val="EndnoteReference"/>
                <w:sz w:val="20"/>
                <w:szCs w:val="20"/>
                <w:lang w:val="en-GB"/>
              </w:rPr>
              <w:endnoteReference w:id="50"/>
            </w:r>
          </w:p>
        </w:tc>
        <w:tc>
          <w:tcPr>
            <w:tcW w:w="505" w:type="pct"/>
            <w:vAlign w:val="center"/>
          </w:tcPr>
          <w:p w14:paraId="2B350AB3"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30" w:type="pct"/>
            <w:vAlign w:val="center"/>
          </w:tcPr>
          <w:p w14:paraId="2CE831CC" w14:textId="77777777" w:rsidR="005634C4" w:rsidRPr="004206AE" w:rsidRDefault="005634C4" w:rsidP="005634C4">
            <w:pPr>
              <w:spacing w:before="0" w:after="0"/>
              <w:jc w:val="center"/>
              <w:rPr>
                <w:rFonts w:ascii="Calibri" w:eastAsia="Calibri" w:hAnsi="Calibri" w:cs="Calibri"/>
                <w:color w:val="000000" w:themeColor="text1"/>
                <w:sz w:val="20"/>
                <w:szCs w:val="20"/>
                <w:lang w:val="en-GB"/>
              </w:rPr>
            </w:pPr>
            <w:r w:rsidRPr="004206AE">
              <w:rPr>
                <w:rFonts w:ascii="Calibri" w:eastAsia="Calibri" w:hAnsi="Calibri" w:cs="Calibri"/>
                <w:color w:val="000000" w:themeColor="text1"/>
                <w:sz w:val="20"/>
                <w:szCs w:val="20"/>
                <w:lang w:val="en-GB"/>
              </w:rPr>
              <w:t>0.59 (2016)</w:t>
            </w:r>
            <w:r w:rsidRPr="004206AE">
              <w:rPr>
                <w:rStyle w:val="EndnoteReference"/>
                <w:rFonts w:ascii="Calibri" w:eastAsia="Calibri" w:hAnsi="Calibri" w:cs="Calibri"/>
                <w:color w:val="000000" w:themeColor="text1"/>
                <w:sz w:val="20"/>
                <w:szCs w:val="20"/>
                <w:lang w:val="en-GB"/>
              </w:rPr>
              <w:endnoteReference w:id="51"/>
            </w:r>
          </w:p>
        </w:tc>
        <w:tc>
          <w:tcPr>
            <w:tcW w:w="486" w:type="pct"/>
            <w:vAlign w:val="center"/>
          </w:tcPr>
          <w:p w14:paraId="62CB1E7F"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49" w:type="pct"/>
            <w:vAlign w:val="center"/>
          </w:tcPr>
          <w:p w14:paraId="255DE19A" w14:textId="77777777" w:rsidR="005634C4" w:rsidRPr="004206AE" w:rsidRDefault="005634C4" w:rsidP="005634C4">
            <w:pPr>
              <w:spacing w:before="0" w:after="0"/>
              <w:jc w:val="center"/>
              <w:rPr>
                <w:rFonts w:ascii="Calibri" w:eastAsia="Calibri" w:hAnsi="Calibri" w:cs="Calibri"/>
                <w:color w:val="000000" w:themeColor="text1"/>
                <w:sz w:val="20"/>
                <w:szCs w:val="20"/>
                <w:lang w:val="en-GB"/>
              </w:rPr>
            </w:pPr>
            <w:r w:rsidRPr="004206AE">
              <w:rPr>
                <w:rFonts w:ascii="Calibri" w:eastAsia="Calibri" w:hAnsi="Calibri" w:cs="Calibri"/>
                <w:color w:val="000000" w:themeColor="text1"/>
                <w:sz w:val="20"/>
                <w:szCs w:val="20"/>
                <w:lang w:val="en-GB"/>
              </w:rPr>
              <w:t>6 (2026)</w:t>
            </w:r>
            <w:r w:rsidRPr="004206AE">
              <w:rPr>
                <w:rStyle w:val="EndnoteReference"/>
                <w:rFonts w:ascii="Calibri" w:eastAsia="Calibri" w:hAnsi="Calibri" w:cs="Calibri"/>
                <w:color w:val="000000" w:themeColor="text1"/>
                <w:sz w:val="20"/>
                <w:szCs w:val="20"/>
                <w:lang w:val="en-GB"/>
              </w:rPr>
              <w:endnoteReference w:id="52"/>
            </w:r>
          </w:p>
        </w:tc>
        <w:tc>
          <w:tcPr>
            <w:tcW w:w="506" w:type="pct"/>
            <w:vAlign w:val="center"/>
          </w:tcPr>
          <w:p w14:paraId="1DA4A744" w14:textId="77777777" w:rsidR="005634C4" w:rsidRPr="004206AE" w:rsidRDefault="005634C4" w:rsidP="005634C4">
            <w:pPr>
              <w:spacing w:before="0" w:after="0"/>
              <w:jc w:val="center"/>
              <w:rPr>
                <w:sz w:val="20"/>
                <w:szCs w:val="20"/>
                <w:lang w:val="en-GB"/>
              </w:rPr>
            </w:pPr>
            <w:r w:rsidRPr="004206AE">
              <w:rPr>
                <w:sz w:val="20"/>
                <w:szCs w:val="20"/>
                <w:lang w:val="en-GB"/>
              </w:rPr>
              <w:t>11 (2016-2026)</w:t>
            </w:r>
          </w:p>
        </w:tc>
        <w:tc>
          <w:tcPr>
            <w:tcW w:w="529" w:type="pct"/>
            <w:vAlign w:val="center"/>
          </w:tcPr>
          <w:p w14:paraId="50B198C5" w14:textId="77777777" w:rsidR="005634C4" w:rsidRPr="004206AE" w:rsidRDefault="005634C4" w:rsidP="005634C4">
            <w:pPr>
              <w:spacing w:before="0" w:after="0"/>
              <w:jc w:val="center"/>
              <w:rPr>
                <w:sz w:val="20"/>
                <w:szCs w:val="20"/>
                <w:lang w:val="en-GB"/>
              </w:rPr>
            </w:pPr>
            <w:r w:rsidRPr="004206AE">
              <w:rPr>
                <w:sz w:val="20"/>
                <w:szCs w:val="20"/>
                <w:lang w:val="en-GB"/>
              </w:rPr>
              <w:t>0.99 (2020)</w:t>
            </w:r>
          </w:p>
        </w:tc>
        <w:tc>
          <w:tcPr>
            <w:tcW w:w="483" w:type="pct"/>
            <w:vAlign w:val="center"/>
          </w:tcPr>
          <w:p w14:paraId="483E98D4" w14:textId="77777777" w:rsidR="005634C4" w:rsidRPr="004206AE" w:rsidRDefault="005634C4" w:rsidP="005634C4">
            <w:pPr>
              <w:spacing w:before="0" w:after="0"/>
              <w:jc w:val="center"/>
              <w:rPr>
                <w:sz w:val="20"/>
                <w:szCs w:val="20"/>
                <w:lang w:val="en-GB"/>
              </w:rPr>
            </w:pPr>
            <w:r w:rsidRPr="004206AE">
              <w:rPr>
                <w:sz w:val="20"/>
                <w:szCs w:val="20"/>
                <w:lang w:val="en-GB"/>
              </w:rPr>
              <w:t>--</w:t>
            </w:r>
          </w:p>
        </w:tc>
      </w:tr>
      <w:tr w:rsidR="005634C4" w:rsidRPr="004206AE" w14:paraId="121E6356" w14:textId="77777777" w:rsidTr="005634C4">
        <w:trPr>
          <w:trHeight w:val="20"/>
        </w:trPr>
        <w:tc>
          <w:tcPr>
            <w:tcW w:w="941" w:type="pct"/>
            <w:shd w:val="clear" w:color="auto" w:fill="FFFFFF" w:themeFill="background1"/>
            <w:vAlign w:val="center"/>
          </w:tcPr>
          <w:p w14:paraId="72931173" w14:textId="77777777" w:rsidR="005634C4" w:rsidRPr="004206AE" w:rsidRDefault="005634C4" w:rsidP="005634C4">
            <w:pPr>
              <w:spacing w:before="0" w:after="0"/>
              <w:jc w:val="center"/>
              <w:rPr>
                <w:sz w:val="20"/>
                <w:szCs w:val="20"/>
                <w:lang w:val="en-GB"/>
              </w:rPr>
            </w:pPr>
            <w:r w:rsidRPr="004206AE">
              <w:rPr>
                <w:sz w:val="20"/>
                <w:szCs w:val="20"/>
                <w:lang w:val="en-GB"/>
              </w:rPr>
              <w:t>Digital Identities</w:t>
            </w:r>
          </w:p>
        </w:tc>
        <w:tc>
          <w:tcPr>
            <w:tcW w:w="471" w:type="pct"/>
            <w:vAlign w:val="center"/>
          </w:tcPr>
          <w:p w14:paraId="0F11647D"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05" w:type="pct"/>
            <w:vAlign w:val="center"/>
          </w:tcPr>
          <w:p w14:paraId="2948BEB1"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30" w:type="pct"/>
            <w:vAlign w:val="center"/>
          </w:tcPr>
          <w:p w14:paraId="66C85760" w14:textId="77777777" w:rsidR="005634C4" w:rsidRPr="004206AE" w:rsidRDefault="005634C4" w:rsidP="005634C4">
            <w:pPr>
              <w:spacing w:before="0" w:after="0"/>
              <w:jc w:val="center"/>
              <w:rPr>
                <w:rFonts w:ascii="Calibri" w:eastAsia="Calibri" w:hAnsi="Calibri" w:cs="Calibri"/>
                <w:color w:val="000000" w:themeColor="text1"/>
                <w:sz w:val="20"/>
                <w:szCs w:val="20"/>
                <w:lang w:val="en-GB"/>
              </w:rPr>
            </w:pPr>
            <w:r w:rsidRPr="004206AE">
              <w:rPr>
                <w:rFonts w:ascii="Calibri" w:eastAsia="Calibri" w:hAnsi="Calibri" w:cs="Calibri"/>
                <w:color w:val="000000" w:themeColor="text1"/>
                <w:sz w:val="20"/>
                <w:szCs w:val="20"/>
                <w:lang w:val="en-GB"/>
              </w:rPr>
              <w:t>-</w:t>
            </w:r>
          </w:p>
        </w:tc>
        <w:tc>
          <w:tcPr>
            <w:tcW w:w="486" w:type="pct"/>
            <w:vAlign w:val="center"/>
          </w:tcPr>
          <w:p w14:paraId="2ECCFE3B"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49" w:type="pct"/>
            <w:vAlign w:val="center"/>
          </w:tcPr>
          <w:p w14:paraId="0941D6AF" w14:textId="77777777" w:rsidR="005634C4" w:rsidRPr="004206AE" w:rsidRDefault="005634C4" w:rsidP="005634C4">
            <w:pPr>
              <w:spacing w:before="0" w:after="0"/>
              <w:jc w:val="center"/>
              <w:rPr>
                <w:rFonts w:ascii="Calibri" w:eastAsia="Calibri" w:hAnsi="Calibri" w:cs="Calibri"/>
                <w:color w:val="000000" w:themeColor="text1"/>
                <w:sz w:val="20"/>
                <w:szCs w:val="20"/>
                <w:lang w:val="en-GB"/>
              </w:rPr>
            </w:pPr>
            <w:r w:rsidRPr="004206AE">
              <w:rPr>
                <w:rFonts w:ascii="Calibri" w:eastAsia="Calibri" w:hAnsi="Calibri" w:cs="Calibri"/>
                <w:color w:val="000000" w:themeColor="text1"/>
                <w:sz w:val="20"/>
                <w:szCs w:val="20"/>
                <w:lang w:val="en-GB"/>
              </w:rPr>
              <w:t>75.81 (2030)</w:t>
            </w:r>
            <w:r w:rsidRPr="004206AE">
              <w:rPr>
                <w:rStyle w:val="EndnoteReference"/>
                <w:rFonts w:ascii="Calibri" w:eastAsia="Calibri" w:hAnsi="Calibri" w:cs="Calibri"/>
                <w:color w:val="000000" w:themeColor="text1"/>
                <w:sz w:val="20"/>
                <w:szCs w:val="20"/>
                <w:lang w:val="en-GB"/>
              </w:rPr>
              <w:endnoteReference w:id="53"/>
            </w:r>
          </w:p>
        </w:tc>
        <w:tc>
          <w:tcPr>
            <w:tcW w:w="506" w:type="pct"/>
            <w:vAlign w:val="center"/>
          </w:tcPr>
          <w:p w14:paraId="3DD5A25C" w14:textId="77777777" w:rsidR="005634C4" w:rsidRPr="004206AE" w:rsidRDefault="005634C4" w:rsidP="005634C4">
            <w:pPr>
              <w:spacing w:before="0" w:after="0"/>
              <w:jc w:val="center"/>
              <w:rPr>
                <w:sz w:val="20"/>
                <w:szCs w:val="20"/>
                <w:lang w:val="en-GB"/>
              </w:rPr>
            </w:pPr>
            <w:r w:rsidRPr="004206AE">
              <w:rPr>
                <w:sz w:val="20"/>
                <w:szCs w:val="20"/>
                <w:lang w:val="en-GB"/>
              </w:rPr>
              <w:t>-</w:t>
            </w:r>
          </w:p>
        </w:tc>
        <w:tc>
          <w:tcPr>
            <w:tcW w:w="529" w:type="pct"/>
            <w:vAlign w:val="center"/>
          </w:tcPr>
          <w:p w14:paraId="47C27265" w14:textId="77777777" w:rsidR="005634C4" w:rsidRPr="004206AE" w:rsidRDefault="005634C4" w:rsidP="005634C4">
            <w:pPr>
              <w:spacing w:before="0" w:after="0"/>
              <w:jc w:val="center"/>
              <w:rPr>
                <w:sz w:val="20"/>
                <w:szCs w:val="20"/>
                <w:lang w:val="en-GB"/>
              </w:rPr>
            </w:pPr>
            <w:r w:rsidRPr="004206AE">
              <w:rPr>
                <w:sz w:val="20"/>
                <w:szCs w:val="20"/>
                <w:lang w:val="en-GB"/>
              </w:rPr>
              <w:t>17.92 (2030)</w:t>
            </w:r>
            <w:r w:rsidRPr="004206AE">
              <w:rPr>
                <w:rStyle w:val="EndnoteReference"/>
                <w:sz w:val="20"/>
                <w:szCs w:val="20"/>
                <w:lang w:val="en-GB"/>
              </w:rPr>
              <w:endnoteReference w:id="54"/>
            </w:r>
          </w:p>
        </w:tc>
        <w:tc>
          <w:tcPr>
            <w:tcW w:w="483" w:type="pct"/>
            <w:vAlign w:val="center"/>
          </w:tcPr>
          <w:p w14:paraId="09AB77C4" w14:textId="77777777" w:rsidR="005634C4" w:rsidRPr="004206AE" w:rsidRDefault="005634C4" w:rsidP="005634C4">
            <w:pPr>
              <w:spacing w:before="0" w:after="0"/>
              <w:jc w:val="center"/>
              <w:rPr>
                <w:sz w:val="20"/>
                <w:szCs w:val="20"/>
                <w:lang w:val="en-GB"/>
              </w:rPr>
            </w:pPr>
            <w:r w:rsidRPr="004206AE">
              <w:rPr>
                <w:sz w:val="20"/>
                <w:szCs w:val="20"/>
                <w:lang w:val="en-GB"/>
              </w:rPr>
              <w:t>-</w:t>
            </w:r>
          </w:p>
        </w:tc>
      </w:tr>
    </w:tbl>
    <w:p w14:paraId="106B7425" w14:textId="77777777" w:rsidR="005634C4" w:rsidRDefault="005634C4" w:rsidP="005634C4">
      <w:pPr>
        <w:pStyle w:val="Heading2"/>
        <w:numPr>
          <w:ilvl w:val="0"/>
          <w:numId w:val="0"/>
        </w:numPr>
        <w:rPr>
          <w:lang w:val="en-GB"/>
        </w:rPr>
      </w:pPr>
    </w:p>
    <w:p w14:paraId="32D59882" w14:textId="2E327B7A" w:rsidR="005634C4" w:rsidRPr="00731DDC" w:rsidRDefault="005634C4" w:rsidP="005634C4">
      <w:pPr>
        <w:pStyle w:val="Caption"/>
        <w:rPr>
          <w:bCs/>
          <w:lang w:val="en-GB"/>
        </w:rPr>
      </w:pPr>
      <w:r>
        <w:t xml:space="preserve">Table </w:t>
      </w:r>
      <w:fldSimple w:instr=" SEQ Table \* ARABIC ">
        <w:r w:rsidR="00C9081C">
          <w:rPr>
            <w:noProof/>
          </w:rPr>
          <w:t>15</w:t>
        </w:r>
      </w:fldSimple>
      <w:r>
        <w:t xml:space="preserve">: </w:t>
      </w:r>
      <w:r w:rsidRPr="00731DDC">
        <w:rPr>
          <w:bCs/>
          <w:lang w:val="en-GB"/>
        </w:rPr>
        <w:t xml:space="preserve">Emerging Transformative Digital Technologies </w:t>
      </w:r>
    </w:p>
    <w:tbl>
      <w:tblPr>
        <w:tblStyle w:val="TableGrid"/>
        <w:tblW w:w="5000"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818"/>
        <w:gridCol w:w="961"/>
        <w:gridCol w:w="930"/>
        <w:gridCol w:w="1048"/>
        <w:gridCol w:w="940"/>
        <w:gridCol w:w="1044"/>
        <w:gridCol w:w="959"/>
        <w:gridCol w:w="1098"/>
        <w:gridCol w:w="937"/>
      </w:tblGrid>
      <w:tr w:rsidR="005634C4" w:rsidRPr="004206AE" w14:paraId="1A2B2F0E" w14:textId="77777777" w:rsidTr="005F4075">
        <w:trPr>
          <w:trHeight w:val="303"/>
        </w:trPr>
        <w:tc>
          <w:tcPr>
            <w:tcW w:w="938" w:type="pct"/>
            <w:vMerge w:val="restart"/>
            <w:shd w:val="clear" w:color="auto" w:fill="4472C4" w:themeFill="accent1"/>
            <w:vAlign w:val="center"/>
          </w:tcPr>
          <w:p w14:paraId="47488AE4"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Industry/Sector</w:t>
            </w:r>
          </w:p>
        </w:tc>
        <w:tc>
          <w:tcPr>
            <w:tcW w:w="1989" w:type="pct"/>
            <w:gridSpan w:val="4"/>
            <w:shd w:val="clear" w:color="auto" w:fill="4472C4" w:themeFill="accent1"/>
            <w:vAlign w:val="center"/>
          </w:tcPr>
          <w:p w14:paraId="45053A99"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Recent/Present: 2015-2019</w:t>
            </w:r>
          </w:p>
        </w:tc>
        <w:tc>
          <w:tcPr>
            <w:tcW w:w="2073" w:type="pct"/>
            <w:gridSpan w:val="4"/>
            <w:shd w:val="clear" w:color="auto" w:fill="4472C4" w:themeFill="accent1"/>
            <w:vAlign w:val="center"/>
          </w:tcPr>
          <w:p w14:paraId="74A5DD64" w14:textId="77777777" w:rsidR="005634C4" w:rsidRPr="004206AE" w:rsidRDefault="005634C4" w:rsidP="005634C4">
            <w:pPr>
              <w:keepNext/>
              <w:spacing w:before="0" w:after="0"/>
              <w:jc w:val="center"/>
              <w:rPr>
                <w:b/>
                <w:bCs/>
                <w:color w:val="FFFFFF" w:themeColor="background1"/>
                <w:sz w:val="20"/>
                <w:szCs w:val="20"/>
                <w:lang w:val="en-GB"/>
              </w:rPr>
            </w:pPr>
            <w:r w:rsidRPr="004206AE">
              <w:rPr>
                <w:b/>
                <w:bCs/>
                <w:color w:val="FFFFFF" w:themeColor="background1"/>
                <w:sz w:val="20"/>
                <w:szCs w:val="20"/>
                <w:lang w:val="en-GB"/>
              </w:rPr>
              <w:t>Projected/Future: 2020-2030</w:t>
            </w:r>
          </w:p>
        </w:tc>
      </w:tr>
      <w:tr w:rsidR="005634C4" w:rsidRPr="004206AE" w14:paraId="75A4A173" w14:textId="77777777" w:rsidTr="005F4075">
        <w:trPr>
          <w:trHeight w:val="137"/>
        </w:trPr>
        <w:tc>
          <w:tcPr>
            <w:tcW w:w="938" w:type="pct"/>
            <w:vMerge/>
            <w:vAlign w:val="center"/>
          </w:tcPr>
          <w:p w14:paraId="05B8EAF4" w14:textId="77777777" w:rsidR="005634C4" w:rsidRPr="004206AE" w:rsidRDefault="005634C4" w:rsidP="005634C4">
            <w:pPr>
              <w:keepNext/>
              <w:spacing w:before="0" w:after="0"/>
              <w:jc w:val="center"/>
              <w:rPr>
                <w:color w:val="FFFFFF" w:themeColor="background1"/>
                <w:sz w:val="20"/>
                <w:szCs w:val="20"/>
                <w:lang w:val="en-GB"/>
              </w:rPr>
            </w:pPr>
          </w:p>
        </w:tc>
        <w:tc>
          <w:tcPr>
            <w:tcW w:w="491" w:type="pct"/>
            <w:shd w:val="clear" w:color="auto" w:fill="D9E2F3" w:themeFill="accent1" w:themeFillTint="33"/>
            <w:vAlign w:val="center"/>
          </w:tcPr>
          <w:p w14:paraId="221A5554"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67484451"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2" w:type="pct"/>
            <w:shd w:val="clear" w:color="auto" w:fill="D9E2F3" w:themeFill="accent1" w:themeFillTint="33"/>
            <w:vAlign w:val="center"/>
          </w:tcPr>
          <w:p w14:paraId="5A71B83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29" w:type="pct"/>
            <w:shd w:val="clear" w:color="auto" w:fill="D9E2F3" w:themeFill="accent1" w:themeFillTint="33"/>
            <w:vAlign w:val="center"/>
          </w:tcPr>
          <w:p w14:paraId="57B5A359"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6E486718"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7" w:type="pct"/>
            <w:shd w:val="clear" w:color="auto" w:fill="D9E2F3" w:themeFill="accent1" w:themeFillTint="33"/>
            <w:vAlign w:val="center"/>
          </w:tcPr>
          <w:p w14:paraId="6AA7F4C9"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40" w:type="pct"/>
            <w:shd w:val="clear" w:color="auto" w:fill="D9E2F3" w:themeFill="accent1" w:themeFillTint="33"/>
            <w:vAlign w:val="center"/>
          </w:tcPr>
          <w:p w14:paraId="4866A09B"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Australia</w:t>
            </w:r>
          </w:p>
          <w:p w14:paraId="242C2F21"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96" w:type="pct"/>
            <w:shd w:val="clear" w:color="auto" w:fill="D9E2F3" w:themeFill="accent1" w:themeFillTint="33"/>
            <w:vAlign w:val="center"/>
          </w:tcPr>
          <w:p w14:paraId="4E18D024"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c>
          <w:tcPr>
            <w:tcW w:w="552" w:type="pct"/>
            <w:shd w:val="clear" w:color="auto" w:fill="D9E2F3" w:themeFill="accent1" w:themeFillTint="33"/>
            <w:vAlign w:val="center"/>
          </w:tcPr>
          <w:p w14:paraId="28F5D609"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Singapore</w:t>
            </w:r>
          </w:p>
          <w:p w14:paraId="7A20F2C1"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(AUD Billion)</w:t>
            </w:r>
          </w:p>
        </w:tc>
        <w:tc>
          <w:tcPr>
            <w:tcW w:w="485" w:type="pct"/>
            <w:shd w:val="clear" w:color="auto" w:fill="D9E2F3" w:themeFill="accent1" w:themeFillTint="33"/>
            <w:vAlign w:val="center"/>
          </w:tcPr>
          <w:p w14:paraId="5D0DCDFF" w14:textId="77777777" w:rsidR="005634C4" w:rsidRPr="004206AE" w:rsidRDefault="005634C4" w:rsidP="005634C4">
            <w:pPr>
              <w:keepNext/>
              <w:spacing w:before="0" w:after="0"/>
              <w:jc w:val="center"/>
              <w:rPr>
                <w:b/>
                <w:bCs/>
                <w:sz w:val="20"/>
                <w:szCs w:val="20"/>
                <w:lang w:val="en-GB"/>
              </w:rPr>
            </w:pPr>
            <w:r w:rsidRPr="004206AE">
              <w:rPr>
                <w:b/>
                <w:bCs/>
                <w:sz w:val="20"/>
                <w:szCs w:val="20"/>
                <w:lang w:val="en-GB"/>
              </w:rPr>
              <w:t>CAGR (%)</w:t>
            </w:r>
          </w:p>
        </w:tc>
      </w:tr>
      <w:tr w:rsidR="005634C4" w:rsidRPr="004206AE" w14:paraId="292082E8" w14:textId="77777777" w:rsidTr="005634C4">
        <w:trPr>
          <w:trHeight w:val="198"/>
        </w:trPr>
        <w:tc>
          <w:tcPr>
            <w:tcW w:w="938" w:type="pct"/>
            <w:vAlign w:val="center"/>
          </w:tcPr>
          <w:p w14:paraId="47D2B59C" w14:textId="77777777" w:rsidR="005634C4" w:rsidRPr="005634C4" w:rsidRDefault="005634C4" w:rsidP="005634C4">
            <w:pPr>
              <w:spacing w:before="0" w:after="0"/>
              <w:jc w:val="center"/>
              <w:rPr>
                <w:sz w:val="20"/>
                <w:szCs w:val="20"/>
                <w:lang w:val="en-GB"/>
              </w:rPr>
            </w:pPr>
            <w:r w:rsidRPr="005634C4">
              <w:rPr>
                <w:sz w:val="20"/>
                <w:szCs w:val="20"/>
                <w:lang w:val="en-GB"/>
              </w:rPr>
              <w:t>IoT</w:t>
            </w:r>
          </w:p>
        </w:tc>
        <w:tc>
          <w:tcPr>
            <w:tcW w:w="491" w:type="pct"/>
            <w:vAlign w:val="center"/>
          </w:tcPr>
          <w:p w14:paraId="798DECD2"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10.74 (2018)</w:t>
            </w:r>
            <w:r w:rsidRPr="005634C4">
              <w:rPr>
                <w:rStyle w:val="EndnoteReference"/>
                <w:rFonts w:cstheme="minorHAnsi"/>
                <w:sz w:val="20"/>
                <w:szCs w:val="20"/>
                <w:lang w:val="en-GB"/>
              </w:rPr>
              <w:endnoteReference w:id="55"/>
            </w:r>
          </w:p>
        </w:tc>
        <w:tc>
          <w:tcPr>
            <w:tcW w:w="482" w:type="pct"/>
            <w:vAlign w:val="center"/>
          </w:tcPr>
          <w:p w14:paraId="54C33B9C"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21 (2018-2024)</w:t>
            </w:r>
          </w:p>
        </w:tc>
        <w:tc>
          <w:tcPr>
            <w:tcW w:w="529" w:type="pct"/>
            <w:vAlign w:val="center"/>
          </w:tcPr>
          <w:p w14:paraId="60D2AB4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6.29 (2019)</w:t>
            </w:r>
            <w:r w:rsidRPr="005634C4">
              <w:rPr>
                <w:rStyle w:val="EndnoteReference"/>
                <w:rFonts w:cstheme="minorHAnsi"/>
                <w:sz w:val="20"/>
                <w:szCs w:val="20"/>
                <w:lang w:val="en-GB"/>
              </w:rPr>
              <w:t xml:space="preserve"> </w:t>
            </w:r>
            <w:r w:rsidRPr="005634C4">
              <w:rPr>
                <w:rStyle w:val="EndnoteReference"/>
                <w:rFonts w:cstheme="minorHAnsi"/>
                <w:sz w:val="20"/>
                <w:szCs w:val="20"/>
                <w:lang w:val="en-GB"/>
              </w:rPr>
              <w:endnoteReference w:id="56"/>
            </w:r>
          </w:p>
        </w:tc>
        <w:tc>
          <w:tcPr>
            <w:tcW w:w="487" w:type="pct"/>
            <w:vAlign w:val="center"/>
          </w:tcPr>
          <w:p w14:paraId="0D02D529"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40" w:type="pct"/>
            <w:vAlign w:val="center"/>
          </w:tcPr>
          <w:p w14:paraId="40B8491B"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33.69 (2024)</w:t>
            </w:r>
          </w:p>
        </w:tc>
        <w:tc>
          <w:tcPr>
            <w:tcW w:w="496" w:type="pct"/>
            <w:vAlign w:val="center"/>
          </w:tcPr>
          <w:p w14:paraId="78D96806"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21</w:t>
            </w:r>
          </w:p>
          <w:p w14:paraId="47789881"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(2018-2024)</w:t>
            </w:r>
          </w:p>
        </w:tc>
        <w:tc>
          <w:tcPr>
            <w:tcW w:w="552" w:type="pct"/>
            <w:vAlign w:val="center"/>
          </w:tcPr>
          <w:p w14:paraId="787F5D1C" w14:textId="77777777" w:rsidR="005634C4" w:rsidRPr="005634C4" w:rsidRDefault="005634C4" w:rsidP="005634C4">
            <w:pPr>
              <w:spacing w:before="0" w:after="0"/>
              <w:jc w:val="center"/>
              <w:rPr>
                <w:rFonts w:cstheme="minorHAnsi"/>
                <w:sz w:val="20"/>
                <w:szCs w:val="20"/>
                <w:lang w:val="en-GB"/>
              </w:rPr>
            </w:pPr>
            <w:r w:rsidRPr="005634C4">
              <w:rPr>
                <w:rStyle w:val="normaltextrun"/>
                <w:rFonts w:cstheme="minorHAnsi"/>
                <w:sz w:val="20"/>
                <w:szCs w:val="20"/>
                <w:lang w:val="en-GB"/>
              </w:rPr>
              <w:t>10.46 (2024)</w:t>
            </w:r>
          </w:p>
        </w:tc>
        <w:tc>
          <w:tcPr>
            <w:tcW w:w="485" w:type="pct"/>
            <w:vAlign w:val="center"/>
          </w:tcPr>
          <w:p w14:paraId="4923E99E"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10.7</w:t>
            </w:r>
          </w:p>
          <w:p w14:paraId="01C6225A"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(2019 2024)</w:t>
            </w:r>
          </w:p>
        </w:tc>
      </w:tr>
      <w:tr w:rsidR="005634C4" w:rsidRPr="004206AE" w14:paraId="30EC9C0A" w14:textId="77777777" w:rsidTr="005634C4">
        <w:trPr>
          <w:trHeight w:val="274"/>
        </w:trPr>
        <w:tc>
          <w:tcPr>
            <w:tcW w:w="938" w:type="pct"/>
            <w:vAlign w:val="center"/>
          </w:tcPr>
          <w:p w14:paraId="5F4AB834" w14:textId="77777777" w:rsidR="005634C4" w:rsidRPr="005634C4" w:rsidRDefault="005634C4" w:rsidP="005634C4">
            <w:pPr>
              <w:spacing w:before="0" w:after="0"/>
              <w:jc w:val="center"/>
              <w:rPr>
                <w:sz w:val="20"/>
                <w:szCs w:val="20"/>
                <w:lang w:val="en-GB"/>
              </w:rPr>
            </w:pPr>
            <w:r w:rsidRPr="005634C4">
              <w:rPr>
                <w:sz w:val="20"/>
                <w:szCs w:val="20"/>
                <w:lang w:val="en-GB"/>
              </w:rPr>
              <w:lastRenderedPageBreak/>
              <w:t>Blockchain Technology</w:t>
            </w:r>
          </w:p>
        </w:tc>
        <w:tc>
          <w:tcPr>
            <w:tcW w:w="491" w:type="pct"/>
            <w:vAlign w:val="center"/>
          </w:tcPr>
          <w:p w14:paraId="50897D07"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482" w:type="pct"/>
            <w:vAlign w:val="center"/>
          </w:tcPr>
          <w:p w14:paraId="458E6317"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9" w:type="pct"/>
            <w:vAlign w:val="center"/>
          </w:tcPr>
          <w:p w14:paraId="027C324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1.91 (2019) </w:t>
            </w:r>
          </w:p>
        </w:tc>
        <w:tc>
          <w:tcPr>
            <w:tcW w:w="487" w:type="pct"/>
            <w:vAlign w:val="center"/>
          </w:tcPr>
          <w:p w14:paraId="71A10410"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40" w:type="pct"/>
            <w:vAlign w:val="center"/>
          </w:tcPr>
          <w:p w14:paraId="4925BDD8" w14:textId="77777777" w:rsidR="005634C4" w:rsidRPr="005634C4" w:rsidRDefault="005634C4" w:rsidP="005634C4">
            <w:pPr>
              <w:spacing w:before="0" w:after="0"/>
              <w:jc w:val="center"/>
              <w:rPr>
                <w:rFonts w:cstheme="minorHAnsi"/>
                <w:sz w:val="20"/>
                <w:szCs w:val="20"/>
                <w:lang w:val="en-GB"/>
              </w:rPr>
            </w:pPr>
          </w:p>
        </w:tc>
        <w:tc>
          <w:tcPr>
            <w:tcW w:w="496" w:type="pct"/>
            <w:vAlign w:val="center"/>
          </w:tcPr>
          <w:p w14:paraId="47F0E4C1"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52" w:type="pct"/>
            <w:vAlign w:val="center"/>
          </w:tcPr>
          <w:p w14:paraId="7F849F6B" w14:textId="77777777" w:rsidR="005634C4" w:rsidRPr="005634C4" w:rsidRDefault="005634C4" w:rsidP="005634C4">
            <w:pPr>
              <w:spacing w:before="0" w:after="0"/>
              <w:jc w:val="center"/>
              <w:rPr>
                <w:rFonts w:cstheme="minorHAnsi"/>
                <w:sz w:val="20"/>
                <w:szCs w:val="20"/>
                <w:lang w:val="en-GB"/>
              </w:rPr>
            </w:pPr>
            <w:r w:rsidRPr="005634C4">
              <w:rPr>
                <w:rStyle w:val="normaltextrun"/>
                <w:rFonts w:cstheme="minorHAnsi"/>
                <w:sz w:val="20"/>
                <w:szCs w:val="20"/>
                <w:lang w:val="en-GB"/>
              </w:rPr>
              <w:t>3.85 (2024)</w:t>
            </w:r>
          </w:p>
        </w:tc>
        <w:tc>
          <w:tcPr>
            <w:tcW w:w="485" w:type="pct"/>
            <w:vAlign w:val="center"/>
          </w:tcPr>
          <w:p w14:paraId="1DE4CDE0"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15 </w:t>
            </w:r>
          </w:p>
          <w:p w14:paraId="6DBAC38B"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(2019-2024)</w:t>
            </w:r>
          </w:p>
        </w:tc>
      </w:tr>
      <w:tr w:rsidR="005634C4" w:rsidRPr="004206AE" w14:paraId="4E6C92D6" w14:textId="77777777" w:rsidTr="005634C4">
        <w:trPr>
          <w:trHeight w:val="274"/>
        </w:trPr>
        <w:tc>
          <w:tcPr>
            <w:tcW w:w="938" w:type="pct"/>
            <w:vAlign w:val="center"/>
          </w:tcPr>
          <w:p w14:paraId="002AFEE2" w14:textId="77777777" w:rsidR="005634C4" w:rsidRPr="005634C4" w:rsidRDefault="005634C4" w:rsidP="005634C4">
            <w:pPr>
              <w:spacing w:before="0" w:after="0"/>
              <w:jc w:val="center"/>
              <w:rPr>
                <w:sz w:val="20"/>
                <w:szCs w:val="20"/>
                <w:lang w:val="en-GB"/>
              </w:rPr>
            </w:pPr>
            <w:r w:rsidRPr="005634C4">
              <w:rPr>
                <w:sz w:val="20"/>
                <w:szCs w:val="20"/>
                <w:lang w:val="en-GB"/>
              </w:rPr>
              <w:t>3D Printing</w:t>
            </w:r>
          </w:p>
        </w:tc>
        <w:tc>
          <w:tcPr>
            <w:tcW w:w="491" w:type="pct"/>
            <w:vAlign w:val="center"/>
          </w:tcPr>
          <w:p w14:paraId="0C80D003"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482" w:type="pct"/>
            <w:vAlign w:val="center"/>
          </w:tcPr>
          <w:p w14:paraId="44B8C780"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9" w:type="pct"/>
            <w:vAlign w:val="center"/>
          </w:tcPr>
          <w:p w14:paraId="7FCA5B7E"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487" w:type="pct"/>
            <w:vAlign w:val="center"/>
          </w:tcPr>
          <w:p w14:paraId="1124F82C"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40" w:type="pct"/>
            <w:vAlign w:val="center"/>
          </w:tcPr>
          <w:p w14:paraId="52516C27" w14:textId="77777777" w:rsidR="005634C4" w:rsidRPr="005634C4" w:rsidRDefault="005634C4" w:rsidP="005634C4">
            <w:pPr>
              <w:spacing w:before="0" w:after="0"/>
              <w:jc w:val="center"/>
              <w:rPr>
                <w:rFonts w:cstheme="minorHAnsi"/>
                <w:sz w:val="20"/>
                <w:szCs w:val="20"/>
                <w:lang w:val="en-GB"/>
              </w:rPr>
            </w:pPr>
            <w:r w:rsidRPr="005634C4">
              <w:rPr>
                <w:rStyle w:val="normaltextrun"/>
                <w:rFonts w:cstheme="minorHAnsi"/>
                <w:sz w:val="20"/>
                <w:szCs w:val="20"/>
                <w:lang w:val="en-GB"/>
              </w:rPr>
              <w:t>0.24 (2024)</w:t>
            </w:r>
            <w:r w:rsidRPr="005634C4">
              <w:rPr>
                <w:rStyle w:val="EndnoteReference"/>
                <w:rFonts w:cstheme="minorHAnsi"/>
                <w:sz w:val="20"/>
                <w:szCs w:val="20"/>
                <w:lang w:val="en-GB"/>
              </w:rPr>
              <w:endnoteReference w:id="57"/>
            </w:r>
          </w:p>
        </w:tc>
        <w:tc>
          <w:tcPr>
            <w:tcW w:w="496" w:type="pct"/>
            <w:vAlign w:val="center"/>
          </w:tcPr>
          <w:p w14:paraId="18AEE88A"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52" w:type="pct"/>
            <w:vAlign w:val="center"/>
          </w:tcPr>
          <w:p w14:paraId="091BBDD8" w14:textId="77777777" w:rsidR="005634C4" w:rsidRPr="005634C4" w:rsidRDefault="005634C4" w:rsidP="005634C4">
            <w:pPr>
              <w:spacing w:before="0" w:after="0"/>
              <w:jc w:val="center"/>
              <w:rPr>
                <w:rFonts w:cstheme="minorHAnsi"/>
                <w:sz w:val="20"/>
                <w:szCs w:val="20"/>
                <w:lang w:val="en-GB"/>
              </w:rPr>
            </w:pPr>
            <w:r w:rsidRPr="005634C4">
              <w:rPr>
                <w:rStyle w:val="normaltextrun"/>
                <w:rFonts w:cstheme="minorHAnsi"/>
                <w:sz w:val="20"/>
                <w:szCs w:val="20"/>
                <w:lang w:val="en-GB"/>
              </w:rPr>
              <w:t>0.13 (2024)</w:t>
            </w:r>
            <w:r w:rsidRPr="005634C4">
              <w:rPr>
                <w:rStyle w:val="eop"/>
                <w:rFonts w:cstheme="minorHAnsi"/>
                <w:sz w:val="20"/>
                <w:szCs w:val="20"/>
                <w:lang w:val="en-GB"/>
              </w:rPr>
              <w:t> </w:t>
            </w:r>
            <w:r w:rsidRPr="005634C4">
              <w:rPr>
                <w:rStyle w:val="EndnoteReference"/>
                <w:rFonts w:cstheme="minorHAnsi"/>
                <w:sz w:val="20"/>
                <w:szCs w:val="20"/>
                <w:lang w:val="en-GB"/>
              </w:rPr>
              <w:endnoteReference w:id="58"/>
            </w:r>
          </w:p>
        </w:tc>
        <w:tc>
          <w:tcPr>
            <w:tcW w:w="485" w:type="pct"/>
            <w:vAlign w:val="center"/>
          </w:tcPr>
          <w:p w14:paraId="084EB46E"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r>
      <w:tr w:rsidR="005634C4" w:rsidRPr="004206AE" w14:paraId="57DFA7BE" w14:textId="77777777" w:rsidTr="005634C4">
        <w:trPr>
          <w:trHeight w:val="50"/>
        </w:trPr>
        <w:tc>
          <w:tcPr>
            <w:tcW w:w="938" w:type="pct"/>
            <w:vAlign w:val="center"/>
          </w:tcPr>
          <w:p w14:paraId="364A0265" w14:textId="77777777" w:rsidR="005634C4" w:rsidRPr="005634C4" w:rsidRDefault="005634C4" w:rsidP="005634C4">
            <w:pPr>
              <w:spacing w:before="0" w:after="0"/>
              <w:jc w:val="center"/>
              <w:rPr>
                <w:sz w:val="20"/>
                <w:szCs w:val="20"/>
                <w:lang w:val="en-GB"/>
              </w:rPr>
            </w:pPr>
            <w:r w:rsidRPr="005634C4">
              <w:rPr>
                <w:sz w:val="20"/>
                <w:szCs w:val="20"/>
                <w:lang w:val="en-GB"/>
              </w:rPr>
              <w:t>5G</w:t>
            </w:r>
          </w:p>
        </w:tc>
        <w:tc>
          <w:tcPr>
            <w:tcW w:w="491" w:type="pct"/>
            <w:vAlign w:val="center"/>
          </w:tcPr>
          <w:p w14:paraId="504AB0A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482" w:type="pct"/>
            <w:vAlign w:val="center"/>
          </w:tcPr>
          <w:p w14:paraId="5C691B2A"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9" w:type="pct"/>
            <w:vAlign w:val="center"/>
          </w:tcPr>
          <w:p w14:paraId="4744022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0.25 (2019)</w:t>
            </w:r>
          </w:p>
        </w:tc>
        <w:tc>
          <w:tcPr>
            <w:tcW w:w="487" w:type="pct"/>
            <w:vAlign w:val="center"/>
          </w:tcPr>
          <w:p w14:paraId="17149C72"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40" w:type="pct"/>
            <w:vAlign w:val="center"/>
          </w:tcPr>
          <w:p w14:paraId="0CC26CF3" w14:textId="77777777" w:rsidR="005634C4" w:rsidRPr="005634C4" w:rsidRDefault="005634C4" w:rsidP="005634C4">
            <w:pPr>
              <w:spacing w:before="0" w:after="0"/>
              <w:jc w:val="center"/>
              <w:rPr>
                <w:rFonts w:cstheme="minorHAnsi"/>
                <w:sz w:val="20"/>
                <w:szCs w:val="20"/>
                <w:lang w:val="en-GB"/>
              </w:rPr>
            </w:pPr>
            <w:r w:rsidRPr="005634C4">
              <w:rPr>
                <w:rStyle w:val="normaltextrun"/>
                <w:rFonts w:cstheme="minorHAnsi"/>
                <w:sz w:val="20"/>
                <w:szCs w:val="20"/>
                <w:lang w:val="en-GB"/>
              </w:rPr>
              <w:t>18.19 (2026)</w:t>
            </w:r>
            <w:r w:rsidRPr="005634C4">
              <w:rPr>
                <w:rStyle w:val="EndnoteReference"/>
                <w:rFonts w:cstheme="minorHAnsi"/>
                <w:sz w:val="20"/>
                <w:szCs w:val="20"/>
                <w:lang w:val="en-GB"/>
              </w:rPr>
              <w:endnoteReference w:id="59"/>
            </w:r>
          </w:p>
        </w:tc>
        <w:tc>
          <w:tcPr>
            <w:tcW w:w="496" w:type="pct"/>
            <w:vAlign w:val="center"/>
          </w:tcPr>
          <w:p w14:paraId="19DA6E36"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52" w:type="pct"/>
            <w:vAlign w:val="center"/>
          </w:tcPr>
          <w:p w14:paraId="6BC2CF7A"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 xml:space="preserve">2.77(2024) </w:t>
            </w:r>
          </w:p>
        </w:tc>
        <w:tc>
          <w:tcPr>
            <w:tcW w:w="485" w:type="pct"/>
            <w:vAlign w:val="center"/>
          </w:tcPr>
          <w:p w14:paraId="2B9E6E90"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62.2</w:t>
            </w:r>
          </w:p>
          <w:p w14:paraId="78044BD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(2019-2024)</w:t>
            </w:r>
          </w:p>
        </w:tc>
      </w:tr>
      <w:tr w:rsidR="005634C4" w:rsidRPr="004206AE" w14:paraId="6F2E590B" w14:textId="77777777" w:rsidTr="005634C4">
        <w:trPr>
          <w:trHeight w:val="50"/>
        </w:trPr>
        <w:tc>
          <w:tcPr>
            <w:tcW w:w="938" w:type="pct"/>
            <w:vAlign w:val="center"/>
          </w:tcPr>
          <w:p w14:paraId="3A32F612" w14:textId="77777777" w:rsidR="005634C4" w:rsidRPr="005634C4" w:rsidRDefault="005634C4" w:rsidP="005634C4">
            <w:pPr>
              <w:spacing w:before="0" w:after="0"/>
              <w:jc w:val="center"/>
              <w:rPr>
                <w:sz w:val="20"/>
                <w:szCs w:val="20"/>
                <w:lang w:val="en-GB"/>
              </w:rPr>
            </w:pPr>
            <w:r w:rsidRPr="005634C4">
              <w:rPr>
                <w:sz w:val="20"/>
                <w:szCs w:val="20"/>
                <w:lang w:val="en-GB"/>
              </w:rPr>
              <w:t>AI</w:t>
            </w:r>
          </w:p>
        </w:tc>
        <w:tc>
          <w:tcPr>
            <w:tcW w:w="491" w:type="pct"/>
            <w:vAlign w:val="center"/>
          </w:tcPr>
          <w:p w14:paraId="5016E668" w14:textId="77777777" w:rsidR="005634C4" w:rsidRPr="005634C4" w:rsidRDefault="005634C4" w:rsidP="005634C4">
            <w:pPr>
              <w:spacing w:before="0" w:after="0"/>
              <w:jc w:val="center"/>
              <w:rPr>
                <w:rFonts w:eastAsia="Calibri" w:cstheme="minorHAnsi"/>
                <w:sz w:val="20"/>
                <w:szCs w:val="20"/>
                <w:lang w:val="en-GB"/>
              </w:rPr>
            </w:pPr>
            <w:r w:rsidRPr="005634C4">
              <w:rPr>
                <w:rFonts w:eastAsia="Calibri" w:cstheme="minorHAnsi"/>
                <w:sz w:val="20"/>
                <w:szCs w:val="20"/>
                <w:lang w:val="en-GB"/>
              </w:rPr>
              <w:t>0.33 (2016)</w:t>
            </w:r>
            <w:r w:rsidRPr="005634C4">
              <w:rPr>
                <w:rStyle w:val="EndnoteReference"/>
                <w:rFonts w:eastAsia="Calibri" w:cstheme="minorHAnsi"/>
                <w:sz w:val="20"/>
                <w:szCs w:val="20"/>
                <w:lang w:val="en-GB"/>
              </w:rPr>
              <w:endnoteReference w:id="60"/>
            </w:r>
          </w:p>
        </w:tc>
        <w:tc>
          <w:tcPr>
            <w:tcW w:w="482" w:type="pct"/>
            <w:vAlign w:val="center"/>
          </w:tcPr>
          <w:p w14:paraId="199203C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29" w:type="pct"/>
            <w:vAlign w:val="center"/>
          </w:tcPr>
          <w:p w14:paraId="11A743D5" w14:textId="77777777" w:rsidR="005634C4" w:rsidRPr="005634C4" w:rsidRDefault="005634C4" w:rsidP="005634C4">
            <w:pPr>
              <w:spacing w:before="0" w:after="0"/>
              <w:jc w:val="center"/>
              <w:rPr>
                <w:rFonts w:eastAsia="Calibri" w:cstheme="minorHAnsi"/>
                <w:sz w:val="20"/>
                <w:szCs w:val="20"/>
                <w:lang w:val="en-GB"/>
              </w:rPr>
            </w:pPr>
            <w:r w:rsidRPr="005634C4">
              <w:rPr>
                <w:rFonts w:eastAsia="Calibri" w:cstheme="minorHAnsi"/>
                <w:sz w:val="20"/>
                <w:szCs w:val="20"/>
                <w:lang w:val="en-GB"/>
              </w:rPr>
              <w:t>3.85 (2019)</w:t>
            </w:r>
          </w:p>
        </w:tc>
        <w:tc>
          <w:tcPr>
            <w:tcW w:w="487" w:type="pct"/>
            <w:vAlign w:val="center"/>
          </w:tcPr>
          <w:p w14:paraId="58E1FCB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w:t>
            </w:r>
          </w:p>
        </w:tc>
        <w:tc>
          <w:tcPr>
            <w:tcW w:w="540" w:type="pct"/>
            <w:vAlign w:val="center"/>
          </w:tcPr>
          <w:p w14:paraId="70AA1854" w14:textId="77777777" w:rsidR="005634C4" w:rsidRPr="005634C4" w:rsidRDefault="005634C4" w:rsidP="005634C4">
            <w:pPr>
              <w:spacing w:before="0" w:after="0"/>
              <w:jc w:val="center"/>
              <w:rPr>
                <w:rStyle w:val="EndnoteReference"/>
                <w:rFonts w:eastAsia="Calibri" w:cstheme="minorHAnsi"/>
                <w:sz w:val="20"/>
                <w:szCs w:val="20"/>
                <w:lang w:val="en-GB"/>
              </w:rPr>
            </w:pPr>
            <w:r w:rsidRPr="005634C4">
              <w:rPr>
                <w:rFonts w:eastAsia="Calibri" w:cstheme="minorHAnsi"/>
                <w:sz w:val="20"/>
                <w:szCs w:val="20"/>
                <w:lang w:val="en-GB"/>
              </w:rPr>
              <w:t xml:space="preserve">1.98 (2025) </w:t>
            </w:r>
            <w:r w:rsidRPr="005634C4">
              <w:rPr>
                <w:rStyle w:val="EndnoteReference"/>
                <w:rFonts w:eastAsia="Calibri" w:cstheme="minorHAnsi"/>
                <w:sz w:val="20"/>
                <w:szCs w:val="20"/>
                <w:lang w:val="en-GB"/>
              </w:rPr>
              <w:endnoteReference w:id="61"/>
            </w:r>
          </w:p>
        </w:tc>
        <w:tc>
          <w:tcPr>
            <w:tcW w:w="496" w:type="pct"/>
            <w:vAlign w:val="center"/>
          </w:tcPr>
          <w:p w14:paraId="487452C4"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22 (2016-2025)</w:t>
            </w:r>
          </w:p>
        </w:tc>
        <w:tc>
          <w:tcPr>
            <w:tcW w:w="552" w:type="pct"/>
            <w:vAlign w:val="center"/>
          </w:tcPr>
          <w:p w14:paraId="3197F39C" w14:textId="77777777" w:rsidR="005634C4" w:rsidRPr="005634C4" w:rsidRDefault="005634C4" w:rsidP="005634C4">
            <w:pPr>
              <w:spacing w:before="0" w:after="0"/>
              <w:jc w:val="center"/>
              <w:rPr>
                <w:rFonts w:cstheme="minorHAnsi"/>
                <w:sz w:val="20"/>
                <w:szCs w:val="20"/>
                <w:vertAlign w:val="superscript"/>
                <w:lang w:val="en-GB"/>
              </w:rPr>
            </w:pPr>
            <w:r w:rsidRPr="005634C4">
              <w:rPr>
                <w:rFonts w:cstheme="minorHAnsi"/>
                <w:sz w:val="20"/>
                <w:szCs w:val="20"/>
                <w:lang w:val="en-GB"/>
              </w:rPr>
              <w:t>11.89 (2024)</w:t>
            </w:r>
          </w:p>
        </w:tc>
        <w:tc>
          <w:tcPr>
            <w:tcW w:w="485" w:type="pct"/>
            <w:vAlign w:val="center"/>
          </w:tcPr>
          <w:p w14:paraId="2D69694F"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25.3</w:t>
            </w:r>
          </w:p>
          <w:p w14:paraId="3FF9DA09" w14:textId="77777777" w:rsidR="005634C4" w:rsidRPr="005634C4" w:rsidRDefault="005634C4" w:rsidP="005634C4">
            <w:pPr>
              <w:spacing w:before="0" w:after="0"/>
              <w:jc w:val="center"/>
              <w:rPr>
                <w:rFonts w:cstheme="minorHAnsi"/>
                <w:sz w:val="20"/>
                <w:szCs w:val="20"/>
                <w:lang w:val="en-GB"/>
              </w:rPr>
            </w:pPr>
            <w:r w:rsidRPr="005634C4">
              <w:rPr>
                <w:rFonts w:cstheme="minorHAnsi"/>
                <w:sz w:val="20"/>
                <w:szCs w:val="20"/>
                <w:lang w:val="en-GB"/>
              </w:rPr>
              <w:t>(2019-2024)</w:t>
            </w:r>
          </w:p>
        </w:tc>
      </w:tr>
      <w:tr w:rsidR="005634C4" w:rsidRPr="004206AE" w14:paraId="7E564320" w14:textId="77777777" w:rsidTr="005634C4">
        <w:trPr>
          <w:trHeight w:val="50"/>
        </w:trPr>
        <w:tc>
          <w:tcPr>
            <w:tcW w:w="938" w:type="pct"/>
            <w:vAlign w:val="center"/>
          </w:tcPr>
          <w:p w14:paraId="601AE9AA" w14:textId="77777777" w:rsidR="005634C4" w:rsidRPr="005634C4" w:rsidRDefault="005634C4" w:rsidP="005634C4">
            <w:pPr>
              <w:spacing w:before="0" w:after="0"/>
              <w:jc w:val="center"/>
              <w:rPr>
                <w:sz w:val="20"/>
                <w:szCs w:val="20"/>
                <w:lang w:val="en-GB"/>
              </w:rPr>
            </w:pPr>
            <w:r w:rsidRPr="005634C4">
              <w:rPr>
                <w:sz w:val="20"/>
                <w:szCs w:val="20"/>
                <w:lang w:val="en-GB"/>
              </w:rPr>
              <w:t>Big Data and Advanced Analytics</w:t>
            </w:r>
          </w:p>
        </w:tc>
        <w:tc>
          <w:tcPr>
            <w:tcW w:w="491" w:type="pct"/>
            <w:vAlign w:val="center"/>
          </w:tcPr>
          <w:p w14:paraId="0383038A" w14:textId="77777777" w:rsidR="005634C4" w:rsidRPr="005634C4" w:rsidRDefault="005634C4" w:rsidP="005634C4">
            <w:pPr>
              <w:spacing w:before="0" w:after="0"/>
              <w:jc w:val="center"/>
              <w:rPr>
                <w:sz w:val="20"/>
                <w:szCs w:val="20"/>
                <w:lang w:val="en-GB"/>
              </w:rPr>
            </w:pPr>
            <w:r w:rsidRPr="005634C4">
              <w:rPr>
                <w:sz w:val="20"/>
                <w:szCs w:val="20"/>
                <w:lang w:val="en-GB"/>
              </w:rPr>
              <w:t>1.64 (2016)</w:t>
            </w:r>
            <w:r w:rsidRPr="005634C4">
              <w:rPr>
                <w:rStyle w:val="EndnoteReference"/>
                <w:sz w:val="20"/>
                <w:szCs w:val="20"/>
                <w:lang w:val="en-GB"/>
              </w:rPr>
              <w:endnoteReference w:id="62"/>
            </w:r>
          </w:p>
        </w:tc>
        <w:tc>
          <w:tcPr>
            <w:tcW w:w="482" w:type="pct"/>
            <w:vAlign w:val="center"/>
          </w:tcPr>
          <w:p w14:paraId="542B845F" w14:textId="77777777" w:rsidR="005634C4" w:rsidRPr="005634C4" w:rsidRDefault="005634C4" w:rsidP="005634C4">
            <w:pPr>
              <w:spacing w:before="0" w:after="0"/>
              <w:jc w:val="center"/>
              <w:rPr>
                <w:sz w:val="20"/>
                <w:szCs w:val="20"/>
                <w:lang w:val="en-GB"/>
              </w:rPr>
            </w:pPr>
            <w:r w:rsidRPr="005634C4">
              <w:rPr>
                <w:sz w:val="20"/>
                <w:szCs w:val="20"/>
                <w:lang w:val="en-GB"/>
              </w:rPr>
              <w:t>-</w:t>
            </w:r>
          </w:p>
        </w:tc>
        <w:tc>
          <w:tcPr>
            <w:tcW w:w="529" w:type="pct"/>
            <w:vAlign w:val="center"/>
          </w:tcPr>
          <w:p w14:paraId="2482160B" w14:textId="77777777" w:rsidR="005634C4" w:rsidRPr="005634C4" w:rsidRDefault="005634C4" w:rsidP="005634C4">
            <w:pPr>
              <w:spacing w:before="0" w:after="0"/>
              <w:jc w:val="center"/>
              <w:rPr>
                <w:sz w:val="20"/>
                <w:szCs w:val="20"/>
                <w:lang w:val="en-GB"/>
              </w:rPr>
            </w:pPr>
            <w:r w:rsidRPr="005634C4">
              <w:rPr>
                <w:rFonts w:ascii="Calibri" w:eastAsia="Calibri" w:hAnsi="Calibri" w:cs="Calibri"/>
                <w:sz w:val="20"/>
                <w:szCs w:val="20"/>
                <w:lang w:val="en-GB"/>
              </w:rPr>
              <w:t>0.98 (2017)</w:t>
            </w:r>
            <w:r w:rsidRPr="005634C4">
              <w:rPr>
                <w:rStyle w:val="EndnoteReference"/>
                <w:sz w:val="20"/>
                <w:szCs w:val="20"/>
                <w:lang w:val="en-GB"/>
              </w:rPr>
              <w:endnoteReference w:id="63"/>
            </w:r>
          </w:p>
        </w:tc>
        <w:tc>
          <w:tcPr>
            <w:tcW w:w="487" w:type="pct"/>
            <w:vAlign w:val="center"/>
          </w:tcPr>
          <w:p w14:paraId="2D945C32" w14:textId="77777777" w:rsidR="005634C4" w:rsidRPr="005634C4" w:rsidRDefault="005634C4" w:rsidP="005634C4">
            <w:pPr>
              <w:spacing w:before="0" w:after="0"/>
              <w:jc w:val="center"/>
              <w:rPr>
                <w:sz w:val="20"/>
                <w:szCs w:val="20"/>
                <w:lang w:val="en-GB"/>
              </w:rPr>
            </w:pPr>
            <w:r w:rsidRPr="005634C4">
              <w:rPr>
                <w:sz w:val="20"/>
                <w:szCs w:val="20"/>
                <w:lang w:val="en-GB"/>
              </w:rPr>
              <w:t>-</w:t>
            </w:r>
          </w:p>
        </w:tc>
        <w:tc>
          <w:tcPr>
            <w:tcW w:w="540" w:type="pct"/>
            <w:vAlign w:val="center"/>
          </w:tcPr>
          <w:p w14:paraId="2FA1A67C" w14:textId="77777777" w:rsidR="005634C4" w:rsidRPr="005634C4" w:rsidRDefault="005634C4" w:rsidP="005634C4">
            <w:pPr>
              <w:spacing w:before="0" w:after="0"/>
              <w:jc w:val="center"/>
              <w:rPr>
                <w:sz w:val="20"/>
                <w:szCs w:val="20"/>
                <w:lang w:val="en-GB"/>
              </w:rPr>
            </w:pPr>
            <w:r w:rsidRPr="005634C4">
              <w:rPr>
                <w:sz w:val="20"/>
                <w:szCs w:val="20"/>
                <w:lang w:val="en-GB"/>
              </w:rPr>
              <w:t>2.83 (2020)</w:t>
            </w:r>
            <w:r w:rsidRPr="005634C4">
              <w:rPr>
                <w:rStyle w:val="EndnoteReference"/>
                <w:sz w:val="20"/>
                <w:szCs w:val="20"/>
                <w:lang w:val="en-GB"/>
              </w:rPr>
              <w:endnoteReference w:id="64"/>
            </w:r>
          </w:p>
        </w:tc>
        <w:tc>
          <w:tcPr>
            <w:tcW w:w="496" w:type="pct"/>
            <w:vAlign w:val="center"/>
          </w:tcPr>
          <w:p w14:paraId="677C9EFD" w14:textId="77777777" w:rsidR="005634C4" w:rsidRPr="005634C4" w:rsidRDefault="005634C4" w:rsidP="005634C4">
            <w:pPr>
              <w:spacing w:before="0" w:after="0"/>
              <w:jc w:val="center"/>
              <w:rPr>
                <w:sz w:val="20"/>
                <w:szCs w:val="20"/>
                <w:lang w:val="en-GB"/>
              </w:rPr>
            </w:pPr>
            <w:r w:rsidRPr="005634C4">
              <w:rPr>
                <w:sz w:val="20"/>
                <w:szCs w:val="20"/>
                <w:lang w:val="en-GB"/>
              </w:rPr>
              <w:t>-</w:t>
            </w:r>
          </w:p>
        </w:tc>
        <w:tc>
          <w:tcPr>
            <w:tcW w:w="552" w:type="pct"/>
            <w:vAlign w:val="center"/>
          </w:tcPr>
          <w:p w14:paraId="32EC35BD" w14:textId="77777777" w:rsidR="005634C4" w:rsidRPr="005634C4" w:rsidRDefault="005634C4" w:rsidP="005634C4">
            <w:pPr>
              <w:spacing w:before="0" w:after="0"/>
              <w:jc w:val="center"/>
              <w:rPr>
                <w:sz w:val="20"/>
                <w:szCs w:val="20"/>
                <w:lang w:val="en-GB"/>
              </w:rPr>
            </w:pPr>
            <w:r w:rsidRPr="005634C4">
              <w:rPr>
                <w:rFonts w:ascii="Calibri" w:eastAsia="Calibri" w:hAnsi="Calibri" w:cs="Calibri"/>
                <w:sz w:val="20"/>
                <w:szCs w:val="20"/>
                <w:lang w:val="en-GB"/>
              </w:rPr>
              <w:t xml:space="preserve"> 0.98 each year</w:t>
            </w:r>
            <w:r w:rsidRPr="005634C4">
              <w:rPr>
                <w:rStyle w:val="EndnoteReference"/>
                <w:sz w:val="20"/>
                <w:szCs w:val="20"/>
                <w:lang w:val="en-GB"/>
              </w:rPr>
              <w:endnoteReference w:id="65"/>
            </w:r>
          </w:p>
        </w:tc>
        <w:tc>
          <w:tcPr>
            <w:tcW w:w="485" w:type="pct"/>
            <w:vAlign w:val="center"/>
          </w:tcPr>
          <w:p w14:paraId="2AD667BB" w14:textId="77777777" w:rsidR="005634C4" w:rsidRPr="005634C4" w:rsidRDefault="005634C4" w:rsidP="005634C4">
            <w:pPr>
              <w:spacing w:before="0" w:after="0"/>
              <w:jc w:val="center"/>
              <w:rPr>
                <w:sz w:val="20"/>
                <w:szCs w:val="20"/>
                <w:lang w:val="en-GB"/>
              </w:rPr>
            </w:pPr>
            <w:r w:rsidRPr="005634C4">
              <w:rPr>
                <w:sz w:val="20"/>
                <w:szCs w:val="20"/>
                <w:lang w:val="en-GB"/>
              </w:rPr>
              <w:t>-</w:t>
            </w:r>
          </w:p>
        </w:tc>
      </w:tr>
    </w:tbl>
    <w:p w14:paraId="1C6F94D4" w14:textId="77777777" w:rsidR="005634C4" w:rsidRDefault="005634C4">
      <w:pPr>
        <w:spacing w:before="0" w:after="0"/>
        <w:sectPr w:rsidR="005634C4" w:rsidSect="006D41A6">
          <w:endnotePr>
            <w:numFmt w:val="decimal"/>
            <w:numStart w:val="126"/>
          </w:endnotePr>
          <w:pgSz w:w="11900" w:h="16840"/>
          <w:pgMar w:top="1378" w:right="953" w:bottom="955" w:left="1202" w:header="561" w:footer="244" w:gutter="0"/>
          <w:cols w:space="708"/>
          <w:docGrid w:linePitch="360"/>
        </w:sectPr>
      </w:pPr>
      <w:r>
        <w:br w:type="page"/>
      </w:r>
    </w:p>
    <w:p w14:paraId="02580E94" w14:textId="2E3F5A99" w:rsidR="005634C4" w:rsidRDefault="005634C4" w:rsidP="005634C4">
      <w:pPr>
        <w:pStyle w:val="AppendixHeading"/>
      </w:pPr>
      <w:bookmarkStart w:id="103" w:name="_Toc51167334"/>
      <w:r>
        <w:lastRenderedPageBreak/>
        <w:t>Standards Bodies</w:t>
      </w:r>
      <w:bookmarkEnd w:id="103"/>
    </w:p>
    <w:p w14:paraId="2ACC8929" w14:textId="7F949654" w:rsidR="00C42A2A" w:rsidRPr="006907BE" w:rsidRDefault="00C42A2A" w:rsidP="006907BE">
      <w:pPr>
        <w:rPr>
          <w:b/>
          <w:bCs/>
          <w:color w:val="4472C4" w:themeColor="accent1"/>
        </w:rPr>
      </w:pPr>
      <w:r w:rsidRPr="006907BE">
        <w:rPr>
          <w:b/>
          <w:bCs/>
          <w:color w:val="4472C4" w:themeColor="accent1"/>
        </w:rPr>
        <w:t xml:space="preserve">Singapore </w:t>
      </w:r>
    </w:p>
    <w:p w14:paraId="03B6C503" w14:textId="77777777" w:rsidR="00C42A2A" w:rsidRPr="00731DDC" w:rsidRDefault="00C42A2A" w:rsidP="00C42A2A">
      <w:pPr>
        <w:pStyle w:val="NormalWeb"/>
        <w:spacing w:before="0" w:after="160" w:line="276" w:lineRule="auto"/>
        <w:rPr>
          <w:rFonts w:asciiTheme="minorHAnsi" w:hAnsiTheme="minorHAnsi"/>
          <w:sz w:val="22"/>
          <w:szCs w:val="22"/>
          <w:lang w:val="en-GB"/>
        </w:rPr>
      </w:pPr>
      <w:r w:rsidRPr="00731DDC">
        <w:rPr>
          <w:rFonts w:asciiTheme="minorHAnsi" w:hAnsiTheme="minorHAnsi"/>
          <w:sz w:val="22"/>
          <w:szCs w:val="22"/>
          <w:lang w:val="en-GB"/>
        </w:rPr>
        <w:t xml:space="preserve">Enterprise Singapore (ESG), the national standards body of Singapore, was established with the </w:t>
      </w:r>
      <w:bookmarkStart w:id="104" w:name="_Hlk39077132"/>
      <w:r w:rsidRPr="00731DDC">
        <w:rPr>
          <w:rFonts w:asciiTheme="minorHAnsi" w:hAnsiTheme="minorHAnsi"/>
          <w:sz w:val="22"/>
          <w:szCs w:val="22"/>
          <w:lang w:val="en-GB"/>
        </w:rPr>
        <w:t>goal to develop and promote the adoption of local and international standards amongst businesses.</w:t>
      </w:r>
      <w:bookmarkEnd w:id="104"/>
      <w:r w:rsidRPr="00731DDC">
        <w:rPr>
          <w:rFonts w:asciiTheme="minorHAnsi" w:hAnsiTheme="minorHAnsi"/>
          <w:sz w:val="22"/>
          <w:szCs w:val="22"/>
          <w:lang w:val="en-GB"/>
        </w:rPr>
        <w:t xml:space="preserve"> It is a government agency and manages the National Standardisation Programme under the guidance of an industry-led Singapore Standards Council (SSC). </w:t>
      </w:r>
    </w:p>
    <w:p w14:paraId="15B0B2C6" w14:textId="77777777" w:rsidR="00C42A2A" w:rsidRPr="00731DDC" w:rsidRDefault="00C42A2A" w:rsidP="00C42A2A">
      <w:pPr>
        <w:autoSpaceDE w:val="0"/>
        <w:autoSpaceDN w:val="0"/>
        <w:adjustRightInd w:val="0"/>
        <w:spacing w:line="276" w:lineRule="auto"/>
        <w:rPr>
          <w:rFonts w:cs="@∆˘∑˛"/>
          <w:lang w:val="en-GB"/>
        </w:rPr>
      </w:pPr>
      <w:r w:rsidRPr="00731DDC">
        <w:rPr>
          <w:rFonts w:cs="@∆˘∑˛"/>
          <w:lang w:val="en-GB"/>
        </w:rPr>
        <w:t>In Singapore, there are more than 700 standards at work across all industrial sectors.</w:t>
      </w:r>
      <w:r w:rsidRPr="00731DDC">
        <w:rPr>
          <w:rStyle w:val="FootnoteReference"/>
          <w:rFonts w:cs="@∆˘∑˛"/>
          <w:lang w:val="en-GB"/>
        </w:rPr>
        <w:footnoteReference w:id="133"/>
      </w:r>
      <w:r w:rsidRPr="00731DDC">
        <w:rPr>
          <w:rFonts w:cs="@∆˘∑˛"/>
          <w:lang w:val="en-GB"/>
        </w:rPr>
        <w:t xml:space="preserve"> ESG and the SSC have developed and reviewed over 168 Singapore Standards and Technical References, impacting 13,000 organisations over the past year. Around 91 of these standards were new, with close to 70% focused on emerging areas most of which were in smart manufacturing to support Industry 4.0 adoption.</w:t>
      </w:r>
      <w:r w:rsidRPr="00731DDC">
        <w:rPr>
          <w:rStyle w:val="FootnoteReference"/>
          <w:rFonts w:cs="@∆˘∑˛"/>
          <w:lang w:val="en-GB"/>
        </w:rPr>
        <w:footnoteReference w:id="134"/>
      </w:r>
    </w:p>
    <w:p w14:paraId="36C70FA0" w14:textId="77777777" w:rsidR="00C42A2A" w:rsidRPr="00731DDC" w:rsidRDefault="00C42A2A" w:rsidP="00C42A2A">
      <w:pPr>
        <w:autoSpaceDE w:val="0"/>
        <w:autoSpaceDN w:val="0"/>
        <w:adjustRightInd w:val="0"/>
        <w:spacing w:line="276" w:lineRule="auto"/>
        <w:rPr>
          <w:rFonts w:cs="@∆˘∑˛"/>
          <w:lang w:val="en-GB"/>
        </w:rPr>
      </w:pPr>
      <w:r w:rsidRPr="00731DDC">
        <w:rPr>
          <w:rFonts w:cs="@∆˘∑˛"/>
          <w:lang w:val="en-GB"/>
        </w:rPr>
        <w:t>The government recognises that for businesses to keep pace with economic transformation and the current Covid-19 pandemic, standards development will have to be carried out in parallel with the changing global landscape and emergence of new technologies. The SSC has made good progress in this regard, with  new standards published in the past year to support nascent areas, which include those identified in the Industry Transformation Maps, the Smart Nation initiative and the Research, Innovation and Enterprise 2020 plan.</w:t>
      </w:r>
      <w:r w:rsidRPr="00731DDC">
        <w:rPr>
          <w:rStyle w:val="FootnoteReference"/>
          <w:rFonts w:cs="@∆˘∑˛"/>
          <w:lang w:val="en-GB"/>
        </w:rPr>
        <w:footnoteReference w:id="135"/>
      </w:r>
      <w:r w:rsidRPr="00731DDC">
        <w:rPr>
          <w:rFonts w:cs="@∆˘∑˛"/>
          <w:lang w:val="en-GB"/>
        </w:rPr>
        <w:t xml:space="preserve"> Furthermore, the SSC has announced that  new standards would be developed this year for nascent areas such as drones, additive manufacturing and video analytics, and over 900 organisations are expected to adopt them.</w:t>
      </w:r>
      <w:r w:rsidRPr="00731DDC">
        <w:rPr>
          <w:rStyle w:val="FootnoteReference"/>
          <w:rFonts w:cs="@∆˘∑˛"/>
          <w:lang w:val="en-GB"/>
        </w:rPr>
        <w:footnoteReference w:id="136"/>
      </w:r>
    </w:p>
    <w:p w14:paraId="0DAF41B9" w14:textId="77777777" w:rsidR="00C42A2A" w:rsidRPr="00731DDC" w:rsidRDefault="00C42A2A" w:rsidP="00C42A2A">
      <w:pPr>
        <w:pStyle w:val="NormalWeb"/>
        <w:spacing w:before="0" w:after="160" w:line="276" w:lineRule="auto"/>
        <w:rPr>
          <w:rFonts w:asciiTheme="minorHAnsi" w:hAnsiTheme="minorHAnsi"/>
          <w:sz w:val="22"/>
          <w:szCs w:val="22"/>
          <w:lang w:val="en-GB"/>
        </w:rPr>
      </w:pPr>
      <w:r w:rsidRPr="00731DDC">
        <w:rPr>
          <w:rFonts w:asciiTheme="minorHAnsi" w:hAnsiTheme="minorHAnsi"/>
          <w:sz w:val="22"/>
          <w:szCs w:val="22"/>
          <w:lang w:val="en-GB"/>
        </w:rPr>
        <w:t>ESG works with the Infocomm Media Development Authority (IMDA) on IT-related standards, and set up the IT Standards Committee (ITSC), which represents Singapore in the international standardisation forum of ISO/IEC JTC1 on Information Technology.</w:t>
      </w:r>
      <w:r w:rsidRPr="00731DDC">
        <w:rPr>
          <w:lang w:val="en-GB"/>
        </w:rPr>
        <w:t xml:space="preserve"> </w:t>
      </w:r>
      <w:r w:rsidRPr="00731DDC">
        <w:rPr>
          <w:rFonts w:asciiTheme="minorHAnsi" w:hAnsiTheme="minorHAnsi"/>
          <w:sz w:val="22"/>
          <w:szCs w:val="22"/>
          <w:lang w:val="en-GB"/>
        </w:rPr>
        <w:t xml:space="preserve">At present under the ITSC, there are 11 Technical Committees addressing information communication standards in the areas of AI, blockchain and DLT, cloud computing standards, e-financial services, green IT, health informatics, identification technology, IoT, IT for senior </w:t>
      </w:r>
      <w:r w:rsidRPr="00731DDC">
        <w:rPr>
          <w:rFonts w:asciiTheme="minorHAnsi" w:hAnsiTheme="minorHAnsi"/>
          <w:sz w:val="22"/>
          <w:szCs w:val="22"/>
          <w:lang w:val="en-GB"/>
        </w:rPr>
        <w:lastRenderedPageBreak/>
        <w:t>adults, multimedia representation, and security and privacy standards.</w:t>
      </w:r>
      <w:r w:rsidRPr="00731DDC">
        <w:rPr>
          <w:rStyle w:val="FootnoteReference"/>
          <w:rFonts w:asciiTheme="minorHAnsi" w:hAnsiTheme="minorHAnsi"/>
          <w:sz w:val="22"/>
          <w:szCs w:val="22"/>
          <w:lang w:val="en-GB"/>
        </w:rPr>
        <w:footnoteReference w:id="137"/>
      </w:r>
      <w:r w:rsidRPr="00731DDC">
        <w:rPr>
          <w:rFonts w:asciiTheme="minorHAnsi" w:hAnsiTheme="minorHAnsi"/>
          <w:sz w:val="22"/>
          <w:szCs w:val="22"/>
          <w:lang w:val="en-GB"/>
        </w:rPr>
        <w:t xml:space="preserve"> In the near term, the IT Standards Committee will likely focus on AI, Blockchain / DLT, IoT and Smart Cities related standards.</w:t>
      </w:r>
    </w:p>
    <w:p w14:paraId="17790C75" w14:textId="77777777" w:rsidR="00C42A2A" w:rsidRPr="00731DDC" w:rsidRDefault="00C42A2A" w:rsidP="00C42A2A">
      <w:pPr>
        <w:spacing w:line="276" w:lineRule="auto"/>
        <w:rPr>
          <w:lang w:val="en-GB"/>
        </w:rPr>
      </w:pPr>
      <w:r w:rsidRPr="00731DDC">
        <w:rPr>
          <w:lang w:val="en-GB"/>
        </w:rPr>
        <w:t xml:space="preserve">The </w:t>
      </w:r>
      <w:r w:rsidRPr="00731DDC">
        <w:rPr>
          <w:b/>
          <w:bCs/>
          <w:lang w:val="en-GB"/>
        </w:rPr>
        <w:t>Standards Mapping for Singapore Smart Industry Readiness Index (SmS)</w:t>
      </w:r>
      <w:r w:rsidRPr="00731DDC">
        <w:rPr>
          <w:lang w:val="en-GB"/>
        </w:rPr>
        <w:t xml:space="preserve"> was developed jointly by ESG and SSC to help companies map eight pillars</w:t>
      </w:r>
      <w:r w:rsidRPr="00731DDC">
        <w:rPr>
          <w:vertAlign w:val="superscript"/>
          <w:lang w:val="en-GB"/>
        </w:rPr>
        <w:footnoteReference w:id="138"/>
      </w:r>
      <w:r w:rsidRPr="00731DDC">
        <w:rPr>
          <w:lang w:val="en-GB"/>
        </w:rPr>
        <w:t xml:space="preserve"> of focus across 60 standard areas supporting the adoption of </w:t>
      </w:r>
      <w:r w:rsidRPr="00731DDC">
        <w:rPr>
          <w:b/>
          <w:bCs/>
          <w:lang w:val="en-GB"/>
        </w:rPr>
        <w:t>smart manufacturing</w:t>
      </w:r>
      <w:r w:rsidRPr="00731DDC">
        <w:rPr>
          <w:lang w:val="en-GB"/>
        </w:rPr>
        <w:t xml:space="preserve">, </w:t>
      </w:r>
      <w:r w:rsidRPr="00731DDC">
        <w:rPr>
          <w:b/>
          <w:bCs/>
          <w:lang w:val="en-GB"/>
        </w:rPr>
        <w:t>robotics</w:t>
      </w:r>
      <w:r w:rsidRPr="00731DDC">
        <w:rPr>
          <w:lang w:val="en-GB"/>
        </w:rPr>
        <w:t xml:space="preserve">, </w:t>
      </w:r>
      <w:r w:rsidRPr="00731DDC">
        <w:rPr>
          <w:b/>
          <w:bCs/>
          <w:lang w:val="en-GB"/>
        </w:rPr>
        <w:t>automation</w:t>
      </w:r>
      <w:r w:rsidRPr="00731DDC">
        <w:rPr>
          <w:lang w:val="en-GB"/>
        </w:rPr>
        <w:t xml:space="preserve"> and </w:t>
      </w:r>
      <w:r w:rsidRPr="00731DDC">
        <w:rPr>
          <w:b/>
          <w:bCs/>
          <w:lang w:val="en-GB"/>
        </w:rPr>
        <w:t>cybersecurity</w:t>
      </w:r>
      <w:r w:rsidRPr="00731DDC">
        <w:rPr>
          <w:lang w:val="en-GB"/>
        </w:rPr>
        <w:t xml:space="preserve">. The guide helps companies start out on the right foot in digital trade, using 60 prioritised standards as a checkbox requirement. This demystifies the standards compliance required for companies to move into </w:t>
      </w:r>
      <w:r w:rsidRPr="00731DDC">
        <w:rPr>
          <w:b/>
          <w:bCs/>
          <w:lang w:val="en-GB"/>
        </w:rPr>
        <w:t xml:space="preserve">Industry 4.0 </w:t>
      </w:r>
      <w:r w:rsidRPr="00731DDC">
        <w:rPr>
          <w:lang w:val="en-GB"/>
        </w:rPr>
        <w:t>by prioritising and categorising standards across standard families, and reducing both barriers to entry to digital trade, and compliance costs for companies.</w:t>
      </w:r>
    </w:p>
    <w:p w14:paraId="19DFAB77" w14:textId="77777777" w:rsidR="00C42A2A" w:rsidRPr="006907BE" w:rsidRDefault="00C42A2A" w:rsidP="006907BE">
      <w:pPr>
        <w:rPr>
          <w:b/>
          <w:bCs/>
          <w:color w:val="4472C4" w:themeColor="accent1"/>
        </w:rPr>
      </w:pPr>
      <w:r w:rsidRPr="006907BE">
        <w:rPr>
          <w:b/>
          <w:bCs/>
          <w:color w:val="4472C4" w:themeColor="accent1"/>
        </w:rPr>
        <w:t xml:space="preserve">Australia </w:t>
      </w:r>
    </w:p>
    <w:p w14:paraId="34C1A83B" w14:textId="77777777" w:rsidR="00C42A2A" w:rsidRPr="00731DDC" w:rsidRDefault="00C42A2A" w:rsidP="00C42A2A">
      <w:pPr>
        <w:spacing w:line="276" w:lineRule="auto"/>
        <w:rPr>
          <w:lang w:val="en-GB"/>
        </w:rPr>
      </w:pPr>
      <w:r w:rsidRPr="00731DDC">
        <w:rPr>
          <w:lang w:val="en-GB"/>
        </w:rPr>
        <w:t xml:space="preserve">Standards Australia is the lead organisation specialising in the development of internationally aligned standards in Australia. </w:t>
      </w:r>
      <w:bookmarkStart w:id="105" w:name="_Hlk39076548"/>
      <w:r w:rsidRPr="00731DDC">
        <w:rPr>
          <w:lang w:val="en-GB"/>
        </w:rPr>
        <w:t>Standards Australia is an independent, non-governmental, not-for-profit organisation.</w:t>
      </w:r>
    </w:p>
    <w:p w14:paraId="045FBB86" w14:textId="77777777" w:rsidR="00C42A2A" w:rsidRPr="00731DDC" w:rsidRDefault="00C42A2A" w:rsidP="00C42A2A">
      <w:pPr>
        <w:spacing w:line="276" w:lineRule="auto"/>
        <w:rPr>
          <w:lang w:val="en-GB"/>
        </w:rPr>
      </w:pPr>
      <w:r w:rsidRPr="00731DDC">
        <w:rPr>
          <w:lang w:val="en-GB"/>
        </w:rPr>
        <w:t>It has three key roles:</w:t>
      </w:r>
    </w:p>
    <w:p w14:paraId="67A9C038" w14:textId="77777777" w:rsidR="00C42A2A" w:rsidRPr="00731DDC" w:rsidRDefault="00C42A2A" w:rsidP="001F09E1">
      <w:pPr>
        <w:pStyle w:val="ListParagraph"/>
        <w:numPr>
          <w:ilvl w:val="0"/>
          <w:numId w:val="27"/>
        </w:numPr>
        <w:spacing w:before="0" w:after="160" w:line="276" w:lineRule="auto"/>
        <w:contextualSpacing/>
        <w:rPr>
          <w:lang w:val="en-GB"/>
        </w:rPr>
      </w:pPr>
      <w:r w:rsidRPr="00731DDC">
        <w:rPr>
          <w:b/>
          <w:bCs/>
          <w:lang w:val="en-GB"/>
        </w:rPr>
        <w:t>Standards development</w:t>
      </w:r>
      <w:r w:rsidRPr="00731DDC">
        <w:rPr>
          <w:lang w:val="en-GB"/>
        </w:rPr>
        <w:t>: Offering stakeholders from a variety of sectors a range of pathways to develop or update new or existing standards.</w:t>
      </w:r>
    </w:p>
    <w:p w14:paraId="76401B8D" w14:textId="77777777" w:rsidR="00C42A2A" w:rsidRPr="00731DDC" w:rsidRDefault="00C42A2A" w:rsidP="001F09E1">
      <w:pPr>
        <w:pStyle w:val="ListParagraph"/>
        <w:numPr>
          <w:ilvl w:val="0"/>
          <w:numId w:val="27"/>
        </w:numPr>
        <w:spacing w:before="0" w:after="160" w:line="276" w:lineRule="auto"/>
        <w:contextualSpacing/>
        <w:rPr>
          <w:lang w:val="en-GB"/>
        </w:rPr>
      </w:pPr>
      <w:r w:rsidRPr="00731DDC">
        <w:rPr>
          <w:b/>
          <w:bCs/>
          <w:lang w:val="en-GB"/>
        </w:rPr>
        <w:t>International participation</w:t>
      </w:r>
      <w:r w:rsidRPr="00731DDC">
        <w:rPr>
          <w:lang w:val="en-GB"/>
        </w:rPr>
        <w:t>: Participating in the development and adoption of a wide range of International Standards.</w:t>
      </w:r>
    </w:p>
    <w:p w14:paraId="146DF00E" w14:textId="77777777" w:rsidR="00C42A2A" w:rsidRPr="00731DDC" w:rsidRDefault="00C42A2A" w:rsidP="001F09E1">
      <w:pPr>
        <w:pStyle w:val="ListParagraph"/>
        <w:numPr>
          <w:ilvl w:val="0"/>
          <w:numId w:val="27"/>
        </w:numPr>
        <w:spacing w:before="0" w:after="160" w:line="276" w:lineRule="auto"/>
        <w:contextualSpacing/>
        <w:rPr>
          <w:lang w:val="en-GB"/>
        </w:rPr>
      </w:pPr>
      <w:r w:rsidRPr="00731DDC">
        <w:rPr>
          <w:b/>
          <w:bCs/>
          <w:lang w:val="en-GB"/>
        </w:rPr>
        <w:t>Accreditation of standards development organisations:</w:t>
      </w:r>
      <w:r w:rsidRPr="00731DDC">
        <w:rPr>
          <w:lang w:val="en-GB"/>
        </w:rPr>
        <w:t xml:space="preserve"> Assessing and approving other organisations to develop Australian Standards.</w:t>
      </w:r>
    </w:p>
    <w:bookmarkEnd w:id="105"/>
    <w:p w14:paraId="589EF811" w14:textId="77777777" w:rsidR="00C42A2A" w:rsidRPr="00731DDC" w:rsidRDefault="00C42A2A" w:rsidP="00C42A2A">
      <w:pPr>
        <w:spacing w:line="276" w:lineRule="auto"/>
        <w:rPr>
          <w:lang w:val="en-GB"/>
        </w:rPr>
      </w:pPr>
      <w:r w:rsidRPr="00731DDC">
        <w:rPr>
          <w:lang w:val="en-GB"/>
        </w:rPr>
        <w:t xml:space="preserve">Standards Australia is active in developing standards in 13 different industry sectors ranging from agriculture, manufacturing, transport, oil and gas and communications and ICT. Some key initiatives that currently or potentially affect digital trade involve the following: </w:t>
      </w:r>
    </w:p>
    <w:p w14:paraId="659F79BE" w14:textId="77777777" w:rsidR="00C42A2A" w:rsidRPr="00731DDC" w:rsidRDefault="00C42A2A" w:rsidP="001F09E1">
      <w:pPr>
        <w:pStyle w:val="ListParagraph"/>
        <w:numPr>
          <w:ilvl w:val="0"/>
          <w:numId w:val="28"/>
        </w:numPr>
        <w:spacing w:before="0" w:after="160" w:line="276" w:lineRule="auto"/>
        <w:contextualSpacing/>
        <w:rPr>
          <w:lang w:val="en-GB"/>
        </w:rPr>
      </w:pPr>
      <w:r w:rsidRPr="00731DDC">
        <w:rPr>
          <w:lang w:val="en-GB"/>
        </w:rPr>
        <w:t>Developing</w:t>
      </w:r>
      <w:r w:rsidRPr="00731DDC">
        <w:rPr>
          <w:bCs/>
          <w:lang w:val="en-GB"/>
        </w:rPr>
        <w:t xml:space="preserve"> a roadmap for</w:t>
      </w:r>
      <w:r w:rsidRPr="00731DDC">
        <w:rPr>
          <w:b/>
          <w:lang w:val="en-GB"/>
        </w:rPr>
        <w:t xml:space="preserve"> Blockchain Standards</w:t>
      </w:r>
      <w:r w:rsidRPr="00731DDC">
        <w:rPr>
          <w:lang w:val="en-GB"/>
        </w:rPr>
        <w:t>. In particular, managing the Secretariat for ISO/TC 307 for blockchain and distributed ledger technologies.</w:t>
      </w:r>
    </w:p>
    <w:p w14:paraId="320E587F" w14:textId="77777777" w:rsidR="00C42A2A" w:rsidRPr="00731DDC" w:rsidRDefault="00C42A2A" w:rsidP="001F09E1">
      <w:pPr>
        <w:pStyle w:val="ListParagraph"/>
        <w:numPr>
          <w:ilvl w:val="0"/>
          <w:numId w:val="28"/>
        </w:numPr>
        <w:spacing w:before="0" w:after="160" w:line="276" w:lineRule="auto"/>
        <w:contextualSpacing/>
        <w:rPr>
          <w:lang w:val="en-GB"/>
        </w:rPr>
      </w:pPr>
      <w:r w:rsidRPr="00731DDC">
        <w:rPr>
          <w:lang w:val="en-GB"/>
        </w:rPr>
        <w:t xml:space="preserve">Developing standards for </w:t>
      </w:r>
      <w:r w:rsidRPr="00731DDC">
        <w:rPr>
          <w:b/>
          <w:bCs/>
          <w:lang w:val="en-GB"/>
        </w:rPr>
        <w:t xml:space="preserve">AI </w:t>
      </w:r>
      <w:r w:rsidRPr="00731DDC">
        <w:rPr>
          <w:lang w:val="en-GB"/>
        </w:rPr>
        <w:t>that allow Australia to take the lead at an international level.</w:t>
      </w:r>
    </w:p>
    <w:p w14:paraId="6B65DE3F" w14:textId="77777777" w:rsidR="00C42A2A" w:rsidRPr="00731DDC" w:rsidRDefault="00C42A2A" w:rsidP="001F09E1">
      <w:pPr>
        <w:pStyle w:val="ListParagraph"/>
        <w:numPr>
          <w:ilvl w:val="0"/>
          <w:numId w:val="28"/>
        </w:numPr>
        <w:spacing w:before="0" w:after="160" w:line="276" w:lineRule="auto"/>
        <w:contextualSpacing/>
        <w:rPr>
          <w:lang w:val="en-GB"/>
        </w:rPr>
      </w:pPr>
      <w:r w:rsidRPr="00731DDC">
        <w:rPr>
          <w:lang w:val="en-GB"/>
        </w:rPr>
        <w:t>Developing standards</w:t>
      </w:r>
      <w:r w:rsidRPr="00731DDC">
        <w:rPr>
          <w:b/>
          <w:lang w:val="en-GB"/>
        </w:rPr>
        <w:t xml:space="preserve"> </w:t>
      </w:r>
      <w:r w:rsidRPr="00731DDC">
        <w:rPr>
          <w:bCs/>
          <w:lang w:val="en-GB"/>
        </w:rPr>
        <w:t xml:space="preserve">for </w:t>
      </w:r>
      <w:r w:rsidRPr="00731DDC">
        <w:rPr>
          <w:b/>
          <w:lang w:val="en-GB"/>
        </w:rPr>
        <w:t>Smart Cities</w:t>
      </w:r>
      <w:r w:rsidRPr="00731DDC">
        <w:rPr>
          <w:lang w:val="en-GB"/>
        </w:rPr>
        <w:t>, for instance Standards Australia participated in the ISO Technical Management Board UN Sustainable Development Goals (SDG) Taskforce, which relate to smart city goals and objectives, from waste management and sanitation to city infrastructure, including transport.</w:t>
      </w:r>
    </w:p>
    <w:p w14:paraId="3E0BF61F" w14:textId="77777777" w:rsidR="00C42A2A" w:rsidRPr="00731DDC" w:rsidRDefault="00C42A2A" w:rsidP="001F09E1">
      <w:pPr>
        <w:pStyle w:val="ListParagraph"/>
        <w:numPr>
          <w:ilvl w:val="0"/>
          <w:numId w:val="28"/>
        </w:numPr>
        <w:spacing w:before="0" w:after="160" w:line="276" w:lineRule="auto"/>
        <w:contextualSpacing/>
        <w:rPr>
          <w:lang w:val="en-GB"/>
        </w:rPr>
      </w:pPr>
      <w:r w:rsidRPr="00731DDC">
        <w:rPr>
          <w:bCs/>
          <w:lang w:val="en-GB"/>
        </w:rPr>
        <w:t>Develop the</w:t>
      </w:r>
      <w:r w:rsidRPr="00731DDC">
        <w:rPr>
          <w:b/>
          <w:lang w:val="en-GB"/>
        </w:rPr>
        <w:t xml:space="preserve"> </w:t>
      </w:r>
      <w:bookmarkStart w:id="106" w:name="_Hlk31276314"/>
      <w:r w:rsidRPr="00731DDC">
        <w:rPr>
          <w:b/>
          <w:lang w:val="en-GB"/>
        </w:rPr>
        <w:t>NEXTgen Program</w:t>
      </w:r>
      <w:r w:rsidRPr="00731DDC">
        <w:rPr>
          <w:lang w:val="en-GB"/>
        </w:rPr>
        <w:t xml:space="preserve"> </w:t>
      </w:r>
      <w:bookmarkEnd w:id="106"/>
      <w:r w:rsidRPr="00731DDC">
        <w:rPr>
          <w:lang w:val="en-GB"/>
        </w:rPr>
        <w:t xml:space="preserve">to train industry and technical experts in the standard development process and context. </w:t>
      </w:r>
    </w:p>
    <w:p w14:paraId="6BEDD801" w14:textId="77777777" w:rsidR="00C42A2A" w:rsidRPr="00731DDC" w:rsidRDefault="00C42A2A" w:rsidP="001F09E1">
      <w:pPr>
        <w:pStyle w:val="ListParagraph"/>
        <w:numPr>
          <w:ilvl w:val="0"/>
          <w:numId w:val="28"/>
        </w:numPr>
        <w:spacing w:before="0" w:after="160" w:line="276" w:lineRule="auto"/>
        <w:contextualSpacing/>
        <w:rPr>
          <w:lang w:val="en-GB"/>
        </w:rPr>
      </w:pPr>
      <w:r w:rsidRPr="00731DDC">
        <w:rPr>
          <w:lang w:val="en-GB"/>
        </w:rPr>
        <w:t xml:space="preserve">Working with counterpart NSBs in the Indo-Pacific Digital Trade Standardisation Initiative. </w:t>
      </w:r>
    </w:p>
    <w:p w14:paraId="1E8488EA" w14:textId="77777777" w:rsidR="00C42A2A" w:rsidRPr="00731DDC" w:rsidRDefault="00C42A2A" w:rsidP="00C42A2A">
      <w:pPr>
        <w:spacing w:line="259" w:lineRule="auto"/>
        <w:rPr>
          <w:lang w:val="en-GB"/>
        </w:rPr>
      </w:pPr>
      <w:r w:rsidRPr="00731DDC">
        <w:rPr>
          <w:lang w:val="en-GB"/>
        </w:rPr>
        <w:lastRenderedPageBreak/>
        <w:br w:type="page"/>
      </w:r>
    </w:p>
    <w:p w14:paraId="5D8537DF" w14:textId="2C79E95D" w:rsidR="00C42A2A" w:rsidRDefault="00C42A2A" w:rsidP="006907BE">
      <w:pPr>
        <w:pStyle w:val="AppendixHeading"/>
      </w:pPr>
      <w:bookmarkStart w:id="107" w:name="_Ref40903087"/>
      <w:bookmarkStart w:id="108" w:name="_Toc51167335"/>
      <w:bookmarkStart w:id="109" w:name="_Hlk38988291"/>
      <w:r w:rsidRPr="00731DDC">
        <w:lastRenderedPageBreak/>
        <w:t>Detailed Examples of Digital Standards</w:t>
      </w:r>
      <w:bookmarkEnd w:id="107"/>
      <w:bookmarkEnd w:id="108"/>
    </w:p>
    <w:p w14:paraId="5AC0CEDD" w14:textId="77777777" w:rsidR="008818AD" w:rsidRPr="005E10E6" w:rsidRDefault="008818AD" w:rsidP="008818AD">
      <w:pPr>
        <w:rPr>
          <w:b/>
          <w:bCs/>
          <w:color w:val="4472C4" w:themeColor="accent1"/>
        </w:rPr>
      </w:pPr>
      <w:r w:rsidRPr="005E10E6">
        <w:rPr>
          <w:b/>
          <w:bCs/>
          <w:color w:val="4472C4" w:themeColor="accent1"/>
        </w:rPr>
        <w:t>Artificial Intelligence</w:t>
      </w:r>
    </w:p>
    <w:p w14:paraId="31CCEE0B" w14:textId="77777777" w:rsidR="008818AD" w:rsidRPr="00731DDC" w:rsidRDefault="008818AD" w:rsidP="008818AD">
      <w:pPr>
        <w:spacing w:line="276" w:lineRule="auto"/>
        <w:rPr>
          <w:lang w:val="en-GB"/>
        </w:rPr>
      </w:pPr>
      <w:r w:rsidRPr="00731DDC">
        <w:rPr>
          <w:lang w:val="en-GB"/>
        </w:rPr>
        <w:t>AI standards are currently being conceptualised and written, and where there is opportunity for Australia and Singapore to influence or create relevant standards for specific areas of interest.  There are primarily two international standards bodies working on AI, and two further bodies to stay aware of as set out below.</w:t>
      </w:r>
    </w:p>
    <w:p w14:paraId="1DD4FC35" w14:textId="307AC2A8" w:rsidR="008818AD" w:rsidRPr="005E10E6" w:rsidRDefault="008818AD" w:rsidP="008818AD">
      <w:pPr>
        <w:pStyle w:val="Caption"/>
        <w:rPr>
          <w:lang w:val="en-GB"/>
        </w:rPr>
      </w:pPr>
      <w:bookmarkStart w:id="110" w:name="_Ref40982388"/>
      <w:r w:rsidRPr="00731DDC">
        <w:rPr>
          <w:lang w:val="en-GB"/>
        </w:rPr>
        <w:t xml:space="preserve">Table </w:t>
      </w:r>
      <w:r w:rsidRPr="00731DDC">
        <w:rPr>
          <w:lang w:val="en-GB"/>
        </w:rPr>
        <w:fldChar w:fldCharType="begin"/>
      </w:r>
      <w:r w:rsidRPr="00731DDC">
        <w:rPr>
          <w:lang w:val="en-GB"/>
        </w:rPr>
        <w:instrText xml:space="preserve"> SEQ Table \* ARABIC </w:instrText>
      </w:r>
      <w:r w:rsidRPr="00731DDC">
        <w:rPr>
          <w:lang w:val="en-GB"/>
        </w:rPr>
        <w:fldChar w:fldCharType="separate"/>
      </w:r>
      <w:r w:rsidR="00C9081C">
        <w:rPr>
          <w:noProof/>
          <w:lang w:val="en-GB"/>
        </w:rPr>
        <w:t>16</w:t>
      </w:r>
      <w:r w:rsidRPr="00731DDC">
        <w:rPr>
          <w:lang w:val="en-GB"/>
        </w:rPr>
        <w:fldChar w:fldCharType="end"/>
      </w:r>
      <w:bookmarkEnd w:id="110"/>
      <w:r w:rsidRPr="00731DDC">
        <w:rPr>
          <w:lang w:val="en-GB"/>
        </w:rPr>
        <w:t>: AI Standards</w:t>
      </w:r>
    </w:p>
    <w:tbl>
      <w:tblPr>
        <w:tblStyle w:val="GridTable4-Accent110"/>
        <w:tblW w:w="0" w:type="auto"/>
        <w:jc w:val="center"/>
        <w:tblLook w:val="04A0" w:firstRow="1" w:lastRow="0" w:firstColumn="1" w:lastColumn="0" w:noHBand="0" w:noVBand="1"/>
      </w:tblPr>
      <w:tblGrid>
        <w:gridCol w:w="2405"/>
        <w:gridCol w:w="6611"/>
      </w:tblGrid>
      <w:tr w:rsidR="008818AD" w:rsidRPr="006907BE" w14:paraId="0B1DDA05" w14:textId="77777777" w:rsidTr="006519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EDC396D" w14:textId="77777777" w:rsidR="008818AD" w:rsidRPr="006907BE" w:rsidRDefault="008818AD" w:rsidP="006519C6">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3193B89B" w14:textId="77777777" w:rsidR="008818AD" w:rsidRPr="006907BE" w:rsidRDefault="008818AD" w:rsidP="006519C6">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8818AD" w:rsidRPr="00731DDC" w14:paraId="3B6EB746"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3419EC7" w14:textId="77777777" w:rsidR="008818AD" w:rsidRPr="005E530A" w:rsidRDefault="008818AD" w:rsidP="006519C6">
            <w:pPr>
              <w:spacing w:before="40" w:after="40"/>
              <w:rPr>
                <w:sz w:val="20"/>
                <w:szCs w:val="16"/>
              </w:rPr>
            </w:pPr>
            <w:r w:rsidRPr="005E10E6">
              <w:rPr>
                <w:sz w:val="20"/>
                <w:szCs w:val="20"/>
              </w:rPr>
              <w:t>ISO/IEC JTC 1</w:t>
            </w:r>
            <w:r w:rsidRPr="005E10E6">
              <w:rPr>
                <w:sz w:val="20"/>
                <w:szCs w:val="20"/>
                <w:vertAlign w:val="superscript"/>
              </w:rPr>
              <w:footnoteReference w:id="139"/>
            </w:r>
          </w:p>
        </w:tc>
        <w:tc>
          <w:tcPr>
            <w:tcW w:w="6611" w:type="dxa"/>
          </w:tcPr>
          <w:p w14:paraId="5774EB2B" w14:textId="77777777" w:rsidR="008818AD" w:rsidRPr="005E530A"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10E6">
              <w:rPr>
                <w:sz w:val="20"/>
                <w:szCs w:val="20"/>
                <w:lang w:val="en-GB"/>
              </w:rPr>
              <w:t xml:space="preserve">The first is the </w:t>
            </w:r>
            <w:r w:rsidRPr="005E10E6">
              <w:rPr>
                <w:b/>
                <w:bCs/>
                <w:sz w:val="20"/>
                <w:szCs w:val="20"/>
                <w:lang w:val="en-GB"/>
              </w:rPr>
              <w:t>ISO/IEC JTC 1 Standards Committee on Artificial Intelligence (SC 42)</w:t>
            </w:r>
            <w:r w:rsidRPr="005E10E6">
              <w:rPr>
                <w:b/>
                <w:bCs/>
                <w:sz w:val="20"/>
                <w:szCs w:val="20"/>
                <w:vertAlign w:val="superscript"/>
                <w:lang w:val="en-GB"/>
              </w:rPr>
              <w:footnoteReference w:id="140"/>
            </w:r>
            <w:r w:rsidRPr="005E10E6">
              <w:rPr>
                <w:b/>
                <w:bCs/>
                <w:sz w:val="20"/>
                <w:szCs w:val="20"/>
                <w:lang w:val="en-GB"/>
              </w:rPr>
              <w:t>,</w:t>
            </w:r>
            <w:r w:rsidRPr="005E10E6">
              <w:rPr>
                <w:sz w:val="20"/>
                <w:szCs w:val="20"/>
                <w:lang w:val="en-GB"/>
              </w:rPr>
              <w:t xml:space="preserve"> whose secretariat is the American National Standards Institute (ANSI). Both Australia and Singapore are participating members of the ISO/IEC JTC 1 SC42</w:t>
            </w:r>
            <w:r w:rsidRPr="005E10E6">
              <w:rPr>
                <w:sz w:val="20"/>
                <w:szCs w:val="20"/>
                <w:vertAlign w:val="superscript"/>
                <w:lang w:val="en-GB"/>
              </w:rPr>
              <w:footnoteReference w:id="141"/>
            </w:r>
            <w:r w:rsidRPr="005E10E6">
              <w:rPr>
                <w:sz w:val="20"/>
                <w:szCs w:val="20"/>
                <w:lang w:val="en-GB"/>
              </w:rPr>
              <w:t xml:space="preserve">. The ISO takes its usual approach towards developing AI standards – the standards “family” is established i.e. ISO/IEC JTC 1 SC42, and groups are set up to develop the standards. </w:t>
            </w:r>
          </w:p>
        </w:tc>
      </w:tr>
      <w:tr w:rsidR="008818AD" w:rsidRPr="00731DDC" w14:paraId="2FBE5294"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179CC6D" w14:textId="77777777" w:rsidR="008818AD" w:rsidRPr="005E10E6" w:rsidRDefault="008818AD" w:rsidP="006519C6">
            <w:pPr>
              <w:spacing w:before="40" w:after="40"/>
              <w:rPr>
                <w:sz w:val="20"/>
                <w:szCs w:val="20"/>
              </w:rPr>
            </w:pPr>
            <w:r w:rsidRPr="005E10E6">
              <w:rPr>
                <w:sz w:val="20"/>
                <w:szCs w:val="20"/>
              </w:rPr>
              <w:t>IEEE Standards Association (SA)’s Autonomous and Intelligent Systems (A/IS) standards P7000 series.</w:t>
            </w:r>
            <w:r w:rsidRPr="005E10E6">
              <w:rPr>
                <w:sz w:val="20"/>
                <w:szCs w:val="20"/>
                <w:vertAlign w:val="superscript"/>
              </w:rPr>
              <w:footnoteReference w:id="142"/>
            </w:r>
          </w:p>
        </w:tc>
        <w:tc>
          <w:tcPr>
            <w:tcW w:w="6611" w:type="dxa"/>
          </w:tcPr>
          <w:p w14:paraId="58A43CD3" w14:textId="77777777" w:rsidR="008818AD" w:rsidRPr="005E10E6"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5E10E6">
              <w:rPr>
                <w:sz w:val="20"/>
                <w:szCs w:val="20"/>
                <w:lang w:val="en-GB"/>
              </w:rPr>
              <w:t>Work on the IEEE’s AI series began in 2016 as part of the IEEE’s larger Global Initiative on Ethics of Autonomous and Intelligent Systems, but has since branched out across the IEEE’s Working Groups and Sponsor Committees.</w:t>
            </w:r>
          </w:p>
        </w:tc>
      </w:tr>
      <w:tr w:rsidR="008818AD" w:rsidRPr="00731DDC" w14:paraId="324BE82F"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372CF22" w14:textId="77777777" w:rsidR="008818AD" w:rsidRPr="005E10E6" w:rsidRDefault="008818AD" w:rsidP="006519C6">
            <w:pPr>
              <w:spacing w:before="40" w:after="40"/>
              <w:rPr>
                <w:sz w:val="20"/>
                <w:szCs w:val="20"/>
              </w:rPr>
            </w:pPr>
            <w:r w:rsidRPr="005E10E6">
              <w:rPr>
                <w:sz w:val="20"/>
                <w:szCs w:val="20"/>
              </w:rPr>
              <w:t>International Telecommunications Union (ITU), ITU-T Y.3172 (06/2019) Architectural framework for machine learning in future networks</w:t>
            </w:r>
          </w:p>
        </w:tc>
        <w:tc>
          <w:tcPr>
            <w:tcW w:w="6611" w:type="dxa"/>
          </w:tcPr>
          <w:p w14:paraId="56811D3F" w14:textId="77777777" w:rsidR="008818AD" w:rsidRPr="005E10E6"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20"/>
                <w:lang w:val="en-GB"/>
              </w:rPr>
            </w:pPr>
            <w:r w:rsidRPr="005E10E6">
              <w:rPr>
                <w:sz w:val="20"/>
                <w:szCs w:val="20"/>
                <w:lang w:val="en-GB"/>
              </w:rPr>
              <w:t xml:space="preserve">Recent work that the ITU has done in the arena of AI includes the </w:t>
            </w:r>
            <w:r w:rsidRPr="005E10E6">
              <w:rPr>
                <w:b/>
                <w:bCs/>
                <w:sz w:val="20"/>
                <w:szCs w:val="20"/>
                <w:lang w:val="en-GB"/>
              </w:rPr>
              <w:t>ITU-T Y.3172 (06/2019) Architectural framework for machine learning in future networks</w:t>
            </w:r>
            <w:r w:rsidRPr="005E10E6">
              <w:rPr>
                <w:sz w:val="20"/>
                <w:szCs w:val="20"/>
                <w:lang w:val="en-GB"/>
              </w:rPr>
              <w:t xml:space="preserve"> including IMT-2020 (International Mobile Telecommunications-2020), which was released by the ​​​​​​​​​​​​​​​​​​​​​​​​​​​​ITU-T Study Group 13 on Future networks, with focus on IMT-2020, cloud computing and trusted network infrastructure.</w:t>
            </w:r>
            <w:r w:rsidRPr="005E10E6">
              <w:rPr>
                <w:sz w:val="20"/>
                <w:szCs w:val="20"/>
                <w:vertAlign w:val="superscript"/>
                <w:lang w:val="en-GB"/>
              </w:rPr>
              <w:footnoteReference w:id="143"/>
            </w:r>
          </w:p>
        </w:tc>
      </w:tr>
      <w:tr w:rsidR="008818AD" w:rsidRPr="00731DDC" w14:paraId="4DC13596"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51714F0" w14:textId="77777777" w:rsidR="008818AD" w:rsidRPr="005E10E6" w:rsidRDefault="008818AD" w:rsidP="006519C6">
            <w:pPr>
              <w:spacing w:before="40" w:after="40"/>
              <w:rPr>
                <w:sz w:val="20"/>
                <w:szCs w:val="20"/>
              </w:rPr>
            </w:pPr>
            <w:r w:rsidRPr="005E10E6">
              <w:rPr>
                <w:sz w:val="20"/>
                <w:szCs w:val="20"/>
              </w:rPr>
              <w:t>National Institute of Standards and Technology</w:t>
            </w:r>
          </w:p>
        </w:tc>
        <w:tc>
          <w:tcPr>
            <w:tcW w:w="6611" w:type="dxa"/>
          </w:tcPr>
          <w:p w14:paraId="018B0811" w14:textId="77777777" w:rsidR="008818AD" w:rsidRPr="005E10E6"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5E10E6">
              <w:rPr>
                <w:sz w:val="20"/>
                <w:szCs w:val="20"/>
                <w:lang w:val="en-GB"/>
              </w:rPr>
              <w:t xml:space="preserve">NIST recently released </w:t>
            </w:r>
            <w:r w:rsidRPr="005E10E6">
              <w:rPr>
                <w:i/>
                <w:iCs/>
                <w:sz w:val="20"/>
                <w:szCs w:val="20"/>
                <w:lang w:val="en-GB"/>
              </w:rPr>
              <w:t>A Plan for Federal Engagement in Developing AI Technical Standards and Related Tools</w:t>
            </w:r>
            <w:r w:rsidRPr="005E10E6">
              <w:rPr>
                <w:sz w:val="20"/>
                <w:szCs w:val="20"/>
                <w:lang w:val="en-GB"/>
              </w:rPr>
              <w:t>,</w:t>
            </w:r>
            <w:r w:rsidRPr="005E10E6">
              <w:rPr>
                <w:sz w:val="20"/>
                <w:szCs w:val="20"/>
                <w:vertAlign w:val="superscript"/>
                <w:lang w:val="en-GB"/>
              </w:rPr>
              <w:footnoteReference w:id="144"/>
            </w:r>
            <w:r w:rsidRPr="005E10E6">
              <w:rPr>
                <w:sz w:val="20"/>
                <w:szCs w:val="20"/>
                <w:lang w:val="en-GB"/>
              </w:rPr>
              <w:t xml:space="preserve"> identifying clear stances in US agency involvement on AI standards efforts.  NIST is influential in the technical and technological standards development process, and have mapped out twelve AI standards required for AI systems, including technical standards: (1) concepts and terminology, (2) data and knowledge, (3) human interaction, (4) metrics, (5) networking, (6) performance testing and reporting methodology, (7) safety, (8) risk management, and (9) trustworthiness, and non-technical standards: (10) societal and ethical considerations, (11) governance, (12) privacy.</w:t>
            </w:r>
          </w:p>
        </w:tc>
      </w:tr>
    </w:tbl>
    <w:p w14:paraId="0831AB4A" w14:textId="33C12556" w:rsidR="008818AD" w:rsidRPr="00731DDC" w:rsidRDefault="008818AD" w:rsidP="008818AD">
      <w:pPr>
        <w:spacing w:line="276" w:lineRule="auto"/>
        <w:rPr>
          <w:lang w:val="en-GB"/>
        </w:rPr>
      </w:pPr>
      <w:r w:rsidRPr="00731DDC">
        <w:rPr>
          <w:lang w:val="en-GB"/>
        </w:rPr>
        <w:lastRenderedPageBreak/>
        <w:t xml:space="preserve">Using the NIST categorisation of AI standards to map out existing standards work (see </w:t>
      </w:r>
      <w:r w:rsidRPr="00731DDC">
        <w:rPr>
          <w:lang w:val="en-GB"/>
        </w:rPr>
        <w:fldChar w:fldCharType="begin"/>
      </w:r>
      <w:r w:rsidRPr="00731DDC">
        <w:rPr>
          <w:lang w:val="en-GB"/>
        </w:rPr>
        <w:instrText xml:space="preserve"> REF _Ref40982388 \h  \* MERGEFORMAT </w:instrText>
      </w:r>
      <w:r w:rsidRPr="00731DDC">
        <w:rPr>
          <w:lang w:val="en-GB"/>
        </w:rPr>
      </w:r>
      <w:r w:rsidRPr="00731DDC">
        <w:rPr>
          <w:lang w:val="en-GB"/>
        </w:rPr>
        <w:fldChar w:fldCharType="separate"/>
      </w:r>
      <w:r w:rsidR="00C9081C" w:rsidRPr="00731DDC">
        <w:rPr>
          <w:lang w:val="en-GB"/>
        </w:rPr>
        <w:t xml:space="preserve">Table </w:t>
      </w:r>
      <w:r w:rsidR="00C9081C">
        <w:rPr>
          <w:lang w:val="en-GB"/>
        </w:rPr>
        <w:t>16</w:t>
      </w:r>
      <w:r w:rsidRPr="00731DDC">
        <w:rPr>
          <w:lang w:val="en-GB"/>
        </w:rPr>
        <w:fldChar w:fldCharType="end"/>
      </w:r>
      <w:r w:rsidRPr="00731DDC">
        <w:rPr>
          <w:lang w:val="en-GB"/>
        </w:rPr>
        <w:t>), we can generally map out the zeitgeist of AI development from a standards perspective. Some observations:</w:t>
      </w:r>
    </w:p>
    <w:p w14:paraId="7484F51F" w14:textId="77777777" w:rsidR="008818AD" w:rsidRPr="00731DDC" w:rsidRDefault="008818AD" w:rsidP="001F09E1">
      <w:pPr>
        <w:pStyle w:val="ListParagraph"/>
        <w:numPr>
          <w:ilvl w:val="0"/>
          <w:numId w:val="29"/>
        </w:numPr>
        <w:spacing w:before="0" w:after="160" w:line="276" w:lineRule="auto"/>
        <w:contextualSpacing/>
        <w:rPr>
          <w:lang w:val="en-GB"/>
        </w:rPr>
      </w:pPr>
      <w:r w:rsidRPr="00731DDC">
        <w:rPr>
          <w:lang w:val="en-GB"/>
        </w:rPr>
        <w:t>There are a number of other areas around AI which need to be considered when dealing with AI standards, including developments in big data, machine learning, autonomous systems, and robotics.</w:t>
      </w:r>
    </w:p>
    <w:p w14:paraId="2BBC8BCB" w14:textId="77777777" w:rsidR="008818AD" w:rsidRPr="00731DDC" w:rsidRDefault="008818AD" w:rsidP="001F09E1">
      <w:pPr>
        <w:pStyle w:val="ListParagraph"/>
        <w:numPr>
          <w:ilvl w:val="0"/>
          <w:numId w:val="29"/>
        </w:numPr>
        <w:spacing w:before="0" w:after="160" w:line="276" w:lineRule="auto"/>
        <w:contextualSpacing/>
        <w:rPr>
          <w:lang w:val="en-GB"/>
        </w:rPr>
      </w:pPr>
      <w:r w:rsidRPr="00731DDC">
        <w:rPr>
          <w:lang w:val="en-GB"/>
        </w:rPr>
        <w:t>Core attention is currently being paid in the areas of defining concepts, and building out reference architectures and frameworks.</w:t>
      </w:r>
    </w:p>
    <w:p w14:paraId="1AAC302C" w14:textId="657DA904" w:rsidR="008818AD" w:rsidRPr="008818AD" w:rsidRDefault="008818AD" w:rsidP="001F09E1">
      <w:pPr>
        <w:pStyle w:val="ListParagraph"/>
        <w:numPr>
          <w:ilvl w:val="0"/>
          <w:numId w:val="29"/>
        </w:numPr>
        <w:spacing w:before="0" w:after="160" w:line="276" w:lineRule="auto"/>
        <w:contextualSpacing/>
        <w:rPr>
          <w:lang w:val="en-GB"/>
        </w:rPr>
      </w:pPr>
      <w:r w:rsidRPr="00731DDC">
        <w:rPr>
          <w:lang w:val="en-GB"/>
        </w:rPr>
        <w:t>Societal and ethical considerations are another category of standards which have some attention, as does the privacy and trustworthiness categories.</w:t>
      </w:r>
    </w:p>
    <w:p w14:paraId="465335C6" w14:textId="592279EC" w:rsidR="008818AD" w:rsidRPr="005E10E6" w:rsidRDefault="008818AD" w:rsidP="008818AD">
      <w:pPr>
        <w:rPr>
          <w:b/>
          <w:bCs/>
          <w:color w:val="4472C4" w:themeColor="accent1"/>
        </w:rPr>
      </w:pPr>
      <w:r w:rsidRPr="005E10E6">
        <w:rPr>
          <w:b/>
          <w:bCs/>
          <w:color w:val="4472C4" w:themeColor="accent1"/>
        </w:rPr>
        <w:t xml:space="preserve">Distributed Ledger Technology/Blockchain </w:t>
      </w:r>
    </w:p>
    <w:p w14:paraId="0142C5E0" w14:textId="77777777" w:rsidR="008818AD" w:rsidRPr="00731DDC" w:rsidRDefault="008818AD" w:rsidP="008818AD">
      <w:pPr>
        <w:spacing w:line="276" w:lineRule="auto"/>
        <w:rPr>
          <w:lang w:val="en-GB"/>
        </w:rPr>
      </w:pPr>
      <w:r w:rsidRPr="00731DDC">
        <w:rPr>
          <w:lang w:val="en-GB"/>
        </w:rPr>
        <w:t>The technology is still evolving, and no international standards currently exist. While there has been some debate on whether it is too early to set the standards, failure to develop international standards could also lead to confusion and missed opportunities. There is also confusion in understanding the new technology, prompting the development of standard terminology to provide greater clarity to potential stakeholders. However, the terminology should be deﬁned in a way that gives ﬂexibility to support future innovation.</w:t>
      </w:r>
    </w:p>
    <w:p w14:paraId="79ADC6C9" w14:textId="0828FAED" w:rsidR="008818AD" w:rsidRPr="00731DDC" w:rsidRDefault="008818AD" w:rsidP="008818AD">
      <w:pPr>
        <w:spacing w:line="276" w:lineRule="auto"/>
        <w:rPr>
          <w:lang w:val="en-GB"/>
        </w:rPr>
      </w:pPr>
      <w:r w:rsidRPr="00731DDC">
        <w:rPr>
          <w:lang w:val="en-GB"/>
        </w:rPr>
        <w:t xml:space="preserve">Currently, work on developing 11 new ISO standards is in advanced stages, and is likely to be released in 2021. In addition, many other international bodies, other than the ISO, are exploring various standards involving blockchain technology, as illustrated in </w:t>
      </w:r>
      <w:r w:rsidRPr="00731DDC">
        <w:rPr>
          <w:lang w:val="en-GB"/>
        </w:rPr>
        <w:fldChar w:fldCharType="begin"/>
      </w:r>
      <w:r w:rsidRPr="00731DDC">
        <w:rPr>
          <w:lang w:val="en-GB"/>
        </w:rPr>
        <w:instrText xml:space="preserve"> REF _Ref24051049 \h  \* MERGEFORMAT </w:instrText>
      </w:r>
      <w:r w:rsidRPr="00731DDC">
        <w:rPr>
          <w:lang w:val="en-GB"/>
        </w:rPr>
      </w:r>
      <w:r w:rsidRPr="00731DDC">
        <w:rPr>
          <w:lang w:val="en-GB"/>
        </w:rPr>
        <w:fldChar w:fldCharType="separate"/>
      </w:r>
      <w:r w:rsidR="00C9081C" w:rsidRPr="00731DDC">
        <w:rPr>
          <w:lang w:val="en-GB"/>
        </w:rPr>
        <w:t xml:space="preserve">Box </w:t>
      </w:r>
      <w:r w:rsidR="00C9081C">
        <w:rPr>
          <w:lang w:val="en-GB"/>
        </w:rPr>
        <w:t>5</w:t>
      </w:r>
      <w:r w:rsidRPr="00731DDC">
        <w:rPr>
          <w:lang w:val="en-GB"/>
        </w:rPr>
        <w:fldChar w:fldCharType="end"/>
      </w:r>
      <w:r w:rsidRPr="00731DDC">
        <w:rPr>
          <w:lang w:val="en-GB"/>
        </w:rPr>
        <w:t>.</w:t>
      </w:r>
    </w:p>
    <w:p w14:paraId="1AB017DE" w14:textId="783CA3E3" w:rsidR="008818AD" w:rsidRPr="00731DDC" w:rsidRDefault="008818AD" w:rsidP="008818AD">
      <w:pPr>
        <w:pStyle w:val="Caption"/>
        <w:rPr>
          <w:lang w:val="en-GB"/>
        </w:rPr>
      </w:pPr>
      <w:bookmarkStart w:id="111" w:name="_Ref24051049"/>
      <w:bookmarkStart w:id="112" w:name="_Ref24129250"/>
      <w:r w:rsidRPr="00731DDC">
        <w:rPr>
          <w:lang w:val="en-GB"/>
        </w:rPr>
        <w:t xml:space="preserve">Box </w:t>
      </w:r>
      <w:r w:rsidRPr="00731DDC">
        <w:rPr>
          <w:lang w:val="en-GB"/>
        </w:rPr>
        <w:fldChar w:fldCharType="begin"/>
      </w:r>
      <w:r w:rsidRPr="00731DDC">
        <w:rPr>
          <w:lang w:val="en-GB"/>
        </w:rPr>
        <w:instrText xml:space="preserve"> SEQ Box \* ARABIC </w:instrText>
      </w:r>
      <w:r w:rsidRPr="00731DDC">
        <w:rPr>
          <w:lang w:val="en-GB"/>
        </w:rPr>
        <w:fldChar w:fldCharType="separate"/>
      </w:r>
      <w:r w:rsidR="00C9081C">
        <w:rPr>
          <w:noProof/>
          <w:lang w:val="en-GB"/>
        </w:rPr>
        <w:t>5</w:t>
      </w:r>
      <w:r w:rsidRPr="00731DDC">
        <w:rPr>
          <w:lang w:val="en-GB"/>
        </w:rPr>
        <w:fldChar w:fldCharType="end"/>
      </w:r>
      <w:bookmarkEnd w:id="111"/>
      <w:r w:rsidRPr="00731DDC">
        <w:rPr>
          <w:lang w:val="en-GB"/>
        </w:rPr>
        <w:t>: Blockchain Standards Development</w:t>
      </w:r>
      <w:bookmarkEnd w:id="112"/>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E2F3" w:themeFill="accent1" w:themeFillTint="33"/>
        <w:tblLook w:val="04A0" w:firstRow="1" w:lastRow="0" w:firstColumn="1" w:lastColumn="0" w:noHBand="0" w:noVBand="1"/>
      </w:tblPr>
      <w:tblGrid>
        <w:gridCol w:w="9735"/>
      </w:tblGrid>
      <w:tr w:rsidR="008818AD" w:rsidRPr="00731DDC" w14:paraId="2CABC58A" w14:textId="77777777" w:rsidTr="006519C6">
        <w:trPr>
          <w:jc w:val="center"/>
        </w:trPr>
        <w:tc>
          <w:tcPr>
            <w:tcW w:w="9739" w:type="dxa"/>
            <w:shd w:val="clear" w:color="auto" w:fill="D9E2F3" w:themeFill="accent1" w:themeFillTint="33"/>
          </w:tcPr>
          <w:p w14:paraId="70904EA0" w14:textId="77777777" w:rsidR="008818AD" w:rsidRPr="00731DDC" w:rsidRDefault="008818AD" w:rsidP="006519C6">
            <w:pPr>
              <w:rPr>
                <w:b/>
                <w:bCs/>
                <w:sz w:val="20"/>
                <w:szCs w:val="20"/>
                <w:lang w:val="en-GB"/>
              </w:rPr>
            </w:pPr>
            <w:r w:rsidRPr="00731DDC">
              <w:rPr>
                <w:b/>
                <w:bCs/>
                <w:sz w:val="20"/>
                <w:szCs w:val="20"/>
                <w:lang w:val="en-GB"/>
              </w:rPr>
              <w:t>ISO TC 307</w:t>
            </w:r>
            <w:r w:rsidRPr="00731DDC">
              <w:rPr>
                <w:sz w:val="20"/>
                <w:szCs w:val="20"/>
                <w:lang w:val="en-GB"/>
              </w:rPr>
              <w:t>: ISO has created a Technical Committee for Standardising Blockchain and Distributed Ledger Technologies (DLT), whose Secretariat is led by Standards Australia. It is developing a suite of blockchain standards with reference to architecture, taxonomy, ontology, security, privacy, identity and smart contracts.</w:t>
            </w:r>
            <w:r w:rsidRPr="00731DDC">
              <w:rPr>
                <w:rStyle w:val="FootnoteReference"/>
                <w:sz w:val="20"/>
                <w:szCs w:val="20"/>
                <w:lang w:val="en-GB"/>
              </w:rPr>
              <w:footnoteReference w:id="145"/>
            </w:r>
            <w:r w:rsidRPr="00731DDC">
              <w:rPr>
                <w:sz w:val="20"/>
                <w:szCs w:val="20"/>
                <w:lang w:val="en-GB"/>
              </w:rPr>
              <w:t xml:space="preserve"> </w:t>
            </w:r>
          </w:p>
          <w:p w14:paraId="6B254C0E" w14:textId="77777777" w:rsidR="008818AD" w:rsidRPr="00731DDC" w:rsidRDefault="008818AD" w:rsidP="006519C6">
            <w:pPr>
              <w:rPr>
                <w:sz w:val="20"/>
                <w:szCs w:val="20"/>
                <w:lang w:val="en-GB"/>
              </w:rPr>
            </w:pPr>
            <w:r w:rsidRPr="00731DDC">
              <w:rPr>
                <w:b/>
                <w:bCs/>
                <w:sz w:val="20"/>
                <w:szCs w:val="20"/>
                <w:lang w:val="en-GB"/>
              </w:rPr>
              <w:t xml:space="preserve">ITU: </w:t>
            </w:r>
            <w:r w:rsidRPr="00731DDC">
              <w:rPr>
                <w:sz w:val="20"/>
                <w:szCs w:val="20"/>
                <w:lang w:val="en-GB"/>
              </w:rPr>
              <w:t>ITU-T, has created a Focus Group on the Application of DLT (i) to identify and analyse DLT-based applications and services, (ii) to guide and support the implementation of those applications and services on a global scale, (iii) and to propose a way forward for related standardisation work in ITU-T Study Groups. ITU standardisation work is on security and trust, identity management, environmental sustainability, protocols and test specifications, combatting counterfeiting, multimedia, digital financial services, smart cities, and data processing and management.</w:t>
            </w:r>
            <w:r w:rsidRPr="00731DDC">
              <w:rPr>
                <w:rStyle w:val="FootnoteReference"/>
                <w:sz w:val="20"/>
                <w:szCs w:val="20"/>
                <w:lang w:val="en-GB"/>
              </w:rPr>
              <w:footnoteReference w:id="146"/>
            </w:r>
          </w:p>
          <w:p w14:paraId="10E39FB6" w14:textId="77777777" w:rsidR="008818AD" w:rsidRPr="00731DDC" w:rsidRDefault="008818AD" w:rsidP="006519C6">
            <w:pPr>
              <w:rPr>
                <w:sz w:val="20"/>
                <w:szCs w:val="20"/>
                <w:lang w:val="en-GB"/>
              </w:rPr>
            </w:pPr>
            <w:r w:rsidRPr="00731DDC">
              <w:rPr>
                <w:b/>
                <w:bCs/>
                <w:sz w:val="20"/>
                <w:szCs w:val="20"/>
                <w:lang w:val="en-GB"/>
              </w:rPr>
              <w:t>The World Wide Web Consortium (W3C)</w:t>
            </w:r>
            <w:r w:rsidRPr="00731DDC">
              <w:rPr>
                <w:sz w:val="20"/>
                <w:szCs w:val="20"/>
                <w:lang w:val="en-GB"/>
              </w:rPr>
              <w:t xml:space="preserve"> is a non-proﬁt international standardisation organisation whose member organisations collaboratively develop Web standards. It has a blockchain community group to (i) generate message format standards for blockchain based on ISO200223; (ii) generate guidelines for usage of storage including torrent, </w:t>
            </w:r>
            <w:r w:rsidRPr="00731DDC">
              <w:rPr>
                <w:sz w:val="20"/>
                <w:szCs w:val="20"/>
                <w:lang w:val="en-GB"/>
              </w:rPr>
              <w:lastRenderedPageBreak/>
              <w:t xml:space="preserve">public and private blockchains, side chain and CDN; and (iii) study and evaluate new technologies and use-cases such as inter-bank communications. </w:t>
            </w:r>
          </w:p>
          <w:p w14:paraId="0772CEE1" w14:textId="77777777" w:rsidR="008818AD" w:rsidRPr="00731DDC" w:rsidRDefault="008818AD" w:rsidP="006519C6">
            <w:pPr>
              <w:rPr>
                <w:sz w:val="20"/>
                <w:szCs w:val="20"/>
                <w:lang w:val="en-GB"/>
              </w:rPr>
            </w:pPr>
            <w:r w:rsidRPr="00731DDC">
              <w:rPr>
                <w:b/>
                <w:bCs/>
                <w:sz w:val="20"/>
                <w:szCs w:val="20"/>
                <w:lang w:val="en-GB"/>
              </w:rPr>
              <w:t>IEEE</w:t>
            </w:r>
            <w:r w:rsidRPr="00731DDC">
              <w:rPr>
                <w:sz w:val="20"/>
                <w:szCs w:val="20"/>
                <w:lang w:val="en-GB"/>
              </w:rPr>
              <w:t xml:space="preserve"> has been working on the Standard for the Framework of Blockchain Use in IoT and an industry connection document, the Blockchain Asset Exchange. The body is actively pursuing blockchain standardisation efforts through various activities in multiple industry sectors.</w:t>
            </w:r>
            <w:r w:rsidRPr="00731DDC">
              <w:rPr>
                <w:rStyle w:val="FootnoteReference"/>
                <w:sz w:val="20"/>
                <w:szCs w:val="20"/>
                <w:lang w:val="en-GB"/>
              </w:rPr>
              <w:footnoteReference w:id="147"/>
            </w:r>
          </w:p>
          <w:p w14:paraId="5A774555" w14:textId="77777777" w:rsidR="008818AD" w:rsidRPr="00731DDC" w:rsidRDefault="008818AD" w:rsidP="006519C6">
            <w:pPr>
              <w:rPr>
                <w:sz w:val="20"/>
                <w:szCs w:val="20"/>
                <w:lang w:val="en-GB"/>
              </w:rPr>
            </w:pPr>
            <w:r w:rsidRPr="00731DDC">
              <w:rPr>
                <w:b/>
                <w:bCs/>
                <w:sz w:val="20"/>
                <w:szCs w:val="20"/>
                <w:lang w:val="en-GB"/>
              </w:rPr>
              <w:t>The IETF</w:t>
            </w:r>
            <w:r w:rsidRPr="00731DDC">
              <w:rPr>
                <w:sz w:val="20"/>
                <w:szCs w:val="20"/>
                <w:lang w:val="en-GB"/>
              </w:rPr>
              <w:t xml:space="preserve"> is playing a major role in deﬁning the Internet standards used for network communications and interoperability by publishing Request For Comments (RFC) documents that can impact blockchain technologies.</w:t>
            </w:r>
          </w:p>
        </w:tc>
      </w:tr>
    </w:tbl>
    <w:p w14:paraId="54C61C0B" w14:textId="77777777" w:rsidR="008818AD" w:rsidRPr="005E10E6" w:rsidRDefault="008818AD" w:rsidP="008818AD">
      <w:pPr>
        <w:rPr>
          <w:b/>
          <w:bCs/>
          <w:color w:val="4472C4" w:themeColor="accent1"/>
        </w:rPr>
      </w:pPr>
      <w:r w:rsidRPr="005E10E6">
        <w:rPr>
          <w:b/>
          <w:bCs/>
          <w:color w:val="4472C4" w:themeColor="accent1"/>
        </w:rPr>
        <w:lastRenderedPageBreak/>
        <w:t>Smart Cities</w:t>
      </w:r>
    </w:p>
    <w:p w14:paraId="4F2EB4D3" w14:textId="77777777" w:rsidR="008818AD" w:rsidRPr="00731DDC" w:rsidRDefault="008818AD" w:rsidP="008818AD">
      <w:pPr>
        <w:spacing w:line="276" w:lineRule="auto"/>
        <w:rPr>
          <w:lang w:val="en-GB"/>
        </w:rPr>
      </w:pPr>
      <w:r w:rsidRPr="00731DDC">
        <w:rPr>
          <w:lang w:val="en-GB"/>
        </w:rPr>
        <w:t xml:space="preserve">The main standards setting working group for smart cities is </w:t>
      </w:r>
      <w:r w:rsidRPr="00731DDC">
        <w:rPr>
          <w:b/>
          <w:bCs/>
          <w:lang w:val="en-GB"/>
        </w:rPr>
        <w:t>ISO TC 268 Sustainable Cities and Communities, where ISO/TC 268/SC1</w:t>
      </w:r>
      <w:r w:rsidRPr="00731DDC">
        <w:rPr>
          <w:lang w:val="en-GB"/>
        </w:rPr>
        <w:t xml:space="preserve"> has already published eight standards and with another 11 under development.</w:t>
      </w:r>
      <w:r w:rsidRPr="00731DDC">
        <w:rPr>
          <w:rStyle w:val="FootnoteReference"/>
          <w:lang w:val="en-GB"/>
        </w:rPr>
        <w:footnoteReference w:id="148"/>
      </w:r>
      <w:r w:rsidRPr="00731DDC">
        <w:rPr>
          <w:lang w:val="en-GB"/>
        </w:rPr>
        <w:t xml:space="preserve"> This includes standardisation in the development of requirements, frameworks, guidance and supporting techniques and tools related to the achievement of sustainable development considering smartness and resilience, to help all cities and communities and their interested parties in both rural and urban areas become more sustainable. </w:t>
      </w:r>
    </w:p>
    <w:p w14:paraId="3EDF3406" w14:textId="2CFE1F89" w:rsidR="008818AD" w:rsidRPr="005E10E6" w:rsidRDefault="008818AD" w:rsidP="008818AD">
      <w:pPr>
        <w:rPr>
          <w:b/>
          <w:bCs/>
          <w:color w:val="4472C4" w:themeColor="accent1"/>
        </w:rPr>
      </w:pPr>
      <w:r>
        <w:rPr>
          <w:b/>
          <w:bCs/>
          <w:color w:val="4472C4" w:themeColor="accent1"/>
        </w:rPr>
        <w:t>Additional Detailed Standards</w:t>
      </w:r>
    </w:p>
    <w:p w14:paraId="1886B92E" w14:textId="0D522A5A" w:rsidR="008818AD" w:rsidRDefault="008818AD" w:rsidP="008818AD">
      <w:pPr>
        <w:pStyle w:val="Caption"/>
      </w:pPr>
      <w:r>
        <w:t xml:space="preserve">Table </w:t>
      </w:r>
      <w:fldSimple w:instr=" SEQ Table \* ARABIC ">
        <w:r w:rsidR="00C9081C">
          <w:rPr>
            <w:noProof/>
          </w:rPr>
          <w:t>17</w:t>
        </w:r>
      </w:fldSimple>
      <w:r>
        <w:t>: Digital Identity</w:t>
      </w:r>
    </w:p>
    <w:tbl>
      <w:tblPr>
        <w:tblStyle w:val="GridTable4-Accent110"/>
        <w:tblW w:w="0" w:type="auto"/>
        <w:jc w:val="center"/>
        <w:tblLook w:val="04A0" w:firstRow="1" w:lastRow="0" w:firstColumn="1" w:lastColumn="0" w:noHBand="0" w:noVBand="1"/>
      </w:tblPr>
      <w:tblGrid>
        <w:gridCol w:w="2405"/>
        <w:gridCol w:w="6611"/>
      </w:tblGrid>
      <w:tr w:rsidR="008818AD" w:rsidRPr="006907BE" w14:paraId="48AB3364" w14:textId="77777777" w:rsidTr="006519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37AEB76" w14:textId="77777777" w:rsidR="008818AD" w:rsidRPr="006907BE" w:rsidRDefault="008818AD" w:rsidP="006519C6">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1DA7C7DD" w14:textId="77777777" w:rsidR="008818AD" w:rsidRPr="006907BE" w:rsidRDefault="008818AD" w:rsidP="006519C6">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8818AD" w:rsidRPr="00731DDC" w14:paraId="2CBCC0B8"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ADF4F74" w14:textId="77777777" w:rsidR="008818AD" w:rsidRPr="005E530A" w:rsidRDefault="008818AD" w:rsidP="006519C6">
            <w:pPr>
              <w:spacing w:before="40" w:after="40"/>
              <w:rPr>
                <w:sz w:val="20"/>
                <w:szCs w:val="16"/>
              </w:rPr>
            </w:pPr>
            <w:r w:rsidRPr="005E10E6">
              <w:rPr>
                <w:rFonts w:ascii="Calibri" w:eastAsia="Calibri" w:hAnsi="Calibri" w:cs="Arial"/>
                <w:sz w:val="20"/>
                <w:szCs w:val="20"/>
              </w:rPr>
              <w:t>ISO/IEC 24760-1:2019 IT Security and Privacy – A Framework for Identity Management</w:t>
            </w:r>
          </w:p>
        </w:tc>
        <w:tc>
          <w:tcPr>
            <w:tcW w:w="6611" w:type="dxa"/>
          </w:tcPr>
          <w:p w14:paraId="13F803F6" w14:textId="77777777" w:rsidR="008818AD" w:rsidRPr="005E530A"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10E6">
              <w:rPr>
                <w:sz w:val="20"/>
                <w:szCs w:val="20"/>
              </w:rPr>
              <w:t>Applicable to any information system that processes identity information.</w:t>
            </w:r>
            <w:r w:rsidRPr="005E10E6">
              <w:rPr>
                <w:iCs/>
                <w:sz w:val="20"/>
                <w:szCs w:val="20"/>
              </w:rPr>
              <w:t xml:space="preserve"> </w:t>
            </w:r>
            <w:r w:rsidRPr="005E10E6">
              <w:rPr>
                <w:sz w:val="20"/>
                <w:szCs w:val="20"/>
              </w:rPr>
              <w:t>Defines terms for identity management and specifies core concepts of identity and identity management and their relationships.</w:t>
            </w:r>
            <w:r w:rsidRPr="005E10E6">
              <w:rPr>
                <w:rStyle w:val="FootnoteReference"/>
                <w:sz w:val="20"/>
                <w:szCs w:val="20"/>
              </w:rPr>
              <w:footnoteReference w:id="149"/>
            </w:r>
            <w:r w:rsidRPr="005E10E6">
              <w:rPr>
                <w:iCs/>
                <w:sz w:val="20"/>
                <w:szCs w:val="20"/>
              </w:rPr>
              <w:t xml:space="preserve"> </w:t>
            </w:r>
          </w:p>
        </w:tc>
      </w:tr>
      <w:tr w:rsidR="008818AD" w:rsidRPr="00731DDC" w14:paraId="56FD4623"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03A3034" w14:textId="77777777" w:rsidR="008818AD" w:rsidRPr="005E10E6" w:rsidRDefault="008818AD" w:rsidP="006519C6">
            <w:pPr>
              <w:spacing w:before="40" w:after="40"/>
              <w:rPr>
                <w:rFonts w:ascii="Calibri" w:eastAsia="Calibri" w:hAnsi="Calibri" w:cs="Arial"/>
                <w:sz w:val="20"/>
                <w:szCs w:val="20"/>
              </w:rPr>
            </w:pPr>
            <w:r w:rsidRPr="005E10E6">
              <w:rPr>
                <w:rFonts w:ascii="Calibri" w:eastAsia="Calibri" w:hAnsi="Calibri" w:cs="Arial"/>
                <w:sz w:val="20"/>
                <w:szCs w:val="20"/>
              </w:rPr>
              <w:t>ISO/IEC 24745:2011 Information Technology - Security Techniques - Biometric Information Protection</w:t>
            </w:r>
          </w:p>
        </w:tc>
        <w:tc>
          <w:tcPr>
            <w:tcW w:w="6611" w:type="dxa"/>
          </w:tcPr>
          <w:p w14:paraId="3358212B" w14:textId="77777777" w:rsidR="008818AD" w:rsidRPr="005E10E6"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5E10E6">
              <w:rPr>
                <w:sz w:val="20"/>
                <w:szCs w:val="20"/>
              </w:rPr>
              <w:t>Provides guidance for the protection of biometric information under various requirements for confidentiality, integrity and renewability/ revocability during storage and transfer.</w:t>
            </w:r>
            <w:r w:rsidRPr="005E10E6">
              <w:rPr>
                <w:rStyle w:val="FootnoteReference"/>
                <w:sz w:val="20"/>
                <w:szCs w:val="20"/>
              </w:rPr>
              <w:footnoteReference w:id="150"/>
            </w:r>
            <w:r w:rsidRPr="005E10E6">
              <w:rPr>
                <w:sz w:val="20"/>
                <w:szCs w:val="20"/>
              </w:rPr>
              <w:t xml:space="preserve"> Additionally, provides requirements for the secure and privacy-compliant management and processing of biometric information.</w:t>
            </w:r>
          </w:p>
        </w:tc>
      </w:tr>
      <w:tr w:rsidR="008818AD" w:rsidRPr="00731DDC" w14:paraId="44C01F9E"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D788C8C" w14:textId="77777777" w:rsidR="008818AD" w:rsidRPr="005E10E6" w:rsidRDefault="008818AD" w:rsidP="006519C6">
            <w:pPr>
              <w:spacing w:before="40" w:after="40"/>
              <w:rPr>
                <w:rFonts w:ascii="Calibri" w:eastAsia="Calibri" w:hAnsi="Calibri" w:cs="Arial"/>
                <w:sz w:val="20"/>
                <w:szCs w:val="20"/>
              </w:rPr>
            </w:pPr>
            <w:r w:rsidRPr="005E10E6">
              <w:rPr>
                <w:rFonts w:ascii="Calibri" w:eastAsia="Calibri" w:hAnsi="Calibri" w:cs="Arial"/>
                <w:sz w:val="20"/>
                <w:szCs w:val="20"/>
              </w:rPr>
              <w:t xml:space="preserve">FIDO Universal Authentication Framework </w:t>
            </w:r>
          </w:p>
        </w:tc>
        <w:tc>
          <w:tcPr>
            <w:tcW w:w="6611" w:type="dxa"/>
          </w:tcPr>
          <w:p w14:paraId="24B4BCEA" w14:textId="77777777" w:rsidR="008818AD" w:rsidRPr="005E10E6"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E10E6">
              <w:rPr>
                <w:sz w:val="20"/>
                <w:szCs w:val="20"/>
              </w:rPr>
              <w:t xml:space="preserve">FIDO is a set of protocols designed to support any type of authentication including biometrics, OTP, USB security token, near-field communication (NFC), and Bluetooth for mobile devices. </w:t>
            </w:r>
          </w:p>
        </w:tc>
      </w:tr>
    </w:tbl>
    <w:p w14:paraId="5BFA549F" w14:textId="77777777" w:rsidR="008818AD" w:rsidRPr="008818AD" w:rsidRDefault="008818AD" w:rsidP="008818AD">
      <w:pPr>
        <w:rPr>
          <w:lang w:val="en-US"/>
        </w:rPr>
      </w:pPr>
    </w:p>
    <w:bookmarkEnd w:id="109"/>
    <w:p w14:paraId="453FD57F" w14:textId="3ACB3E21" w:rsidR="006907BE" w:rsidRPr="006907BE" w:rsidRDefault="006907BE" w:rsidP="005E530A">
      <w:pPr>
        <w:pStyle w:val="Caption"/>
      </w:pPr>
      <w:r w:rsidRPr="006907BE">
        <w:lastRenderedPageBreak/>
        <w:t xml:space="preserve">Table </w:t>
      </w:r>
      <w:fldSimple w:instr=" SEQ Table \* ARABIC ">
        <w:r w:rsidR="00C9081C">
          <w:rPr>
            <w:noProof/>
          </w:rPr>
          <w:t>18</w:t>
        </w:r>
      </w:fldSimple>
      <w:r w:rsidRPr="006907BE">
        <w:t>: Fina</w:t>
      </w:r>
      <w:r w:rsidR="00C42A2A" w:rsidRPr="006907BE">
        <w:t>ncial Messaging</w:t>
      </w:r>
    </w:p>
    <w:tbl>
      <w:tblPr>
        <w:tblStyle w:val="GridTable4-Accent110"/>
        <w:tblW w:w="0" w:type="auto"/>
        <w:jc w:val="center"/>
        <w:tblLook w:val="04A0" w:firstRow="1" w:lastRow="0" w:firstColumn="1" w:lastColumn="0" w:noHBand="0" w:noVBand="1"/>
      </w:tblPr>
      <w:tblGrid>
        <w:gridCol w:w="2405"/>
        <w:gridCol w:w="6611"/>
      </w:tblGrid>
      <w:tr w:rsidR="00C42A2A" w:rsidRPr="006907BE" w14:paraId="6BF36404" w14:textId="77777777" w:rsidTr="005E530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5" w:type="dxa"/>
          </w:tcPr>
          <w:p w14:paraId="2B8EE59E" w14:textId="77777777" w:rsidR="00C42A2A" w:rsidRPr="006907BE" w:rsidRDefault="00C42A2A" w:rsidP="006907BE">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240B98D8" w14:textId="77777777" w:rsidR="00C42A2A" w:rsidRPr="006907BE" w:rsidRDefault="00C42A2A" w:rsidP="006907BE">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Description</w:t>
            </w:r>
          </w:p>
        </w:tc>
      </w:tr>
      <w:tr w:rsidR="00C42A2A" w:rsidRPr="006907BE" w14:paraId="49EB83B5" w14:textId="77777777" w:rsidTr="005E530A">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350ED94" w14:textId="77777777" w:rsidR="00C42A2A" w:rsidRPr="006907BE" w:rsidRDefault="00C42A2A" w:rsidP="006907BE">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 xml:space="preserve">SWIFT Message Types (MT) and ISO 15022 </w:t>
            </w:r>
          </w:p>
        </w:tc>
        <w:tc>
          <w:tcPr>
            <w:tcW w:w="6611" w:type="dxa"/>
          </w:tcPr>
          <w:p w14:paraId="02B737FD" w14:textId="77777777" w:rsidR="00C42A2A" w:rsidRPr="006907BE" w:rsidRDefault="00C42A2A" w:rsidP="006907BE">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 xml:space="preserve">SWIFT Message Types (MT) are messaging schema used in transactions performed among financial institutions such as customer payments, and inter-financial institutions transfer. </w:t>
            </w:r>
          </w:p>
        </w:tc>
      </w:tr>
      <w:tr w:rsidR="00C42A2A" w:rsidRPr="006907BE" w14:paraId="09998DDF" w14:textId="77777777" w:rsidTr="005E530A">
        <w:trPr>
          <w:trHeight w:val="58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B288355" w14:textId="77777777" w:rsidR="00C42A2A" w:rsidRPr="006907BE" w:rsidRDefault="00C42A2A" w:rsidP="006907BE">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 xml:space="preserve">ISO 8583 financial transaction message </w:t>
            </w:r>
          </w:p>
        </w:tc>
        <w:tc>
          <w:tcPr>
            <w:tcW w:w="6611" w:type="dxa"/>
          </w:tcPr>
          <w:p w14:paraId="0C4336CA" w14:textId="77777777" w:rsidR="00C42A2A" w:rsidRPr="006907BE" w:rsidRDefault="00C42A2A" w:rsidP="006907BE">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Arial"/>
                <w:bCs/>
                <w:sz w:val="20"/>
                <w:szCs w:val="20"/>
                <w:lang w:val="en-GB" w:eastAsia="zh-CN"/>
              </w:rPr>
            </w:pPr>
            <w:r w:rsidRPr="006907BE">
              <w:rPr>
                <w:rFonts w:ascii="Calibri" w:eastAsia="MS Mincho" w:hAnsi="Calibri" w:cs="Arial"/>
                <w:bCs/>
                <w:sz w:val="20"/>
                <w:szCs w:val="20"/>
                <w:lang w:val="en-GB" w:eastAsia="zh-CN"/>
              </w:rPr>
              <w:t>ISO 8583 specifies the standards for systems that exchange electronic transaction requests and responses originated from payment cards.</w:t>
            </w:r>
            <w:r w:rsidRPr="006907BE">
              <w:rPr>
                <w:rFonts w:ascii="Calibri" w:eastAsia="MS Mincho" w:hAnsi="Calibri" w:cs="Arial"/>
                <w:sz w:val="20"/>
                <w:szCs w:val="20"/>
                <w:lang w:val="en-GB" w:eastAsia="zh-CN"/>
              </w:rPr>
              <w:t xml:space="preserve"> </w:t>
            </w:r>
            <w:r w:rsidRPr="006907BE">
              <w:rPr>
                <w:rFonts w:ascii="Calibri" w:eastAsia="MS Mincho" w:hAnsi="Calibri" w:cs="Arial"/>
                <w:bCs/>
                <w:sz w:val="20"/>
                <w:szCs w:val="20"/>
                <w:lang w:val="en-GB" w:eastAsia="zh-CN"/>
              </w:rPr>
              <w:t xml:space="preserve">MasterCard and Visa networks base their authorisation communications on the ISO 8583 standard. </w:t>
            </w:r>
          </w:p>
        </w:tc>
      </w:tr>
      <w:tr w:rsidR="00C42A2A" w:rsidRPr="006907BE" w14:paraId="1F977591" w14:textId="77777777" w:rsidTr="005E5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2E4571C" w14:textId="77777777" w:rsidR="00C42A2A" w:rsidRPr="006907BE" w:rsidRDefault="00C42A2A" w:rsidP="006907BE">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ISO 20022 universal financial industry message scheme</w:t>
            </w:r>
          </w:p>
        </w:tc>
        <w:tc>
          <w:tcPr>
            <w:tcW w:w="6611" w:type="dxa"/>
          </w:tcPr>
          <w:p w14:paraId="6CEEC8BA" w14:textId="77777777" w:rsidR="00C42A2A" w:rsidRPr="006907BE" w:rsidRDefault="00C42A2A" w:rsidP="006907BE">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Arial"/>
                <w:sz w:val="20"/>
                <w:szCs w:val="20"/>
                <w:lang w:val="en-GB" w:eastAsia="zh-CN"/>
              </w:rPr>
            </w:pPr>
            <w:r w:rsidRPr="006907BE">
              <w:rPr>
                <w:rFonts w:ascii="Calibri" w:eastAsia="MS Mincho" w:hAnsi="Calibri" w:cs="Arial"/>
                <w:bCs/>
                <w:sz w:val="20"/>
                <w:szCs w:val="20"/>
                <w:lang w:val="en-GB" w:eastAsia="zh-CN"/>
              </w:rPr>
              <w:t xml:space="preserve">ISO 20022 is an emerging global standard for payments messaging. It has higher data capacity and </w:t>
            </w:r>
            <w:r w:rsidRPr="006907BE">
              <w:rPr>
                <w:rFonts w:ascii="Calibri" w:eastAsia="MS Mincho" w:hAnsi="Calibri" w:cs="Arial"/>
                <w:sz w:val="20"/>
                <w:szCs w:val="20"/>
                <w:lang w:val="en-GB" w:eastAsia="zh-CN"/>
              </w:rPr>
              <w:t>by</w:t>
            </w:r>
            <w:r w:rsidRPr="006907BE">
              <w:rPr>
                <w:rFonts w:ascii="Calibri" w:eastAsia="MS Mincho" w:hAnsi="Calibri" w:cs="Arial"/>
                <w:bCs/>
                <w:sz w:val="20"/>
                <w:szCs w:val="20"/>
                <w:lang w:val="en-GB" w:eastAsia="zh-CN"/>
              </w:rPr>
              <w:t xml:space="preserve"> deploying it, the financial industry can create consistent messaging standards encompassing end-to-end payments, card transactions, foreign exchange, and trade services. </w:t>
            </w:r>
          </w:p>
        </w:tc>
      </w:tr>
    </w:tbl>
    <w:p w14:paraId="10860808" w14:textId="77777777" w:rsidR="00C42A2A" w:rsidRPr="00731DDC" w:rsidRDefault="00C42A2A" w:rsidP="006907BE">
      <w:pPr>
        <w:rPr>
          <w:lang w:val="en-GB"/>
        </w:rPr>
      </w:pPr>
    </w:p>
    <w:p w14:paraId="00EED1E8" w14:textId="68B7103E" w:rsidR="00C42A2A" w:rsidRPr="006907BE" w:rsidRDefault="006907BE" w:rsidP="006907BE">
      <w:pPr>
        <w:pStyle w:val="Caption"/>
      </w:pPr>
      <w:r>
        <w:t xml:space="preserve">Table </w:t>
      </w:r>
      <w:fldSimple w:instr=" SEQ Table \* ARABIC ">
        <w:r w:rsidR="00C9081C">
          <w:rPr>
            <w:noProof/>
          </w:rPr>
          <w:t>19</w:t>
        </w:r>
      </w:fldSimple>
      <w:r>
        <w:t xml:space="preserve">: </w:t>
      </w:r>
      <w:r w:rsidR="00C42A2A" w:rsidRPr="006907BE">
        <w:t>E-invoicing</w:t>
      </w:r>
    </w:p>
    <w:tbl>
      <w:tblPr>
        <w:tblStyle w:val="GridTable4-Accent110"/>
        <w:tblW w:w="0" w:type="auto"/>
        <w:jc w:val="center"/>
        <w:tblLook w:val="04A0" w:firstRow="1" w:lastRow="0" w:firstColumn="1" w:lastColumn="0" w:noHBand="0" w:noVBand="1"/>
      </w:tblPr>
      <w:tblGrid>
        <w:gridCol w:w="2405"/>
        <w:gridCol w:w="6611"/>
      </w:tblGrid>
      <w:tr w:rsidR="005E530A" w:rsidRPr="006907BE" w14:paraId="072D1507" w14:textId="77777777" w:rsidTr="005E10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DE15194" w14:textId="00860659" w:rsidR="005E530A" w:rsidRPr="006907BE" w:rsidRDefault="005E530A" w:rsidP="005E530A">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080371B0" w14:textId="30AE3C28" w:rsidR="005E530A" w:rsidRPr="006907BE" w:rsidRDefault="005E530A" w:rsidP="005E530A">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5E530A" w:rsidRPr="006907BE" w14:paraId="0493878B"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99C49AE" w14:textId="324F7D78" w:rsidR="005E530A" w:rsidRPr="00731DDC" w:rsidRDefault="005E530A" w:rsidP="005E530A">
            <w:pPr>
              <w:spacing w:before="40" w:after="40"/>
              <w:rPr>
                <w:rFonts w:ascii="Calibri" w:eastAsia="DengXian" w:hAnsi="Calibri" w:cs="Arial"/>
                <w:iCs/>
                <w:sz w:val="20"/>
                <w:lang w:val="en-GB" w:eastAsia="zh-CN"/>
              </w:rPr>
            </w:pPr>
            <w:r w:rsidRPr="00731DDC">
              <w:rPr>
                <w:rFonts w:ascii="Calibri" w:eastAsia="DengXian" w:hAnsi="Calibri" w:cs="Arial"/>
                <w:iCs/>
                <w:sz w:val="20"/>
                <w:lang w:val="en-GB" w:eastAsia="zh-CN"/>
              </w:rPr>
              <w:t>EN16931</w:t>
            </w:r>
          </w:p>
        </w:tc>
        <w:tc>
          <w:tcPr>
            <w:tcW w:w="6611" w:type="dxa"/>
          </w:tcPr>
          <w:p w14:paraId="2BC37606" w14:textId="2E8D2841" w:rsidR="005E530A" w:rsidRPr="00731DDC" w:rsidRDefault="005E530A" w:rsidP="005E530A">
            <w:pPr>
              <w:spacing w:before="40" w:after="40"/>
              <w:cnfStyle w:val="000000100000" w:firstRow="0" w:lastRow="0" w:firstColumn="0" w:lastColumn="0" w:oddVBand="0" w:evenVBand="0" w:oddHBand="1" w:evenHBand="0" w:firstRowFirstColumn="0" w:firstRowLastColumn="0" w:lastRowFirstColumn="0" w:lastRowLastColumn="0"/>
              <w:rPr>
                <w:rFonts w:ascii="Calibri" w:eastAsia="DengXian" w:hAnsi="Calibri" w:cs="Arial"/>
                <w:bCs/>
                <w:iCs/>
                <w:sz w:val="20"/>
                <w:lang w:val="en-GB" w:eastAsia="zh-CN"/>
              </w:rPr>
            </w:pPr>
            <w:r w:rsidRPr="00731DDC">
              <w:rPr>
                <w:rFonts w:ascii="Calibri" w:eastAsia="DengXian" w:hAnsi="Calibri" w:cs="Arial"/>
                <w:bCs/>
                <w:iCs/>
                <w:sz w:val="20"/>
                <w:lang w:val="en-GB" w:eastAsia="zh-CN"/>
              </w:rPr>
              <w:t xml:space="preserve">The European standard on e-invoicing for public procurement contracts, establishes a semantic data model to define the core elements of an e-invoice to ensure legal compliance and interoperability for domestic and cross-border trade. </w:t>
            </w:r>
          </w:p>
        </w:tc>
      </w:tr>
      <w:tr w:rsidR="005E530A" w:rsidRPr="00731DDC" w14:paraId="75700ED9"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78C67D6" w14:textId="77777777" w:rsidR="005E530A" w:rsidRPr="00731DDC" w:rsidRDefault="005E530A" w:rsidP="005E530A">
            <w:pPr>
              <w:spacing w:before="40" w:after="40"/>
              <w:rPr>
                <w:rFonts w:ascii="Calibri" w:eastAsia="DengXian" w:hAnsi="Calibri" w:cs="Arial"/>
                <w:iCs/>
                <w:sz w:val="20"/>
                <w:lang w:val="en-GB" w:eastAsia="zh-CN"/>
              </w:rPr>
            </w:pPr>
            <w:r w:rsidRPr="00731DDC">
              <w:rPr>
                <w:rFonts w:ascii="Calibri" w:eastAsia="DengXian" w:hAnsi="Calibri" w:cs="Arial"/>
                <w:sz w:val="20"/>
                <w:lang w:val="en-GB" w:eastAsia="zh-CN"/>
              </w:rPr>
              <w:t>Peppol Business Interoperability Specifications (BIS)</w:t>
            </w:r>
          </w:p>
        </w:tc>
        <w:tc>
          <w:tcPr>
            <w:tcW w:w="6611" w:type="dxa"/>
          </w:tcPr>
          <w:p w14:paraId="107862B9" w14:textId="77777777" w:rsidR="005E530A" w:rsidRPr="00731DDC" w:rsidRDefault="005E530A" w:rsidP="005E530A">
            <w:pPr>
              <w:spacing w:before="40" w:after="40"/>
              <w:cnfStyle w:val="000000000000" w:firstRow="0" w:lastRow="0" w:firstColumn="0" w:lastColumn="0" w:oddVBand="0" w:evenVBand="0" w:oddHBand="0" w:evenHBand="0" w:firstRowFirstColumn="0" w:firstRowLastColumn="0" w:lastRowFirstColumn="0" w:lastRowLastColumn="0"/>
              <w:rPr>
                <w:rFonts w:ascii="Calibri" w:eastAsia="DengXian" w:hAnsi="Calibri" w:cs="Arial"/>
                <w:bCs/>
                <w:iCs/>
                <w:sz w:val="20"/>
                <w:lang w:val="en-GB" w:eastAsia="zh-CN"/>
              </w:rPr>
            </w:pPr>
            <w:r w:rsidRPr="00731DDC">
              <w:rPr>
                <w:rFonts w:ascii="Calibri" w:eastAsia="DengXian" w:hAnsi="Calibri" w:cs="Arial"/>
                <w:sz w:val="20"/>
                <w:szCs w:val="20"/>
                <w:lang w:val="en-GB" w:eastAsia="zh-CN"/>
              </w:rPr>
              <w:t>Peppol BIS standardises procurement documents, such as e-orders, e-advanced shipping notes and e-invoices so that they can be exchanged and validated between sending and receiving Access Points (AP) for public sector buyers and their suppliers through an open and secure network.</w:t>
            </w:r>
            <w:r w:rsidRPr="00731DDC">
              <w:rPr>
                <w:rFonts w:ascii="Calibri" w:eastAsia="DengXian" w:hAnsi="Calibri" w:cs="Arial"/>
                <w:sz w:val="20"/>
                <w:szCs w:val="20"/>
                <w:vertAlign w:val="superscript"/>
                <w:lang w:val="en-GB" w:eastAsia="zh-CN"/>
              </w:rPr>
              <w:footnoteReference w:id="151"/>
            </w:r>
            <w:r w:rsidRPr="00731DDC">
              <w:rPr>
                <w:rFonts w:ascii="Calibri" w:eastAsia="DengXian" w:hAnsi="Calibri" w:cs="Arial"/>
                <w:sz w:val="20"/>
                <w:szCs w:val="20"/>
                <w:lang w:val="en-GB" w:eastAsia="zh-CN"/>
              </w:rPr>
              <w:t xml:space="preserve"> </w:t>
            </w:r>
          </w:p>
        </w:tc>
      </w:tr>
    </w:tbl>
    <w:p w14:paraId="16C4F7C3" w14:textId="25295916" w:rsidR="00C42A2A" w:rsidRDefault="00C42A2A" w:rsidP="00C42A2A">
      <w:pPr>
        <w:rPr>
          <w:lang w:val="en-GB"/>
        </w:rPr>
      </w:pPr>
    </w:p>
    <w:p w14:paraId="6EF68318" w14:textId="2B68B9A4" w:rsidR="008818AD" w:rsidRDefault="008818AD" w:rsidP="008818AD">
      <w:pPr>
        <w:pStyle w:val="Caption"/>
        <w:rPr>
          <w:rFonts w:asciiTheme="majorHAnsi" w:hAnsiTheme="majorHAnsi" w:cstheme="majorHAnsi"/>
          <w:b w:val="0"/>
          <w:bCs/>
          <w:color w:val="4472C4" w:themeColor="accent1"/>
          <w:sz w:val="28"/>
          <w:szCs w:val="28"/>
          <w:lang w:val="en-GB"/>
        </w:rPr>
      </w:pPr>
      <w:r>
        <w:t xml:space="preserve">Table </w:t>
      </w:r>
      <w:fldSimple w:instr=" SEQ Table \* ARABIC ">
        <w:r w:rsidR="00C9081C">
          <w:rPr>
            <w:noProof/>
          </w:rPr>
          <w:t>20</w:t>
        </w:r>
      </w:fldSimple>
      <w:r>
        <w:t>: Internet of Things (IoT)</w:t>
      </w:r>
    </w:p>
    <w:tbl>
      <w:tblPr>
        <w:tblStyle w:val="GridTable4-Accent110"/>
        <w:tblW w:w="0" w:type="auto"/>
        <w:jc w:val="center"/>
        <w:tblLook w:val="04A0" w:firstRow="1" w:lastRow="0" w:firstColumn="1" w:lastColumn="0" w:noHBand="0" w:noVBand="1"/>
      </w:tblPr>
      <w:tblGrid>
        <w:gridCol w:w="2405"/>
        <w:gridCol w:w="6611"/>
      </w:tblGrid>
      <w:tr w:rsidR="008818AD" w:rsidRPr="006907BE" w14:paraId="1422A325" w14:textId="77777777" w:rsidTr="006519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2102210" w14:textId="77777777" w:rsidR="008818AD" w:rsidRPr="006907BE" w:rsidRDefault="008818AD" w:rsidP="006519C6">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3FF77A7B" w14:textId="77777777" w:rsidR="008818AD" w:rsidRPr="006907BE" w:rsidRDefault="008818AD" w:rsidP="006519C6">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8818AD" w:rsidRPr="00731DDC" w14:paraId="21BDF3F9"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D9807C" w14:textId="77777777" w:rsidR="008818AD" w:rsidRPr="005E530A" w:rsidRDefault="008818AD" w:rsidP="006519C6">
            <w:pPr>
              <w:spacing w:before="40" w:after="40"/>
              <w:rPr>
                <w:sz w:val="20"/>
                <w:szCs w:val="16"/>
              </w:rPr>
            </w:pPr>
            <w:r w:rsidRPr="005E10E6">
              <w:rPr>
                <w:rFonts w:ascii="Calibri" w:eastAsia="Calibri" w:hAnsi="Calibri" w:cs="Arial"/>
                <w:sz w:val="20"/>
                <w:szCs w:val="20"/>
                <w:lang w:val="en-GB"/>
              </w:rPr>
              <w:t>IEEE 2413-2019 - IEEE Approved Draft Standard for an Architectural Framework for the Internet of Things (IoT)</w:t>
            </w:r>
          </w:p>
        </w:tc>
        <w:tc>
          <w:tcPr>
            <w:tcW w:w="6611" w:type="dxa"/>
          </w:tcPr>
          <w:p w14:paraId="2622D7CF" w14:textId="77777777" w:rsidR="008818AD" w:rsidRPr="005E530A"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10E6">
              <w:rPr>
                <w:rFonts w:ascii="Calibri" w:eastAsia="MS Mincho" w:hAnsi="Calibri" w:cs="Arial"/>
                <w:bCs/>
                <w:iCs/>
                <w:sz w:val="20"/>
                <w:szCs w:val="20"/>
                <w:lang w:val="en-GB" w:eastAsia="zh-CN"/>
              </w:rPr>
              <w:t xml:space="preserve">This standard provides an </w:t>
            </w:r>
            <w:r w:rsidRPr="005E10E6">
              <w:rPr>
                <w:rFonts w:ascii="Calibri" w:eastAsia="MS Mincho" w:hAnsi="Calibri" w:cs="Arial"/>
                <w:sz w:val="20"/>
                <w:szCs w:val="20"/>
                <w:lang w:val="en-GB" w:eastAsia="zh-CN"/>
              </w:rPr>
              <w:t>architectural blueprint for IoT use across different domains (transportation, healthcare, smart grid, etc.) to aid system interoperability and functional compatibility.</w:t>
            </w:r>
          </w:p>
        </w:tc>
      </w:tr>
      <w:tr w:rsidR="008818AD" w:rsidRPr="00731DDC" w14:paraId="6D538D5E"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454DC9" w14:textId="77777777" w:rsidR="008818AD" w:rsidRPr="005E10E6" w:rsidRDefault="008818AD" w:rsidP="006519C6">
            <w:pPr>
              <w:spacing w:before="40" w:after="40"/>
              <w:rPr>
                <w:rFonts w:ascii="Calibri" w:eastAsia="Calibri" w:hAnsi="Calibri" w:cs="Arial"/>
                <w:sz w:val="20"/>
                <w:szCs w:val="20"/>
                <w:lang w:val="en-GB"/>
              </w:rPr>
            </w:pPr>
            <w:r w:rsidRPr="005E10E6">
              <w:rPr>
                <w:rFonts w:ascii="Calibri" w:eastAsia="MS Mincho" w:hAnsi="Calibri" w:cs="Arial"/>
                <w:iCs/>
                <w:sz w:val="20"/>
                <w:szCs w:val="20"/>
                <w:lang w:val="en-GB" w:eastAsia="zh-CN"/>
              </w:rPr>
              <w:t>IEC 61850:2019</w:t>
            </w:r>
          </w:p>
        </w:tc>
        <w:tc>
          <w:tcPr>
            <w:tcW w:w="6611" w:type="dxa"/>
          </w:tcPr>
          <w:p w14:paraId="70C5BF94" w14:textId="77777777" w:rsidR="008818AD" w:rsidRPr="005E10E6"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Arial"/>
                <w:bCs/>
                <w:iCs/>
                <w:sz w:val="20"/>
                <w:szCs w:val="20"/>
                <w:lang w:val="en-GB" w:eastAsia="zh-CN"/>
              </w:rPr>
            </w:pPr>
            <w:r w:rsidRPr="005E10E6">
              <w:rPr>
                <w:rFonts w:ascii="Calibri" w:eastAsia="MS Mincho" w:hAnsi="Calibri" w:cs="Arial"/>
                <w:sz w:val="20"/>
                <w:szCs w:val="20"/>
                <w:lang w:val="en-GB" w:eastAsia="zh-CN"/>
              </w:rPr>
              <w:t>This series of standards defines communication protocols for intelligent electronic devices at electrical substations.</w:t>
            </w:r>
            <w:r w:rsidRPr="005E10E6">
              <w:rPr>
                <w:rFonts w:ascii="Calibri" w:eastAsia="MS Mincho" w:hAnsi="Calibri" w:cs="Arial"/>
                <w:sz w:val="20"/>
                <w:szCs w:val="20"/>
                <w:vertAlign w:val="superscript"/>
                <w:lang w:val="en-GB" w:eastAsia="zh-CN"/>
              </w:rPr>
              <w:footnoteReference w:id="152"/>
            </w:r>
          </w:p>
        </w:tc>
      </w:tr>
      <w:tr w:rsidR="008818AD" w:rsidRPr="00731DDC" w14:paraId="2E731079"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963520D" w14:textId="77777777" w:rsidR="008818AD" w:rsidRPr="005E10E6" w:rsidRDefault="008818AD" w:rsidP="006519C6">
            <w:pPr>
              <w:spacing w:before="40" w:after="40"/>
              <w:rPr>
                <w:rFonts w:ascii="Calibri" w:eastAsia="MS Mincho" w:hAnsi="Calibri" w:cs="Arial"/>
                <w:iCs/>
                <w:sz w:val="20"/>
                <w:szCs w:val="20"/>
                <w:lang w:val="en-GB" w:eastAsia="zh-CN"/>
              </w:rPr>
            </w:pPr>
            <w:r w:rsidRPr="005E10E6">
              <w:rPr>
                <w:rFonts w:ascii="Calibri" w:eastAsia="MS Mincho" w:hAnsi="Calibri" w:cs="Arial"/>
                <w:sz w:val="20"/>
                <w:szCs w:val="20"/>
                <w:lang w:val="en-GB" w:eastAsia="zh-CN"/>
              </w:rPr>
              <w:lastRenderedPageBreak/>
              <w:t>Singapore’s IMDA Technical Specification (TS) IoT</w:t>
            </w:r>
          </w:p>
        </w:tc>
        <w:tc>
          <w:tcPr>
            <w:tcW w:w="6611" w:type="dxa"/>
          </w:tcPr>
          <w:p w14:paraId="324F7CCA" w14:textId="77777777" w:rsidR="008818AD" w:rsidRPr="005E10E6"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Arial"/>
                <w:sz w:val="20"/>
                <w:szCs w:val="20"/>
                <w:lang w:val="en-GB" w:eastAsia="zh-CN"/>
              </w:rPr>
            </w:pPr>
            <w:r w:rsidRPr="005E10E6">
              <w:rPr>
                <w:rFonts w:ascii="Calibri" w:eastAsia="MS Mincho" w:hAnsi="Calibri" w:cs="Arial"/>
                <w:sz w:val="20"/>
                <w:szCs w:val="20"/>
                <w:lang w:val="en-GB" w:eastAsia="zh-CN"/>
              </w:rPr>
              <w:t>Defines the minimum technical requirements for IoT devices that use low power wide area network (LPWAN) technologies to operate in one of the authorised frequency bands or frequencies (and transmit within corresponding output power).</w:t>
            </w:r>
            <w:r w:rsidRPr="005E10E6">
              <w:rPr>
                <w:rFonts w:ascii="Calibri" w:eastAsia="MS Mincho" w:hAnsi="Calibri" w:cs="Arial"/>
                <w:sz w:val="20"/>
                <w:szCs w:val="20"/>
                <w:vertAlign w:val="superscript"/>
                <w:lang w:val="en-GB" w:eastAsia="zh-CN"/>
              </w:rPr>
              <w:footnoteReference w:id="153"/>
            </w:r>
          </w:p>
        </w:tc>
      </w:tr>
      <w:tr w:rsidR="008818AD" w:rsidRPr="00731DDC" w14:paraId="6AC0C353"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4BC98D" w14:textId="77777777" w:rsidR="008818AD" w:rsidRPr="005E10E6" w:rsidRDefault="008818AD" w:rsidP="006519C6">
            <w:pPr>
              <w:spacing w:before="40" w:after="40"/>
              <w:rPr>
                <w:rFonts w:ascii="Calibri" w:eastAsia="MS Mincho" w:hAnsi="Calibri" w:cs="Arial"/>
                <w:sz w:val="20"/>
                <w:szCs w:val="20"/>
                <w:lang w:val="en-GB" w:eastAsia="zh-CN"/>
              </w:rPr>
            </w:pPr>
            <w:r w:rsidRPr="005E10E6">
              <w:rPr>
                <w:rFonts w:ascii="Calibri" w:eastAsia="MS Mincho" w:hAnsi="Calibri" w:cs="Arial"/>
                <w:iCs/>
                <w:sz w:val="20"/>
                <w:szCs w:val="20"/>
                <w:lang w:val="en-GB" w:eastAsia="zh-CN"/>
              </w:rPr>
              <w:t xml:space="preserve">Technical Reference (TR) 47: 2016 </w:t>
            </w:r>
          </w:p>
        </w:tc>
        <w:tc>
          <w:tcPr>
            <w:tcW w:w="6611" w:type="dxa"/>
          </w:tcPr>
          <w:p w14:paraId="697FE6A9" w14:textId="77777777" w:rsidR="008818AD" w:rsidRPr="005E10E6"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Arial"/>
                <w:sz w:val="20"/>
                <w:szCs w:val="20"/>
                <w:lang w:val="en-GB" w:eastAsia="zh-CN"/>
              </w:rPr>
            </w:pPr>
            <w:r w:rsidRPr="005E10E6">
              <w:rPr>
                <w:rFonts w:ascii="Calibri" w:eastAsia="MS Mincho" w:hAnsi="Calibri" w:cs="Arial"/>
                <w:sz w:val="20"/>
                <w:szCs w:val="20"/>
                <w:lang w:val="en-GB" w:eastAsia="zh-CN"/>
              </w:rPr>
              <w:t>For use specifically for Singapore’s Smart Nation development, provides an IoT reference framework, set of design principles, general architectural requirements, IoT reference model, and IoT reference architecture.</w:t>
            </w:r>
            <w:r w:rsidRPr="005E10E6">
              <w:rPr>
                <w:rFonts w:ascii="Calibri" w:eastAsia="MS Mincho" w:hAnsi="Calibri" w:cs="Arial"/>
                <w:sz w:val="20"/>
                <w:szCs w:val="20"/>
                <w:vertAlign w:val="superscript"/>
                <w:lang w:val="en-GB" w:eastAsia="zh-CN"/>
              </w:rPr>
              <w:footnoteReference w:id="154"/>
            </w:r>
          </w:p>
        </w:tc>
      </w:tr>
    </w:tbl>
    <w:p w14:paraId="0A16E6B7" w14:textId="4DFA5D97" w:rsidR="00C42A2A" w:rsidRPr="00731DDC" w:rsidRDefault="00C42A2A" w:rsidP="005E10E6">
      <w:pPr>
        <w:rPr>
          <w:lang w:val="en-GB"/>
        </w:rPr>
      </w:pPr>
    </w:p>
    <w:p w14:paraId="2F430B40" w14:textId="27AC46A4" w:rsidR="005E10E6" w:rsidRDefault="005E10E6" w:rsidP="005E10E6">
      <w:pPr>
        <w:pStyle w:val="Caption"/>
      </w:pPr>
      <w:r>
        <w:t xml:space="preserve">Table </w:t>
      </w:r>
      <w:fldSimple w:instr=" SEQ Table \* ARABIC ">
        <w:r w:rsidR="00C9081C">
          <w:rPr>
            <w:noProof/>
          </w:rPr>
          <w:t>21</w:t>
        </w:r>
      </w:fldSimple>
      <w:r>
        <w:t>: Data Protection and Privacy</w:t>
      </w:r>
      <w:r w:rsidR="000876DF">
        <w:t>, Cross-</w:t>
      </w:r>
      <w:r w:rsidR="00930FCE">
        <w:t>b</w:t>
      </w:r>
      <w:r w:rsidR="000876DF">
        <w:t>order Data, and Data Portability</w:t>
      </w:r>
    </w:p>
    <w:tbl>
      <w:tblPr>
        <w:tblStyle w:val="GridTable4-Accent110"/>
        <w:tblW w:w="0" w:type="auto"/>
        <w:jc w:val="center"/>
        <w:tblLook w:val="04A0" w:firstRow="1" w:lastRow="0" w:firstColumn="1" w:lastColumn="0" w:noHBand="0" w:noVBand="1"/>
      </w:tblPr>
      <w:tblGrid>
        <w:gridCol w:w="2405"/>
        <w:gridCol w:w="6611"/>
      </w:tblGrid>
      <w:tr w:rsidR="005E10E6" w:rsidRPr="006907BE" w14:paraId="7EE5B000" w14:textId="77777777" w:rsidTr="005F40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E392691" w14:textId="77777777" w:rsidR="005E10E6" w:rsidRPr="006907BE" w:rsidRDefault="005E10E6" w:rsidP="005E10E6">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3189649D" w14:textId="77777777" w:rsidR="005E10E6" w:rsidRPr="006907BE" w:rsidRDefault="005E10E6" w:rsidP="005E10E6">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5E10E6" w:rsidRPr="00731DDC" w14:paraId="043B46AC"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C9DEF74" w14:textId="547B41E4" w:rsidR="005E10E6" w:rsidRPr="005E530A" w:rsidRDefault="005E10E6" w:rsidP="005E10E6">
            <w:pPr>
              <w:spacing w:before="40" w:after="40"/>
              <w:rPr>
                <w:sz w:val="20"/>
                <w:szCs w:val="16"/>
              </w:rPr>
            </w:pPr>
            <w:r w:rsidRPr="005E10E6">
              <w:rPr>
                <w:sz w:val="20"/>
                <w:szCs w:val="20"/>
              </w:rPr>
              <w:t>ISO/IEC 29100:2011: Information technology -- Security techniques -- Privacy framework</w:t>
            </w:r>
            <w:r w:rsidRPr="005E10E6">
              <w:rPr>
                <w:sz w:val="20"/>
                <w:szCs w:val="20"/>
                <w:vertAlign w:val="superscript"/>
              </w:rPr>
              <w:footnoteReference w:id="155"/>
            </w:r>
          </w:p>
        </w:tc>
        <w:tc>
          <w:tcPr>
            <w:tcW w:w="6611" w:type="dxa"/>
          </w:tcPr>
          <w:p w14:paraId="61F80DEE" w14:textId="490EA95C" w:rsidR="005E10E6" w:rsidRPr="005E530A" w:rsidRDefault="005E10E6" w:rsidP="005E10E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10E6">
              <w:rPr>
                <w:sz w:val="20"/>
                <w:szCs w:val="20"/>
              </w:rPr>
              <w:t xml:space="preserve">Provides a privacy framework using a common privacy terminology; defines the actors and their roles in processing personally identifiable information (PII); describes privacy safeguarding considerations; and provides references to known privacy principles for information technology. </w:t>
            </w:r>
          </w:p>
        </w:tc>
      </w:tr>
      <w:tr w:rsidR="005E10E6" w:rsidRPr="00731DDC" w14:paraId="609F486E"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DB26DCD" w14:textId="59AA9434" w:rsidR="005E10E6" w:rsidRPr="005E10E6" w:rsidRDefault="005E10E6" w:rsidP="005E10E6">
            <w:pPr>
              <w:spacing w:before="40" w:after="40"/>
              <w:rPr>
                <w:sz w:val="20"/>
                <w:szCs w:val="20"/>
              </w:rPr>
            </w:pPr>
            <w:r w:rsidRPr="005E10E6">
              <w:rPr>
                <w:sz w:val="20"/>
                <w:szCs w:val="20"/>
              </w:rPr>
              <w:t>ISO/IEC 29101:2018: Information technology -- Security techniques -- Privacy architecture framework</w:t>
            </w:r>
            <w:r w:rsidRPr="005E10E6">
              <w:rPr>
                <w:sz w:val="20"/>
                <w:szCs w:val="20"/>
                <w:vertAlign w:val="superscript"/>
              </w:rPr>
              <w:footnoteReference w:id="156"/>
            </w:r>
          </w:p>
        </w:tc>
        <w:tc>
          <w:tcPr>
            <w:tcW w:w="6611" w:type="dxa"/>
          </w:tcPr>
          <w:p w14:paraId="312B2E63" w14:textId="44C25924" w:rsidR="005E10E6" w:rsidRPr="005E10E6" w:rsidRDefault="005E10E6" w:rsidP="005E10E6">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5E10E6">
              <w:rPr>
                <w:bCs/>
                <w:iCs/>
                <w:sz w:val="20"/>
                <w:szCs w:val="20"/>
              </w:rPr>
              <w:t xml:space="preserve">Defines a privacy architecture framework that: specifies concerns for ICT systems that process PII; lists components for the implementation of such systems; and provides architectural views contextualising these components. </w:t>
            </w:r>
          </w:p>
        </w:tc>
      </w:tr>
      <w:tr w:rsidR="005E10E6" w:rsidRPr="00731DDC" w14:paraId="08FA30A4"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46EE4F7" w14:textId="0128ABAB" w:rsidR="005E10E6" w:rsidRPr="005E10E6" w:rsidRDefault="005E10E6" w:rsidP="005E10E6">
            <w:pPr>
              <w:spacing w:before="40" w:after="40"/>
              <w:rPr>
                <w:sz w:val="20"/>
                <w:szCs w:val="20"/>
              </w:rPr>
            </w:pPr>
            <w:r w:rsidRPr="005E10E6">
              <w:rPr>
                <w:sz w:val="20"/>
                <w:szCs w:val="20"/>
              </w:rPr>
              <w:t>ISO/IEC 27018:2019: Information technology -- Security techniques -- Code of practice for protection of personally identifiable information (PII) in public clouds acting as PII processors</w:t>
            </w:r>
            <w:r w:rsidRPr="005E10E6">
              <w:rPr>
                <w:sz w:val="20"/>
                <w:szCs w:val="20"/>
                <w:vertAlign w:val="superscript"/>
              </w:rPr>
              <w:footnoteReference w:id="157"/>
            </w:r>
          </w:p>
        </w:tc>
        <w:tc>
          <w:tcPr>
            <w:tcW w:w="6611" w:type="dxa"/>
          </w:tcPr>
          <w:p w14:paraId="2D94BD7D" w14:textId="77777777" w:rsidR="005E10E6" w:rsidRPr="005E10E6" w:rsidRDefault="005E10E6" w:rsidP="005E10E6">
            <w:pPr>
              <w:pStyle w:val="NoSpacing"/>
              <w:cnfStyle w:val="000000100000" w:firstRow="0" w:lastRow="0" w:firstColumn="0" w:lastColumn="0" w:oddVBand="0" w:evenVBand="0" w:oddHBand="1" w:evenHBand="0" w:firstRowFirstColumn="0" w:firstRowLastColumn="0" w:lastRowFirstColumn="0" w:lastRowLastColumn="0"/>
              <w:rPr>
                <w:b/>
                <w:bCs/>
                <w:iCs/>
                <w:sz w:val="20"/>
                <w:szCs w:val="20"/>
              </w:rPr>
            </w:pPr>
            <w:r w:rsidRPr="005E10E6">
              <w:rPr>
                <w:bCs/>
                <w:iCs/>
                <w:sz w:val="20"/>
                <w:szCs w:val="20"/>
              </w:rPr>
              <w:t>Establishes commonly accepted control objectives, controls and guidelines for implementing measures to protect PII in line with the privacy principles in ISO/IEC 29100 for the public cloud computing environment.</w:t>
            </w:r>
          </w:p>
          <w:p w14:paraId="1D52B519" w14:textId="77777777" w:rsidR="005E10E6" w:rsidRPr="005E10E6" w:rsidRDefault="005E10E6" w:rsidP="005E10E6">
            <w:pPr>
              <w:spacing w:before="40" w:after="40"/>
              <w:cnfStyle w:val="000000100000" w:firstRow="0" w:lastRow="0" w:firstColumn="0" w:lastColumn="0" w:oddVBand="0" w:evenVBand="0" w:oddHBand="1" w:evenHBand="0" w:firstRowFirstColumn="0" w:firstRowLastColumn="0" w:lastRowFirstColumn="0" w:lastRowLastColumn="0"/>
              <w:rPr>
                <w:bCs/>
                <w:iCs/>
                <w:sz w:val="20"/>
                <w:szCs w:val="20"/>
              </w:rPr>
            </w:pPr>
          </w:p>
        </w:tc>
      </w:tr>
      <w:tr w:rsidR="005E10E6" w:rsidRPr="00731DDC" w14:paraId="670A2F67"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2807970" w14:textId="0CC96913" w:rsidR="005E10E6" w:rsidRPr="005E10E6" w:rsidRDefault="005E10E6" w:rsidP="005E10E6">
            <w:pPr>
              <w:spacing w:before="40" w:after="40"/>
              <w:rPr>
                <w:sz w:val="20"/>
                <w:szCs w:val="20"/>
              </w:rPr>
            </w:pPr>
            <w:r w:rsidRPr="005E10E6">
              <w:rPr>
                <w:sz w:val="20"/>
                <w:szCs w:val="20"/>
              </w:rPr>
              <w:t xml:space="preserve">ISO/IEC 27701:2019: Security techniques -- Extension to ISO/IEC 27001 and ISO/IEC 27002 </w:t>
            </w:r>
            <w:r w:rsidRPr="005E10E6">
              <w:rPr>
                <w:sz w:val="20"/>
                <w:szCs w:val="20"/>
              </w:rPr>
              <w:lastRenderedPageBreak/>
              <w:t>for privacy information management -- Requirements and guidelines</w:t>
            </w:r>
            <w:r w:rsidRPr="005E10E6">
              <w:rPr>
                <w:sz w:val="20"/>
                <w:szCs w:val="20"/>
                <w:vertAlign w:val="superscript"/>
              </w:rPr>
              <w:footnoteReference w:id="158"/>
            </w:r>
          </w:p>
        </w:tc>
        <w:tc>
          <w:tcPr>
            <w:tcW w:w="6611" w:type="dxa"/>
          </w:tcPr>
          <w:p w14:paraId="515171FF" w14:textId="77777777" w:rsidR="005E10E6" w:rsidRPr="005E10E6" w:rsidRDefault="005E10E6" w:rsidP="005E10E6">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E10E6">
              <w:rPr>
                <w:sz w:val="20"/>
                <w:szCs w:val="20"/>
              </w:rPr>
              <w:lastRenderedPageBreak/>
              <w:t xml:space="preserve">Specifies requirements and provides guidance for establishing, implementing, maintaining and continually improving a Privacy Information Management System (PIMS) in the form of an extension to ISO/IEC 27001 and ISO/IEC 27002. </w:t>
            </w:r>
          </w:p>
          <w:p w14:paraId="45BFB832" w14:textId="77777777" w:rsidR="005E10E6" w:rsidRPr="005E10E6" w:rsidRDefault="005E10E6" w:rsidP="005E10E6">
            <w:pPr>
              <w:pStyle w:val="NoSpacing"/>
              <w:cnfStyle w:val="000000000000" w:firstRow="0" w:lastRow="0" w:firstColumn="0" w:lastColumn="0" w:oddVBand="0" w:evenVBand="0" w:oddHBand="0" w:evenHBand="0" w:firstRowFirstColumn="0" w:firstRowLastColumn="0" w:lastRowFirstColumn="0" w:lastRowLastColumn="0"/>
              <w:rPr>
                <w:bCs/>
                <w:iCs/>
                <w:sz w:val="20"/>
                <w:szCs w:val="20"/>
              </w:rPr>
            </w:pPr>
          </w:p>
        </w:tc>
      </w:tr>
      <w:tr w:rsidR="005E10E6" w:rsidRPr="00731DDC" w14:paraId="2BC8A675"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0C28277" w14:textId="4BA6A64D" w:rsidR="005E10E6" w:rsidRPr="005E10E6" w:rsidRDefault="005E10E6" w:rsidP="005E10E6">
            <w:pPr>
              <w:spacing w:before="40" w:after="40"/>
              <w:rPr>
                <w:sz w:val="20"/>
                <w:szCs w:val="20"/>
              </w:rPr>
            </w:pPr>
            <w:r w:rsidRPr="005E10E6">
              <w:rPr>
                <w:sz w:val="20"/>
                <w:szCs w:val="20"/>
              </w:rPr>
              <w:t>ISO/IEC 22624:202040- Information technology — Cloud computing — Taxonomy based data handling for cloud services</w:t>
            </w:r>
          </w:p>
        </w:tc>
        <w:tc>
          <w:tcPr>
            <w:tcW w:w="6611" w:type="dxa"/>
          </w:tcPr>
          <w:p w14:paraId="4113B30C" w14:textId="7AC746F2" w:rsidR="005E10E6" w:rsidRPr="00333CC5" w:rsidRDefault="005E10E6" w:rsidP="00BF3C5B">
            <w:pPr>
              <w:cnfStyle w:val="000000100000" w:firstRow="0" w:lastRow="0" w:firstColumn="0" w:lastColumn="0" w:oddVBand="0" w:evenVBand="0" w:oddHBand="1" w:evenHBand="0" w:firstRowFirstColumn="0" w:firstRowLastColumn="0" w:lastRowFirstColumn="0" w:lastRowLastColumn="0"/>
              <w:rPr>
                <w:sz w:val="20"/>
                <w:szCs w:val="20"/>
                <w:lang w:val="en-SG"/>
              </w:rPr>
            </w:pPr>
            <w:r w:rsidRPr="005E10E6">
              <w:rPr>
                <w:sz w:val="20"/>
                <w:szCs w:val="20"/>
                <w:lang w:val="en-GB"/>
              </w:rPr>
              <w:t>Describes a framework for the structured expression of data-related policies and practices in the cloud computing environment, based on the data taxonomy in ISO/IEC 19944. Provides guidelines on application of the taxonomy for handling of data based on data subcategory and classification. Also covers expression of data-related policies and practices including, but not limited to data geolocation, cross border flow of data, data access and data portability, data use, data management, and data governance</w:t>
            </w:r>
            <w:r w:rsidR="00FC27F2">
              <w:rPr>
                <w:sz w:val="20"/>
                <w:szCs w:val="20"/>
                <w:lang w:val="en-GB"/>
              </w:rPr>
              <w:t>. D</w:t>
            </w:r>
            <w:r w:rsidR="00FC27F2" w:rsidRPr="00FC27F2">
              <w:rPr>
                <w:sz w:val="20"/>
                <w:szCs w:val="20"/>
                <w:lang w:val="en-SG"/>
              </w:rPr>
              <w:t>escribes how the framework can be used in codes of conduct for practices regarding data at rest and in transit, including cross border data transfer, as well as remote access to data</w:t>
            </w:r>
            <w:r w:rsidR="00333CC5">
              <w:rPr>
                <w:sz w:val="20"/>
                <w:szCs w:val="20"/>
                <w:lang w:val="en-SG"/>
              </w:rPr>
              <w:t xml:space="preserve">; and </w:t>
            </w:r>
            <w:r w:rsidR="00FC27F2" w:rsidRPr="00FC27F2">
              <w:rPr>
                <w:sz w:val="20"/>
                <w:szCs w:val="20"/>
                <w:lang w:val="en-SG"/>
              </w:rPr>
              <w:t>provides use cases for data handling challenges, i.e. control, access and location of data according to ISO/IEC 19944 data categories</w:t>
            </w:r>
            <w:r w:rsidR="00333CC5">
              <w:rPr>
                <w:sz w:val="20"/>
                <w:szCs w:val="20"/>
                <w:lang w:val="en-SG"/>
              </w:rPr>
              <w:t>.</w:t>
            </w:r>
          </w:p>
        </w:tc>
      </w:tr>
      <w:tr w:rsidR="00BC398A" w:rsidRPr="00731DDC" w14:paraId="65B7A747"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294D4FC" w14:textId="787C6C94" w:rsidR="00BC398A" w:rsidRPr="005E10E6" w:rsidRDefault="00BC398A" w:rsidP="00BC398A">
            <w:pPr>
              <w:spacing w:before="40" w:after="40"/>
              <w:rPr>
                <w:sz w:val="20"/>
                <w:szCs w:val="20"/>
              </w:rPr>
            </w:pPr>
            <w:r w:rsidRPr="004F4869">
              <w:rPr>
                <w:sz w:val="20"/>
                <w:szCs w:val="20"/>
              </w:rPr>
              <w:t>APEC Cross-Border Privacy Rules (CBPR) System</w:t>
            </w:r>
            <w:r>
              <w:rPr>
                <w:rStyle w:val="FootnoteReference"/>
                <w:sz w:val="20"/>
                <w:szCs w:val="20"/>
              </w:rPr>
              <w:footnoteReference w:id="159"/>
            </w:r>
          </w:p>
        </w:tc>
        <w:tc>
          <w:tcPr>
            <w:tcW w:w="6611" w:type="dxa"/>
          </w:tcPr>
          <w:p w14:paraId="32BBB265" w14:textId="3947DE83" w:rsidR="00BC398A" w:rsidRPr="005E10E6" w:rsidRDefault="00BC398A" w:rsidP="00BC398A">
            <w:pPr>
              <w:cnfStyle w:val="000000000000" w:firstRow="0" w:lastRow="0" w:firstColumn="0" w:lastColumn="0" w:oddVBand="0" w:evenVBand="0" w:oddHBand="0" w:evenHBand="0" w:firstRowFirstColumn="0" w:firstRowLastColumn="0" w:lastRowFirstColumn="0" w:lastRowLastColumn="0"/>
              <w:rPr>
                <w:sz w:val="20"/>
                <w:szCs w:val="20"/>
                <w:lang w:val="en-GB"/>
              </w:rPr>
            </w:pPr>
            <w:r w:rsidRPr="00F12507">
              <w:rPr>
                <w:rFonts w:ascii="Calibri" w:eastAsia="Calibri" w:hAnsi="Calibri" w:cs="Calibri"/>
                <w:sz w:val="20"/>
                <w:szCs w:val="20"/>
                <w:lang w:val="en-GB" w:eastAsia="zh-CN"/>
              </w:rPr>
              <w:t xml:space="preserve">The CBPR </w:t>
            </w:r>
            <w:r w:rsidRPr="00F12507">
              <w:rPr>
                <w:rFonts w:ascii="Calibri" w:eastAsia="Calibri" w:hAnsi="Calibri" w:cs="Calibri"/>
                <w:sz w:val="20"/>
                <w:szCs w:val="20"/>
                <w:lang w:val="en-SG"/>
              </w:rPr>
              <w:t>enables the essential flow of information and data across borders while at the same time providing effective protection for personal information</w:t>
            </w:r>
            <w:r w:rsidRPr="00F12507">
              <w:rPr>
                <w:rFonts w:ascii="Calibri" w:eastAsia="Calibri" w:hAnsi="Calibri" w:cs="Calibri"/>
                <w:sz w:val="20"/>
                <w:szCs w:val="20"/>
                <w:lang w:val="en-GB" w:eastAsia="zh-CN"/>
              </w:rPr>
              <w:t>. The system is one by which the privacy policies and practices of companies operating in the APEC region are assessed and certified by a third-party verifier (</w:t>
            </w:r>
            <w:r>
              <w:rPr>
                <w:rFonts w:ascii="Calibri" w:eastAsia="Calibri" w:hAnsi="Calibri" w:cs="Calibri"/>
                <w:sz w:val="20"/>
                <w:szCs w:val="20"/>
              </w:rPr>
              <w:t>i.e. an</w:t>
            </w:r>
            <w:r w:rsidRPr="00F12507">
              <w:rPr>
                <w:rFonts w:ascii="Calibri" w:eastAsia="Calibri" w:hAnsi="Calibri" w:cs="Calibri"/>
                <w:sz w:val="20"/>
                <w:szCs w:val="20"/>
                <w:lang w:val="en-GB" w:eastAsia="zh-CN"/>
              </w:rPr>
              <w:t xml:space="preserve"> accountability agent) and follows a set of commonly agreed upon rules, based on the APEC Privacy Framework.</w:t>
            </w:r>
            <w:r w:rsidRPr="00F12507">
              <w:rPr>
                <w:rFonts w:ascii="Calibri" w:eastAsia="Calibri" w:hAnsi="Calibri" w:cs="Calibri"/>
                <w:sz w:val="20"/>
                <w:szCs w:val="20"/>
                <w:vertAlign w:val="superscript"/>
                <w:lang w:val="en-GB" w:eastAsia="zh-CN"/>
              </w:rPr>
              <w:footnoteReference w:id="160"/>
            </w:r>
            <w:r w:rsidRPr="00F12507">
              <w:rPr>
                <w:rFonts w:ascii="Calibri" w:eastAsia="Calibri" w:hAnsi="Calibri" w:cs="Calibri"/>
                <w:sz w:val="20"/>
                <w:szCs w:val="20"/>
                <w:lang w:val="en-GB" w:eastAsia="zh-CN"/>
              </w:rPr>
              <w:t xml:space="preserve"> By applying this commonly agreed-upon baseline set of rules, the CBPR system bridges differences that may exist among domestic privacy approaches. To date, eight </w:t>
            </w:r>
            <w:r>
              <w:rPr>
                <w:rFonts w:ascii="Calibri" w:eastAsia="Calibri" w:hAnsi="Calibri" w:cs="Calibri"/>
                <w:sz w:val="20"/>
                <w:szCs w:val="20"/>
              </w:rPr>
              <w:t>economies</w:t>
            </w:r>
            <w:r w:rsidRPr="00F12507">
              <w:rPr>
                <w:rFonts w:ascii="Calibri" w:eastAsia="Calibri" w:hAnsi="Calibri" w:cs="Calibri"/>
                <w:sz w:val="20"/>
                <w:szCs w:val="20"/>
                <w:lang w:val="en-GB" w:eastAsia="zh-CN"/>
              </w:rPr>
              <w:t xml:space="preserve"> have joined the CBPR system—US; Canada; Mexico; Japan; Singapore; Chinese Taipei; Australia; Korea; and the Philippines.</w:t>
            </w:r>
            <w:r w:rsidRPr="00F12507">
              <w:rPr>
                <w:rFonts w:ascii="Calibri" w:eastAsia="Calibri" w:hAnsi="Calibri" w:cs="Calibri"/>
                <w:sz w:val="20"/>
                <w:szCs w:val="20"/>
                <w:vertAlign w:val="superscript"/>
                <w:lang w:val="en-GB" w:eastAsia="zh-CN"/>
              </w:rPr>
              <w:footnoteReference w:id="161"/>
            </w:r>
            <w:r w:rsidRPr="00F12507">
              <w:rPr>
                <w:rFonts w:ascii="Calibri" w:eastAsia="Calibri" w:hAnsi="Calibri" w:cs="Calibri"/>
                <w:sz w:val="20"/>
                <w:szCs w:val="20"/>
                <w:lang w:val="en-GB" w:eastAsia="zh-CN"/>
              </w:rPr>
              <w:t xml:space="preserve"> </w:t>
            </w:r>
          </w:p>
        </w:tc>
      </w:tr>
      <w:tr w:rsidR="00BC398A" w:rsidRPr="00731DDC" w14:paraId="3C6B7AA8"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C4CED7D" w14:textId="7D43F412" w:rsidR="00BC398A" w:rsidRPr="00FA76F5" w:rsidRDefault="00BC398A" w:rsidP="00BC398A">
            <w:pPr>
              <w:spacing w:before="40" w:after="40"/>
              <w:rPr>
                <w:sz w:val="20"/>
                <w:szCs w:val="20"/>
                <w:lang w:val="en-SG"/>
              </w:rPr>
            </w:pPr>
            <w:r w:rsidRPr="00F12507">
              <w:rPr>
                <w:sz w:val="20"/>
                <w:szCs w:val="20"/>
                <w:lang w:val="en-GB"/>
              </w:rPr>
              <w:t>ISO/IEC 38505-1:2017</w:t>
            </w:r>
            <w:r w:rsidR="00FA76F5">
              <w:rPr>
                <w:sz w:val="20"/>
                <w:szCs w:val="20"/>
                <w:lang w:val="en-GB"/>
              </w:rPr>
              <w:t xml:space="preserve"> </w:t>
            </w:r>
            <w:r w:rsidR="00FA76F5" w:rsidRPr="00FA76F5">
              <w:rPr>
                <w:sz w:val="20"/>
                <w:szCs w:val="20"/>
                <w:lang w:val="en-SG"/>
              </w:rPr>
              <w:t>Information technology — Governance of IT — Governance of data — Part 1: Application of ISO/IEC 38500 to the governance of data</w:t>
            </w:r>
            <w:r w:rsidRPr="00F12507">
              <w:rPr>
                <w:sz w:val="20"/>
                <w:szCs w:val="20"/>
                <w:vertAlign w:val="superscript"/>
                <w:lang w:val="en-GB"/>
              </w:rPr>
              <w:footnoteReference w:id="162"/>
            </w:r>
          </w:p>
        </w:tc>
        <w:tc>
          <w:tcPr>
            <w:tcW w:w="6611" w:type="dxa"/>
          </w:tcPr>
          <w:p w14:paraId="3B4EA2BD" w14:textId="77777777" w:rsidR="00BC398A" w:rsidRPr="00BC398A" w:rsidRDefault="00BC398A" w:rsidP="00BC398A">
            <w:pPr>
              <w:cnfStyle w:val="000000100000" w:firstRow="0" w:lastRow="0" w:firstColumn="0" w:lastColumn="0" w:oddVBand="0" w:evenVBand="0" w:oddHBand="1" w:evenHBand="0" w:firstRowFirstColumn="0" w:firstRowLastColumn="0" w:lastRowFirstColumn="0" w:lastRowLastColumn="0"/>
              <w:rPr>
                <w:sz w:val="20"/>
                <w:szCs w:val="20"/>
              </w:rPr>
            </w:pPr>
            <w:r w:rsidRPr="00BC398A">
              <w:rPr>
                <w:sz w:val="20"/>
                <w:szCs w:val="20"/>
              </w:rPr>
              <w:t>The standard is meant to apply to the governance of the current and future use of data that is created, collected, stored, or controlled by information technology systems, and impact the management processes and decisions relating to data.</w:t>
            </w:r>
          </w:p>
          <w:p w14:paraId="0E3FB0BA" w14:textId="64B4FF91" w:rsidR="00BC398A" w:rsidRPr="00BC398A" w:rsidRDefault="00BC398A" w:rsidP="00BC398A">
            <w:pPr>
              <w:cnfStyle w:val="000000100000" w:firstRow="0" w:lastRow="0" w:firstColumn="0" w:lastColumn="0" w:oddVBand="0" w:evenVBand="0" w:oddHBand="1" w:evenHBand="0" w:firstRowFirstColumn="0" w:firstRowLastColumn="0" w:lastRowFirstColumn="0" w:lastRowLastColumn="0"/>
              <w:rPr>
                <w:sz w:val="20"/>
                <w:szCs w:val="20"/>
                <w:lang w:val="en-SG"/>
              </w:rPr>
            </w:pPr>
            <w:r>
              <w:rPr>
                <w:sz w:val="20"/>
                <w:szCs w:val="20"/>
                <w:lang w:val="en-SG"/>
              </w:rPr>
              <w:t xml:space="preserve">The standard </w:t>
            </w:r>
            <w:r w:rsidRPr="00BC398A">
              <w:rPr>
                <w:sz w:val="20"/>
                <w:szCs w:val="20"/>
                <w:lang w:val="en-SG"/>
              </w:rPr>
              <w:t>appl</w:t>
            </w:r>
            <w:r>
              <w:rPr>
                <w:sz w:val="20"/>
                <w:szCs w:val="20"/>
                <w:lang w:val="en-SG"/>
              </w:rPr>
              <w:t>ies</w:t>
            </w:r>
            <w:r w:rsidRPr="00BC398A">
              <w:rPr>
                <w:sz w:val="20"/>
                <w:szCs w:val="20"/>
                <w:lang w:val="en-SG"/>
              </w:rPr>
              <w:t xml:space="preserve"> the governance principles and model of ISO/IEC 38500 to the governance of data</w:t>
            </w:r>
            <w:r>
              <w:rPr>
                <w:sz w:val="20"/>
                <w:szCs w:val="20"/>
                <w:lang w:val="en-SG"/>
              </w:rPr>
              <w:t xml:space="preserve">, </w:t>
            </w:r>
            <w:r w:rsidRPr="00BC398A">
              <w:rPr>
                <w:sz w:val="20"/>
                <w:szCs w:val="20"/>
                <w:lang w:val="en-SG"/>
              </w:rPr>
              <w:t xml:space="preserve">assuring stakeholders that, if the principles and </w:t>
            </w:r>
            <w:r w:rsidRPr="00BC398A">
              <w:rPr>
                <w:sz w:val="20"/>
                <w:szCs w:val="20"/>
                <w:lang w:val="en-SG"/>
              </w:rPr>
              <w:lastRenderedPageBreak/>
              <w:t xml:space="preserve">practices proposed by this document are followed, they can have confidence in the organisation’s governance of data. </w:t>
            </w:r>
          </w:p>
        </w:tc>
      </w:tr>
      <w:tr w:rsidR="00BC398A" w:rsidRPr="00731DDC" w14:paraId="4F3D2C24"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32CF318" w14:textId="3DB110B0" w:rsidR="00BC398A" w:rsidRPr="00FA76F5" w:rsidRDefault="00BC398A" w:rsidP="00BC398A">
            <w:pPr>
              <w:rPr>
                <w:sz w:val="20"/>
                <w:szCs w:val="20"/>
                <w:lang w:val="en-GB"/>
              </w:rPr>
            </w:pPr>
            <w:r w:rsidRPr="00FA76F5">
              <w:rPr>
                <w:sz w:val="20"/>
                <w:szCs w:val="20"/>
                <w:lang w:val="en-GB"/>
              </w:rPr>
              <w:lastRenderedPageBreak/>
              <w:t>ISO/TS 23029:2020 Web-service-based application programming interface (WAPI) in financial services</w:t>
            </w:r>
          </w:p>
        </w:tc>
        <w:tc>
          <w:tcPr>
            <w:tcW w:w="6611" w:type="dxa"/>
          </w:tcPr>
          <w:p w14:paraId="1E76D103" w14:textId="65CE2650" w:rsidR="00BC398A" w:rsidRPr="00FA76F5" w:rsidRDefault="00BC398A" w:rsidP="00BC398A">
            <w:pPr>
              <w:cnfStyle w:val="000000000000" w:firstRow="0" w:lastRow="0" w:firstColumn="0" w:lastColumn="0" w:oddVBand="0" w:evenVBand="0" w:oddHBand="0" w:evenHBand="0" w:firstRowFirstColumn="0" w:firstRowLastColumn="0" w:lastRowFirstColumn="0" w:lastRowLastColumn="0"/>
              <w:rPr>
                <w:sz w:val="20"/>
                <w:szCs w:val="20"/>
                <w:lang w:val="en-GB"/>
              </w:rPr>
            </w:pPr>
            <w:r w:rsidRPr="00FA76F5">
              <w:rPr>
                <w:sz w:val="20"/>
                <w:szCs w:val="20"/>
                <w:lang w:val="en-GB"/>
              </w:rPr>
              <w:t xml:space="preserve">Defines a logical and technical layered approach for developing APIs, including transformational rules. </w:t>
            </w:r>
          </w:p>
        </w:tc>
      </w:tr>
      <w:tr w:rsidR="000C42C7" w:rsidRPr="00731DDC" w14:paraId="0D36BBBA"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A154E3F" w14:textId="2D66DDA8" w:rsidR="000C42C7" w:rsidRPr="000C42C7" w:rsidRDefault="000C42C7" w:rsidP="000C42C7">
            <w:pPr>
              <w:rPr>
                <w:sz w:val="20"/>
                <w:szCs w:val="20"/>
                <w:lang w:val="en-SG"/>
              </w:rPr>
            </w:pPr>
            <w:r w:rsidRPr="000C42C7">
              <w:rPr>
                <w:sz w:val="20"/>
                <w:szCs w:val="20"/>
                <w:lang w:val="en-SG"/>
              </w:rPr>
              <w:t>FAIR Guiding Principles for scientific data management and stewardship</w:t>
            </w:r>
            <w:r w:rsidRPr="000C42C7">
              <w:rPr>
                <w:sz w:val="20"/>
                <w:szCs w:val="20"/>
                <w:vertAlign w:val="superscript"/>
                <w:lang w:val="en-SG"/>
              </w:rPr>
              <w:footnoteReference w:id="163"/>
            </w:r>
          </w:p>
        </w:tc>
        <w:tc>
          <w:tcPr>
            <w:tcW w:w="6611" w:type="dxa"/>
          </w:tcPr>
          <w:p w14:paraId="47CFB0F1" w14:textId="538B337C" w:rsidR="00C13FF0" w:rsidRPr="00C13FF0" w:rsidRDefault="00C13FF0" w:rsidP="00C13FF0">
            <w:pPr>
              <w:cnfStyle w:val="000000100000" w:firstRow="0" w:lastRow="0" w:firstColumn="0" w:lastColumn="0" w:oddVBand="0" w:evenVBand="0" w:oddHBand="1" w:evenHBand="0" w:firstRowFirstColumn="0" w:firstRowLastColumn="0" w:lastRowFirstColumn="0" w:lastRowLastColumn="0"/>
              <w:rPr>
                <w:sz w:val="20"/>
                <w:szCs w:val="20"/>
                <w:lang w:val="en-SG"/>
              </w:rPr>
            </w:pPr>
            <w:r w:rsidRPr="00C13FF0">
              <w:rPr>
                <w:sz w:val="20"/>
                <w:szCs w:val="20"/>
                <w:lang w:val="en-SG"/>
              </w:rPr>
              <w:t>Set of guiding principles in order to make data findable, accessible, interoperable and reusable</w:t>
            </w:r>
            <w:r>
              <w:rPr>
                <w:sz w:val="20"/>
                <w:szCs w:val="20"/>
                <w:lang w:val="en-SG"/>
              </w:rPr>
              <w:t>.</w:t>
            </w:r>
          </w:p>
          <w:p w14:paraId="1E67BFD3" w14:textId="77777777" w:rsidR="000C42C7" w:rsidRPr="00FA76F5" w:rsidRDefault="000C42C7" w:rsidP="00BC398A">
            <w:pP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0C42C7" w:rsidRPr="00731DDC" w14:paraId="7385407F" w14:textId="77777777" w:rsidTr="005E10E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93FFAEE" w14:textId="18D12802" w:rsidR="000C42C7" w:rsidRPr="000C42C7" w:rsidRDefault="000C42C7" w:rsidP="000C42C7">
            <w:pPr>
              <w:rPr>
                <w:sz w:val="20"/>
                <w:szCs w:val="20"/>
                <w:lang w:val="en-GB"/>
              </w:rPr>
            </w:pPr>
            <w:r w:rsidRPr="000C42C7">
              <w:rPr>
                <w:sz w:val="20"/>
                <w:szCs w:val="20"/>
                <w:lang w:val="en-SG"/>
              </w:rPr>
              <w:t>Financial Industry Business Ontology</w:t>
            </w:r>
            <w:r w:rsidRPr="000C42C7">
              <w:rPr>
                <w:sz w:val="20"/>
                <w:szCs w:val="20"/>
                <w:lang w:val="en-GB"/>
              </w:rPr>
              <w:t xml:space="preserve"> (FIBO): Open Semantic Standard for the Financial Industry</w:t>
            </w:r>
            <w:r w:rsidRPr="000C42C7">
              <w:rPr>
                <w:sz w:val="20"/>
                <w:szCs w:val="20"/>
                <w:vertAlign w:val="superscript"/>
                <w:lang w:val="en-GB"/>
              </w:rPr>
              <w:footnoteReference w:id="164"/>
            </w:r>
          </w:p>
        </w:tc>
        <w:tc>
          <w:tcPr>
            <w:tcW w:w="6611" w:type="dxa"/>
          </w:tcPr>
          <w:p w14:paraId="368A5254" w14:textId="67509522" w:rsidR="000C42C7" w:rsidRPr="00C13FF0" w:rsidRDefault="00C13FF0" w:rsidP="00BC398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Pr="00C13FF0">
              <w:rPr>
                <w:sz w:val="20"/>
                <w:szCs w:val="20"/>
              </w:rPr>
              <w:t>pen-source industry-standard for financial concepts, their relationships, and definitions</w:t>
            </w:r>
            <w:r>
              <w:rPr>
                <w:sz w:val="20"/>
                <w:szCs w:val="20"/>
              </w:rPr>
              <w:t xml:space="preserve">, which provides a </w:t>
            </w:r>
            <w:r w:rsidRPr="00C13FF0">
              <w:rPr>
                <w:sz w:val="20"/>
                <w:szCs w:val="20"/>
                <w:lang w:val="en-SG"/>
              </w:rPr>
              <w:t>common language between systems and sources, reduces the cost of doing business</w:t>
            </w:r>
            <w:r>
              <w:rPr>
                <w:sz w:val="20"/>
                <w:szCs w:val="20"/>
                <w:lang w:val="en-SG"/>
              </w:rPr>
              <w:t>,</w:t>
            </w:r>
            <w:r w:rsidRPr="00C13FF0">
              <w:rPr>
                <w:sz w:val="20"/>
                <w:szCs w:val="20"/>
                <w:lang w:val="en-SG"/>
              </w:rPr>
              <w:t xml:space="preserve"> and promotes confidence in data among business users</w:t>
            </w:r>
            <w:r>
              <w:rPr>
                <w:sz w:val="20"/>
                <w:szCs w:val="20"/>
              </w:rPr>
              <w:t>.</w:t>
            </w:r>
          </w:p>
        </w:tc>
      </w:tr>
      <w:tr w:rsidR="00BC398A" w:rsidRPr="00731DDC" w14:paraId="27CC1B49" w14:textId="77777777" w:rsidTr="005E1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4E74444" w14:textId="62D0BA49" w:rsidR="00BC398A" w:rsidRPr="005E10E6" w:rsidRDefault="00BC398A" w:rsidP="00BC398A">
            <w:pPr>
              <w:rPr>
                <w:sz w:val="20"/>
                <w:szCs w:val="20"/>
                <w:lang w:val="en-GB"/>
              </w:rPr>
            </w:pPr>
            <w:r w:rsidRPr="005E10E6">
              <w:rPr>
                <w:sz w:val="20"/>
                <w:szCs w:val="20"/>
              </w:rPr>
              <w:t xml:space="preserve">Consumer Data </w:t>
            </w:r>
            <w:r w:rsidR="00B85673">
              <w:rPr>
                <w:sz w:val="20"/>
                <w:szCs w:val="20"/>
              </w:rPr>
              <w:t xml:space="preserve">Right </w:t>
            </w:r>
            <w:r w:rsidRPr="005E10E6">
              <w:rPr>
                <w:sz w:val="20"/>
                <w:szCs w:val="20"/>
              </w:rPr>
              <w:t>Standards</w:t>
            </w:r>
            <w:r w:rsidR="00B85673">
              <w:rPr>
                <w:rStyle w:val="FootnoteReference"/>
                <w:sz w:val="20"/>
                <w:szCs w:val="20"/>
              </w:rPr>
              <w:footnoteReference w:id="165"/>
            </w:r>
          </w:p>
        </w:tc>
        <w:tc>
          <w:tcPr>
            <w:tcW w:w="6611" w:type="dxa"/>
          </w:tcPr>
          <w:p w14:paraId="6732ED72" w14:textId="0E7B1524" w:rsidR="00BC398A" w:rsidRPr="005E10E6" w:rsidRDefault="00BC398A" w:rsidP="00BC398A">
            <w:pPr>
              <w:cnfStyle w:val="000000100000" w:firstRow="0" w:lastRow="0" w:firstColumn="0" w:lastColumn="0" w:oddVBand="0" w:evenVBand="0" w:oddHBand="1" w:evenHBand="0" w:firstRowFirstColumn="0" w:firstRowLastColumn="0" w:lastRowFirstColumn="0" w:lastRowLastColumn="0"/>
              <w:rPr>
                <w:sz w:val="20"/>
                <w:szCs w:val="20"/>
                <w:lang w:val="en-GB"/>
              </w:rPr>
            </w:pPr>
            <w:r w:rsidRPr="005E10E6">
              <w:rPr>
                <w:sz w:val="20"/>
                <w:szCs w:val="20"/>
                <w:lang w:val="en-GB"/>
              </w:rPr>
              <w:t>Standards have been developed as part of the Australian Government's introduction of the Consumer Data Right legislation to give Australians greater control over their data.</w:t>
            </w:r>
          </w:p>
        </w:tc>
      </w:tr>
    </w:tbl>
    <w:p w14:paraId="44A69948" w14:textId="4BEC1987" w:rsidR="008818AD" w:rsidRDefault="008818AD" w:rsidP="005E10E6">
      <w:pPr>
        <w:pStyle w:val="Caption"/>
      </w:pPr>
    </w:p>
    <w:p w14:paraId="6FF160ED" w14:textId="505E025B" w:rsidR="008818AD" w:rsidRPr="005E530A" w:rsidRDefault="008818AD" w:rsidP="008818AD">
      <w:pPr>
        <w:pStyle w:val="Caption"/>
      </w:pPr>
      <w:r>
        <w:t xml:space="preserve">Table </w:t>
      </w:r>
      <w:fldSimple w:instr=" SEQ Table \* ARABIC ">
        <w:r w:rsidR="00C9081C">
          <w:rPr>
            <w:noProof/>
          </w:rPr>
          <w:t>22</w:t>
        </w:r>
      </w:fldSimple>
      <w:r>
        <w:t xml:space="preserve">: </w:t>
      </w:r>
      <w:r w:rsidRPr="005E530A">
        <w:t>Cybersecurity</w:t>
      </w:r>
    </w:p>
    <w:tbl>
      <w:tblPr>
        <w:tblStyle w:val="GridTable4-Accent110"/>
        <w:tblW w:w="0" w:type="auto"/>
        <w:jc w:val="center"/>
        <w:tblLook w:val="04A0" w:firstRow="1" w:lastRow="0" w:firstColumn="1" w:lastColumn="0" w:noHBand="0" w:noVBand="1"/>
      </w:tblPr>
      <w:tblGrid>
        <w:gridCol w:w="2405"/>
        <w:gridCol w:w="6611"/>
      </w:tblGrid>
      <w:tr w:rsidR="008818AD" w:rsidRPr="006907BE" w14:paraId="0DE03965" w14:textId="77777777" w:rsidTr="005F40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A206799" w14:textId="77777777" w:rsidR="008818AD" w:rsidRPr="006907BE" w:rsidRDefault="008818AD" w:rsidP="006519C6">
            <w:pPr>
              <w:spacing w:before="40" w:after="40"/>
              <w:rPr>
                <w:rFonts w:ascii="Calibri" w:eastAsia="MS Mincho" w:hAnsi="Calibri" w:cs="Arial"/>
                <w:sz w:val="20"/>
                <w:szCs w:val="20"/>
                <w:lang w:val="en-GB" w:eastAsia="zh-CN"/>
              </w:rPr>
            </w:pPr>
            <w:r w:rsidRPr="006907BE">
              <w:rPr>
                <w:rFonts w:ascii="Calibri" w:eastAsia="MS Mincho" w:hAnsi="Calibri" w:cs="Arial"/>
                <w:sz w:val="20"/>
                <w:szCs w:val="20"/>
                <w:lang w:val="en-GB" w:eastAsia="zh-CN"/>
              </w:rPr>
              <w:t>International Standards</w:t>
            </w:r>
          </w:p>
        </w:tc>
        <w:tc>
          <w:tcPr>
            <w:tcW w:w="6611" w:type="dxa"/>
          </w:tcPr>
          <w:p w14:paraId="68332A07" w14:textId="77777777" w:rsidR="008818AD" w:rsidRPr="006907BE" w:rsidRDefault="008818AD" w:rsidP="006519C6">
            <w:pPr>
              <w:spacing w:before="40" w:after="40"/>
              <w:cnfStyle w:val="100000000000" w:firstRow="1" w:lastRow="0" w:firstColumn="0" w:lastColumn="0" w:oddVBand="0" w:evenVBand="0" w:oddHBand="0" w:evenHBand="0" w:firstRowFirstColumn="0" w:firstRowLastColumn="0" w:lastRowFirstColumn="0" w:lastRowLastColumn="0"/>
              <w:rPr>
                <w:rFonts w:ascii="Calibri" w:eastAsia="MS Mincho" w:hAnsi="Calibri" w:cs="Arial"/>
                <w:bCs w:val="0"/>
                <w:sz w:val="20"/>
                <w:szCs w:val="20"/>
                <w:lang w:val="en-GB" w:eastAsia="zh-CN"/>
              </w:rPr>
            </w:pPr>
            <w:r w:rsidRPr="006907BE">
              <w:rPr>
                <w:rFonts w:ascii="Calibri" w:eastAsia="MS Mincho" w:hAnsi="Calibri" w:cs="Arial"/>
                <w:sz w:val="20"/>
                <w:szCs w:val="20"/>
                <w:lang w:val="en-GB" w:eastAsia="zh-CN"/>
              </w:rPr>
              <w:t>Description</w:t>
            </w:r>
          </w:p>
        </w:tc>
      </w:tr>
      <w:tr w:rsidR="008818AD" w:rsidRPr="00731DDC" w14:paraId="088BB38C"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E068BEA" w14:textId="77777777" w:rsidR="008818AD" w:rsidRPr="00731DDC" w:rsidRDefault="008818AD" w:rsidP="006519C6">
            <w:pPr>
              <w:spacing w:before="40" w:after="40"/>
              <w:rPr>
                <w:rFonts w:ascii="Calibri" w:eastAsia="DengXian" w:hAnsi="Calibri" w:cs="Arial"/>
                <w:sz w:val="20"/>
                <w:lang w:val="en-GB" w:eastAsia="zh-CN"/>
              </w:rPr>
            </w:pPr>
            <w:r w:rsidRPr="005E530A">
              <w:rPr>
                <w:sz w:val="20"/>
                <w:szCs w:val="16"/>
              </w:rPr>
              <w:t>ISO/IEC 27001: 2013 Information technology -- Security techniques -- Information security management systems – Requirements</w:t>
            </w:r>
            <w:r w:rsidRPr="005E530A">
              <w:rPr>
                <w:sz w:val="20"/>
                <w:szCs w:val="16"/>
                <w:vertAlign w:val="superscript"/>
              </w:rPr>
              <w:footnoteReference w:id="166"/>
            </w:r>
          </w:p>
        </w:tc>
        <w:tc>
          <w:tcPr>
            <w:tcW w:w="6611" w:type="dxa"/>
          </w:tcPr>
          <w:p w14:paraId="0C328101" w14:textId="77777777" w:rsidR="008818AD" w:rsidRPr="00731DDC"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rFonts w:ascii="Calibri" w:eastAsia="DengXian" w:hAnsi="Calibri" w:cs="Arial"/>
                <w:sz w:val="20"/>
                <w:szCs w:val="20"/>
                <w:lang w:val="en-GB" w:eastAsia="zh-CN"/>
              </w:rPr>
            </w:pPr>
            <w:r w:rsidRPr="005E530A">
              <w:rPr>
                <w:sz w:val="20"/>
                <w:szCs w:val="16"/>
              </w:rPr>
              <w:t xml:space="preserve">Specifies the requirements for establishing, implementing, maintaining and improving an information security management system within an organisation. The requirements set out in ISO/IEC 27001:2013 are generic and are intended to be applicable to all organisations, regardless of type, size or nature. </w:t>
            </w:r>
          </w:p>
        </w:tc>
      </w:tr>
      <w:tr w:rsidR="008818AD" w:rsidRPr="00731DDC" w14:paraId="5DD6FCF3"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273AD77" w14:textId="77777777" w:rsidR="008818AD" w:rsidRPr="005E530A" w:rsidRDefault="008818AD" w:rsidP="006519C6">
            <w:pPr>
              <w:spacing w:before="40" w:after="40"/>
              <w:rPr>
                <w:sz w:val="20"/>
                <w:szCs w:val="16"/>
              </w:rPr>
            </w:pPr>
            <w:r w:rsidRPr="005E530A">
              <w:rPr>
                <w:sz w:val="20"/>
                <w:szCs w:val="16"/>
              </w:rPr>
              <w:lastRenderedPageBreak/>
              <w:t>ISO/IEC 27002:2013 Information technology -- Security techniques -- Code of practice for information security controls</w:t>
            </w:r>
            <w:r w:rsidRPr="005E530A">
              <w:rPr>
                <w:rStyle w:val="FootnoteReference"/>
                <w:sz w:val="20"/>
                <w:szCs w:val="16"/>
              </w:rPr>
              <w:footnoteReference w:id="167"/>
            </w:r>
          </w:p>
        </w:tc>
        <w:tc>
          <w:tcPr>
            <w:tcW w:w="6611" w:type="dxa"/>
          </w:tcPr>
          <w:p w14:paraId="5AD2A37E" w14:textId="77777777" w:rsidR="008818AD" w:rsidRPr="005E530A"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16"/>
              </w:rPr>
            </w:pPr>
            <w:r w:rsidRPr="005E530A">
              <w:rPr>
                <w:sz w:val="20"/>
                <w:szCs w:val="16"/>
              </w:rPr>
              <w:t xml:space="preserve">This standard provides guidelines for organisational information security standards and information security management practices including the selection, implementation and management of controls taking into consideration the organisation's information security risk environment(s). </w:t>
            </w:r>
          </w:p>
        </w:tc>
      </w:tr>
      <w:tr w:rsidR="008818AD" w:rsidRPr="00731DDC" w14:paraId="3374DCA6"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B2F0DD" w14:textId="77777777" w:rsidR="008818AD" w:rsidRPr="005E530A" w:rsidRDefault="008818AD" w:rsidP="006519C6">
            <w:pPr>
              <w:spacing w:before="40" w:after="40"/>
              <w:rPr>
                <w:sz w:val="20"/>
                <w:szCs w:val="16"/>
              </w:rPr>
            </w:pPr>
            <w:r w:rsidRPr="005E530A">
              <w:rPr>
                <w:sz w:val="20"/>
                <w:szCs w:val="16"/>
              </w:rPr>
              <w:t>ISA/IEC 62443</w:t>
            </w:r>
            <w:r w:rsidRPr="005E530A">
              <w:rPr>
                <w:sz w:val="20"/>
                <w:szCs w:val="16"/>
                <w:vertAlign w:val="superscript"/>
              </w:rPr>
              <w:footnoteReference w:id="168"/>
            </w:r>
          </w:p>
        </w:tc>
        <w:tc>
          <w:tcPr>
            <w:tcW w:w="6611" w:type="dxa"/>
          </w:tcPr>
          <w:p w14:paraId="3ACF080E" w14:textId="77777777" w:rsidR="008818AD" w:rsidRPr="005E530A"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530A">
              <w:rPr>
                <w:sz w:val="20"/>
                <w:szCs w:val="16"/>
              </w:rPr>
              <w:t xml:space="preserve">The International Society of Automation (ISA)/IEC 62443 is a series of standards, technical reports, and related information that define procedures for implementing electronically secure Industrial Automation and Control Systems (IACS). </w:t>
            </w:r>
          </w:p>
        </w:tc>
      </w:tr>
      <w:tr w:rsidR="008818AD" w:rsidRPr="00731DDC" w14:paraId="7BB0DEE4"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541A4CC" w14:textId="77777777" w:rsidR="008818AD" w:rsidRPr="005E530A" w:rsidRDefault="008818AD" w:rsidP="006519C6">
            <w:pPr>
              <w:spacing w:before="40" w:after="40"/>
              <w:rPr>
                <w:sz w:val="20"/>
                <w:szCs w:val="16"/>
              </w:rPr>
            </w:pPr>
            <w:r w:rsidRPr="005E530A">
              <w:rPr>
                <w:sz w:val="20"/>
                <w:szCs w:val="16"/>
              </w:rPr>
              <w:t xml:space="preserve">ISO/IEC 15408 Security techniques — Evaluation criteria for IT security </w:t>
            </w:r>
          </w:p>
        </w:tc>
        <w:tc>
          <w:tcPr>
            <w:tcW w:w="6611" w:type="dxa"/>
          </w:tcPr>
          <w:p w14:paraId="625BED70" w14:textId="77777777" w:rsidR="008818AD" w:rsidRPr="005E530A"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16"/>
              </w:rPr>
            </w:pPr>
            <w:r w:rsidRPr="005E530A">
              <w:rPr>
                <w:sz w:val="20"/>
                <w:szCs w:val="16"/>
              </w:rPr>
              <w:t xml:space="preserve">Contains a common set of requirements for the security functions of IT products and systems and for assurance measures applied to them during a security evaluation. Also referred to as Common Criteria for Information Technology Security Evaluation (Common Criteria). </w:t>
            </w:r>
          </w:p>
        </w:tc>
      </w:tr>
      <w:tr w:rsidR="008818AD" w:rsidRPr="00731DDC" w14:paraId="4C20FCAF" w14:textId="77777777" w:rsidTr="00651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B63BEAC" w14:textId="77777777" w:rsidR="008818AD" w:rsidRPr="005E530A" w:rsidRDefault="008818AD" w:rsidP="006519C6">
            <w:pPr>
              <w:spacing w:before="40" w:after="40"/>
              <w:rPr>
                <w:sz w:val="20"/>
                <w:szCs w:val="16"/>
              </w:rPr>
            </w:pPr>
            <w:r w:rsidRPr="005E530A">
              <w:rPr>
                <w:sz w:val="20"/>
                <w:szCs w:val="16"/>
              </w:rPr>
              <w:t>Control Objectives for Information and Related Technology (COBIT)</w:t>
            </w:r>
            <w:r w:rsidRPr="005E530A">
              <w:rPr>
                <w:sz w:val="20"/>
                <w:szCs w:val="16"/>
                <w:vertAlign w:val="superscript"/>
              </w:rPr>
              <w:footnoteReference w:id="169"/>
            </w:r>
          </w:p>
        </w:tc>
        <w:tc>
          <w:tcPr>
            <w:tcW w:w="6611" w:type="dxa"/>
          </w:tcPr>
          <w:p w14:paraId="4C96B16A" w14:textId="77777777" w:rsidR="008818AD" w:rsidRPr="005E530A" w:rsidRDefault="008818AD" w:rsidP="006519C6">
            <w:pPr>
              <w:spacing w:before="40" w:after="40"/>
              <w:cnfStyle w:val="000000100000" w:firstRow="0" w:lastRow="0" w:firstColumn="0" w:lastColumn="0" w:oddVBand="0" w:evenVBand="0" w:oddHBand="1" w:evenHBand="0" w:firstRowFirstColumn="0" w:firstRowLastColumn="0" w:lastRowFirstColumn="0" w:lastRowLastColumn="0"/>
              <w:rPr>
                <w:sz w:val="20"/>
                <w:szCs w:val="16"/>
              </w:rPr>
            </w:pPr>
            <w:r w:rsidRPr="005E530A">
              <w:rPr>
                <w:sz w:val="20"/>
                <w:szCs w:val="16"/>
              </w:rPr>
              <w:t xml:space="preserve">Published by the Standards Board of Information Systems Audit and Control Association (ISACA), COBIT provides a control framework for the governance and management of enterprise IT. </w:t>
            </w:r>
          </w:p>
        </w:tc>
      </w:tr>
      <w:tr w:rsidR="008818AD" w:rsidRPr="00731DDC" w14:paraId="551A0012" w14:textId="77777777" w:rsidTr="006519C6">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88AA2DD" w14:textId="77777777" w:rsidR="008818AD" w:rsidRPr="005E530A" w:rsidRDefault="008818AD" w:rsidP="006519C6">
            <w:pPr>
              <w:spacing w:before="40" w:after="40"/>
              <w:rPr>
                <w:sz w:val="20"/>
                <w:szCs w:val="16"/>
              </w:rPr>
            </w:pPr>
            <w:r w:rsidRPr="005E530A">
              <w:rPr>
                <w:sz w:val="20"/>
                <w:szCs w:val="16"/>
              </w:rPr>
              <w:t>National Institute of Standards and Technology’s (NIST) Cybersecurity Framework</w:t>
            </w:r>
            <w:r w:rsidRPr="005E530A">
              <w:rPr>
                <w:rStyle w:val="FootnoteReference"/>
                <w:sz w:val="20"/>
                <w:szCs w:val="16"/>
              </w:rPr>
              <w:footnoteReference w:id="170"/>
            </w:r>
          </w:p>
        </w:tc>
        <w:tc>
          <w:tcPr>
            <w:tcW w:w="6611" w:type="dxa"/>
          </w:tcPr>
          <w:p w14:paraId="6996B13A" w14:textId="77777777" w:rsidR="008818AD" w:rsidRPr="005E530A" w:rsidRDefault="008818AD" w:rsidP="006519C6">
            <w:pPr>
              <w:spacing w:before="40" w:after="40"/>
              <w:cnfStyle w:val="000000000000" w:firstRow="0" w:lastRow="0" w:firstColumn="0" w:lastColumn="0" w:oddVBand="0" w:evenVBand="0" w:oddHBand="0" w:evenHBand="0" w:firstRowFirstColumn="0" w:firstRowLastColumn="0" w:lastRowFirstColumn="0" w:lastRowLastColumn="0"/>
              <w:rPr>
                <w:sz w:val="20"/>
                <w:szCs w:val="16"/>
              </w:rPr>
            </w:pPr>
            <w:r w:rsidRPr="005E530A">
              <w:rPr>
                <w:sz w:val="20"/>
                <w:szCs w:val="16"/>
              </w:rPr>
              <w:t xml:space="preserve">Developed and promoted through ongoing engagement with stakeholders in government, industry, and academia, the Framework provides a prioritised, flexible, and cost-effective approach to manage cybersecurity risk. </w:t>
            </w:r>
          </w:p>
        </w:tc>
      </w:tr>
    </w:tbl>
    <w:p w14:paraId="618191FF" w14:textId="77777777" w:rsidR="008818AD" w:rsidRDefault="008818AD" w:rsidP="008818AD">
      <w:pPr>
        <w:rPr>
          <w:b/>
          <w:bCs/>
          <w:lang w:val="en-GB"/>
        </w:rPr>
      </w:pPr>
    </w:p>
    <w:p w14:paraId="3B9C22D7" w14:textId="77777777" w:rsidR="008818AD" w:rsidRPr="008818AD" w:rsidRDefault="008818AD" w:rsidP="008818AD"/>
    <w:p w14:paraId="4F3A8EFD" w14:textId="148C5B53" w:rsidR="005E10E6" w:rsidRDefault="005E10E6" w:rsidP="00C42A2A">
      <w:pPr>
        <w:rPr>
          <w:rFonts w:asciiTheme="majorHAnsi" w:hAnsiTheme="majorHAnsi" w:cstheme="majorHAnsi"/>
          <w:b/>
          <w:bCs/>
          <w:color w:val="4472C4" w:themeColor="accent1"/>
          <w:sz w:val="28"/>
          <w:szCs w:val="28"/>
          <w:lang w:val="en-GB"/>
        </w:rPr>
      </w:pPr>
    </w:p>
    <w:p w14:paraId="679849B4" w14:textId="77777777" w:rsidR="005E10E6" w:rsidRPr="00731DDC" w:rsidRDefault="005E10E6" w:rsidP="00C42A2A">
      <w:pPr>
        <w:rPr>
          <w:rFonts w:asciiTheme="majorHAnsi" w:hAnsiTheme="majorHAnsi" w:cstheme="majorHAnsi"/>
          <w:b/>
          <w:bCs/>
          <w:color w:val="4472C4" w:themeColor="accent1"/>
          <w:sz w:val="28"/>
          <w:szCs w:val="28"/>
          <w:lang w:val="en-GB"/>
        </w:rPr>
      </w:pPr>
    </w:p>
    <w:p w14:paraId="3857E877" w14:textId="77777777" w:rsidR="00C42A2A" w:rsidRPr="00731DDC" w:rsidRDefault="00C42A2A" w:rsidP="00C42A2A">
      <w:pPr>
        <w:spacing w:line="259" w:lineRule="auto"/>
        <w:rPr>
          <w:rFonts w:asciiTheme="majorHAnsi" w:eastAsiaTheme="majorEastAsia" w:hAnsiTheme="majorHAnsi" w:cstheme="majorBidi"/>
          <w:b/>
          <w:color w:val="2F5496" w:themeColor="accent1" w:themeShade="BF"/>
          <w:sz w:val="32"/>
          <w:szCs w:val="32"/>
          <w:lang w:val="en-GB"/>
        </w:rPr>
      </w:pPr>
      <w:r w:rsidRPr="00731DDC">
        <w:rPr>
          <w:lang w:val="en-GB"/>
        </w:rPr>
        <w:br w:type="page"/>
      </w:r>
    </w:p>
    <w:p w14:paraId="3C0F5B25" w14:textId="67963E8F" w:rsidR="00C42A2A" w:rsidRPr="005E10E6" w:rsidRDefault="00C42A2A" w:rsidP="005E10E6">
      <w:pPr>
        <w:pStyle w:val="AppendixHeading"/>
      </w:pPr>
      <w:bookmarkStart w:id="113" w:name="_Ref40902981"/>
      <w:bookmarkStart w:id="114" w:name="_Ref40903124"/>
      <w:bookmarkStart w:id="115" w:name="_Toc51167336"/>
      <w:r w:rsidRPr="00731DDC">
        <w:lastRenderedPageBreak/>
        <w:t>Government Projects and Programmes</w:t>
      </w:r>
      <w:bookmarkEnd w:id="113"/>
      <w:bookmarkEnd w:id="114"/>
      <w:bookmarkEnd w:id="115"/>
    </w:p>
    <w:tbl>
      <w:tblPr>
        <w:tblStyle w:val="TableGrid"/>
        <w:tblW w:w="9498"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702"/>
        <w:gridCol w:w="6095"/>
        <w:gridCol w:w="1701"/>
      </w:tblGrid>
      <w:tr w:rsidR="00C42A2A" w:rsidRPr="005E10E6" w14:paraId="705E74E0" w14:textId="77777777" w:rsidTr="005E10E6">
        <w:trPr>
          <w:tblHeader/>
          <w:jc w:val="center"/>
        </w:trPr>
        <w:tc>
          <w:tcPr>
            <w:tcW w:w="1702" w:type="dxa"/>
            <w:shd w:val="clear" w:color="auto" w:fill="4472C4" w:themeFill="accent1"/>
            <w:vAlign w:val="center"/>
          </w:tcPr>
          <w:p w14:paraId="34287BA0" w14:textId="77777777" w:rsidR="00C42A2A" w:rsidRPr="005E10E6" w:rsidRDefault="00C42A2A" w:rsidP="005E10E6">
            <w:pPr>
              <w:pStyle w:val="NoSpacing"/>
              <w:spacing w:beforeLines="40" w:before="96" w:afterLines="40" w:after="96"/>
              <w:jc w:val="center"/>
              <w:rPr>
                <w:rFonts w:cstheme="minorHAnsi"/>
                <w:b/>
                <w:bCs/>
                <w:color w:val="FFFFFF" w:themeColor="background1"/>
                <w:sz w:val="20"/>
                <w:szCs w:val="20"/>
              </w:rPr>
            </w:pPr>
            <w:r w:rsidRPr="005E10E6">
              <w:rPr>
                <w:rFonts w:cstheme="minorHAnsi"/>
                <w:b/>
                <w:bCs/>
                <w:color w:val="FFFFFF" w:themeColor="background1"/>
                <w:sz w:val="20"/>
                <w:szCs w:val="20"/>
              </w:rPr>
              <w:t>Government Agencies</w:t>
            </w:r>
          </w:p>
        </w:tc>
        <w:tc>
          <w:tcPr>
            <w:tcW w:w="6095" w:type="dxa"/>
            <w:shd w:val="clear" w:color="auto" w:fill="4472C4" w:themeFill="accent1"/>
            <w:vAlign w:val="center"/>
          </w:tcPr>
          <w:p w14:paraId="101B7328" w14:textId="77777777" w:rsidR="00C42A2A" w:rsidRPr="005E10E6" w:rsidRDefault="00C42A2A" w:rsidP="005E10E6">
            <w:pPr>
              <w:pStyle w:val="NoSpacing"/>
              <w:spacing w:beforeLines="40" w:before="96" w:afterLines="40" w:after="96"/>
              <w:jc w:val="center"/>
              <w:rPr>
                <w:rFonts w:cstheme="minorHAnsi"/>
                <w:b/>
                <w:bCs/>
                <w:color w:val="FFFFFF" w:themeColor="background1"/>
                <w:sz w:val="20"/>
                <w:szCs w:val="20"/>
              </w:rPr>
            </w:pPr>
            <w:r w:rsidRPr="005E10E6">
              <w:rPr>
                <w:rFonts w:cstheme="minorHAnsi"/>
                <w:b/>
                <w:bCs/>
                <w:color w:val="FFFFFF" w:themeColor="background1"/>
                <w:sz w:val="20"/>
                <w:szCs w:val="20"/>
              </w:rPr>
              <w:t>Examples of Current Initiatives/Programmes Relevant for Cooperation on Standards</w:t>
            </w:r>
          </w:p>
        </w:tc>
        <w:tc>
          <w:tcPr>
            <w:tcW w:w="1701" w:type="dxa"/>
            <w:shd w:val="clear" w:color="auto" w:fill="4472C4" w:themeFill="accent1"/>
            <w:vAlign w:val="center"/>
          </w:tcPr>
          <w:p w14:paraId="081D8AB2" w14:textId="77777777" w:rsidR="00C42A2A" w:rsidRPr="005E10E6" w:rsidRDefault="00C42A2A" w:rsidP="005E10E6">
            <w:pPr>
              <w:pStyle w:val="NoSpacing"/>
              <w:spacing w:beforeLines="40" w:before="96" w:afterLines="40" w:after="96"/>
              <w:jc w:val="center"/>
              <w:rPr>
                <w:rFonts w:cstheme="minorHAnsi"/>
                <w:b/>
                <w:bCs/>
                <w:color w:val="FFFFFF" w:themeColor="background1"/>
                <w:sz w:val="20"/>
                <w:szCs w:val="20"/>
              </w:rPr>
            </w:pPr>
            <w:r w:rsidRPr="005E10E6">
              <w:rPr>
                <w:rFonts w:cstheme="minorHAnsi"/>
                <w:b/>
                <w:bCs/>
                <w:color w:val="FFFFFF" w:themeColor="background1"/>
                <w:sz w:val="20"/>
                <w:szCs w:val="20"/>
              </w:rPr>
              <w:t>Area</w:t>
            </w:r>
          </w:p>
        </w:tc>
      </w:tr>
      <w:tr w:rsidR="00C42A2A" w:rsidRPr="005E10E6" w14:paraId="644A1891" w14:textId="77777777" w:rsidTr="005E10E6">
        <w:trPr>
          <w:trHeight w:val="326"/>
          <w:jc w:val="center"/>
        </w:trPr>
        <w:tc>
          <w:tcPr>
            <w:tcW w:w="9498" w:type="dxa"/>
            <w:gridSpan w:val="3"/>
            <w:shd w:val="clear" w:color="auto" w:fill="B4C6E7" w:themeFill="accent1" w:themeFillTint="66"/>
          </w:tcPr>
          <w:p w14:paraId="72B6A7A3" w14:textId="77777777" w:rsidR="00C42A2A" w:rsidRPr="005E10E6" w:rsidRDefault="00C42A2A" w:rsidP="005E10E6">
            <w:pPr>
              <w:pStyle w:val="NoSpacing"/>
              <w:spacing w:beforeLines="40" w:before="96" w:afterLines="40" w:after="96"/>
              <w:rPr>
                <w:rFonts w:eastAsia="Times New Roman" w:cstheme="minorHAnsi"/>
                <w:b/>
                <w:bCs/>
                <w:i/>
                <w:iCs/>
                <w:sz w:val="20"/>
                <w:szCs w:val="20"/>
              </w:rPr>
            </w:pPr>
            <w:r w:rsidRPr="005E10E6">
              <w:rPr>
                <w:rFonts w:eastAsia="Times New Roman" w:cstheme="minorHAnsi"/>
                <w:b/>
                <w:bCs/>
                <w:i/>
                <w:iCs/>
                <w:sz w:val="20"/>
                <w:szCs w:val="20"/>
              </w:rPr>
              <w:t>Facilitating Trade</w:t>
            </w:r>
          </w:p>
        </w:tc>
      </w:tr>
      <w:tr w:rsidR="00C42A2A" w:rsidRPr="005E10E6" w14:paraId="41606EA5" w14:textId="77777777" w:rsidTr="005E10E6">
        <w:trPr>
          <w:trHeight w:val="1176"/>
          <w:jc w:val="center"/>
        </w:trPr>
        <w:tc>
          <w:tcPr>
            <w:tcW w:w="1702" w:type="dxa"/>
            <w:shd w:val="clear" w:color="auto" w:fill="D9E2F3" w:themeFill="accent1" w:themeFillTint="33"/>
            <w:vAlign w:val="center"/>
          </w:tcPr>
          <w:p w14:paraId="099D525D"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736D6B89" w14:textId="77777777" w:rsidR="00C42A2A" w:rsidRPr="005E10E6" w:rsidRDefault="00C42A2A" w:rsidP="005E10E6">
            <w:pPr>
              <w:pStyle w:val="NoSpacing"/>
              <w:spacing w:beforeLines="40" w:before="96" w:afterLines="40" w:after="96"/>
              <w:jc w:val="center"/>
              <w:rPr>
                <w:rFonts w:cstheme="minorHAnsi"/>
                <w:b/>
                <w:bCs/>
                <w:sz w:val="20"/>
                <w:szCs w:val="20"/>
              </w:rPr>
            </w:pPr>
          </w:p>
          <w:p w14:paraId="47C357FC"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Ministry of Trade &amp; Industry</w:t>
            </w:r>
          </w:p>
        </w:tc>
        <w:tc>
          <w:tcPr>
            <w:tcW w:w="6095" w:type="dxa"/>
          </w:tcPr>
          <w:p w14:paraId="2C134A12"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MTI led the development of </w:t>
            </w:r>
            <w:r w:rsidRPr="005E10E6">
              <w:rPr>
                <w:rFonts w:eastAsia="Times New Roman" w:cstheme="minorHAnsi"/>
                <w:b/>
                <w:bCs/>
                <w:sz w:val="20"/>
                <w:szCs w:val="20"/>
              </w:rPr>
              <w:t>Industry Transformation Maps</w:t>
            </w:r>
            <w:r w:rsidRPr="005E10E6">
              <w:rPr>
                <w:rFonts w:eastAsia="Times New Roman" w:cstheme="minorHAnsi"/>
                <w:sz w:val="20"/>
                <w:szCs w:val="20"/>
              </w:rPr>
              <w:t xml:space="preserve"> (ITMs) for 23 industries under 6 clusters between 2016 and 2018. Each ITM integrates productivity improvement, innovation, internationalisation and skills development to promote growth and competitiveness.</w:t>
            </w:r>
          </w:p>
          <w:p w14:paraId="7B0D611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MTI is leading the </w:t>
            </w:r>
            <w:r w:rsidRPr="005E10E6">
              <w:rPr>
                <w:rFonts w:eastAsia="Times New Roman" w:cstheme="minorHAnsi"/>
                <w:b/>
                <w:bCs/>
                <w:sz w:val="20"/>
                <w:szCs w:val="20"/>
              </w:rPr>
              <w:t>Singapore-Australia Digital Economy Agreement</w:t>
            </w:r>
            <w:r w:rsidRPr="005E10E6">
              <w:rPr>
                <w:rFonts w:eastAsia="Times New Roman" w:cstheme="minorHAnsi"/>
                <w:sz w:val="20"/>
                <w:szCs w:val="20"/>
              </w:rPr>
              <w:t xml:space="preserve"> (DEA)</w:t>
            </w:r>
          </w:p>
        </w:tc>
        <w:tc>
          <w:tcPr>
            <w:tcW w:w="1701" w:type="dxa"/>
            <w:vMerge w:val="restart"/>
            <w:vAlign w:val="center"/>
          </w:tcPr>
          <w:p w14:paraId="4B5387CD"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IoT</w:t>
            </w:r>
          </w:p>
          <w:p w14:paraId="5E8D9D76"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3D Printing</w:t>
            </w:r>
          </w:p>
          <w:p w14:paraId="79DE9779"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Last Mile Delivery</w:t>
            </w:r>
          </w:p>
          <w:p w14:paraId="6B65F477"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e-Procurement</w:t>
            </w:r>
          </w:p>
        </w:tc>
      </w:tr>
      <w:tr w:rsidR="00C42A2A" w:rsidRPr="005E10E6" w14:paraId="51126937" w14:textId="77777777" w:rsidTr="005E10E6">
        <w:trPr>
          <w:trHeight w:val="710"/>
          <w:jc w:val="center"/>
        </w:trPr>
        <w:tc>
          <w:tcPr>
            <w:tcW w:w="1702" w:type="dxa"/>
            <w:shd w:val="clear" w:color="auto" w:fill="D9E2F3" w:themeFill="accent1" w:themeFillTint="33"/>
            <w:vAlign w:val="center"/>
          </w:tcPr>
          <w:p w14:paraId="2B817BB2"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Australia</w:t>
            </w:r>
          </w:p>
          <w:p w14:paraId="217327A5" w14:textId="77777777" w:rsidR="00C42A2A" w:rsidRPr="005E10E6" w:rsidRDefault="00C42A2A" w:rsidP="005E10E6">
            <w:pPr>
              <w:pStyle w:val="NoSpacing"/>
              <w:spacing w:beforeLines="40" w:before="96" w:afterLines="40" w:after="96"/>
              <w:jc w:val="center"/>
              <w:rPr>
                <w:rFonts w:cstheme="minorHAnsi"/>
                <w:b/>
                <w:bCs/>
                <w:sz w:val="20"/>
                <w:szCs w:val="20"/>
              </w:rPr>
            </w:pPr>
          </w:p>
          <w:p w14:paraId="59C49F76"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Department of Industry, Innovation and Science</w:t>
            </w:r>
          </w:p>
        </w:tc>
        <w:tc>
          <w:tcPr>
            <w:tcW w:w="6095" w:type="dxa"/>
          </w:tcPr>
          <w:p w14:paraId="67264662"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Developing the </w:t>
            </w:r>
            <w:r w:rsidRPr="005E10E6">
              <w:rPr>
                <w:rFonts w:eastAsia="Times New Roman" w:cstheme="minorHAnsi"/>
                <w:b/>
                <w:bCs/>
                <w:sz w:val="20"/>
                <w:szCs w:val="20"/>
              </w:rPr>
              <w:t>Artificial Intelligence Ethics Framework</w:t>
            </w:r>
            <w:r w:rsidRPr="005E10E6">
              <w:rPr>
                <w:rFonts w:eastAsia="Times New Roman" w:cstheme="minorHAnsi"/>
                <w:sz w:val="20"/>
                <w:szCs w:val="20"/>
              </w:rPr>
              <w:t xml:space="preserve"> to provide government and businesses with advice and proposed standards.</w:t>
            </w:r>
          </w:p>
          <w:p w14:paraId="4267199C"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Developing </w:t>
            </w:r>
            <w:r w:rsidRPr="005E10E6">
              <w:rPr>
                <w:rFonts w:eastAsia="Times New Roman" w:cstheme="minorHAnsi"/>
                <w:b/>
                <w:bCs/>
                <w:sz w:val="20"/>
                <w:szCs w:val="20"/>
              </w:rPr>
              <w:t>Cyber Security</w:t>
            </w:r>
            <w:r w:rsidRPr="005E10E6">
              <w:rPr>
                <w:rFonts w:eastAsia="Times New Roman" w:cstheme="minorHAnsi"/>
                <w:sz w:val="20"/>
                <w:szCs w:val="20"/>
              </w:rPr>
              <w:t xml:space="preserve"> Tools and Training packages to support the cyber security performance of Australian SMEs</w:t>
            </w:r>
          </w:p>
          <w:p w14:paraId="084E40C1"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Working with the Australian Taxation Office and the Treasury on the adoption of e-invoicing by business .</w:t>
            </w:r>
          </w:p>
          <w:p w14:paraId="3D16DFB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Leads Australia’s involvement in the G20 Digital Economy Taskforce which aims to capture the economic costs and benefits of the digital economy. </w:t>
            </w:r>
          </w:p>
        </w:tc>
        <w:tc>
          <w:tcPr>
            <w:tcW w:w="1701" w:type="dxa"/>
            <w:vMerge/>
          </w:tcPr>
          <w:p w14:paraId="31923545" w14:textId="77777777" w:rsidR="00C42A2A" w:rsidRPr="005E10E6" w:rsidRDefault="00C42A2A" w:rsidP="005E10E6">
            <w:pPr>
              <w:pStyle w:val="NoSpacing"/>
              <w:spacing w:beforeLines="40" w:before="96" w:afterLines="40" w:after="96"/>
              <w:rPr>
                <w:rFonts w:eastAsia="Times New Roman" w:cstheme="minorHAnsi"/>
                <w:sz w:val="20"/>
                <w:szCs w:val="20"/>
              </w:rPr>
            </w:pPr>
          </w:p>
        </w:tc>
      </w:tr>
      <w:tr w:rsidR="00C42A2A" w:rsidRPr="005E10E6" w14:paraId="279848B7" w14:textId="77777777" w:rsidTr="005E10E6">
        <w:trPr>
          <w:trHeight w:val="289"/>
          <w:jc w:val="center"/>
        </w:trPr>
        <w:tc>
          <w:tcPr>
            <w:tcW w:w="9498" w:type="dxa"/>
            <w:gridSpan w:val="3"/>
            <w:shd w:val="clear" w:color="auto" w:fill="B4C6E7" w:themeFill="accent1" w:themeFillTint="66"/>
            <w:vAlign w:val="center"/>
          </w:tcPr>
          <w:p w14:paraId="4A5B31F4" w14:textId="77777777" w:rsidR="00C42A2A" w:rsidRPr="005E10E6" w:rsidRDefault="00C42A2A" w:rsidP="005E10E6">
            <w:pPr>
              <w:pStyle w:val="NoSpacing"/>
              <w:spacing w:beforeLines="40" w:before="96" w:afterLines="40" w:after="96"/>
              <w:rPr>
                <w:rFonts w:eastAsia="Times New Roman" w:cstheme="minorHAnsi"/>
                <w:b/>
                <w:bCs/>
                <w:i/>
                <w:iCs/>
                <w:sz w:val="20"/>
                <w:szCs w:val="20"/>
              </w:rPr>
            </w:pPr>
            <w:r w:rsidRPr="005E10E6">
              <w:rPr>
                <w:rFonts w:eastAsia="Times New Roman" w:cstheme="minorHAnsi"/>
                <w:b/>
                <w:bCs/>
                <w:i/>
                <w:iCs/>
                <w:sz w:val="20"/>
                <w:szCs w:val="20"/>
              </w:rPr>
              <w:t xml:space="preserve">Information and Communication Technology </w:t>
            </w:r>
          </w:p>
        </w:tc>
      </w:tr>
      <w:tr w:rsidR="00C42A2A" w:rsidRPr="005E10E6" w14:paraId="7D6896AC" w14:textId="77777777" w:rsidTr="005E10E6">
        <w:trPr>
          <w:trHeight w:val="710"/>
          <w:jc w:val="center"/>
        </w:trPr>
        <w:tc>
          <w:tcPr>
            <w:tcW w:w="1702" w:type="dxa"/>
            <w:shd w:val="clear" w:color="auto" w:fill="D9E2F3" w:themeFill="accent1" w:themeFillTint="33"/>
            <w:vAlign w:val="center"/>
          </w:tcPr>
          <w:p w14:paraId="182A5D9D"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2C560E4D" w14:textId="77777777" w:rsidR="00C42A2A" w:rsidRPr="005E10E6" w:rsidRDefault="00C42A2A" w:rsidP="005E10E6">
            <w:pPr>
              <w:pStyle w:val="NoSpacing"/>
              <w:spacing w:beforeLines="40" w:before="96" w:afterLines="40" w:after="96"/>
              <w:jc w:val="center"/>
              <w:rPr>
                <w:rFonts w:cstheme="minorHAnsi"/>
                <w:b/>
                <w:bCs/>
                <w:sz w:val="20"/>
                <w:szCs w:val="20"/>
              </w:rPr>
            </w:pPr>
          </w:p>
          <w:p w14:paraId="7C6F77A3"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Infocomm Media Development Authority</w:t>
            </w:r>
          </w:p>
          <w:p w14:paraId="5B4D95FC" w14:textId="77777777" w:rsidR="00C42A2A" w:rsidRPr="005E10E6" w:rsidRDefault="00C42A2A" w:rsidP="005E10E6">
            <w:pPr>
              <w:pStyle w:val="NoSpacing"/>
              <w:spacing w:beforeLines="40" w:before="96" w:afterLines="40" w:after="96"/>
              <w:jc w:val="center"/>
              <w:rPr>
                <w:rFonts w:cstheme="minorHAnsi"/>
                <w:b/>
                <w:bCs/>
                <w:sz w:val="20"/>
                <w:szCs w:val="20"/>
              </w:rPr>
            </w:pPr>
          </w:p>
        </w:tc>
        <w:tc>
          <w:tcPr>
            <w:tcW w:w="6095" w:type="dxa"/>
            <w:shd w:val="clear" w:color="auto" w:fill="auto"/>
          </w:tcPr>
          <w:p w14:paraId="4A7FC26F"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Focussed on emerging technologies such as </w:t>
            </w:r>
            <w:r w:rsidRPr="005E10E6">
              <w:rPr>
                <w:rFonts w:eastAsia="Times New Roman" w:cstheme="minorHAnsi"/>
                <w:b/>
                <w:bCs/>
                <w:sz w:val="20"/>
                <w:szCs w:val="20"/>
              </w:rPr>
              <w:t>5G, IoT, AI</w:t>
            </w:r>
            <w:r w:rsidRPr="005E10E6">
              <w:rPr>
                <w:rFonts w:eastAsia="Times New Roman" w:cstheme="minorHAnsi"/>
                <w:sz w:val="20"/>
                <w:szCs w:val="20"/>
              </w:rPr>
              <w:t xml:space="preserve"> all of which not only support digital trade but could accelerate trade through cooperation on standards. </w:t>
            </w:r>
          </w:p>
          <w:p w14:paraId="2252E6A8"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First edition of </w:t>
            </w:r>
            <w:r w:rsidRPr="005E10E6">
              <w:rPr>
                <w:rFonts w:eastAsia="Times New Roman" w:cstheme="minorHAnsi"/>
                <w:b/>
                <w:bCs/>
                <w:sz w:val="20"/>
                <w:szCs w:val="20"/>
              </w:rPr>
              <w:t>Model AI Governance Framework</w:t>
            </w:r>
            <w:r w:rsidRPr="005E10E6">
              <w:rPr>
                <w:rFonts w:eastAsia="Times New Roman" w:cstheme="minorHAnsi"/>
                <w:sz w:val="20"/>
                <w:szCs w:val="20"/>
              </w:rPr>
              <w:t xml:space="preserve"> in January 2019. Second edition published in January 2020, together with a companion </w:t>
            </w:r>
            <w:r w:rsidRPr="005E10E6">
              <w:rPr>
                <w:rFonts w:eastAsia="Times New Roman" w:cstheme="minorHAnsi"/>
                <w:b/>
                <w:bCs/>
                <w:sz w:val="20"/>
                <w:szCs w:val="20"/>
              </w:rPr>
              <w:t>Implementation and Self Assessment Guide for Organisations (ISAGO) and a Compendium of Use Cases.</w:t>
            </w:r>
            <w:r w:rsidRPr="005E10E6">
              <w:rPr>
                <w:rFonts w:eastAsia="Times New Roman" w:cstheme="minorHAnsi"/>
                <w:sz w:val="20"/>
                <w:szCs w:val="20"/>
              </w:rPr>
              <w:t xml:space="preserve"> </w:t>
            </w:r>
          </w:p>
          <w:p w14:paraId="616775B3"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It is also currently updating its Technical Specifications to incorporate the 5G specifications, and ensuring that they are aligned to international specifications/standards such as the 3rd Generation Partnership Project (3GPP) and European Telecommunications Standards Institute (ETSI).</w:t>
            </w:r>
          </w:p>
          <w:p w14:paraId="591B367B"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bookmarkStart w:id="116" w:name="_Hlk44501632"/>
            <w:r w:rsidRPr="005E10E6">
              <w:rPr>
                <w:rFonts w:eastAsia="Times New Roman" w:cstheme="minorHAnsi"/>
                <w:sz w:val="20"/>
                <w:szCs w:val="20"/>
              </w:rPr>
              <w:t xml:space="preserve">The </w:t>
            </w:r>
            <w:r w:rsidRPr="005E10E6">
              <w:rPr>
                <w:rFonts w:eastAsia="Times New Roman" w:cstheme="minorHAnsi"/>
                <w:b/>
                <w:bCs/>
                <w:sz w:val="20"/>
                <w:szCs w:val="20"/>
              </w:rPr>
              <w:t>Accreditation@SG Digital</w:t>
            </w:r>
            <w:r w:rsidRPr="005E10E6">
              <w:rPr>
                <w:rFonts w:eastAsia="Times New Roman" w:cstheme="minorHAnsi"/>
                <w:sz w:val="20"/>
                <w:szCs w:val="20"/>
              </w:rPr>
              <w:t xml:space="preserve"> programme enables accredited companies to be better recognised overseas helping them to export capabilities and products</w:t>
            </w:r>
            <w:bookmarkEnd w:id="116"/>
            <w:r w:rsidRPr="005E10E6">
              <w:rPr>
                <w:rFonts w:eastAsia="Times New Roman" w:cstheme="minorHAnsi"/>
                <w:sz w:val="20"/>
                <w:szCs w:val="20"/>
              </w:rPr>
              <w:t xml:space="preserve">. </w:t>
            </w:r>
          </w:p>
          <w:p w14:paraId="04060074"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Mutual Recognition Arrangements (MRA</w:t>
            </w:r>
            <w:r w:rsidRPr="005E10E6">
              <w:rPr>
                <w:rFonts w:eastAsia="Times New Roman" w:cstheme="minorHAnsi"/>
                <w:sz w:val="20"/>
                <w:szCs w:val="20"/>
              </w:rPr>
              <w:t>s) for telecommunications conformity assessment. There are two phases in the MRA:</w:t>
            </w:r>
          </w:p>
          <w:p w14:paraId="754C079A"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Phase I: Mutual acceptance of test reports, e.g. equipment tested and approved by overseas MRA partners will not require re-testing in Singapore and vice versa. Singapore currently has a Phase 1 partnership with Australia. </w:t>
            </w:r>
          </w:p>
          <w:p w14:paraId="00CC9842"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Phase II: Mutual acceptance of equipment certificates, e.g. equipment certified by overseas MRA partners can enter directly into Singapore market without requiring re-certification and vice versa.</w:t>
            </w:r>
          </w:p>
          <w:p w14:paraId="43F9D273"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sz w:val="20"/>
                <w:szCs w:val="20"/>
              </w:rPr>
              <w:t>TradeTrust</w:t>
            </w:r>
            <w:r w:rsidRPr="005E10E6">
              <w:rPr>
                <w:rFonts w:eastAsia="Times New Roman" w:cstheme="minorHAnsi"/>
                <w:sz w:val="20"/>
                <w:szCs w:val="20"/>
              </w:rPr>
              <w:t xml:space="preserve"> to facilitate the interoperability of electronic trade documents exchanged between digital platforms</w:t>
            </w:r>
          </w:p>
        </w:tc>
        <w:tc>
          <w:tcPr>
            <w:tcW w:w="1701" w:type="dxa"/>
            <w:vMerge w:val="restart"/>
            <w:shd w:val="clear" w:color="auto" w:fill="auto"/>
          </w:tcPr>
          <w:p w14:paraId="620B61A4" w14:textId="77777777" w:rsidR="00C42A2A" w:rsidRPr="005E10E6" w:rsidRDefault="00C42A2A" w:rsidP="005E10E6">
            <w:pPr>
              <w:pStyle w:val="NoSpacing"/>
              <w:spacing w:beforeLines="40" w:before="96" w:afterLines="40" w:after="96"/>
              <w:rPr>
                <w:rFonts w:eastAsia="Times New Roman" w:cstheme="minorHAnsi"/>
                <w:b/>
                <w:bCs/>
                <w:sz w:val="20"/>
                <w:szCs w:val="20"/>
              </w:rPr>
            </w:pPr>
          </w:p>
          <w:p w14:paraId="69ADAA0A"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sz w:val="20"/>
                <w:szCs w:val="20"/>
              </w:rPr>
            </w:pPr>
            <w:r w:rsidRPr="005E10E6">
              <w:rPr>
                <w:rFonts w:eastAsia="Times New Roman" w:cstheme="minorHAnsi"/>
                <w:i/>
                <w:iCs/>
                <w:sz w:val="20"/>
                <w:szCs w:val="20"/>
              </w:rPr>
              <w:t>5G and Wireless Telecoms</w:t>
            </w:r>
          </w:p>
          <w:p w14:paraId="46613D31"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AI Governance</w:t>
            </w:r>
          </w:p>
          <w:p w14:paraId="1B75486F"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sz w:val="20"/>
                <w:szCs w:val="20"/>
              </w:rPr>
            </w:pPr>
            <w:r w:rsidRPr="005E10E6">
              <w:rPr>
                <w:rFonts w:eastAsia="Times New Roman" w:cstheme="minorHAnsi"/>
                <w:i/>
                <w:iCs/>
                <w:sz w:val="20"/>
                <w:szCs w:val="20"/>
              </w:rPr>
              <w:t>Digitalisation of trade documents</w:t>
            </w:r>
          </w:p>
        </w:tc>
      </w:tr>
      <w:tr w:rsidR="00C42A2A" w:rsidRPr="005E10E6" w14:paraId="0E4A0B5A" w14:textId="77777777" w:rsidTr="005E10E6">
        <w:trPr>
          <w:trHeight w:val="710"/>
          <w:jc w:val="center"/>
        </w:trPr>
        <w:tc>
          <w:tcPr>
            <w:tcW w:w="1702" w:type="dxa"/>
            <w:shd w:val="clear" w:color="auto" w:fill="D9E2F3" w:themeFill="accent1" w:themeFillTint="33"/>
            <w:vAlign w:val="center"/>
          </w:tcPr>
          <w:p w14:paraId="30694836"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5203FFAE"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r w:rsidRPr="005E10E6">
              <w:rPr>
                <w:rFonts w:eastAsia="Times New Roman" w:cstheme="minorHAnsi"/>
                <w:b/>
                <w:bCs/>
                <w:sz w:val="20"/>
                <w:szCs w:val="20"/>
              </w:rPr>
              <w:t>Australia</w:t>
            </w:r>
          </w:p>
          <w:p w14:paraId="7E749BA9"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5A84A059"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eastAsia="Times New Roman" w:cstheme="minorHAnsi"/>
                <w:b/>
                <w:bCs/>
                <w:sz w:val="20"/>
                <w:szCs w:val="20"/>
              </w:rPr>
              <w:t>Australian Communications and Media Authority</w:t>
            </w:r>
          </w:p>
        </w:tc>
        <w:tc>
          <w:tcPr>
            <w:tcW w:w="6095" w:type="dxa"/>
            <w:shd w:val="clear" w:color="auto" w:fill="auto"/>
          </w:tcPr>
          <w:p w14:paraId="2D085D36"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In February 2020, the ACMA updated rules for mobile number portability to better protect consumers which included the introduction of a new industry standard. It mandates processes for identity verification that are practicable, robust, technically feasible and do not impose undue financial and administrative costs. </w:t>
            </w:r>
          </w:p>
          <w:p w14:paraId="34ECA328"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Leading </w:t>
            </w:r>
            <w:r w:rsidRPr="005E10E6">
              <w:rPr>
                <w:rFonts w:eastAsia="Times New Roman" w:cstheme="minorHAnsi"/>
                <w:b/>
                <w:bCs/>
                <w:sz w:val="20"/>
                <w:szCs w:val="20"/>
              </w:rPr>
              <w:t>scam technology project</w:t>
            </w:r>
            <w:r w:rsidRPr="005E10E6">
              <w:rPr>
                <w:rFonts w:eastAsia="Times New Roman" w:cstheme="minorHAnsi"/>
                <w:sz w:val="20"/>
                <w:szCs w:val="20"/>
              </w:rPr>
              <w:t xml:space="preserve"> which examines potential technological solutions that could disrupt and reduce the level and severity of scams being perpetrated over telecommunications networks</w:t>
            </w:r>
          </w:p>
          <w:p w14:paraId="753BF465"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Participates in international standards setting. Domestically, the ACMA is an observer member of a range of committees including the </w:t>
            </w:r>
            <w:r w:rsidRPr="005E10E6">
              <w:rPr>
                <w:rFonts w:eastAsia="Times New Roman" w:cstheme="minorHAnsi"/>
                <w:b/>
                <w:bCs/>
                <w:sz w:val="20"/>
                <w:szCs w:val="20"/>
              </w:rPr>
              <w:t>Standards Australia Technical Committee IT-042 Internet of Things and related technologies</w:t>
            </w:r>
            <w:r w:rsidRPr="005E10E6">
              <w:rPr>
                <w:rFonts w:eastAsia="Times New Roman" w:cstheme="minorHAnsi"/>
                <w:sz w:val="20"/>
                <w:szCs w:val="20"/>
              </w:rPr>
              <w:t>.</w:t>
            </w:r>
          </w:p>
          <w:p w14:paraId="181BAFBE"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Developing IoT roadmap</w:t>
            </w:r>
            <w:r w:rsidRPr="005E10E6">
              <w:rPr>
                <w:rFonts w:eastAsia="Times New Roman" w:cstheme="minorHAnsi"/>
                <w:sz w:val="20"/>
                <w:szCs w:val="20"/>
              </w:rPr>
              <w:t xml:space="preserve"> –to meet the short, medium to long term challenges posed by IoT within the context of a dynamic and evolving media and communications environment. </w:t>
            </w:r>
          </w:p>
          <w:p w14:paraId="7931D8F9"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Intelligence technologies in the media and communications sector</w:t>
            </w:r>
            <w:r w:rsidRPr="005E10E6">
              <w:rPr>
                <w:rFonts w:eastAsia="Times New Roman" w:cstheme="minorHAnsi"/>
                <w:sz w:val="20"/>
                <w:szCs w:val="20"/>
              </w:rPr>
              <w:t xml:space="preserve"> – this work is exploring AI technologies deployment across communications and media businesses and examines anticipated regulatory implications. </w:t>
            </w:r>
          </w:p>
        </w:tc>
        <w:tc>
          <w:tcPr>
            <w:tcW w:w="1701" w:type="dxa"/>
            <w:vMerge/>
          </w:tcPr>
          <w:p w14:paraId="085DB734" w14:textId="77777777" w:rsidR="00C42A2A" w:rsidRPr="005E10E6" w:rsidRDefault="00C42A2A" w:rsidP="005E10E6">
            <w:pPr>
              <w:pStyle w:val="NoSpacing"/>
              <w:spacing w:beforeLines="40" w:before="96" w:afterLines="40" w:after="96"/>
              <w:rPr>
                <w:rFonts w:eastAsia="Times New Roman" w:cstheme="minorHAnsi"/>
                <w:sz w:val="20"/>
                <w:szCs w:val="20"/>
              </w:rPr>
            </w:pPr>
          </w:p>
        </w:tc>
      </w:tr>
      <w:tr w:rsidR="00C42A2A" w:rsidRPr="005E10E6" w14:paraId="7029036F" w14:textId="77777777" w:rsidTr="005E10E6">
        <w:trPr>
          <w:jc w:val="center"/>
        </w:trPr>
        <w:tc>
          <w:tcPr>
            <w:tcW w:w="9498" w:type="dxa"/>
            <w:gridSpan w:val="3"/>
            <w:shd w:val="clear" w:color="auto" w:fill="B4C6E7" w:themeFill="accent1" w:themeFillTint="66"/>
            <w:vAlign w:val="center"/>
          </w:tcPr>
          <w:p w14:paraId="49A23DC8" w14:textId="77777777" w:rsidR="00C42A2A" w:rsidRPr="005E10E6" w:rsidRDefault="00C42A2A" w:rsidP="005E10E6">
            <w:pPr>
              <w:pStyle w:val="NoSpacing"/>
              <w:spacing w:beforeLines="40" w:before="96" w:afterLines="40" w:after="96"/>
              <w:rPr>
                <w:rFonts w:cstheme="minorHAnsi"/>
                <w:b/>
                <w:bCs/>
                <w:sz w:val="20"/>
                <w:szCs w:val="20"/>
              </w:rPr>
            </w:pPr>
            <w:r w:rsidRPr="005E10E6">
              <w:rPr>
                <w:rFonts w:cstheme="minorHAnsi"/>
                <w:b/>
                <w:bCs/>
                <w:i/>
                <w:iCs/>
                <w:sz w:val="20"/>
                <w:szCs w:val="20"/>
              </w:rPr>
              <w:t>Cybersecurity</w:t>
            </w:r>
          </w:p>
        </w:tc>
      </w:tr>
      <w:tr w:rsidR="00C42A2A" w:rsidRPr="005E10E6" w14:paraId="45EED6CC" w14:textId="77777777" w:rsidTr="005E10E6">
        <w:trPr>
          <w:jc w:val="center"/>
        </w:trPr>
        <w:tc>
          <w:tcPr>
            <w:tcW w:w="1702" w:type="dxa"/>
            <w:shd w:val="clear" w:color="auto" w:fill="D9E2F3" w:themeFill="accent1" w:themeFillTint="33"/>
            <w:vAlign w:val="center"/>
          </w:tcPr>
          <w:p w14:paraId="7075BB19"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6F979EFF" w14:textId="77777777" w:rsidR="00C42A2A" w:rsidRPr="005E10E6" w:rsidRDefault="00C42A2A" w:rsidP="005E10E6">
            <w:pPr>
              <w:pStyle w:val="NoSpacing"/>
              <w:spacing w:beforeLines="40" w:before="96" w:afterLines="40" w:after="96"/>
              <w:jc w:val="center"/>
              <w:rPr>
                <w:rFonts w:cstheme="minorHAnsi"/>
                <w:b/>
                <w:bCs/>
                <w:sz w:val="20"/>
                <w:szCs w:val="20"/>
              </w:rPr>
            </w:pPr>
          </w:p>
          <w:p w14:paraId="26BB92A7"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Cybersecurity Agency</w:t>
            </w:r>
          </w:p>
        </w:tc>
        <w:tc>
          <w:tcPr>
            <w:tcW w:w="6095" w:type="dxa"/>
            <w:shd w:val="clear" w:color="auto" w:fill="auto"/>
          </w:tcPr>
          <w:p w14:paraId="04F5C772"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The CSA Cybersecurity Certification </w:t>
            </w:r>
            <w:r w:rsidRPr="005E10E6">
              <w:rPr>
                <w:rFonts w:eastAsia="Times New Roman" w:cstheme="minorHAnsi"/>
                <w:b/>
                <w:bCs/>
                <w:sz w:val="20"/>
                <w:szCs w:val="20"/>
              </w:rPr>
              <w:t>Centre</w:t>
            </w:r>
            <w:r w:rsidRPr="005E10E6">
              <w:rPr>
                <w:rFonts w:cstheme="minorHAnsi"/>
                <w:sz w:val="20"/>
                <w:szCs w:val="20"/>
              </w:rPr>
              <w:t xml:space="preserve"> evaluates and certifies cybersecurity products.</w:t>
            </w:r>
          </w:p>
          <w:p w14:paraId="63F10B6C"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The </w:t>
            </w:r>
            <w:r w:rsidRPr="005E10E6">
              <w:rPr>
                <w:rFonts w:cstheme="minorHAnsi"/>
                <w:b/>
                <w:bCs/>
                <w:sz w:val="20"/>
                <w:szCs w:val="20"/>
              </w:rPr>
              <w:t>SecureTech Track</w:t>
            </w:r>
            <w:r w:rsidRPr="005E10E6">
              <w:rPr>
                <w:rFonts w:cstheme="minorHAnsi"/>
                <w:sz w:val="20"/>
                <w:szCs w:val="20"/>
              </w:rPr>
              <w:t xml:space="preserve"> collaboration between CSA and IMDA to improve the quality of cybersecurity products through CC certification, and encourage procurement of those products by government agencies and businesses. </w:t>
            </w:r>
          </w:p>
          <w:p w14:paraId="3150121D"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Building of start-up hubs and accelerators, such as </w:t>
            </w:r>
            <w:r w:rsidRPr="005E10E6">
              <w:rPr>
                <w:rFonts w:cstheme="minorHAnsi"/>
                <w:b/>
                <w:bCs/>
                <w:sz w:val="20"/>
                <w:szCs w:val="20"/>
              </w:rPr>
              <w:t>Innovation Cybersecurity Ecosystem @ Block71</w:t>
            </w:r>
            <w:r w:rsidRPr="005E10E6">
              <w:rPr>
                <w:rFonts w:cstheme="minorHAnsi"/>
                <w:sz w:val="20"/>
                <w:szCs w:val="20"/>
              </w:rPr>
              <w:t xml:space="preserve"> to support businesses. </w:t>
            </w:r>
          </w:p>
          <w:p w14:paraId="67D3C13E"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Funding support through schemes such as the Proof of Concept Funding, to encourage the co-development of innovative solutions.</w:t>
            </w:r>
          </w:p>
          <w:p w14:paraId="41A95824"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Programmes to develop cybersecurity capabilities including Cyber Security Associates and Technologists (CSAT), SG Cyber Women, and SG Cyber Youth</w:t>
            </w:r>
          </w:p>
          <w:p w14:paraId="18A73725" w14:textId="77777777" w:rsidR="00C42A2A" w:rsidRPr="005E10E6" w:rsidRDefault="00C42A2A" w:rsidP="005E10E6">
            <w:pPr>
              <w:pStyle w:val="NoSpacing"/>
              <w:spacing w:beforeLines="40" w:before="96" w:afterLines="40" w:after="96"/>
              <w:rPr>
                <w:rFonts w:cstheme="minorHAnsi"/>
                <w:sz w:val="20"/>
                <w:szCs w:val="20"/>
              </w:rPr>
            </w:pPr>
            <w:r w:rsidRPr="005E10E6">
              <w:rPr>
                <w:rFonts w:cstheme="minorHAnsi"/>
                <w:sz w:val="20"/>
                <w:szCs w:val="20"/>
              </w:rPr>
              <w:t>(emerging technologies)</w:t>
            </w:r>
          </w:p>
        </w:tc>
        <w:tc>
          <w:tcPr>
            <w:tcW w:w="1701" w:type="dxa"/>
            <w:vMerge w:val="restart"/>
            <w:shd w:val="clear" w:color="auto" w:fill="auto"/>
          </w:tcPr>
          <w:p w14:paraId="61FB46A7" w14:textId="77777777" w:rsidR="00C42A2A" w:rsidRPr="005E10E6" w:rsidRDefault="00C42A2A" w:rsidP="005E10E6">
            <w:pPr>
              <w:pStyle w:val="NoSpacing"/>
              <w:spacing w:beforeLines="40" w:before="96" w:afterLines="40" w:after="96"/>
              <w:rPr>
                <w:rFonts w:cstheme="minorHAnsi"/>
                <w:sz w:val="20"/>
                <w:szCs w:val="20"/>
              </w:rPr>
            </w:pPr>
          </w:p>
          <w:p w14:paraId="7FD2680E" w14:textId="77777777" w:rsidR="00C42A2A" w:rsidRPr="005E10E6" w:rsidRDefault="00C42A2A" w:rsidP="001F09E1">
            <w:pPr>
              <w:pStyle w:val="NoSpacing"/>
              <w:numPr>
                <w:ilvl w:val="0"/>
                <w:numId w:val="15"/>
              </w:numPr>
              <w:spacing w:beforeLines="40" w:before="96" w:afterLines="40" w:after="96"/>
              <w:ind w:left="316" w:hanging="283"/>
              <w:rPr>
                <w:rFonts w:cstheme="minorHAnsi"/>
                <w:i/>
                <w:iCs/>
                <w:sz w:val="20"/>
                <w:szCs w:val="20"/>
              </w:rPr>
            </w:pPr>
            <w:r w:rsidRPr="005E10E6">
              <w:rPr>
                <w:rFonts w:eastAsia="Times New Roman" w:cstheme="minorHAnsi"/>
                <w:i/>
                <w:iCs/>
                <w:sz w:val="20"/>
                <w:szCs w:val="20"/>
              </w:rPr>
              <w:t>Cybersecurity</w:t>
            </w:r>
          </w:p>
        </w:tc>
      </w:tr>
      <w:tr w:rsidR="00C42A2A" w:rsidRPr="005E10E6" w14:paraId="376BD4E5" w14:textId="77777777" w:rsidTr="005E10E6">
        <w:trPr>
          <w:jc w:val="center"/>
        </w:trPr>
        <w:tc>
          <w:tcPr>
            <w:tcW w:w="1702" w:type="dxa"/>
            <w:shd w:val="clear" w:color="auto" w:fill="D9E2F3" w:themeFill="accent1" w:themeFillTint="33"/>
            <w:vAlign w:val="center"/>
          </w:tcPr>
          <w:p w14:paraId="76B337BB"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Australia</w:t>
            </w:r>
          </w:p>
          <w:p w14:paraId="546E0927" w14:textId="77777777" w:rsidR="00C42A2A" w:rsidRPr="005E10E6" w:rsidRDefault="00C42A2A" w:rsidP="005E10E6">
            <w:pPr>
              <w:pStyle w:val="NoSpacing"/>
              <w:spacing w:beforeLines="40" w:before="96" w:afterLines="40" w:after="96"/>
              <w:jc w:val="center"/>
              <w:rPr>
                <w:rFonts w:cstheme="minorHAnsi"/>
                <w:b/>
                <w:bCs/>
                <w:sz w:val="20"/>
                <w:szCs w:val="20"/>
              </w:rPr>
            </w:pPr>
          </w:p>
          <w:p w14:paraId="1C61FFB3"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Australian Cyber Security Centre</w:t>
            </w:r>
          </w:p>
        </w:tc>
        <w:tc>
          <w:tcPr>
            <w:tcW w:w="6095" w:type="dxa"/>
            <w:shd w:val="clear" w:color="auto" w:fill="auto"/>
          </w:tcPr>
          <w:p w14:paraId="769B4A65"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The </w:t>
            </w:r>
            <w:r w:rsidRPr="005E10E6">
              <w:rPr>
                <w:rFonts w:cstheme="minorHAnsi"/>
                <w:b/>
                <w:bCs/>
                <w:sz w:val="20"/>
                <w:szCs w:val="20"/>
              </w:rPr>
              <w:t>High Assurance Evaluations and ASD Cryptographic Evaluation (ACE)</w:t>
            </w:r>
            <w:r w:rsidRPr="005E10E6">
              <w:rPr>
                <w:rFonts w:cstheme="minorHAnsi"/>
                <w:sz w:val="20"/>
                <w:szCs w:val="20"/>
              </w:rPr>
              <w:t xml:space="preserve"> programmes test products to search for security vulnerabilities. A consumer guide is published to provide guidance on the authorised configuration and use, including any qualification. </w:t>
            </w:r>
          </w:p>
          <w:p w14:paraId="3E81F2C3"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b/>
                <w:bCs/>
                <w:sz w:val="20"/>
                <w:szCs w:val="20"/>
              </w:rPr>
              <w:t>Australasian Information Security Evaluation Program (AISEP)</w:t>
            </w:r>
            <w:r w:rsidRPr="005E10E6">
              <w:rPr>
                <w:rFonts w:cstheme="minorHAnsi"/>
                <w:sz w:val="20"/>
                <w:szCs w:val="20"/>
              </w:rPr>
              <w:t xml:space="preserve"> evaluates security of ICT products through the Common Criteria Recognition Arrangement. These evaluation activities are certified by the Australasian Certification Authority (ACA). A commercial facility, Australasian Information Security Evaluation Facility (AISEF), conducts evaluations under the AISEP.</w:t>
            </w:r>
          </w:p>
          <w:p w14:paraId="1A4AF63D"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ACSC produces the </w:t>
            </w:r>
            <w:r w:rsidRPr="005E10E6">
              <w:rPr>
                <w:rFonts w:cstheme="minorHAnsi"/>
                <w:b/>
                <w:bCs/>
                <w:sz w:val="20"/>
                <w:szCs w:val="20"/>
              </w:rPr>
              <w:t>Australian Government Information Security Manual</w:t>
            </w:r>
            <w:r w:rsidRPr="005E10E6">
              <w:rPr>
                <w:rFonts w:cstheme="minorHAnsi"/>
                <w:sz w:val="20"/>
                <w:szCs w:val="20"/>
              </w:rPr>
              <w:t xml:space="preserve"> to outline a cybersecurity framework that businesses can apply to protect themselves from cyber threats. It contains practical </w:t>
            </w:r>
            <w:r w:rsidRPr="005E10E6">
              <w:rPr>
                <w:rFonts w:cstheme="minorHAnsi"/>
                <w:sz w:val="20"/>
                <w:szCs w:val="20"/>
              </w:rPr>
              <w:lastRenderedPageBreak/>
              <w:t>guidelines as well as recommended standards for organisations to follow.</w:t>
            </w:r>
          </w:p>
        </w:tc>
        <w:tc>
          <w:tcPr>
            <w:tcW w:w="1701" w:type="dxa"/>
            <w:vMerge/>
          </w:tcPr>
          <w:p w14:paraId="48D53C01" w14:textId="77777777" w:rsidR="00C42A2A" w:rsidRPr="005E10E6" w:rsidRDefault="00C42A2A" w:rsidP="005E10E6">
            <w:pPr>
              <w:pStyle w:val="NoSpacing"/>
              <w:spacing w:beforeLines="40" w:before="96" w:afterLines="40" w:after="96"/>
              <w:rPr>
                <w:rFonts w:cstheme="minorHAnsi"/>
                <w:sz w:val="20"/>
                <w:szCs w:val="20"/>
              </w:rPr>
            </w:pPr>
          </w:p>
        </w:tc>
      </w:tr>
      <w:tr w:rsidR="00C42A2A" w:rsidRPr="005E10E6" w14:paraId="45EE4105" w14:textId="77777777" w:rsidTr="005E10E6">
        <w:trPr>
          <w:jc w:val="center"/>
        </w:trPr>
        <w:tc>
          <w:tcPr>
            <w:tcW w:w="9498" w:type="dxa"/>
            <w:gridSpan w:val="3"/>
            <w:shd w:val="clear" w:color="auto" w:fill="B4C6E7" w:themeFill="accent1" w:themeFillTint="66"/>
            <w:vAlign w:val="center"/>
          </w:tcPr>
          <w:p w14:paraId="3ED32990" w14:textId="77777777" w:rsidR="00C42A2A" w:rsidRPr="005E10E6" w:rsidRDefault="00C42A2A" w:rsidP="005E10E6">
            <w:pPr>
              <w:pStyle w:val="NoSpacing"/>
              <w:spacing w:beforeLines="40" w:before="96" w:afterLines="40" w:after="96"/>
              <w:rPr>
                <w:rFonts w:eastAsia="Times New Roman" w:cstheme="minorHAnsi"/>
                <w:b/>
                <w:bCs/>
                <w:sz w:val="20"/>
                <w:szCs w:val="20"/>
              </w:rPr>
            </w:pPr>
            <w:r w:rsidRPr="005E10E6">
              <w:rPr>
                <w:rFonts w:eastAsia="Times New Roman" w:cstheme="minorHAnsi"/>
                <w:b/>
                <w:bCs/>
                <w:i/>
                <w:iCs/>
                <w:sz w:val="20"/>
                <w:szCs w:val="20"/>
              </w:rPr>
              <w:t>Smart Cities, eGovernment</w:t>
            </w:r>
          </w:p>
        </w:tc>
      </w:tr>
      <w:tr w:rsidR="00C42A2A" w:rsidRPr="005E10E6" w14:paraId="4F863137" w14:textId="77777777" w:rsidTr="005E10E6">
        <w:trPr>
          <w:jc w:val="center"/>
        </w:trPr>
        <w:tc>
          <w:tcPr>
            <w:tcW w:w="1702" w:type="dxa"/>
            <w:shd w:val="clear" w:color="auto" w:fill="D9E2F3" w:themeFill="accent1" w:themeFillTint="33"/>
            <w:vAlign w:val="center"/>
          </w:tcPr>
          <w:p w14:paraId="60413023"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3FE087F4" w14:textId="77777777" w:rsidR="00C42A2A" w:rsidRPr="005E10E6" w:rsidRDefault="00C42A2A" w:rsidP="005E10E6">
            <w:pPr>
              <w:pStyle w:val="NoSpacing"/>
              <w:spacing w:beforeLines="40" w:before="96" w:afterLines="40" w:after="96"/>
              <w:jc w:val="center"/>
              <w:rPr>
                <w:rFonts w:cstheme="minorHAnsi"/>
                <w:b/>
                <w:bCs/>
                <w:sz w:val="20"/>
                <w:szCs w:val="20"/>
              </w:rPr>
            </w:pPr>
          </w:p>
          <w:p w14:paraId="23CC824B"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Smart Nation and Digital Government Office</w:t>
            </w:r>
          </w:p>
        </w:tc>
        <w:tc>
          <w:tcPr>
            <w:tcW w:w="6095" w:type="dxa"/>
            <w:shd w:val="clear" w:color="auto" w:fill="auto"/>
          </w:tcPr>
          <w:p w14:paraId="77AF4B3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Upgrading of digital ID</w:t>
            </w:r>
          </w:p>
          <w:p w14:paraId="1AE654C1"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Streamlining e-government services</w:t>
            </w:r>
          </w:p>
          <w:p w14:paraId="114E31AE"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planning of a range of Smart Nation projects across sectors such as payments and transport.</w:t>
            </w:r>
          </w:p>
          <w:p w14:paraId="7FD49136"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Core Operations Development Environment and eXchange</w:t>
            </w:r>
            <w:r w:rsidRPr="005E10E6">
              <w:rPr>
                <w:rFonts w:eastAsia="Times New Roman" w:cstheme="minorHAnsi"/>
                <w:sz w:val="20"/>
                <w:szCs w:val="20"/>
              </w:rPr>
              <w:t xml:space="preserve"> (CODEX), for more efficient e-government service delivery</w:t>
            </w:r>
          </w:p>
          <w:p w14:paraId="18D3BCE1"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E-payments</w:t>
            </w:r>
            <w:r w:rsidRPr="005E10E6">
              <w:rPr>
                <w:rFonts w:eastAsia="Times New Roman" w:cstheme="minorHAnsi"/>
                <w:sz w:val="20"/>
                <w:szCs w:val="20"/>
              </w:rPr>
              <w:t>, to enable seamless and secure digital transactions to be made over an interoperable national e-payments infrastructure</w:t>
            </w:r>
          </w:p>
          <w:p w14:paraId="0E01CBBF"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National Digital Identity (NDI),</w:t>
            </w:r>
            <w:r w:rsidRPr="005E10E6">
              <w:rPr>
                <w:rFonts w:eastAsia="Times New Roman" w:cstheme="minorHAnsi"/>
                <w:sz w:val="20"/>
                <w:szCs w:val="20"/>
              </w:rPr>
              <w:t xml:space="preserve"> which not only allows Singapore businesses and residents to transact securely and efficiently with the government, but is also interoperable across both public and private sectors. Businesses and individuals can verify their identity and give companies their authorisation and consent using digital signatures.</w:t>
            </w:r>
          </w:p>
          <w:p w14:paraId="75F22737"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Smart Nation Sensor Platform (SNSP),</w:t>
            </w:r>
            <w:r w:rsidRPr="005E10E6">
              <w:rPr>
                <w:rFonts w:eastAsia="Times New Roman" w:cstheme="minorHAnsi"/>
                <w:sz w:val="20"/>
                <w:szCs w:val="20"/>
              </w:rPr>
              <w:t xml:space="preserve"> using sensors and data to improve urban planning, security and public transport.</w:t>
            </w:r>
          </w:p>
          <w:p w14:paraId="65D75819"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Smart Urban Mobility</w:t>
            </w:r>
            <w:r w:rsidRPr="005E10E6">
              <w:rPr>
                <w:rFonts w:eastAsia="Times New Roman" w:cstheme="minorHAnsi"/>
                <w:sz w:val="20"/>
                <w:szCs w:val="20"/>
              </w:rPr>
              <w:t>, using digital technologies to improve the public transport system, Technical Reference 68 (TR 68) to promote safe national deployment of AVs, which is the first such standard in the world</w:t>
            </w:r>
          </w:p>
        </w:tc>
        <w:tc>
          <w:tcPr>
            <w:tcW w:w="1701" w:type="dxa"/>
            <w:vMerge w:val="restart"/>
            <w:shd w:val="clear" w:color="auto" w:fill="auto"/>
            <w:vAlign w:val="center"/>
          </w:tcPr>
          <w:p w14:paraId="115B9F4F" w14:textId="77777777" w:rsidR="00C42A2A" w:rsidRPr="005E10E6" w:rsidRDefault="00C42A2A" w:rsidP="005E10E6">
            <w:pPr>
              <w:pStyle w:val="NoSpacing"/>
              <w:spacing w:beforeLines="40" w:before="96" w:afterLines="40" w:after="96"/>
              <w:rPr>
                <w:rFonts w:eastAsia="Times New Roman" w:cstheme="minorHAnsi"/>
                <w:i/>
                <w:iCs/>
                <w:sz w:val="20"/>
                <w:szCs w:val="20"/>
              </w:rPr>
            </w:pPr>
          </w:p>
          <w:p w14:paraId="02FB6694" w14:textId="77777777" w:rsidR="00C42A2A" w:rsidRPr="005E10E6" w:rsidRDefault="00C42A2A" w:rsidP="001F09E1">
            <w:pPr>
              <w:pStyle w:val="NoSpacing"/>
              <w:numPr>
                <w:ilvl w:val="0"/>
                <w:numId w:val="17"/>
              </w:numPr>
              <w:spacing w:beforeLines="40" w:before="96" w:afterLines="40" w:after="96"/>
              <w:ind w:left="360"/>
              <w:rPr>
                <w:rFonts w:eastAsia="Times New Roman" w:cstheme="minorHAnsi"/>
                <w:i/>
                <w:iCs/>
                <w:sz w:val="20"/>
                <w:szCs w:val="20"/>
              </w:rPr>
            </w:pPr>
            <w:r w:rsidRPr="005E10E6">
              <w:rPr>
                <w:rFonts w:eastAsia="Times New Roman" w:cstheme="minorHAnsi"/>
                <w:i/>
                <w:iCs/>
                <w:sz w:val="20"/>
                <w:szCs w:val="20"/>
              </w:rPr>
              <w:t>Smart Cities</w:t>
            </w:r>
          </w:p>
          <w:p w14:paraId="019AFD2F" w14:textId="77777777" w:rsidR="00C42A2A" w:rsidRPr="005E10E6" w:rsidRDefault="00C42A2A" w:rsidP="001F09E1">
            <w:pPr>
              <w:pStyle w:val="NoSpacing"/>
              <w:numPr>
                <w:ilvl w:val="0"/>
                <w:numId w:val="14"/>
              </w:numPr>
              <w:spacing w:beforeLines="40" w:before="96" w:afterLines="40" w:after="96"/>
              <w:ind w:left="360"/>
              <w:rPr>
                <w:rFonts w:eastAsia="Times New Roman" w:cstheme="minorHAnsi"/>
                <w:i/>
                <w:iCs/>
                <w:sz w:val="20"/>
                <w:szCs w:val="20"/>
              </w:rPr>
            </w:pPr>
            <w:r w:rsidRPr="005E10E6">
              <w:rPr>
                <w:rFonts w:eastAsia="Times New Roman" w:cstheme="minorHAnsi"/>
                <w:i/>
                <w:iCs/>
                <w:sz w:val="20"/>
                <w:szCs w:val="20"/>
              </w:rPr>
              <w:t>AVs</w:t>
            </w:r>
          </w:p>
          <w:p w14:paraId="31EF9725" w14:textId="77777777" w:rsidR="00C42A2A" w:rsidRPr="005E10E6" w:rsidRDefault="00C42A2A" w:rsidP="001F09E1">
            <w:pPr>
              <w:pStyle w:val="NoSpacing"/>
              <w:numPr>
                <w:ilvl w:val="0"/>
                <w:numId w:val="14"/>
              </w:numPr>
              <w:spacing w:beforeLines="40" w:before="96" w:afterLines="40" w:after="96"/>
              <w:ind w:left="360"/>
              <w:rPr>
                <w:rFonts w:eastAsia="Times New Roman" w:cstheme="minorHAnsi"/>
                <w:i/>
                <w:iCs/>
                <w:sz w:val="20"/>
                <w:szCs w:val="20"/>
              </w:rPr>
            </w:pPr>
            <w:r w:rsidRPr="005E10E6">
              <w:rPr>
                <w:rFonts w:eastAsia="Times New Roman" w:cstheme="minorHAnsi"/>
                <w:i/>
                <w:iCs/>
                <w:sz w:val="20"/>
                <w:szCs w:val="20"/>
              </w:rPr>
              <w:t>Digital Identity</w:t>
            </w:r>
          </w:p>
        </w:tc>
      </w:tr>
      <w:tr w:rsidR="00C42A2A" w:rsidRPr="005E10E6" w14:paraId="78C2E170" w14:textId="77777777" w:rsidTr="005E10E6">
        <w:trPr>
          <w:jc w:val="center"/>
        </w:trPr>
        <w:tc>
          <w:tcPr>
            <w:tcW w:w="1702" w:type="dxa"/>
            <w:shd w:val="clear" w:color="auto" w:fill="D9E2F3" w:themeFill="accent1" w:themeFillTint="33"/>
            <w:vAlign w:val="center"/>
          </w:tcPr>
          <w:p w14:paraId="6A1ADC50"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r w:rsidRPr="005E10E6">
              <w:rPr>
                <w:rFonts w:eastAsia="Times New Roman" w:cstheme="minorHAnsi"/>
                <w:b/>
                <w:bCs/>
                <w:sz w:val="20"/>
                <w:szCs w:val="20"/>
              </w:rPr>
              <w:t>Australia</w:t>
            </w:r>
          </w:p>
          <w:p w14:paraId="2382DC9B"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6E55DD3B"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eastAsia="Times New Roman" w:cstheme="minorHAnsi"/>
                <w:b/>
                <w:bCs/>
                <w:sz w:val="20"/>
                <w:szCs w:val="20"/>
              </w:rPr>
              <w:t>Digital Transformation Agency</w:t>
            </w:r>
          </w:p>
        </w:tc>
        <w:tc>
          <w:tcPr>
            <w:tcW w:w="6095" w:type="dxa"/>
            <w:shd w:val="clear" w:color="auto" w:fill="auto"/>
          </w:tcPr>
          <w:p w14:paraId="6F14FFB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Sets DTA’s </w:t>
            </w:r>
            <w:r w:rsidRPr="005E10E6">
              <w:rPr>
                <w:rFonts w:eastAsia="Times New Roman" w:cstheme="minorHAnsi"/>
                <w:b/>
                <w:bCs/>
                <w:sz w:val="20"/>
                <w:szCs w:val="20"/>
              </w:rPr>
              <w:t>Digital Transformation Strategy (DTS)</w:t>
            </w:r>
            <w:r w:rsidRPr="005E10E6">
              <w:rPr>
                <w:rFonts w:eastAsia="Times New Roman" w:cstheme="minorHAnsi"/>
                <w:sz w:val="20"/>
                <w:szCs w:val="20"/>
              </w:rPr>
              <w:t xml:space="preserve"> for the Australia government’s digital transformation to 2025 and that the DTA is actively focussed on making improvements to digital ID, data-sharing and e-procurement, which have the potential to significantly accelerate trade through cooperation on standards.</w:t>
            </w:r>
          </w:p>
          <w:p w14:paraId="13A3F7AA"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Rollout of myGovID aims to streamline administrative processes and increase the ease of G2B interactions by allowing various e-government services to be accessed with a single secure digital ID.</w:t>
            </w:r>
          </w:p>
          <w:p w14:paraId="1460EDEE"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Development of the </w:t>
            </w:r>
            <w:r w:rsidRPr="005E10E6">
              <w:rPr>
                <w:rFonts w:eastAsia="Times New Roman" w:cstheme="minorHAnsi"/>
                <w:b/>
                <w:bCs/>
                <w:sz w:val="20"/>
                <w:szCs w:val="20"/>
              </w:rPr>
              <w:t>National API Design Standard (NAPIDS),</w:t>
            </w:r>
            <w:r w:rsidRPr="005E10E6">
              <w:rPr>
                <w:rFonts w:eastAsia="Times New Roman" w:cstheme="minorHAnsi"/>
                <w:sz w:val="20"/>
                <w:szCs w:val="20"/>
              </w:rPr>
              <w:t xml:space="preserve"> to facilitate data-sharing between government agencies and trusted third parties.</w:t>
            </w:r>
          </w:p>
          <w:p w14:paraId="65948DA3"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Replacing the current cloud computing procurement vehicle, the </w:t>
            </w:r>
            <w:r w:rsidRPr="005E10E6">
              <w:rPr>
                <w:rFonts w:eastAsia="Times New Roman" w:cstheme="minorHAnsi"/>
                <w:b/>
                <w:bCs/>
                <w:sz w:val="20"/>
                <w:szCs w:val="20"/>
              </w:rPr>
              <w:t>Cloud Services Panel, with a new Cloud Marketplace</w:t>
            </w:r>
            <w:r w:rsidRPr="005E10E6">
              <w:rPr>
                <w:rFonts w:eastAsia="Times New Roman" w:cstheme="minorHAnsi"/>
                <w:sz w:val="20"/>
                <w:szCs w:val="20"/>
              </w:rPr>
              <w:t xml:space="preserve"> this year would enable government to shop a wider range of cloud-based solutions.</w:t>
            </w:r>
          </w:p>
          <w:p w14:paraId="0F0A9FA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bookmarkStart w:id="117" w:name="_Hlk39057500"/>
            <w:r w:rsidRPr="005E10E6">
              <w:rPr>
                <w:rFonts w:eastAsia="Times New Roman" w:cstheme="minorHAnsi"/>
                <w:sz w:val="20"/>
                <w:szCs w:val="20"/>
              </w:rPr>
              <w:t>Participation in discussions around ISO 24760 regarding identity management</w:t>
            </w:r>
          </w:p>
          <w:p w14:paraId="259C742F"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Reviews of standards including </w:t>
            </w:r>
            <w:r w:rsidRPr="005E10E6">
              <w:rPr>
                <w:rFonts w:eastAsia="Times New Roman" w:cstheme="minorHAnsi"/>
                <w:b/>
                <w:bCs/>
                <w:sz w:val="20"/>
                <w:szCs w:val="20"/>
              </w:rPr>
              <w:t>Biometrics,</w:t>
            </w:r>
            <w:r w:rsidRPr="005E10E6">
              <w:rPr>
                <w:rFonts w:eastAsia="Times New Roman" w:cstheme="minorHAnsi"/>
                <w:sz w:val="20"/>
                <w:szCs w:val="20"/>
              </w:rPr>
              <w:t xml:space="preserve"> NIST, ISO and FIDO.  </w:t>
            </w:r>
            <w:bookmarkEnd w:id="117"/>
          </w:p>
        </w:tc>
        <w:tc>
          <w:tcPr>
            <w:tcW w:w="1701" w:type="dxa"/>
            <w:vMerge/>
          </w:tcPr>
          <w:p w14:paraId="7E21FBB9" w14:textId="77777777" w:rsidR="00C42A2A" w:rsidRPr="005E10E6" w:rsidRDefault="00C42A2A" w:rsidP="005E10E6">
            <w:pPr>
              <w:pStyle w:val="NoSpacing"/>
              <w:spacing w:beforeLines="40" w:before="96" w:afterLines="40" w:after="96"/>
              <w:rPr>
                <w:rFonts w:eastAsia="Times New Roman" w:cstheme="minorHAnsi"/>
                <w:sz w:val="20"/>
                <w:szCs w:val="20"/>
              </w:rPr>
            </w:pPr>
          </w:p>
        </w:tc>
      </w:tr>
      <w:tr w:rsidR="00C42A2A" w:rsidRPr="005E10E6" w14:paraId="703AD44C" w14:textId="77777777" w:rsidTr="005E10E6">
        <w:trPr>
          <w:jc w:val="center"/>
        </w:trPr>
        <w:tc>
          <w:tcPr>
            <w:tcW w:w="9498" w:type="dxa"/>
            <w:gridSpan w:val="3"/>
            <w:shd w:val="clear" w:color="auto" w:fill="B4C6E7" w:themeFill="accent1" w:themeFillTint="66"/>
            <w:vAlign w:val="center"/>
          </w:tcPr>
          <w:p w14:paraId="674F81FE" w14:textId="77777777" w:rsidR="00C42A2A" w:rsidRPr="005E10E6" w:rsidRDefault="00C42A2A" w:rsidP="005E10E6">
            <w:pPr>
              <w:pStyle w:val="NoSpacing"/>
              <w:spacing w:beforeLines="40" w:before="96" w:afterLines="40" w:after="96"/>
              <w:rPr>
                <w:rFonts w:eastAsia="Times New Roman" w:cstheme="minorHAnsi"/>
                <w:i/>
                <w:iCs/>
                <w:sz w:val="20"/>
                <w:szCs w:val="20"/>
              </w:rPr>
            </w:pPr>
            <w:r w:rsidRPr="005E10E6">
              <w:rPr>
                <w:rFonts w:cstheme="minorHAnsi"/>
                <w:b/>
                <w:bCs/>
                <w:i/>
                <w:iCs/>
                <w:sz w:val="20"/>
                <w:szCs w:val="20"/>
              </w:rPr>
              <w:t>Finance and Payment</w:t>
            </w:r>
          </w:p>
        </w:tc>
      </w:tr>
      <w:tr w:rsidR="00C42A2A" w:rsidRPr="005E10E6" w14:paraId="799D47D4" w14:textId="77777777" w:rsidTr="005E10E6">
        <w:trPr>
          <w:jc w:val="center"/>
        </w:trPr>
        <w:tc>
          <w:tcPr>
            <w:tcW w:w="1702" w:type="dxa"/>
            <w:shd w:val="clear" w:color="auto" w:fill="D9E2F3" w:themeFill="accent1" w:themeFillTint="33"/>
            <w:vAlign w:val="center"/>
          </w:tcPr>
          <w:p w14:paraId="1BEF5E73"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4907188D" w14:textId="77777777" w:rsidR="00C42A2A" w:rsidRPr="005E10E6" w:rsidRDefault="00C42A2A" w:rsidP="005E10E6">
            <w:pPr>
              <w:pStyle w:val="NoSpacing"/>
              <w:spacing w:beforeLines="40" w:before="96" w:afterLines="40" w:after="96"/>
              <w:jc w:val="center"/>
              <w:rPr>
                <w:rFonts w:cstheme="minorHAnsi"/>
                <w:b/>
                <w:bCs/>
                <w:sz w:val="20"/>
                <w:szCs w:val="20"/>
              </w:rPr>
            </w:pPr>
          </w:p>
          <w:p w14:paraId="3045AA99"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lastRenderedPageBreak/>
              <w:t>Monetary Authority of Singapore</w:t>
            </w:r>
          </w:p>
        </w:tc>
        <w:tc>
          <w:tcPr>
            <w:tcW w:w="6095" w:type="dxa"/>
            <w:shd w:val="clear" w:color="auto" w:fill="auto"/>
          </w:tcPr>
          <w:p w14:paraId="7BAE6D18"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lastRenderedPageBreak/>
              <w:t>Singapore Quick Response Code (SGQR),</w:t>
            </w:r>
            <w:r w:rsidRPr="005E10E6">
              <w:rPr>
                <w:rFonts w:eastAsia="Times New Roman" w:cstheme="minorHAnsi"/>
                <w:sz w:val="20"/>
                <w:szCs w:val="20"/>
              </w:rPr>
              <w:t xml:space="preserve"> a common QR code specification for e-payments that allows for the creation of a single multi-tenanted QR for each merchant, and is supported by a central infrastructure.</w:t>
            </w:r>
          </w:p>
          <w:p w14:paraId="6D9C36CA"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lastRenderedPageBreak/>
              <w:t xml:space="preserve">MAS has been in discussion with ASEAN Bankers Association, Association of Banks in Singapore, other regional central banks and foreign banking associations to explore ASEAN QR code. </w:t>
            </w:r>
          </w:p>
          <w:p w14:paraId="1CEED401"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 xml:space="preserve">API Exchange (APIX) </w:t>
            </w:r>
            <w:r w:rsidRPr="005E10E6">
              <w:rPr>
                <w:rFonts w:eastAsia="Times New Roman" w:cstheme="minorHAnsi"/>
                <w:sz w:val="20"/>
                <w:szCs w:val="20"/>
              </w:rPr>
              <w:t>aims to support financial innovation and inclusion in ASEAN and beyond.</w:t>
            </w:r>
            <w:r w:rsidRPr="005E10E6">
              <w:rPr>
                <w:rStyle w:val="FootnoteReference"/>
                <w:rFonts w:eastAsia="Times New Roman" w:cstheme="minorHAnsi"/>
                <w:sz w:val="20"/>
                <w:szCs w:val="20"/>
              </w:rPr>
              <w:footnoteReference w:id="171"/>
            </w:r>
            <w:r w:rsidRPr="005E10E6">
              <w:rPr>
                <w:rFonts w:eastAsia="Times New Roman" w:cstheme="minorHAnsi"/>
                <w:sz w:val="20"/>
                <w:szCs w:val="20"/>
              </w:rPr>
              <w:t xml:space="preserve"> As a global, open-architecture platform, APIX enables FIs and FinTech firms to discover and collaborate in innovative experiments.</w:t>
            </w:r>
          </w:p>
          <w:p w14:paraId="1147DE24"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b/>
                <w:bCs/>
                <w:sz w:val="20"/>
                <w:szCs w:val="20"/>
              </w:rPr>
              <w:t>Business sans Borders (BSB)</w:t>
            </w:r>
            <w:r w:rsidRPr="005E10E6">
              <w:rPr>
                <w:rFonts w:eastAsia="Times New Roman" w:cstheme="minorHAnsi"/>
                <w:sz w:val="20"/>
                <w:szCs w:val="20"/>
              </w:rPr>
              <w:t>, an open, global digital meta-hub, connecting multiple business platforms and services platforms. BSB will utilise artificial intelligence (AI) to enable traders, platforms, business associations, and SMEs to share common data, discover prices and sales opportunities in a larger global marketplace, access various supply chains, and easily source for and utilise relevant digital and financial solutions.</w:t>
            </w:r>
          </w:p>
          <w:p w14:paraId="0D21D243"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Developed </w:t>
            </w:r>
            <w:r w:rsidRPr="005E10E6">
              <w:rPr>
                <w:rFonts w:eastAsia="Times New Roman" w:cstheme="minorHAnsi"/>
                <w:b/>
                <w:bCs/>
                <w:sz w:val="20"/>
                <w:szCs w:val="20"/>
              </w:rPr>
              <w:t>Principles to promote Fairness, Ethics, Accountability and Transparency (FEAT</w:t>
            </w:r>
            <w:r w:rsidRPr="005E10E6">
              <w:rPr>
                <w:rFonts w:eastAsia="Times New Roman" w:cstheme="minorHAnsi"/>
                <w:sz w:val="20"/>
                <w:szCs w:val="20"/>
              </w:rPr>
              <w:t xml:space="preserve">) in the use of AI in Singapore’s financial sector. </w:t>
            </w:r>
          </w:p>
          <w:p w14:paraId="658C1D3E"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Participation in upcoming </w:t>
            </w:r>
            <w:r w:rsidRPr="005E10E6">
              <w:rPr>
                <w:rFonts w:eastAsia="Times New Roman" w:cstheme="minorHAnsi"/>
                <w:b/>
                <w:bCs/>
                <w:sz w:val="20"/>
                <w:szCs w:val="20"/>
              </w:rPr>
              <w:t>ISO/DTS 23029 standard</w:t>
            </w:r>
            <w:r w:rsidRPr="005E10E6">
              <w:rPr>
                <w:rFonts w:eastAsia="Times New Roman" w:cstheme="minorHAnsi"/>
                <w:sz w:val="20"/>
                <w:szCs w:val="20"/>
              </w:rPr>
              <w:t xml:space="preserve"> for web-based API for financial services</w:t>
            </w:r>
          </w:p>
        </w:tc>
        <w:tc>
          <w:tcPr>
            <w:tcW w:w="1701" w:type="dxa"/>
            <w:vMerge w:val="restart"/>
            <w:shd w:val="clear" w:color="auto" w:fill="auto"/>
          </w:tcPr>
          <w:p w14:paraId="4B4AC99C"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i/>
                <w:iCs/>
                <w:sz w:val="20"/>
                <w:szCs w:val="20"/>
              </w:rPr>
            </w:pPr>
            <w:r w:rsidRPr="005E10E6">
              <w:rPr>
                <w:rFonts w:eastAsia="Times New Roman" w:cstheme="minorHAnsi"/>
                <w:i/>
                <w:iCs/>
                <w:sz w:val="20"/>
                <w:szCs w:val="20"/>
              </w:rPr>
              <w:lastRenderedPageBreak/>
              <w:t>Blockchain</w:t>
            </w:r>
          </w:p>
          <w:p w14:paraId="0F2549B4"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i/>
                <w:iCs/>
                <w:sz w:val="20"/>
                <w:szCs w:val="20"/>
              </w:rPr>
            </w:pPr>
            <w:r w:rsidRPr="005E10E6">
              <w:rPr>
                <w:rFonts w:eastAsia="Times New Roman" w:cstheme="minorHAnsi"/>
                <w:i/>
                <w:iCs/>
                <w:sz w:val="20"/>
                <w:szCs w:val="20"/>
              </w:rPr>
              <w:t>QR Codes</w:t>
            </w:r>
          </w:p>
          <w:p w14:paraId="248944A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i/>
                <w:iCs/>
                <w:sz w:val="20"/>
                <w:szCs w:val="20"/>
              </w:rPr>
            </w:pPr>
            <w:r w:rsidRPr="005E10E6">
              <w:rPr>
                <w:rFonts w:eastAsia="Times New Roman" w:cstheme="minorHAnsi"/>
                <w:i/>
                <w:iCs/>
                <w:sz w:val="20"/>
                <w:szCs w:val="20"/>
              </w:rPr>
              <w:lastRenderedPageBreak/>
              <w:t>Financial messaging and payments standards</w:t>
            </w:r>
          </w:p>
          <w:p w14:paraId="411C62DC"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i/>
                <w:iCs/>
                <w:sz w:val="20"/>
                <w:szCs w:val="20"/>
              </w:rPr>
            </w:pPr>
            <w:r w:rsidRPr="005E10E6">
              <w:rPr>
                <w:rFonts w:eastAsia="Times New Roman" w:cstheme="minorHAnsi"/>
                <w:i/>
                <w:iCs/>
                <w:sz w:val="20"/>
                <w:szCs w:val="20"/>
              </w:rPr>
              <w:t>AI</w:t>
            </w:r>
          </w:p>
          <w:p w14:paraId="79096CBB"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i/>
                <w:iCs/>
                <w:sz w:val="20"/>
                <w:szCs w:val="20"/>
              </w:rPr>
            </w:pPr>
            <w:r w:rsidRPr="005E10E6">
              <w:rPr>
                <w:rFonts w:eastAsia="Times New Roman" w:cstheme="minorHAnsi"/>
                <w:i/>
                <w:iCs/>
                <w:sz w:val="20"/>
                <w:szCs w:val="20"/>
              </w:rPr>
              <w:t>Data Portability</w:t>
            </w:r>
          </w:p>
        </w:tc>
      </w:tr>
      <w:tr w:rsidR="00C42A2A" w:rsidRPr="005E10E6" w14:paraId="56A28A4C" w14:textId="77777777" w:rsidTr="005E10E6">
        <w:trPr>
          <w:jc w:val="center"/>
        </w:trPr>
        <w:tc>
          <w:tcPr>
            <w:tcW w:w="1702" w:type="dxa"/>
            <w:shd w:val="clear" w:color="auto" w:fill="D9E2F3" w:themeFill="accent1" w:themeFillTint="33"/>
            <w:vAlign w:val="center"/>
          </w:tcPr>
          <w:p w14:paraId="21D980A3"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r w:rsidRPr="005E10E6">
              <w:rPr>
                <w:rFonts w:eastAsia="Times New Roman" w:cstheme="minorHAnsi"/>
                <w:b/>
                <w:bCs/>
                <w:sz w:val="20"/>
                <w:szCs w:val="20"/>
              </w:rPr>
              <w:lastRenderedPageBreak/>
              <w:t>Australia</w:t>
            </w:r>
          </w:p>
          <w:p w14:paraId="3028A0FE"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21B4F775"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eastAsia="Times New Roman" w:cstheme="minorHAnsi"/>
                <w:b/>
                <w:bCs/>
                <w:sz w:val="20"/>
                <w:szCs w:val="20"/>
              </w:rPr>
              <w:t>Reserve Bank of Australia</w:t>
            </w:r>
          </w:p>
        </w:tc>
        <w:tc>
          <w:tcPr>
            <w:tcW w:w="6095" w:type="dxa"/>
            <w:shd w:val="clear" w:color="auto" w:fill="auto"/>
          </w:tcPr>
          <w:p w14:paraId="36860C69"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Continue the development of digital payments including QR Codes by building </w:t>
            </w:r>
            <w:r w:rsidRPr="005E10E6">
              <w:rPr>
                <w:rFonts w:eastAsia="Times New Roman" w:cstheme="minorHAnsi"/>
                <w:b/>
                <w:bCs/>
                <w:sz w:val="20"/>
                <w:szCs w:val="20"/>
              </w:rPr>
              <w:t>New Payments Platform capabilities</w:t>
            </w:r>
            <w:r w:rsidRPr="005E10E6">
              <w:rPr>
                <w:rFonts w:eastAsia="Times New Roman" w:cstheme="minorHAnsi"/>
                <w:sz w:val="20"/>
                <w:szCs w:val="20"/>
              </w:rPr>
              <w:t xml:space="preserve"> to provide convenient, secure, and cost-effective banking services to customers.</w:t>
            </w:r>
          </w:p>
          <w:p w14:paraId="4F96E7DE"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Delivery of open and secure integration services via </w:t>
            </w:r>
            <w:r w:rsidRPr="005E10E6">
              <w:rPr>
                <w:rFonts w:eastAsia="Times New Roman" w:cstheme="minorHAnsi"/>
                <w:b/>
                <w:bCs/>
                <w:sz w:val="20"/>
                <w:szCs w:val="20"/>
              </w:rPr>
              <w:t xml:space="preserve">Application Programming Interfaces (API) </w:t>
            </w:r>
            <w:r w:rsidRPr="005E10E6">
              <w:rPr>
                <w:rFonts w:eastAsia="Times New Roman" w:cstheme="minorHAnsi"/>
                <w:sz w:val="20"/>
                <w:szCs w:val="20"/>
              </w:rPr>
              <w:t>for agencies.</w:t>
            </w:r>
          </w:p>
          <w:p w14:paraId="6B4A13AD"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Renovation of its banking applications and systems, developing reporting standards with the </w:t>
            </w:r>
            <w:r w:rsidRPr="005E10E6">
              <w:rPr>
                <w:rFonts w:eastAsia="Times New Roman" w:cstheme="minorHAnsi"/>
                <w:b/>
                <w:bCs/>
                <w:sz w:val="20"/>
                <w:szCs w:val="20"/>
              </w:rPr>
              <w:t>Australian Prudential Regulation Authority (APRA</w:t>
            </w:r>
            <w:r w:rsidRPr="005E10E6">
              <w:rPr>
                <w:rFonts w:eastAsia="Times New Roman" w:cstheme="minorHAnsi"/>
                <w:sz w:val="20"/>
                <w:szCs w:val="20"/>
              </w:rPr>
              <w:t>) for performance of retail banking services.</w:t>
            </w:r>
          </w:p>
        </w:tc>
        <w:tc>
          <w:tcPr>
            <w:tcW w:w="1701" w:type="dxa"/>
            <w:vMerge/>
          </w:tcPr>
          <w:p w14:paraId="13E1C07F" w14:textId="77777777" w:rsidR="00C42A2A" w:rsidRPr="005E10E6" w:rsidRDefault="00C42A2A" w:rsidP="005E10E6">
            <w:pPr>
              <w:pStyle w:val="NoSpacing"/>
              <w:spacing w:beforeLines="40" w:before="96" w:afterLines="40" w:after="96"/>
              <w:rPr>
                <w:rFonts w:eastAsia="Times New Roman" w:cstheme="minorHAnsi"/>
                <w:sz w:val="20"/>
                <w:szCs w:val="20"/>
              </w:rPr>
            </w:pPr>
          </w:p>
        </w:tc>
      </w:tr>
      <w:tr w:rsidR="00C42A2A" w:rsidRPr="005E10E6" w14:paraId="09B696B8" w14:textId="77777777" w:rsidTr="005E10E6">
        <w:trPr>
          <w:jc w:val="center"/>
        </w:trPr>
        <w:tc>
          <w:tcPr>
            <w:tcW w:w="9498" w:type="dxa"/>
            <w:gridSpan w:val="3"/>
            <w:shd w:val="clear" w:color="auto" w:fill="B4C6E7" w:themeFill="accent1" w:themeFillTint="66"/>
            <w:vAlign w:val="center"/>
          </w:tcPr>
          <w:p w14:paraId="34A06E5C" w14:textId="77777777" w:rsidR="00C42A2A" w:rsidRPr="005E10E6" w:rsidRDefault="00C42A2A" w:rsidP="005E10E6">
            <w:pPr>
              <w:pStyle w:val="NoSpacing"/>
              <w:spacing w:beforeLines="40" w:before="96" w:afterLines="40" w:after="96"/>
              <w:rPr>
                <w:rFonts w:cstheme="minorHAnsi"/>
                <w:i/>
                <w:iCs/>
                <w:sz w:val="20"/>
                <w:szCs w:val="20"/>
              </w:rPr>
            </w:pPr>
            <w:r w:rsidRPr="005E10E6">
              <w:rPr>
                <w:rFonts w:cstheme="minorHAnsi"/>
                <w:b/>
                <w:bCs/>
                <w:i/>
                <w:iCs/>
                <w:sz w:val="20"/>
                <w:szCs w:val="20"/>
              </w:rPr>
              <w:t>Standards Setting</w:t>
            </w:r>
          </w:p>
        </w:tc>
      </w:tr>
      <w:tr w:rsidR="00C42A2A" w:rsidRPr="005E10E6" w14:paraId="7FEFE777" w14:textId="77777777" w:rsidTr="005E10E6">
        <w:trPr>
          <w:jc w:val="center"/>
        </w:trPr>
        <w:tc>
          <w:tcPr>
            <w:tcW w:w="1702" w:type="dxa"/>
            <w:shd w:val="clear" w:color="auto" w:fill="D9E2F3" w:themeFill="accent1" w:themeFillTint="33"/>
            <w:vAlign w:val="center"/>
          </w:tcPr>
          <w:p w14:paraId="3CC0B569"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47FC4932" w14:textId="77777777" w:rsidR="00C42A2A" w:rsidRPr="005E10E6" w:rsidRDefault="00C42A2A" w:rsidP="005E10E6">
            <w:pPr>
              <w:pStyle w:val="NoSpacing"/>
              <w:spacing w:beforeLines="40" w:before="96" w:afterLines="40" w:after="96"/>
              <w:jc w:val="center"/>
              <w:rPr>
                <w:rFonts w:cstheme="minorHAnsi"/>
                <w:b/>
                <w:bCs/>
                <w:sz w:val="20"/>
                <w:szCs w:val="20"/>
              </w:rPr>
            </w:pPr>
          </w:p>
          <w:p w14:paraId="3490EB04" w14:textId="77777777" w:rsidR="00C42A2A" w:rsidRPr="005E10E6" w:rsidRDefault="00C42A2A" w:rsidP="005E10E6">
            <w:pPr>
              <w:pStyle w:val="NoSpacing"/>
              <w:spacing w:beforeLines="40" w:before="96" w:afterLines="40" w:after="96"/>
              <w:jc w:val="center"/>
              <w:rPr>
                <w:rFonts w:cstheme="minorHAnsi"/>
                <w:b/>
                <w:bCs/>
                <w:sz w:val="20"/>
                <w:szCs w:val="20"/>
              </w:rPr>
            </w:pPr>
          </w:p>
          <w:p w14:paraId="3694C8DA"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Enterprise Singapore</w:t>
            </w:r>
          </w:p>
        </w:tc>
        <w:tc>
          <w:tcPr>
            <w:tcW w:w="6095" w:type="dxa"/>
            <w:shd w:val="clear" w:color="auto" w:fill="auto"/>
          </w:tcPr>
          <w:p w14:paraId="04EA2938"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eastAsia="Times New Roman" w:cstheme="minorHAnsi"/>
                <w:sz w:val="20"/>
                <w:szCs w:val="20"/>
              </w:rPr>
              <w:t>Developing</w:t>
            </w:r>
            <w:r w:rsidRPr="005E10E6">
              <w:rPr>
                <w:rFonts w:cstheme="minorHAnsi"/>
                <w:sz w:val="20"/>
                <w:szCs w:val="20"/>
              </w:rPr>
              <w:t xml:space="preserve"> standards for </w:t>
            </w:r>
            <w:r w:rsidRPr="005E10E6">
              <w:rPr>
                <w:rFonts w:cstheme="minorHAnsi"/>
                <w:b/>
                <w:bCs/>
                <w:sz w:val="20"/>
                <w:szCs w:val="20"/>
              </w:rPr>
              <w:t>Technical Delivery</w:t>
            </w:r>
            <w:r w:rsidRPr="005E10E6">
              <w:rPr>
                <w:rFonts w:cstheme="minorHAnsi"/>
                <w:sz w:val="20"/>
                <w:szCs w:val="20"/>
              </w:rPr>
              <w:t xml:space="preserve">, at a national level through Technical Reference 46 </w:t>
            </w:r>
          </w:p>
          <w:p w14:paraId="263BEA8A"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standards for </w:t>
            </w:r>
            <w:r w:rsidRPr="005E10E6">
              <w:rPr>
                <w:rFonts w:cstheme="minorHAnsi"/>
                <w:b/>
                <w:bCs/>
                <w:sz w:val="20"/>
                <w:szCs w:val="20"/>
              </w:rPr>
              <w:t>E-payments</w:t>
            </w:r>
            <w:r w:rsidRPr="005E10E6">
              <w:rPr>
                <w:rFonts w:cstheme="minorHAnsi"/>
                <w:sz w:val="20"/>
                <w:szCs w:val="20"/>
              </w:rPr>
              <w:t xml:space="preserve"> in particular, ISO/TC68-ISO 20022, </w:t>
            </w:r>
            <w:r w:rsidRPr="005E10E6">
              <w:rPr>
                <w:rFonts w:eastAsia="Times New Roman" w:cstheme="minorHAnsi"/>
                <w:sz w:val="20"/>
                <w:szCs w:val="20"/>
              </w:rPr>
              <w:t>which</w:t>
            </w:r>
            <w:r w:rsidRPr="005E10E6">
              <w:rPr>
                <w:rFonts w:cstheme="minorHAnsi"/>
                <w:sz w:val="20"/>
                <w:szCs w:val="20"/>
              </w:rPr>
              <w:t xml:space="preserve"> is the standard for universal financial industry message.</w:t>
            </w:r>
          </w:p>
          <w:p w14:paraId="63A17584"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SG is a ‘Participating’ member of ISO/SC 42 (AI), ISO/TC 307 (Blockchain and distributed ledger) and ISO/SC 41 (IoT).</w:t>
            </w:r>
          </w:p>
          <w:p w14:paraId="44262A6F"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Enterprise Singapore also participates in the ASEAN Consultative Committee on Standards and Quality (ACCSQ), including the newly </w:t>
            </w:r>
            <w:r w:rsidRPr="005E10E6">
              <w:rPr>
                <w:rFonts w:cstheme="minorHAnsi"/>
                <w:sz w:val="20"/>
                <w:szCs w:val="20"/>
              </w:rPr>
              <w:lastRenderedPageBreak/>
              <w:t>formed Digital Trade Standards and Conformance Product Working Group</w:t>
            </w:r>
          </w:p>
          <w:p w14:paraId="0736CA3B"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standards for </w:t>
            </w:r>
            <w:r w:rsidRPr="005E10E6">
              <w:rPr>
                <w:rFonts w:cstheme="minorHAnsi"/>
                <w:b/>
                <w:bCs/>
                <w:sz w:val="20"/>
                <w:szCs w:val="20"/>
              </w:rPr>
              <w:t>AVs</w:t>
            </w:r>
            <w:r w:rsidRPr="005E10E6">
              <w:rPr>
                <w:rFonts w:cstheme="minorHAnsi"/>
                <w:sz w:val="20"/>
                <w:szCs w:val="20"/>
              </w:rPr>
              <w:t xml:space="preserve"> at a national level through, Technical Reference 68 and at an international level through ISO/TC 204 Intelligent Transport. </w:t>
            </w:r>
          </w:p>
          <w:p w14:paraId="5BF8EE1B"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standards for </w:t>
            </w:r>
            <w:r w:rsidRPr="005E10E6">
              <w:rPr>
                <w:rFonts w:cstheme="minorHAnsi"/>
                <w:b/>
                <w:bCs/>
                <w:sz w:val="20"/>
                <w:szCs w:val="20"/>
              </w:rPr>
              <w:t>3D Printing</w:t>
            </w:r>
            <w:r w:rsidRPr="005E10E6">
              <w:rPr>
                <w:rFonts w:cstheme="minorHAnsi"/>
                <w:sz w:val="20"/>
                <w:szCs w:val="20"/>
              </w:rPr>
              <w:t>, by participating in ISO/TC 261</w:t>
            </w:r>
          </w:p>
        </w:tc>
        <w:tc>
          <w:tcPr>
            <w:tcW w:w="1701" w:type="dxa"/>
            <w:shd w:val="clear" w:color="auto" w:fill="auto"/>
          </w:tcPr>
          <w:p w14:paraId="77D3763E" w14:textId="77777777" w:rsidR="00C42A2A" w:rsidRPr="005E10E6" w:rsidRDefault="00C42A2A" w:rsidP="001F09E1">
            <w:pPr>
              <w:pStyle w:val="NoSpacing"/>
              <w:numPr>
                <w:ilvl w:val="0"/>
                <w:numId w:val="14"/>
              </w:numPr>
              <w:spacing w:beforeLines="40" w:before="96" w:afterLines="40" w:after="96"/>
              <w:ind w:left="314" w:hanging="283"/>
              <w:rPr>
                <w:rFonts w:cstheme="minorHAnsi"/>
                <w:i/>
                <w:iCs/>
                <w:sz w:val="20"/>
                <w:szCs w:val="20"/>
              </w:rPr>
            </w:pPr>
            <w:r w:rsidRPr="005E10E6">
              <w:rPr>
                <w:rFonts w:cstheme="minorHAnsi"/>
                <w:i/>
                <w:iCs/>
                <w:sz w:val="20"/>
                <w:szCs w:val="20"/>
              </w:rPr>
              <w:lastRenderedPageBreak/>
              <w:t>AI</w:t>
            </w:r>
          </w:p>
          <w:p w14:paraId="066C3312" w14:textId="77777777" w:rsidR="00C42A2A" w:rsidRPr="005E10E6" w:rsidRDefault="00C42A2A" w:rsidP="001F09E1">
            <w:pPr>
              <w:pStyle w:val="NoSpacing"/>
              <w:numPr>
                <w:ilvl w:val="0"/>
                <w:numId w:val="14"/>
              </w:numPr>
              <w:spacing w:beforeLines="40" w:before="96" w:afterLines="40" w:after="96"/>
              <w:ind w:left="314" w:hanging="283"/>
              <w:rPr>
                <w:rFonts w:cstheme="minorHAnsi"/>
                <w:i/>
                <w:iCs/>
                <w:sz w:val="20"/>
                <w:szCs w:val="20"/>
              </w:rPr>
            </w:pPr>
            <w:r w:rsidRPr="005E10E6">
              <w:rPr>
                <w:rFonts w:cstheme="minorHAnsi"/>
                <w:i/>
                <w:iCs/>
                <w:sz w:val="20"/>
                <w:szCs w:val="20"/>
              </w:rPr>
              <w:t>APIs/Common Data Sharing</w:t>
            </w:r>
          </w:p>
        </w:tc>
      </w:tr>
      <w:tr w:rsidR="00C42A2A" w:rsidRPr="005E10E6" w14:paraId="4BB81355" w14:textId="77777777" w:rsidTr="005E10E6">
        <w:trPr>
          <w:trHeight w:val="5504"/>
          <w:jc w:val="center"/>
        </w:trPr>
        <w:tc>
          <w:tcPr>
            <w:tcW w:w="1702" w:type="dxa"/>
            <w:shd w:val="clear" w:color="auto" w:fill="D9E2F3" w:themeFill="accent1" w:themeFillTint="33"/>
            <w:vAlign w:val="center"/>
          </w:tcPr>
          <w:p w14:paraId="318FCDB2"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Australia</w:t>
            </w:r>
          </w:p>
          <w:p w14:paraId="74D2FD1A" w14:textId="77777777" w:rsidR="00C42A2A" w:rsidRPr="005E10E6" w:rsidRDefault="00C42A2A" w:rsidP="005E10E6">
            <w:pPr>
              <w:pStyle w:val="NoSpacing"/>
              <w:spacing w:beforeLines="40" w:before="96" w:afterLines="40" w:after="96"/>
              <w:jc w:val="center"/>
              <w:rPr>
                <w:rFonts w:cstheme="minorHAnsi"/>
                <w:b/>
                <w:bCs/>
                <w:sz w:val="20"/>
                <w:szCs w:val="20"/>
              </w:rPr>
            </w:pPr>
          </w:p>
          <w:p w14:paraId="5D44CDAC"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Standards Australia</w:t>
            </w:r>
          </w:p>
        </w:tc>
        <w:tc>
          <w:tcPr>
            <w:tcW w:w="6095" w:type="dxa"/>
            <w:shd w:val="clear" w:color="auto" w:fill="auto"/>
          </w:tcPr>
          <w:p w14:paraId="339329CF"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a roadmap for </w:t>
            </w:r>
            <w:r w:rsidRPr="005E10E6">
              <w:rPr>
                <w:rFonts w:cstheme="minorHAnsi"/>
                <w:b/>
                <w:bCs/>
                <w:sz w:val="20"/>
                <w:szCs w:val="20"/>
              </w:rPr>
              <w:t>Blockchain Standards</w:t>
            </w:r>
            <w:r w:rsidRPr="005E10E6">
              <w:rPr>
                <w:rFonts w:cstheme="minorHAnsi"/>
                <w:sz w:val="20"/>
                <w:szCs w:val="20"/>
              </w:rPr>
              <w:t xml:space="preserve">. In particular, managing the Secretariat for </w:t>
            </w:r>
            <w:r w:rsidRPr="005E10E6">
              <w:rPr>
                <w:rFonts w:cstheme="minorHAnsi"/>
                <w:b/>
                <w:bCs/>
                <w:sz w:val="20"/>
                <w:szCs w:val="20"/>
              </w:rPr>
              <w:t>ISO/TC 307</w:t>
            </w:r>
            <w:r w:rsidRPr="005E10E6">
              <w:rPr>
                <w:rFonts w:cstheme="minorHAnsi"/>
                <w:sz w:val="20"/>
                <w:szCs w:val="20"/>
              </w:rPr>
              <w:t xml:space="preserve"> for blockchain and distributed ledger technologies</w:t>
            </w:r>
          </w:p>
          <w:p w14:paraId="2FB7BA60"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standards for </w:t>
            </w:r>
            <w:r w:rsidRPr="005E10E6">
              <w:rPr>
                <w:rFonts w:cstheme="minorHAnsi"/>
                <w:b/>
                <w:bCs/>
                <w:sz w:val="20"/>
                <w:szCs w:val="20"/>
              </w:rPr>
              <w:t>AI</w:t>
            </w:r>
            <w:r w:rsidRPr="005E10E6">
              <w:rPr>
                <w:rFonts w:cstheme="minorHAnsi"/>
                <w:sz w:val="20"/>
                <w:szCs w:val="20"/>
              </w:rPr>
              <w:t xml:space="preserve"> that allow Australia to take the lead at an international level.</w:t>
            </w:r>
          </w:p>
          <w:p w14:paraId="3675B5FD"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Developing standards for </w:t>
            </w:r>
            <w:r w:rsidRPr="005E10E6">
              <w:rPr>
                <w:rFonts w:cstheme="minorHAnsi"/>
                <w:b/>
                <w:bCs/>
                <w:sz w:val="20"/>
                <w:szCs w:val="20"/>
              </w:rPr>
              <w:t>Smart Cities,</w:t>
            </w:r>
            <w:r w:rsidRPr="005E10E6">
              <w:rPr>
                <w:rFonts w:cstheme="minorHAnsi"/>
                <w:sz w:val="20"/>
                <w:szCs w:val="20"/>
              </w:rPr>
              <w:t xml:space="preserve"> for instance Standards Australia participated in the </w:t>
            </w:r>
            <w:r w:rsidRPr="005E10E6">
              <w:rPr>
                <w:rFonts w:cstheme="minorHAnsi"/>
                <w:b/>
                <w:bCs/>
                <w:sz w:val="20"/>
                <w:szCs w:val="20"/>
              </w:rPr>
              <w:t>ISO Technical Management Board UN Sustainable Development Goals (SDG) Taskforce</w:t>
            </w:r>
            <w:r w:rsidRPr="005E10E6">
              <w:rPr>
                <w:rFonts w:cstheme="minorHAnsi"/>
                <w:sz w:val="20"/>
                <w:szCs w:val="20"/>
              </w:rPr>
              <w:t>, which relate to smart city goals and objectives, from waste management and sanitation to city infrastructure, including transport.</w:t>
            </w:r>
          </w:p>
          <w:p w14:paraId="5CD37ED4"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bookmarkStart w:id="118" w:name="_Hlk44501340"/>
            <w:bookmarkStart w:id="119" w:name="_Hlk39057174"/>
            <w:r w:rsidRPr="005E10E6">
              <w:rPr>
                <w:rFonts w:cstheme="minorHAnsi"/>
                <w:sz w:val="20"/>
                <w:szCs w:val="20"/>
              </w:rPr>
              <w:t xml:space="preserve">Develop the </w:t>
            </w:r>
            <w:r w:rsidRPr="005E10E6">
              <w:rPr>
                <w:rFonts w:cstheme="minorHAnsi"/>
                <w:b/>
                <w:bCs/>
                <w:sz w:val="20"/>
                <w:szCs w:val="20"/>
              </w:rPr>
              <w:t>NEXTgen Program</w:t>
            </w:r>
            <w:r w:rsidRPr="005E10E6">
              <w:rPr>
                <w:rFonts w:cstheme="minorHAnsi"/>
                <w:sz w:val="20"/>
                <w:szCs w:val="20"/>
              </w:rPr>
              <w:t xml:space="preserve"> develops the next generation of standards leaders and experts, building a national network of stakeholders and peers across industry sectors. Experts participate and gain exposure to standards development work at national and international level.</w:t>
            </w:r>
          </w:p>
          <w:bookmarkEnd w:id="118"/>
          <w:p w14:paraId="38B575A4"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b/>
                <w:bCs/>
                <w:sz w:val="20"/>
                <w:szCs w:val="20"/>
              </w:rPr>
              <w:t>Indo-Pacific Digital Trade Standardisation Initiative</w:t>
            </w:r>
            <w:r w:rsidRPr="005E10E6">
              <w:rPr>
                <w:rFonts w:cstheme="minorHAnsi"/>
                <w:sz w:val="20"/>
                <w:szCs w:val="20"/>
              </w:rPr>
              <w:t xml:space="preserve"> provides capacity building to help Indo Pacific countries establish/strengthen their national standards body. Aim is better engagement in international and regional standards fora, and improved standards development processes and standards dissemination</w:t>
            </w:r>
            <w:bookmarkEnd w:id="119"/>
            <w:r w:rsidRPr="005E10E6">
              <w:rPr>
                <w:rFonts w:cstheme="minorHAnsi"/>
                <w:sz w:val="20"/>
                <w:szCs w:val="20"/>
              </w:rPr>
              <w:t>.</w:t>
            </w:r>
          </w:p>
        </w:tc>
        <w:tc>
          <w:tcPr>
            <w:tcW w:w="1701" w:type="dxa"/>
            <w:shd w:val="clear" w:color="auto" w:fill="auto"/>
          </w:tcPr>
          <w:p w14:paraId="246EDA43" w14:textId="77777777" w:rsidR="00C42A2A" w:rsidRPr="005E10E6" w:rsidRDefault="00C42A2A" w:rsidP="005E10E6">
            <w:pPr>
              <w:spacing w:beforeLines="40" w:before="96" w:afterLines="40" w:after="96"/>
              <w:rPr>
                <w:rFonts w:cstheme="minorHAnsi"/>
                <w:i/>
                <w:iCs/>
                <w:sz w:val="20"/>
                <w:szCs w:val="20"/>
                <w:lang w:val="en-GB"/>
              </w:rPr>
            </w:pPr>
            <w:r w:rsidRPr="005E10E6">
              <w:rPr>
                <w:rFonts w:eastAsiaTheme="minorEastAsia" w:cstheme="minorHAnsi"/>
                <w:i/>
                <w:iCs/>
                <w:sz w:val="20"/>
                <w:szCs w:val="20"/>
                <w:lang w:val="en-GB" w:eastAsia="zh-CN"/>
              </w:rPr>
              <w:t xml:space="preserve">AI, data-sharing and data privacy, cyber security, blockchain and smart cities </w:t>
            </w:r>
          </w:p>
        </w:tc>
      </w:tr>
      <w:tr w:rsidR="00C42A2A" w:rsidRPr="005E10E6" w14:paraId="459C3525" w14:textId="77777777" w:rsidTr="005E10E6">
        <w:trPr>
          <w:jc w:val="center"/>
        </w:trPr>
        <w:tc>
          <w:tcPr>
            <w:tcW w:w="9498" w:type="dxa"/>
            <w:gridSpan w:val="3"/>
            <w:shd w:val="clear" w:color="auto" w:fill="B4C6E7" w:themeFill="accent1" w:themeFillTint="66"/>
            <w:vAlign w:val="center"/>
          </w:tcPr>
          <w:p w14:paraId="6FCA794B" w14:textId="77777777" w:rsidR="00C42A2A" w:rsidRPr="005E10E6" w:rsidRDefault="00C42A2A" w:rsidP="005E10E6">
            <w:pPr>
              <w:pStyle w:val="NoSpacing"/>
              <w:spacing w:beforeLines="40" w:before="96" w:afterLines="40" w:after="96"/>
              <w:rPr>
                <w:rFonts w:cstheme="minorHAnsi"/>
                <w:sz w:val="20"/>
                <w:szCs w:val="20"/>
              </w:rPr>
            </w:pPr>
            <w:r w:rsidRPr="005E10E6">
              <w:rPr>
                <w:rFonts w:cstheme="minorHAnsi"/>
                <w:b/>
                <w:bCs/>
                <w:i/>
                <w:iCs/>
                <w:sz w:val="20"/>
                <w:szCs w:val="20"/>
              </w:rPr>
              <w:t>Customs and Logistics</w:t>
            </w:r>
          </w:p>
        </w:tc>
      </w:tr>
      <w:tr w:rsidR="00C42A2A" w:rsidRPr="005E10E6" w14:paraId="1D2AC336" w14:textId="77777777" w:rsidTr="005E10E6">
        <w:trPr>
          <w:jc w:val="center"/>
        </w:trPr>
        <w:tc>
          <w:tcPr>
            <w:tcW w:w="1702" w:type="dxa"/>
            <w:shd w:val="clear" w:color="auto" w:fill="D9E2F3" w:themeFill="accent1" w:themeFillTint="33"/>
            <w:vAlign w:val="center"/>
          </w:tcPr>
          <w:p w14:paraId="14AFB2DF" w14:textId="77777777" w:rsidR="00C42A2A" w:rsidRPr="005E10E6" w:rsidRDefault="00C42A2A" w:rsidP="005E10E6">
            <w:pPr>
              <w:pStyle w:val="NoSpacing"/>
              <w:spacing w:beforeLines="40" w:before="96" w:afterLines="40" w:after="96"/>
              <w:jc w:val="center"/>
              <w:rPr>
                <w:rFonts w:cstheme="minorHAnsi"/>
                <w:b/>
                <w:bCs/>
                <w:sz w:val="20"/>
                <w:szCs w:val="20"/>
              </w:rPr>
            </w:pPr>
          </w:p>
          <w:p w14:paraId="336DD41A" w14:textId="77777777" w:rsidR="00C42A2A" w:rsidRPr="005E10E6" w:rsidRDefault="00C42A2A" w:rsidP="005E10E6">
            <w:pPr>
              <w:pStyle w:val="NoSpacing"/>
              <w:spacing w:beforeLines="40" w:before="96" w:afterLines="40" w:after="96"/>
              <w:jc w:val="center"/>
              <w:rPr>
                <w:rFonts w:cstheme="minorHAnsi"/>
                <w:b/>
                <w:bCs/>
                <w:sz w:val="20"/>
                <w:szCs w:val="20"/>
              </w:rPr>
            </w:pPr>
          </w:p>
          <w:p w14:paraId="176EC10A"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0EF05D13" w14:textId="77777777" w:rsidR="00C42A2A" w:rsidRPr="005E10E6" w:rsidRDefault="00C42A2A" w:rsidP="005E10E6">
            <w:pPr>
              <w:pStyle w:val="NoSpacing"/>
              <w:spacing w:beforeLines="40" w:before="96" w:afterLines="40" w:after="96"/>
              <w:jc w:val="center"/>
              <w:rPr>
                <w:rFonts w:cstheme="minorHAnsi"/>
                <w:b/>
                <w:bCs/>
                <w:sz w:val="20"/>
                <w:szCs w:val="20"/>
              </w:rPr>
            </w:pPr>
          </w:p>
          <w:p w14:paraId="362F5D79" w14:textId="77777777" w:rsidR="00C42A2A" w:rsidRPr="005E10E6" w:rsidRDefault="00C42A2A" w:rsidP="005E10E6">
            <w:pPr>
              <w:pStyle w:val="NoSpacing"/>
              <w:spacing w:beforeLines="40" w:before="96" w:afterLines="40" w:after="96"/>
              <w:jc w:val="center"/>
              <w:rPr>
                <w:rFonts w:cstheme="minorHAnsi"/>
                <w:b/>
                <w:bCs/>
                <w:sz w:val="20"/>
                <w:szCs w:val="20"/>
              </w:rPr>
            </w:pPr>
          </w:p>
          <w:p w14:paraId="5221ADF1"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Networked Trade Platform Office</w:t>
            </w:r>
            <w:r w:rsidRPr="005E10E6">
              <w:rPr>
                <w:rStyle w:val="FootnoteReference"/>
                <w:rFonts w:cstheme="minorHAnsi"/>
                <w:b/>
                <w:bCs/>
                <w:sz w:val="20"/>
                <w:szCs w:val="20"/>
              </w:rPr>
              <w:footnoteReference w:id="172"/>
            </w:r>
          </w:p>
        </w:tc>
        <w:tc>
          <w:tcPr>
            <w:tcW w:w="6095" w:type="dxa"/>
            <w:shd w:val="clear" w:color="auto" w:fill="auto"/>
          </w:tcPr>
          <w:p w14:paraId="711ADF39"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Implementation of the </w:t>
            </w:r>
            <w:r w:rsidRPr="005E10E6">
              <w:rPr>
                <w:rFonts w:cstheme="minorHAnsi"/>
                <w:b/>
                <w:bCs/>
                <w:sz w:val="20"/>
                <w:szCs w:val="20"/>
              </w:rPr>
              <w:t>Electronic Origin Data Exchange System</w:t>
            </w:r>
            <w:r w:rsidRPr="005E10E6">
              <w:rPr>
                <w:rFonts w:cstheme="minorHAnsi"/>
                <w:sz w:val="20"/>
                <w:szCs w:val="20"/>
              </w:rPr>
              <w:t xml:space="preserve"> between Singapore Customs and the General Administration of Customs of the People’s Republic of China (GACC) which enables the Preferential Certificate of Origin and Certificate of Non-Manipulation to be electronically transmitted to the GACC through the NTP.</w:t>
            </w:r>
          </w:p>
          <w:p w14:paraId="2EF28465"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b/>
                <w:bCs/>
                <w:sz w:val="20"/>
                <w:szCs w:val="20"/>
              </w:rPr>
              <w:t>Trade Finance Compliance (TFC)</w:t>
            </w:r>
            <w:r w:rsidRPr="005E10E6">
              <w:rPr>
                <w:rFonts w:cstheme="minorHAnsi"/>
                <w:sz w:val="20"/>
                <w:szCs w:val="20"/>
              </w:rPr>
              <w:t xml:space="preserve"> service to enable financial institutions to carry out compliance checks using data derived from permits issued by Singapore Customs.</w:t>
            </w:r>
          </w:p>
          <w:p w14:paraId="28CDE5BE"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b/>
                <w:bCs/>
                <w:sz w:val="20"/>
                <w:szCs w:val="20"/>
              </w:rPr>
              <w:t>CamelOne Trade Finance</w:t>
            </w:r>
            <w:r w:rsidRPr="005E10E6">
              <w:rPr>
                <w:rFonts w:cstheme="minorHAnsi"/>
                <w:sz w:val="20"/>
                <w:szCs w:val="20"/>
              </w:rPr>
              <w:t xml:space="preserve"> which enables businesses to apply for trade finance products digitally from a list of participating banks using data and documents already uploaded in the NTP in standardised forms.</w:t>
            </w:r>
          </w:p>
          <w:p w14:paraId="7DF375B3"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lastRenderedPageBreak/>
              <w:t xml:space="preserve">Removal of hard copy certificates for the </w:t>
            </w:r>
            <w:r w:rsidRPr="005E10E6">
              <w:rPr>
                <w:rFonts w:cstheme="minorHAnsi"/>
                <w:b/>
                <w:bCs/>
                <w:sz w:val="20"/>
                <w:szCs w:val="20"/>
              </w:rPr>
              <w:t>import and export of agri-related commodities</w:t>
            </w:r>
            <w:r w:rsidRPr="005E10E6">
              <w:rPr>
                <w:rFonts w:cstheme="minorHAnsi"/>
                <w:sz w:val="20"/>
                <w:szCs w:val="20"/>
              </w:rPr>
              <w:t>.</w:t>
            </w:r>
          </w:p>
          <w:p w14:paraId="7FF73F65" w14:textId="77777777" w:rsidR="00C42A2A" w:rsidRPr="005E10E6" w:rsidRDefault="00C42A2A" w:rsidP="00243CD8">
            <w:pPr>
              <w:pStyle w:val="NoSpacing"/>
              <w:spacing w:beforeLines="40" w:before="96" w:afterLines="40" w:after="96"/>
              <w:ind w:left="314"/>
              <w:rPr>
                <w:rFonts w:cstheme="minorHAnsi"/>
                <w:sz w:val="20"/>
                <w:szCs w:val="20"/>
              </w:rPr>
            </w:pPr>
          </w:p>
        </w:tc>
        <w:tc>
          <w:tcPr>
            <w:tcW w:w="1701" w:type="dxa"/>
            <w:vMerge w:val="restart"/>
            <w:shd w:val="clear" w:color="auto" w:fill="auto"/>
          </w:tcPr>
          <w:p w14:paraId="4B481122" w14:textId="77777777" w:rsidR="00C42A2A" w:rsidRPr="005E10E6" w:rsidRDefault="00C42A2A" w:rsidP="001F09E1">
            <w:pPr>
              <w:pStyle w:val="NoSpacing"/>
              <w:numPr>
                <w:ilvl w:val="0"/>
                <w:numId w:val="15"/>
              </w:numPr>
              <w:spacing w:beforeLines="40" w:before="96" w:afterLines="40" w:after="96"/>
              <w:ind w:left="316" w:hanging="283"/>
              <w:rPr>
                <w:rFonts w:cstheme="minorHAnsi"/>
                <w:i/>
                <w:iCs/>
                <w:sz w:val="20"/>
                <w:szCs w:val="20"/>
              </w:rPr>
            </w:pPr>
            <w:r w:rsidRPr="005E10E6">
              <w:rPr>
                <w:rFonts w:eastAsia="Times New Roman" w:cstheme="minorHAnsi"/>
                <w:i/>
                <w:iCs/>
                <w:sz w:val="20"/>
                <w:szCs w:val="20"/>
              </w:rPr>
              <w:lastRenderedPageBreak/>
              <w:t>Cross</w:t>
            </w:r>
            <w:r w:rsidRPr="005E10E6">
              <w:rPr>
                <w:rFonts w:cstheme="minorHAnsi"/>
                <w:i/>
                <w:iCs/>
                <w:sz w:val="20"/>
                <w:szCs w:val="20"/>
              </w:rPr>
              <w:t xml:space="preserve"> Border data</w:t>
            </w:r>
          </w:p>
          <w:p w14:paraId="26C6208B" w14:textId="77777777" w:rsidR="00C42A2A" w:rsidRPr="005E10E6" w:rsidRDefault="00C42A2A" w:rsidP="001F09E1">
            <w:pPr>
              <w:pStyle w:val="NoSpacing"/>
              <w:numPr>
                <w:ilvl w:val="0"/>
                <w:numId w:val="15"/>
              </w:numPr>
              <w:spacing w:beforeLines="40" w:before="96" w:afterLines="40" w:after="96"/>
              <w:ind w:left="316" w:hanging="283"/>
              <w:rPr>
                <w:rFonts w:cstheme="minorHAnsi"/>
                <w:sz w:val="20"/>
                <w:szCs w:val="20"/>
              </w:rPr>
            </w:pPr>
            <w:r w:rsidRPr="005E10E6">
              <w:rPr>
                <w:rFonts w:eastAsia="Times New Roman" w:cstheme="minorHAnsi"/>
                <w:i/>
                <w:iCs/>
                <w:sz w:val="20"/>
                <w:szCs w:val="20"/>
              </w:rPr>
              <w:t>Blockchain/ DLT</w:t>
            </w:r>
          </w:p>
          <w:p w14:paraId="19DB2A26" w14:textId="77777777" w:rsidR="00C42A2A" w:rsidRPr="005E10E6" w:rsidRDefault="00C42A2A" w:rsidP="001F09E1">
            <w:pPr>
              <w:pStyle w:val="NoSpacing"/>
              <w:numPr>
                <w:ilvl w:val="0"/>
                <w:numId w:val="15"/>
              </w:numPr>
              <w:spacing w:beforeLines="40" w:before="96" w:afterLines="40" w:after="96"/>
              <w:ind w:left="316" w:hanging="283"/>
              <w:rPr>
                <w:rFonts w:cstheme="minorHAnsi"/>
                <w:sz w:val="20"/>
                <w:szCs w:val="20"/>
              </w:rPr>
            </w:pPr>
            <w:r w:rsidRPr="005E10E6">
              <w:rPr>
                <w:rFonts w:eastAsia="Times New Roman" w:cstheme="minorHAnsi"/>
                <w:i/>
                <w:iCs/>
                <w:sz w:val="20"/>
                <w:szCs w:val="20"/>
              </w:rPr>
              <w:t>Cybersecurity</w:t>
            </w:r>
          </w:p>
          <w:p w14:paraId="07ECA962" w14:textId="77777777" w:rsidR="00C42A2A" w:rsidRPr="005E10E6" w:rsidRDefault="00C42A2A" w:rsidP="001F09E1">
            <w:pPr>
              <w:pStyle w:val="NoSpacing"/>
              <w:numPr>
                <w:ilvl w:val="0"/>
                <w:numId w:val="15"/>
              </w:numPr>
              <w:spacing w:beforeLines="40" w:before="96" w:afterLines="40" w:after="96"/>
              <w:ind w:left="316" w:hanging="283"/>
              <w:rPr>
                <w:rFonts w:cstheme="minorHAnsi"/>
                <w:sz w:val="20"/>
                <w:szCs w:val="20"/>
              </w:rPr>
            </w:pPr>
            <w:r w:rsidRPr="005E10E6">
              <w:rPr>
                <w:rFonts w:eastAsia="Times New Roman" w:cstheme="minorHAnsi"/>
                <w:i/>
                <w:iCs/>
                <w:sz w:val="20"/>
                <w:szCs w:val="20"/>
              </w:rPr>
              <w:t>IoT</w:t>
            </w:r>
          </w:p>
        </w:tc>
      </w:tr>
      <w:tr w:rsidR="00C42A2A" w:rsidRPr="005E10E6" w14:paraId="1151CE00" w14:textId="77777777" w:rsidTr="005E10E6">
        <w:trPr>
          <w:jc w:val="center"/>
        </w:trPr>
        <w:tc>
          <w:tcPr>
            <w:tcW w:w="1702" w:type="dxa"/>
            <w:shd w:val="clear" w:color="auto" w:fill="D9E2F3" w:themeFill="accent1" w:themeFillTint="33"/>
            <w:vAlign w:val="center"/>
          </w:tcPr>
          <w:p w14:paraId="0C8FA159"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Australia</w:t>
            </w:r>
          </w:p>
          <w:p w14:paraId="7D2D85AE" w14:textId="77777777" w:rsidR="00C42A2A" w:rsidRPr="005E10E6" w:rsidRDefault="00C42A2A" w:rsidP="005E10E6">
            <w:pPr>
              <w:pStyle w:val="NoSpacing"/>
              <w:spacing w:beforeLines="40" w:before="96" w:afterLines="40" w:after="96"/>
              <w:jc w:val="center"/>
              <w:rPr>
                <w:rFonts w:cstheme="minorHAnsi"/>
                <w:b/>
                <w:bCs/>
                <w:sz w:val="20"/>
                <w:szCs w:val="20"/>
              </w:rPr>
            </w:pPr>
          </w:p>
          <w:p w14:paraId="566E66CF"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Department of Home Affairs</w:t>
            </w:r>
          </w:p>
        </w:tc>
        <w:tc>
          <w:tcPr>
            <w:tcW w:w="6095" w:type="dxa"/>
            <w:shd w:val="clear" w:color="auto" w:fill="auto"/>
          </w:tcPr>
          <w:p w14:paraId="646B041D"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bookmarkStart w:id="120" w:name="_Hlk51081159"/>
            <w:r w:rsidRPr="005E10E6">
              <w:rPr>
                <w:rFonts w:cstheme="minorHAnsi"/>
                <w:sz w:val="20"/>
                <w:szCs w:val="20"/>
              </w:rPr>
              <w:t xml:space="preserve">Key project involving international trade is the </w:t>
            </w:r>
            <w:r w:rsidRPr="005E10E6">
              <w:rPr>
                <w:rFonts w:cstheme="minorHAnsi"/>
                <w:b/>
                <w:bCs/>
                <w:sz w:val="20"/>
                <w:szCs w:val="20"/>
              </w:rPr>
              <w:t>Single Window Project</w:t>
            </w:r>
            <w:r w:rsidRPr="005E10E6">
              <w:rPr>
                <w:rFonts w:cstheme="minorHAnsi"/>
                <w:sz w:val="20"/>
                <w:szCs w:val="20"/>
              </w:rPr>
              <w:t xml:space="preserve"> which allows Australian businesses to fulfil border clearance requirements across all government agencies through a single digital entry point.</w:t>
            </w:r>
          </w:p>
          <w:bookmarkEnd w:id="120"/>
          <w:p w14:paraId="7889C278"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Development of </w:t>
            </w:r>
            <w:r w:rsidRPr="005E10E6">
              <w:rPr>
                <w:rFonts w:cstheme="minorHAnsi"/>
                <w:b/>
                <w:bCs/>
                <w:sz w:val="20"/>
                <w:szCs w:val="20"/>
              </w:rPr>
              <w:t>Code of Practice</w:t>
            </w:r>
            <w:r w:rsidRPr="005E10E6">
              <w:rPr>
                <w:rFonts w:cstheme="minorHAnsi"/>
                <w:sz w:val="20"/>
                <w:szCs w:val="20"/>
              </w:rPr>
              <w:t xml:space="preserve"> that will apply to all IoT devices available in Australia, device manufacturers, IoT service providers and application developers. </w:t>
            </w:r>
          </w:p>
          <w:p w14:paraId="57F6720C"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Development of </w:t>
            </w:r>
            <w:r w:rsidRPr="005E10E6">
              <w:rPr>
                <w:rFonts w:cstheme="minorHAnsi"/>
                <w:b/>
                <w:bCs/>
                <w:sz w:val="20"/>
                <w:szCs w:val="20"/>
              </w:rPr>
              <w:t>WCO Cross Border E-Commerce Framework</w:t>
            </w:r>
            <w:r w:rsidRPr="005E10E6">
              <w:rPr>
                <w:rFonts w:cstheme="minorHAnsi"/>
                <w:sz w:val="20"/>
                <w:szCs w:val="20"/>
              </w:rPr>
              <w:t xml:space="preserve"> of Standards which sets out 15 global standards, including Standard 1 Advance Electronic Data, for customs administrations who want to develop legislative and operational frameworks for cross-border e-commerce goods.</w:t>
            </w:r>
          </w:p>
          <w:p w14:paraId="24822B53"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bookmarkStart w:id="121" w:name="_Hlk44501238"/>
            <w:r w:rsidRPr="005E10E6">
              <w:rPr>
                <w:rFonts w:cstheme="minorHAnsi"/>
                <w:sz w:val="20"/>
                <w:szCs w:val="20"/>
              </w:rPr>
              <w:t xml:space="preserve">Expansion of the </w:t>
            </w:r>
            <w:r w:rsidRPr="005E10E6">
              <w:rPr>
                <w:rFonts w:cstheme="minorHAnsi"/>
                <w:b/>
                <w:bCs/>
                <w:sz w:val="20"/>
                <w:szCs w:val="20"/>
              </w:rPr>
              <w:t>Australian Trusted Trader (ATT) program</w:t>
            </w:r>
            <w:r w:rsidRPr="005E10E6">
              <w:rPr>
                <w:rFonts w:cstheme="minorHAnsi"/>
                <w:sz w:val="20"/>
                <w:szCs w:val="20"/>
              </w:rPr>
              <w:t xml:space="preserve"> which accredits Australian businesses with compliant trade practices and a secure supply chain. </w:t>
            </w:r>
          </w:p>
          <w:bookmarkEnd w:id="121"/>
          <w:p w14:paraId="30C4D762" w14:textId="77777777" w:rsidR="00C42A2A" w:rsidRPr="005E10E6" w:rsidRDefault="00C42A2A" w:rsidP="001F09E1">
            <w:pPr>
              <w:pStyle w:val="NoSpacing"/>
              <w:numPr>
                <w:ilvl w:val="0"/>
                <w:numId w:val="14"/>
              </w:numPr>
              <w:spacing w:beforeLines="40" w:before="96" w:afterLines="40" w:after="96"/>
              <w:ind w:left="314" w:hanging="283"/>
              <w:rPr>
                <w:rFonts w:cstheme="minorHAnsi"/>
                <w:sz w:val="20"/>
                <w:szCs w:val="20"/>
              </w:rPr>
            </w:pPr>
            <w:r w:rsidRPr="005E10E6">
              <w:rPr>
                <w:rFonts w:cstheme="minorHAnsi"/>
                <w:sz w:val="20"/>
                <w:szCs w:val="20"/>
              </w:rPr>
              <w:t xml:space="preserve">Development of the </w:t>
            </w:r>
            <w:r w:rsidRPr="005E10E6">
              <w:rPr>
                <w:rFonts w:cstheme="minorHAnsi"/>
                <w:b/>
                <w:bCs/>
                <w:sz w:val="20"/>
                <w:szCs w:val="20"/>
              </w:rPr>
              <w:t>2020 Cyber Security Strategy</w:t>
            </w:r>
            <w:r w:rsidRPr="005E10E6">
              <w:rPr>
                <w:rFonts w:cstheme="minorHAnsi"/>
                <w:sz w:val="20"/>
                <w:szCs w:val="20"/>
              </w:rPr>
              <w:t xml:space="preserve"> to advance and protect online interests</w:t>
            </w:r>
          </w:p>
        </w:tc>
        <w:tc>
          <w:tcPr>
            <w:tcW w:w="1701" w:type="dxa"/>
            <w:vMerge/>
          </w:tcPr>
          <w:p w14:paraId="0A87A857" w14:textId="77777777" w:rsidR="00C42A2A" w:rsidRPr="005E10E6" w:rsidRDefault="00C42A2A" w:rsidP="005E10E6">
            <w:pPr>
              <w:pStyle w:val="NoSpacing"/>
              <w:spacing w:beforeLines="40" w:before="96" w:afterLines="40" w:after="96"/>
              <w:rPr>
                <w:rFonts w:cstheme="minorHAnsi"/>
                <w:sz w:val="20"/>
                <w:szCs w:val="20"/>
              </w:rPr>
            </w:pPr>
          </w:p>
        </w:tc>
      </w:tr>
      <w:tr w:rsidR="00C42A2A" w:rsidRPr="005E10E6" w14:paraId="03EF045B" w14:textId="77777777" w:rsidTr="005E10E6">
        <w:trPr>
          <w:trHeight w:val="247"/>
          <w:jc w:val="center"/>
        </w:trPr>
        <w:tc>
          <w:tcPr>
            <w:tcW w:w="9498" w:type="dxa"/>
            <w:gridSpan w:val="3"/>
            <w:shd w:val="clear" w:color="auto" w:fill="B4C6E7" w:themeFill="accent1" w:themeFillTint="66"/>
            <w:vAlign w:val="center"/>
          </w:tcPr>
          <w:p w14:paraId="0A5898EA" w14:textId="77777777" w:rsidR="00C42A2A" w:rsidRPr="005E10E6" w:rsidRDefault="00C42A2A" w:rsidP="005E10E6">
            <w:pPr>
              <w:pStyle w:val="NoSpacing"/>
              <w:spacing w:beforeLines="40" w:before="96" w:afterLines="40" w:after="96"/>
              <w:rPr>
                <w:rFonts w:eastAsia="Times New Roman" w:cstheme="minorHAnsi"/>
                <w:i/>
                <w:iCs/>
                <w:sz w:val="20"/>
                <w:szCs w:val="20"/>
              </w:rPr>
            </w:pPr>
            <w:r w:rsidRPr="005E10E6">
              <w:rPr>
                <w:rFonts w:cstheme="minorHAnsi"/>
                <w:b/>
                <w:bCs/>
                <w:i/>
                <w:iCs/>
                <w:sz w:val="20"/>
                <w:szCs w:val="20"/>
              </w:rPr>
              <w:t xml:space="preserve">Data Protection and Privacy  </w:t>
            </w:r>
          </w:p>
        </w:tc>
      </w:tr>
      <w:tr w:rsidR="00C42A2A" w:rsidRPr="005E10E6" w14:paraId="7574ECFC" w14:textId="77777777" w:rsidTr="005E10E6">
        <w:trPr>
          <w:trHeight w:val="832"/>
          <w:jc w:val="center"/>
        </w:trPr>
        <w:tc>
          <w:tcPr>
            <w:tcW w:w="1702" w:type="dxa"/>
            <w:shd w:val="clear" w:color="auto" w:fill="D9E2F3" w:themeFill="accent1" w:themeFillTint="33"/>
            <w:vAlign w:val="center"/>
          </w:tcPr>
          <w:p w14:paraId="0386C525"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Singapore</w:t>
            </w:r>
          </w:p>
          <w:p w14:paraId="6445C4C0" w14:textId="77777777" w:rsidR="00C42A2A" w:rsidRPr="005E10E6" w:rsidRDefault="00C42A2A" w:rsidP="005E10E6">
            <w:pPr>
              <w:pStyle w:val="NoSpacing"/>
              <w:spacing w:beforeLines="40" w:before="96" w:afterLines="40" w:after="96"/>
              <w:jc w:val="center"/>
              <w:rPr>
                <w:rFonts w:cstheme="minorHAnsi"/>
                <w:b/>
                <w:bCs/>
                <w:sz w:val="20"/>
                <w:szCs w:val="20"/>
              </w:rPr>
            </w:pPr>
          </w:p>
          <w:p w14:paraId="6399EF50"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cstheme="minorHAnsi"/>
                <w:b/>
                <w:bCs/>
                <w:sz w:val="20"/>
                <w:szCs w:val="20"/>
              </w:rPr>
              <w:t>Personal Data Protection Commission</w:t>
            </w:r>
          </w:p>
        </w:tc>
        <w:tc>
          <w:tcPr>
            <w:tcW w:w="6095" w:type="dxa"/>
            <w:shd w:val="clear" w:color="auto" w:fill="auto"/>
          </w:tcPr>
          <w:p w14:paraId="237EA9AE" w14:textId="77777777" w:rsidR="00C42A2A" w:rsidRPr="00CF025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CF0256">
              <w:rPr>
                <w:rFonts w:eastAsia="Times New Roman" w:cstheme="minorHAnsi"/>
                <w:sz w:val="20"/>
                <w:szCs w:val="20"/>
              </w:rPr>
              <w:t>Focused on privacy policies and practices central to digital enablers such as AI and IoT, 5G</w:t>
            </w:r>
          </w:p>
          <w:p w14:paraId="4D4034FA" w14:textId="77777777" w:rsidR="00C42A2A" w:rsidRPr="00CF025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CF0256">
              <w:rPr>
                <w:rFonts w:eastAsia="Times New Roman" w:cstheme="minorHAnsi"/>
                <w:sz w:val="20"/>
                <w:szCs w:val="20"/>
              </w:rPr>
              <w:t xml:space="preserve">PDPC recently released </w:t>
            </w:r>
            <w:r w:rsidRPr="00CF0256">
              <w:rPr>
                <w:rFonts w:eastAsia="Times New Roman" w:cstheme="minorHAnsi"/>
                <w:b/>
                <w:bCs/>
                <w:sz w:val="20"/>
                <w:szCs w:val="20"/>
              </w:rPr>
              <w:t>guidelines on cloud services and data access</w:t>
            </w:r>
            <w:r w:rsidRPr="00CF0256">
              <w:rPr>
                <w:rFonts w:eastAsia="Times New Roman" w:cstheme="minorHAnsi"/>
                <w:sz w:val="20"/>
                <w:szCs w:val="20"/>
              </w:rPr>
              <w:t xml:space="preserve"> requests. In these guidelines, PDPC encourages organisations to ensure that the CSP they engage meets relevant industry standards (e.g. ISO27001) or to obtain assurance from the CSP that all data centres/sub-processors in overseas locations comply with similar standards.</w:t>
            </w:r>
          </w:p>
          <w:p w14:paraId="333D4093" w14:textId="77777777" w:rsidR="00C42A2A" w:rsidRPr="00CF025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CF0256">
              <w:rPr>
                <w:rFonts w:eastAsia="Times New Roman" w:cstheme="minorHAnsi"/>
                <w:sz w:val="20"/>
                <w:szCs w:val="20"/>
              </w:rPr>
              <w:t xml:space="preserve">Introduced </w:t>
            </w:r>
            <w:r w:rsidRPr="00CF0256">
              <w:rPr>
                <w:rFonts w:eastAsia="Times New Roman" w:cstheme="minorHAnsi"/>
                <w:b/>
                <w:bCs/>
                <w:sz w:val="20"/>
                <w:szCs w:val="20"/>
              </w:rPr>
              <w:t>Guide to Accountability</w:t>
            </w:r>
            <w:r w:rsidRPr="00CF0256">
              <w:rPr>
                <w:rFonts w:eastAsia="Times New Roman" w:cstheme="minorHAnsi"/>
                <w:sz w:val="20"/>
                <w:szCs w:val="20"/>
              </w:rPr>
              <w:t>, along with PDPA Assessment Tool for Organisations (PATO), the Guide to Data Protection Impact Assessments (DPIA), Guide to Developing a Data Protection Management Programme (DPMP), the Guide to Managing Data Breaches, and the Guide to Data Protection by Design for ICT systems, which was jointly developed with Hong Kong’s PCPD.</w:t>
            </w:r>
          </w:p>
          <w:p w14:paraId="4FE31481" w14:textId="77777777" w:rsidR="00C42A2A" w:rsidRPr="00CF025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bookmarkStart w:id="122" w:name="_Hlk44501792"/>
            <w:r w:rsidRPr="00CF0256">
              <w:rPr>
                <w:rFonts w:eastAsia="Times New Roman" w:cstheme="minorHAnsi"/>
                <w:sz w:val="20"/>
                <w:szCs w:val="20"/>
              </w:rPr>
              <w:t xml:space="preserve">PDPC introduced the </w:t>
            </w:r>
            <w:r w:rsidRPr="00CF0256">
              <w:rPr>
                <w:rFonts w:eastAsia="Times New Roman" w:cstheme="minorHAnsi"/>
                <w:b/>
                <w:bCs/>
                <w:sz w:val="20"/>
                <w:szCs w:val="20"/>
              </w:rPr>
              <w:t xml:space="preserve">Data Protection Trustmark (DPTM) </w:t>
            </w:r>
            <w:r w:rsidRPr="00CF0256">
              <w:rPr>
                <w:rFonts w:eastAsia="Times New Roman" w:cstheme="minorHAnsi"/>
                <w:sz w:val="20"/>
                <w:szCs w:val="20"/>
              </w:rPr>
              <w:t xml:space="preserve">certification system to recognise organisations with sound data protection practices. </w:t>
            </w:r>
          </w:p>
          <w:p w14:paraId="5B93C80B" w14:textId="77777777" w:rsidR="00CF0256" w:rsidRDefault="00C42A2A" w:rsidP="00CF0256">
            <w:pPr>
              <w:pStyle w:val="NoSpacing"/>
              <w:numPr>
                <w:ilvl w:val="0"/>
                <w:numId w:val="14"/>
              </w:numPr>
              <w:spacing w:beforeLines="40" w:before="96" w:afterLines="40" w:after="96"/>
              <w:ind w:left="314" w:hanging="283"/>
              <w:rPr>
                <w:rFonts w:eastAsia="Times New Roman" w:cstheme="minorHAnsi"/>
                <w:sz w:val="20"/>
                <w:szCs w:val="20"/>
              </w:rPr>
            </w:pPr>
            <w:r w:rsidRPr="00CF0256">
              <w:rPr>
                <w:rFonts w:eastAsia="Times New Roman" w:cstheme="minorHAnsi"/>
                <w:sz w:val="20"/>
                <w:szCs w:val="20"/>
              </w:rPr>
              <w:t xml:space="preserve">PDPC has developed a </w:t>
            </w:r>
            <w:r w:rsidRPr="00CF0256">
              <w:rPr>
                <w:rFonts w:eastAsia="Times New Roman" w:cstheme="minorHAnsi"/>
                <w:b/>
                <w:bCs/>
                <w:sz w:val="20"/>
                <w:szCs w:val="20"/>
              </w:rPr>
              <w:t xml:space="preserve">Guide to Managing Data Breaches (“Guide”) </w:t>
            </w:r>
            <w:r w:rsidRPr="00CF0256">
              <w:rPr>
                <w:rFonts w:eastAsia="Times New Roman" w:cstheme="minorHAnsi"/>
                <w:sz w:val="20"/>
                <w:szCs w:val="20"/>
              </w:rPr>
              <w:t xml:space="preserve">to support organisations in managing data breaches effectively. </w:t>
            </w:r>
            <w:bookmarkEnd w:id="122"/>
            <w:r w:rsidRPr="00CF0256">
              <w:rPr>
                <w:rFonts w:eastAsia="Times New Roman" w:cstheme="minorHAnsi"/>
                <w:sz w:val="20"/>
                <w:szCs w:val="20"/>
              </w:rPr>
              <w:t xml:space="preserve">released to allow organisations to familiarise themselves with PDPC’s approach in preparation of the </w:t>
            </w:r>
            <w:r w:rsidRPr="00CF0256">
              <w:rPr>
                <w:rFonts w:eastAsia="Times New Roman" w:cstheme="minorHAnsi"/>
                <w:b/>
                <w:bCs/>
                <w:sz w:val="20"/>
                <w:szCs w:val="20"/>
              </w:rPr>
              <w:t>mandatory data breach notification obligation</w:t>
            </w:r>
            <w:r w:rsidRPr="00CF0256">
              <w:rPr>
                <w:rFonts w:eastAsia="Times New Roman" w:cstheme="minorHAnsi"/>
                <w:sz w:val="20"/>
                <w:szCs w:val="20"/>
              </w:rPr>
              <w:t xml:space="preserve"> in the upcoming amendment of the PDPA</w:t>
            </w:r>
          </w:p>
          <w:p w14:paraId="07341B25" w14:textId="2F689E75" w:rsidR="00C42A2A" w:rsidRPr="00CF0256" w:rsidRDefault="00C42A2A" w:rsidP="00CF0256">
            <w:pPr>
              <w:pStyle w:val="NoSpacing"/>
              <w:numPr>
                <w:ilvl w:val="0"/>
                <w:numId w:val="14"/>
              </w:numPr>
              <w:spacing w:beforeLines="40" w:before="96" w:afterLines="40" w:after="96"/>
              <w:ind w:left="314" w:hanging="283"/>
              <w:rPr>
                <w:rFonts w:eastAsia="Times New Roman" w:cstheme="minorHAnsi"/>
                <w:sz w:val="20"/>
                <w:szCs w:val="20"/>
              </w:rPr>
            </w:pPr>
            <w:r w:rsidRPr="00CF0256">
              <w:rPr>
                <w:rFonts w:eastAsia="Times New Roman" w:cstheme="minorHAnsi"/>
                <w:sz w:val="20"/>
                <w:szCs w:val="20"/>
              </w:rPr>
              <w:t xml:space="preserve">PDPC now recognises the </w:t>
            </w:r>
            <w:r w:rsidRPr="00CF0256">
              <w:rPr>
                <w:rFonts w:eastAsia="Times New Roman" w:cstheme="minorHAnsi"/>
                <w:b/>
                <w:sz w:val="20"/>
                <w:szCs w:val="20"/>
              </w:rPr>
              <w:t>Asia Pacific Economic Cooperation (APEC) Cross Border Privacy Rules (CBPR) System and Privacy Recognition for Processors (PRP) System</w:t>
            </w:r>
            <w:r w:rsidRPr="00CF0256">
              <w:rPr>
                <w:rFonts w:eastAsia="Times New Roman" w:cstheme="minorHAnsi"/>
                <w:sz w:val="20"/>
                <w:szCs w:val="20"/>
              </w:rPr>
              <w:t xml:space="preserve"> certifications as one of the modes for transfers of data overseas. It has also developed a template contract clause that transferring organisations could include in their contract with recipients. </w:t>
            </w:r>
          </w:p>
        </w:tc>
        <w:tc>
          <w:tcPr>
            <w:tcW w:w="1701" w:type="dxa"/>
            <w:vMerge w:val="restart"/>
            <w:shd w:val="clear" w:color="auto" w:fill="auto"/>
          </w:tcPr>
          <w:p w14:paraId="75020F56" w14:textId="77777777" w:rsidR="00C42A2A" w:rsidRPr="005E10E6" w:rsidRDefault="00C42A2A" w:rsidP="005E10E6">
            <w:pPr>
              <w:pStyle w:val="NoSpacing"/>
              <w:spacing w:beforeLines="40" w:before="96" w:afterLines="40" w:after="96"/>
              <w:rPr>
                <w:rFonts w:eastAsia="Times New Roman" w:cstheme="minorHAnsi"/>
                <w:sz w:val="20"/>
                <w:szCs w:val="20"/>
              </w:rPr>
            </w:pPr>
          </w:p>
          <w:p w14:paraId="6B135F95"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i/>
                <w:iCs/>
                <w:sz w:val="20"/>
                <w:szCs w:val="20"/>
              </w:rPr>
            </w:pPr>
            <w:r w:rsidRPr="005E10E6">
              <w:rPr>
                <w:rFonts w:eastAsia="Times New Roman" w:cstheme="minorHAnsi"/>
                <w:i/>
                <w:iCs/>
                <w:sz w:val="20"/>
                <w:szCs w:val="20"/>
              </w:rPr>
              <w:t>Data Protection and Privacy</w:t>
            </w:r>
          </w:p>
          <w:p w14:paraId="6146D562" w14:textId="77777777" w:rsidR="00C42A2A" w:rsidRPr="005E10E6" w:rsidRDefault="00C42A2A" w:rsidP="001F09E1">
            <w:pPr>
              <w:pStyle w:val="NoSpacing"/>
              <w:numPr>
                <w:ilvl w:val="0"/>
                <w:numId w:val="15"/>
              </w:numPr>
              <w:spacing w:beforeLines="40" w:before="96" w:afterLines="40" w:after="96"/>
              <w:ind w:left="316" w:hanging="283"/>
              <w:rPr>
                <w:rFonts w:eastAsia="Times New Roman" w:cstheme="minorHAnsi"/>
                <w:sz w:val="20"/>
                <w:szCs w:val="20"/>
              </w:rPr>
            </w:pPr>
            <w:r w:rsidRPr="005E10E6">
              <w:rPr>
                <w:rFonts w:eastAsia="Times New Roman" w:cstheme="minorHAnsi"/>
                <w:i/>
                <w:iCs/>
                <w:sz w:val="20"/>
                <w:szCs w:val="20"/>
              </w:rPr>
              <w:t>Data Portability</w:t>
            </w:r>
          </w:p>
        </w:tc>
      </w:tr>
      <w:tr w:rsidR="00C42A2A" w:rsidRPr="005E10E6" w14:paraId="362E6E12" w14:textId="77777777" w:rsidTr="005E10E6">
        <w:trPr>
          <w:trHeight w:val="832"/>
          <w:jc w:val="center"/>
        </w:trPr>
        <w:tc>
          <w:tcPr>
            <w:tcW w:w="1702" w:type="dxa"/>
            <w:shd w:val="clear" w:color="auto" w:fill="D9E2F3" w:themeFill="accent1" w:themeFillTint="33"/>
            <w:vAlign w:val="center"/>
          </w:tcPr>
          <w:p w14:paraId="21B47E54"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r w:rsidRPr="005E10E6">
              <w:rPr>
                <w:rFonts w:eastAsia="Times New Roman" w:cstheme="minorHAnsi"/>
                <w:b/>
                <w:bCs/>
                <w:sz w:val="20"/>
                <w:szCs w:val="20"/>
              </w:rPr>
              <w:lastRenderedPageBreak/>
              <w:t>Australia</w:t>
            </w:r>
          </w:p>
          <w:p w14:paraId="245F1CE2"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6FE3BEB3" w14:textId="77777777" w:rsidR="00C42A2A" w:rsidRPr="005E10E6" w:rsidRDefault="00C42A2A" w:rsidP="005E10E6">
            <w:pPr>
              <w:pStyle w:val="NoSpacing"/>
              <w:spacing w:beforeLines="40" w:before="96" w:afterLines="40" w:after="96"/>
              <w:jc w:val="center"/>
              <w:rPr>
                <w:rFonts w:eastAsia="Times New Roman" w:cstheme="minorHAnsi"/>
                <w:b/>
                <w:bCs/>
                <w:sz w:val="20"/>
                <w:szCs w:val="20"/>
              </w:rPr>
            </w:pPr>
          </w:p>
          <w:p w14:paraId="0F17C680" w14:textId="77777777" w:rsidR="00C42A2A" w:rsidRPr="005E10E6" w:rsidRDefault="00C42A2A" w:rsidP="005E10E6">
            <w:pPr>
              <w:pStyle w:val="NoSpacing"/>
              <w:spacing w:beforeLines="40" w:before="96" w:afterLines="40" w:after="96"/>
              <w:jc w:val="center"/>
              <w:rPr>
                <w:rFonts w:cstheme="minorHAnsi"/>
                <w:b/>
                <w:bCs/>
                <w:sz w:val="20"/>
                <w:szCs w:val="20"/>
              </w:rPr>
            </w:pPr>
            <w:r w:rsidRPr="005E10E6">
              <w:rPr>
                <w:rFonts w:eastAsia="Times New Roman" w:cstheme="minorHAnsi"/>
                <w:b/>
                <w:bCs/>
                <w:sz w:val="20"/>
                <w:szCs w:val="20"/>
              </w:rPr>
              <w:t>Office of the Australian Information Commissioner</w:t>
            </w:r>
          </w:p>
        </w:tc>
        <w:tc>
          <w:tcPr>
            <w:tcW w:w="6095" w:type="dxa"/>
            <w:shd w:val="clear" w:color="auto" w:fill="auto"/>
          </w:tcPr>
          <w:p w14:paraId="1E26DE84"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Supporting the </w:t>
            </w:r>
            <w:r w:rsidRPr="005E10E6">
              <w:rPr>
                <w:rFonts w:eastAsia="Times New Roman" w:cstheme="minorHAnsi"/>
                <w:b/>
                <w:bCs/>
                <w:sz w:val="20"/>
                <w:szCs w:val="20"/>
              </w:rPr>
              <w:t>Open Government Partnership Australia</w:t>
            </w:r>
            <w:r w:rsidRPr="005E10E6">
              <w:rPr>
                <w:rFonts w:eastAsia="Times New Roman" w:cstheme="minorHAnsi"/>
                <w:sz w:val="20"/>
                <w:szCs w:val="20"/>
              </w:rPr>
              <w:t xml:space="preserve"> goals and progress commitments to enhance access to information, public accountability and participation, and technology for openness and accountability. </w:t>
            </w:r>
          </w:p>
          <w:p w14:paraId="54332267"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Working with the </w:t>
            </w:r>
            <w:r w:rsidRPr="005E10E6">
              <w:rPr>
                <w:rFonts w:eastAsia="Times New Roman" w:cstheme="minorHAnsi"/>
                <w:b/>
                <w:bCs/>
                <w:sz w:val="20"/>
                <w:szCs w:val="20"/>
              </w:rPr>
              <w:t>Australian Competition &amp; Consumer Commission (ACCC)</w:t>
            </w:r>
            <w:r w:rsidRPr="005E10E6">
              <w:rPr>
                <w:rFonts w:eastAsia="Times New Roman" w:cstheme="minorHAnsi"/>
                <w:sz w:val="20"/>
                <w:szCs w:val="20"/>
              </w:rPr>
              <w:t xml:space="preserve"> and the Data Standards Body (DSB) in the implementation of Consumer Data Right (CDR).</w:t>
            </w:r>
          </w:p>
          <w:p w14:paraId="48BBA8F4"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Developed Consumer Data Right </w:t>
            </w:r>
            <w:r w:rsidRPr="005E10E6">
              <w:rPr>
                <w:rFonts w:eastAsia="Times New Roman" w:cstheme="minorHAnsi"/>
                <w:b/>
                <w:bCs/>
                <w:sz w:val="20"/>
                <w:szCs w:val="20"/>
              </w:rPr>
              <w:t>Privacy Safeguard Guidelines</w:t>
            </w:r>
            <w:r w:rsidRPr="005E10E6">
              <w:rPr>
                <w:rFonts w:eastAsia="Times New Roman" w:cstheme="minorHAnsi"/>
                <w:sz w:val="20"/>
                <w:szCs w:val="20"/>
              </w:rPr>
              <w:t xml:space="preserve"> covering consent, notifications, data use, data quality and security. </w:t>
            </w:r>
          </w:p>
          <w:p w14:paraId="624D62D1" w14:textId="77777777"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Developed a Guide to managing data breaches in accordance with the Privacy Act 1988 to assist regulated entities with preparing data breach response plans, and responding to data breaches, and provide information about Australia’s Notifiable Data Breach Scheme. </w:t>
            </w:r>
          </w:p>
          <w:p w14:paraId="7B70CB4C" w14:textId="6CF0AFE0" w:rsidR="00C42A2A" w:rsidRPr="005E10E6" w:rsidRDefault="00C42A2A" w:rsidP="001F09E1">
            <w:pPr>
              <w:pStyle w:val="NoSpacing"/>
              <w:numPr>
                <w:ilvl w:val="0"/>
                <w:numId w:val="14"/>
              </w:numPr>
              <w:spacing w:beforeLines="40" w:before="96" w:afterLines="40" w:after="96"/>
              <w:ind w:left="314" w:hanging="283"/>
              <w:rPr>
                <w:rFonts w:eastAsia="Times New Roman" w:cstheme="minorHAnsi"/>
                <w:sz w:val="20"/>
                <w:szCs w:val="20"/>
              </w:rPr>
            </w:pPr>
            <w:r w:rsidRPr="005E10E6">
              <w:rPr>
                <w:rFonts w:eastAsia="Times New Roman" w:cstheme="minorHAnsi"/>
                <w:sz w:val="20"/>
                <w:szCs w:val="20"/>
              </w:rPr>
              <w:t xml:space="preserve">Developing a new binding Privacy Code for social media and digital platforms, which trade in personal information. </w:t>
            </w:r>
          </w:p>
        </w:tc>
        <w:tc>
          <w:tcPr>
            <w:tcW w:w="1701" w:type="dxa"/>
            <w:vMerge/>
          </w:tcPr>
          <w:p w14:paraId="313415A0" w14:textId="77777777" w:rsidR="00C42A2A" w:rsidRPr="005E10E6" w:rsidRDefault="00C42A2A" w:rsidP="005E10E6">
            <w:pPr>
              <w:pStyle w:val="NoSpacing"/>
              <w:spacing w:beforeLines="40" w:before="96" w:afterLines="40" w:after="96"/>
              <w:rPr>
                <w:rFonts w:eastAsia="Times New Roman" w:cstheme="minorHAnsi"/>
                <w:sz w:val="20"/>
                <w:szCs w:val="20"/>
              </w:rPr>
            </w:pPr>
          </w:p>
        </w:tc>
      </w:tr>
    </w:tbl>
    <w:p w14:paraId="2E41854D" w14:textId="77777777" w:rsidR="00C42A2A" w:rsidRPr="00731DDC" w:rsidRDefault="00C42A2A" w:rsidP="00C42A2A">
      <w:pPr>
        <w:rPr>
          <w:b/>
          <w:bCs/>
          <w:lang w:val="en-GB"/>
        </w:rPr>
      </w:pPr>
    </w:p>
    <w:p w14:paraId="22A3AFDE" w14:textId="77777777" w:rsidR="00C42A2A" w:rsidRPr="00731DDC" w:rsidRDefault="00C42A2A" w:rsidP="00C42A2A">
      <w:pPr>
        <w:spacing w:line="259" w:lineRule="auto"/>
        <w:rPr>
          <w:b/>
          <w:bCs/>
          <w:lang w:val="en-GB"/>
        </w:rPr>
      </w:pPr>
      <w:r w:rsidRPr="00731DDC">
        <w:rPr>
          <w:b/>
          <w:bCs/>
          <w:lang w:val="en-GB"/>
        </w:rPr>
        <w:br w:type="page"/>
      </w:r>
    </w:p>
    <w:p w14:paraId="7DB9FB65" w14:textId="5CEB377B" w:rsidR="00BA1194" w:rsidRPr="00731DDC" w:rsidRDefault="00BA1194" w:rsidP="00BA1194">
      <w:pPr>
        <w:pStyle w:val="AppendixHeading"/>
        <w:rPr>
          <w:lang w:val="en-GB"/>
        </w:rPr>
      </w:pPr>
      <w:bookmarkStart w:id="123" w:name="_Toc51167337"/>
      <w:r w:rsidRPr="00731DDC">
        <w:rPr>
          <w:lang w:val="en-GB"/>
        </w:rPr>
        <w:lastRenderedPageBreak/>
        <w:t>Approach</w:t>
      </w:r>
      <w:bookmarkEnd w:id="123"/>
    </w:p>
    <w:p w14:paraId="6DE3C766" w14:textId="77777777" w:rsidR="00C42A2A" w:rsidRPr="00731DDC" w:rsidRDefault="00C42A2A" w:rsidP="00BA1194">
      <w:pPr>
        <w:rPr>
          <w:lang w:val="en-GB"/>
        </w:rPr>
      </w:pPr>
      <w:r w:rsidRPr="00731DDC">
        <w:rPr>
          <w:lang w:val="en-GB"/>
        </w:rPr>
        <w:t xml:space="preserve">In developing this report, we based our approach on the international trading supply chain. In particular, how digital trade is impacting each facet of the supply chain, including the </w:t>
      </w:r>
      <w:r w:rsidRPr="00731DDC">
        <w:rPr>
          <w:b/>
          <w:bCs/>
          <w:i/>
          <w:iCs/>
          <w:lang w:val="en-GB"/>
        </w:rPr>
        <w:t>identity, transaction and payment, logistics and supply processes, and the delivery and consumption</w:t>
      </w:r>
      <w:r w:rsidRPr="00731DDC">
        <w:rPr>
          <w:lang w:val="en-GB"/>
        </w:rPr>
        <w:t xml:space="preserve">. </w:t>
      </w:r>
    </w:p>
    <w:p w14:paraId="5665965B" w14:textId="77777777" w:rsidR="00C42A2A" w:rsidRPr="00731DDC" w:rsidRDefault="00C42A2A" w:rsidP="00BA1194">
      <w:pPr>
        <w:rPr>
          <w:lang w:val="en-GB"/>
        </w:rPr>
      </w:pPr>
      <w:r w:rsidRPr="00731DDC">
        <w:rPr>
          <w:lang w:val="en-GB"/>
        </w:rPr>
        <w:t xml:space="preserve">We defined digital trade in terms of (i) the trade in digital goods and services, (ii) the digital delivery (full or partial) of traditional or tangible goods, (iii) digital enablers of trade, and (iv) emerging disruptive technologies that are transforming, or potentially will transform, trade practices. </w:t>
      </w:r>
    </w:p>
    <w:p w14:paraId="1245F61B" w14:textId="77777777" w:rsidR="00C42A2A" w:rsidRPr="00731DDC" w:rsidRDefault="00C42A2A" w:rsidP="00BA1194">
      <w:pPr>
        <w:rPr>
          <w:rFonts w:cstheme="majorHAnsi"/>
          <w:lang w:val="en-GB"/>
        </w:rPr>
      </w:pPr>
      <w:r w:rsidRPr="00731DDC">
        <w:rPr>
          <w:lang w:val="en-GB"/>
        </w:rPr>
        <w:t xml:space="preserve">We then used these categories to put market sizing numbers to each of the components so as to provide a framework for prioritisation and/or greater focus going forward. </w:t>
      </w:r>
    </w:p>
    <w:p w14:paraId="20FF2381" w14:textId="77777777" w:rsidR="00C42A2A" w:rsidRPr="00731DDC" w:rsidRDefault="00C42A2A" w:rsidP="00BA1194">
      <w:pPr>
        <w:rPr>
          <w:lang w:val="en-GB"/>
        </w:rPr>
      </w:pPr>
      <w:r w:rsidRPr="00731DDC">
        <w:rPr>
          <w:lang w:val="en-GB"/>
        </w:rPr>
        <w:t xml:space="preserve">The approach for the deep dive was as follows: </w:t>
      </w:r>
    </w:p>
    <w:p w14:paraId="7701E074" w14:textId="77777777" w:rsidR="00C42A2A" w:rsidRPr="00731DDC" w:rsidRDefault="00C42A2A" w:rsidP="001F09E1">
      <w:pPr>
        <w:pStyle w:val="ListParagraph"/>
        <w:numPr>
          <w:ilvl w:val="0"/>
          <w:numId w:val="20"/>
        </w:numPr>
        <w:spacing w:before="0" w:after="160" w:line="276" w:lineRule="auto"/>
        <w:rPr>
          <w:lang w:val="en-GB"/>
        </w:rPr>
      </w:pPr>
      <w:r w:rsidRPr="00731DDC">
        <w:rPr>
          <w:lang w:val="en-GB"/>
        </w:rPr>
        <w:t>Collection</w:t>
      </w:r>
      <w:r w:rsidRPr="00731DDC">
        <w:rPr>
          <w:b/>
          <w:bCs/>
          <w:lang w:val="en-GB"/>
        </w:rPr>
        <w:t xml:space="preserve"> and collation of relevant specific digital economy developments from targeted agencies </w:t>
      </w:r>
      <w:r w:rsidRPr="00731DDC">
        <w:rPr>
          <w:lang w:val="en-GB"/>
        </w:rPr>
        <w:t>in each country. These include pertinent areas of emerging digital trade such as autonomous vehicles (AVs), artificial intelligence (AI), and open banking.</w:t>
      </w:r>
    </w:p>
    <w:p w14:paraId="1E0CC51E" w14:textId="77777777" w:rsidR="00C42A2A" w:rsidRPr="00731DDC" w:rsidRDefault="00C42A2A" w:rsidP="001F09E1">
      <w:pPr>
        <w:pStyle w:val="ListParagraph"/>
        <w:numPr>
          <w:ilvl w:val="0"/>
          <w:numId w:val="20"/>
        </w:numPr>
        <w:spacing w:before="0" w:after="160" w:line="276" w:lineRule="auto"/>
        <w:rPr>
          <w:lang w:val="en-GB"/>
        </w:rPr>
      </w:pPr>
      <w:r w:rsidRPr="00731DDC">
        <w:rPr>
          <w:b/>
          <w:bCs/>
          <w:lang w:val="en-GB"/>
        </w:rPr>
        <w:t>Information gathering with targeted government agencies</w:t>
      </w:r>
      <w:r w:rsidRPr="00731DDC">
        <w:rPr>
          <w:lang w:val="en-GB"/>
        </w:rPr>
        <w:t xml:space="preserve"> involved in various aspects of digital trade and/or certain areas of digital economy development in each country.</w:t>
      </w:r>
    </w:p>
    <w:p w14:paraId="6AF2D6DA" w14:textId="77777777" w:rsidR="00C42A2A" w:rsidRPr="00731DDC" w:rsidRDefault="00C42A2A" w:rsidP="001F09E1">
      <w:pPr>
        <w:pStyle w:val="ListParagraph"/>
        <w:numPr>
          <w:ilvl w:val="0"/>
          <w:numId w:val="20"/>
        </w:numPr>
        <w:spacing w:before="0" w:after="160" w:line="276" w:lineRule="auto"/>
        <w:rPr>
          <w:lang w:val="en-GB"/>
        </w:rPr>
      </w:pPr>
      <w:r w:rsidRPr="00731DDC">
        <w:rPr>
          <w:b/>
          <w:bCs/>
          <w:lang w:val="en-GB"/>
        </w:rPr>
        <w:t>Further market research and intelligence</w:t>
      </w:r>
      <w:r w:rsidRPr="00731DDC">
        <w:rPr>
          <w:lang w:val="en-GB"/>
        </w:rPr>
        <w:t xml:space="preserve"> to further develop the empirical depth to the various digital trade opportunities and to provide a more detailed elaboration of the opportunities that exist for digital trade, so as to baseline future trade discussions, joint development initiatives, and areas of regulatory and policy and collaboration.</w:t>
      </w:r>
    </w:p>
    <w:p w14:paraId="012969ED" w14:textId="77777777" w:rsidR="00C42A2A" w:rsidRPr="00731DDC" w:rsidRDefault="00C42A2A" w:rsidP="001F09E1">
      <w:pPr>
        <w:pStyle w:val="ListParagraph"/>
        <w:numPr>
          <w:ilvl w:val="0"/>
          <w:numId w:val="20"/>
        </w:numPr>
        <w:spacing w:before="0" w:after="160" w:line="276" w:lineRule="auto"/>
        <w:rPr>
          <w:lang w:val="en-GB"/>
        </w:rPr>
      </w:pPr>
      <w:r w:rsidRPr="00731DDC">
        <w:rPr>
          <w:b/>
          <w:bCs/>
          <w:lang w:val="en-GB"/>
        </w:rPr>
        <w:t xml:space="preserve">Detailed information gathering on national and international standards </w:t>
      </w:r>
      <w:r w:rsidRPr="00731DDC">
        <w:rPr>
          <w:lang w:val="en-GB"/>
        </w:rPr>
        <w:t>was conducted to map the different standards adopted by Australia and Singapore, in different aspects of the trade supply chain.</w:t>
      </w:r>
    </w:p>
    <w:p w14:paraId="2CD15EF9" w14:textId="77777777" w:rsidR="00C42A2A" w:rsidRPr="00731DDC" w:rsidRDefault="00C42A2A" w:rsidP="00BA1194">
      <w:pPr>
        <w:rPr>
          <w:lang w:val="en-GB"/>
        </w:rPr>
      </w:pPr>
      <w:r w:rsidRPr="00731DDC">
        <w:rPr>
          <w:lang w:val="en-GB"/>
        </w:rPr>
        <w:t xml:space="preserve">A number of government stakeholders were consulted to better understand specific digital economy developments and identify areas of digital trade growth. Relevant government agencies in Australia and Singapore were approached to clearly understand current and future focus areas, areas that they see to be of particular potential, and potential blockages (particularly from a trade, coordination or standards perspective). </w:t>
      </w:r>
    </w:p>
    <w:p w14:paraId="773540EF" w14:textId="77777777" w:rsidR="00C42A2A" w:rsidRPr="00731DDC" w:rsidRDefault="00C42A2A" w:rsidP="00C42A2A">
      <w:pPr>
        <w:rPr>
          <w:b/>
          <w:bCs/>
          <w:lang w:val="en-GB"/>
        </w:rPr>
      </w:pPr>
    </w:p>
    <w:p w14:paraId="236831F6" w14:textId="77777777" w:rsidR="00206E34" w:rsidRPr="00731DDC" w:rsidRDefault="00206E34" w:rsidP="00C42A2A">
      <w:pPr>
        <w:rPr>
          <w:lang w:val="en-GB"/>
        </w:rPr>
      </w:pPr>
    </w:p>
    <w:sectPr w:rsidR="00206E34" w:rsidRPr="00731DDC" w:rsidSect="006D41A6">
      <w:endnotePr>
        <w:numFmt w:val="decimal"/>
      </w:endnotePr>
      <w:pgSz w:w="11900" w:h="16840"/>
      <w:pgMar w:top="1378" w:right="953" w:bottom="955" w:left="1202" w:header="561" w:footer="2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146D3" w14:textId="77777777" w:rsidR="00C86647" w:rsidRDefault="00C86647" w:rsidP="00B976C6">
      <w:pPr>
        <w:spacing w:before="0" w:after="0"/>
      </w:pPr>
      <w:r>
        <w:separator/>
      </w:r>
    </w:p>
    <w:p w14:paraId="2866E31F" w14:textId="77777777" w:rsidR="00C86647" w:rsidRDefault="00C86647"/>
    <w:p w14:paraId="0E23E745" w14:textId="77777777" w:rsidR="00C86647" w:rsidRDefault="00C86647"/>
  </w:endnote>
  <w:endnote w:type="continuationSeparator" w:id="0">
    <w:p w14:paraId="51B212F0" w14:textId="77777777" w:rsidR="00C86647" w:rsidRDefault="00C86647" w:rsidP="00B976C6">
      <w:pPr>
        <w:spacing w:before="0" w:after="0"/>
      </w:pPr>
      <w:r>
        <w:continuationSeparator/>
      </w:r>
    </w:p>
    <w:p w14:paraId="378D51F6" w14:textId="77777777" w:rsidR="00C86647" w:rsidRDefault="00C86647"/>
    <w:p w14:paraId="438E1CDD" w14:textId="77777777" w:rsidR="00C86647" w:rsidRDefault="00C86647"/>
  </w:endnote>
  <w:endnote w:type="continuationNotice" w:id="1">
    <w:p w14:paraId="26C09234" w14:textId="77777777" w:rsidR="00C86647" w:rsidRDefault="00C86647">
      <w:pPr>
        <w:spacing w:before="0" w:after="0"/>
      </w:pPr>
    </w:p>
    <w:p w14:paraId="44B5A4C4" w14:textId="77777777" w:rsidR="00C86647" w:rsidRDefault="00C86647"/>
    <w:p w14:paraId="077EBECF" w14:textId="77777777" w:rsidR="00C86647" w:rsidRDefault="00C86647"/>
  </w:endnote>
  <w:endnote w:id="2">
    <w:p w14:paraId="4E5A2CCB" w14:textId="77777777" w:rsidR="00F61ADD" w:rsidRPr="00DB7D71" w:rsidRDefault="00F61ADD" w:rsidP="005634C4">
      <w:pPr>
        <w:pStyle w:val="EndnoteText"/>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All values are converted to AUD using the following exchange rates: Australian to US Dollar Exchange Rate (2015 – 2019 average) = 0.742 (</w:t>
      </w:r>
      <w:hyperlink r:id="rId1" w:history="1">
        <w:r w:rsidRPr="00CA0AEC">
          <w:rPr>
            <w:rStyle w:val="Hyperlink"/>
            <w:rFonts w:cstheme="minorHAnsi"/>
            <w:sz w:val="18"/>
            <w:szCs w:val="18"/>
          </w:rPr>
          <w:t>https://www.macrotrends.net/2551/australian-us-dollar-exchange-rate-historical-chart</w:t>
        </w:r>
      </w:hyperlink>
      <w:r>
        <w:rPr>
          <w:rFonts w:cstheme="minorHAnsi"/>
          <w:sz w:val="18"/>
          <w:szCs w:val="18"/>
        </w:rPr>
        <w:t>)</w:t>
      </w:r>
      <w:r w:rsidRPr="00DB7D71">
        <w:rPr>
          <w:rFonts w:cstheme="minorHAnsi"/>
          <w:sz w:val="18"/>
          <w:szCs w:val="18"/>
        </w:rPr>
        <w:t>; Singapore to Australian Dollar Exchange Rate (2015 – 2019 average) = 0.986 (</w:t>
      </w:r>
      <w:hyperlink r:id="rId2" w:history="1">
        <w:r w:rsidRPr="00CA0AEC">
          <w:rPr>
            <w:rStyle w:val="Hyperlink"/>
            <w:rFonts w:cstheme="minorHAnsi"/>
            <w:sz w:val="18"/>
            <w:szCs w:val="18"/>
          </w:rPr>
          <w:t>https://www.ofx.com/en-sg/forex-news/historical-exchange-rates/yearly-average-rates/</w:t>
        </w:r>
      </w:hyperlink>
      <w:r>
        <w:rPr>
          <w:rFonts w:cstheme="minorHAnsi"/>
          <w:sz w:val="18"/>
          <w:szCs w:val="18"/>
        </w:rPr>
        <w:t xml:space="preserve">) </w:t>
      </w:r>
    </w:p>
  </w:endnote>
  <w:endnote w:id="3">
    <w:p w14:paraId="74753F7C" w14:textId="77777777" w:rsidR="00F61ADD" w:rsidRPr="00DB7D71" w:rsidRDefault="00F61ADD" w:rsidP="005634C4">
      <w:pPr>
        <w:pStyle w:val="EndnoteText"/>
        <w:contextualSpacing/>
        <w:rPr>
          <w:rFonts w:cstheme="minorHAnsi"/>
          <w:color w:val="0563C1" w:themeColor="hyperlink"/>
          <w:sz w:val="18"/>
          <w:szCs w:val="18"/>
          <w:u w:val="single"/>
        </w:rPr>
      </w:pPr>
      <w:r w:rsidRPr="00DB7D71">
        <w:rPr>
          <w:rStyle w:val="EndnoteReference"/>
          <w:rFonts w:cstheme="minorHAnsi"/>
          <w:sz w:val="18"/>
          <w:szCs w:val="18"/>
        </w:rPr>
        <w:endnoteRef/>
      </w:r>
      <w:r w:rsidRPr="00DB7D71">
        <w:rPr>
          <w:rFonts w:cstheme="minorHAnsi"/>
          <w:sz w:val="18"/>
          <w:szCs w:val="18"/>
        </w:rPr>
        <w:t xml:space="preserve"> ARN (2019) Australia IT spending to reach $94B in 2019, </w:t>
      </w:r>
      <w:hyperlink r:id="rId3">
        <w:r w:rsidRPr="00DB7D71">
          <w:rPr>
            <w:rStyle w:val="Hyperlink"/>
            <w:rFonts w:cstheme="minorHAnsi"/>
            <w:sz w:val="18"/>
            <w:szCs w:val="18"/>
          </w:rPr>
          <w:t>https://www.arnnet.com.au/article/660273/australia-it-spending-reach-94b-2019/</w:t>
        </w:r>
      </w:hyperlink>
      <w:r w:rsidRPr="00DB7D71">
        <w:rPr>
          <w:rStyle w:val="Hyperlink"/>
          <w:rFonts w:cstheme="minorHAnsi"/>
          <w:sz w:val="18"/>
          <w:szCs w:val="18"/>
        </w:rPr>
        <w:t xml:space="preserve">; </w:t>
      </w:r>
      <w:r w:rsidRPr="00DB7D71">
        <w:rPr>
          <w:rFonts w:cstheme="minorHAnsi"/>
          <w:sz w:val="18"/>
          <w:szCs w:val="18"/>
        </w:rPr>
        <w:t xml:space="preserve">2018 and 2022 estimates. </w:t>
      </w:r>
    </w:p>
  </w:endnote>
  <w:endnote w:id="4">
    <w:p w14:paraId="51116CC9"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IMDA, Annual Survey on Infocomm Industry 2019, </w:t>
      </w:r>
      <w:hyperlink r:id="rId4" w:history="1">
        <w:r w:rsidRPr="00DB7D71">
          <w:rPr>
            <w:rStyle w:val="Hyperlink"/>
            <w:rFonts w:cstheme="minorHAnsi"/>
            <w:sz w:val="18"/>
            <w:szCs w:val="18"/>
          </w:rPr>
          <w:t>https://www.imda.gov.sg/-/media/Imda/Files/Infocomm-Media-Landscape/Research-and-Statistics/Survey-Report/II2019-Public-Report.pdf</w:t>
        </w:r>
      </w:hyperlink>
    </w:p>
  </w:endnote>
  <w:endnote w:id="5">
    <w:p w14:paraId="248734DC"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Software industry revenue SGD 17.4 bn in 2018. Since the Infocomm industry revenue grew by 9.0% from 2013-2018, assume that software revenue will grow at the same rate till 2020, to arrive at SGD 20.67 bn. </w:t>
      </w:r>
    </w:p>
  </w:endnote>
  <w:endnote w:id="6">
    <w:p w14:paraId="7203AD9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Boston Consulting Group (2019) Ascent to the Cloud: How Six Key APAC Economies Can Lift-off, </w:t>
      </w:r>
      <w:hyperlink r:id="rId5">
        <w:r w:rsidRPr="00DB7D71">
          <w:rPr>
            <w:rStyle w:val="Hyperlink"/>
            <w:rFonts w:cstheme="minorHAnsi"/>
            <w:sz w:val="18"/>
            <w:szCs w:val="18"/>
          </w:rPr>
          <w:t>https://www.bcg.com/publications/2019/economic-impact-public-cloud-apac/australia.aspx</w:t>
        </w:r>
      </w:hyperlink>
    </w:p>
  </w:endnote>
  <w:endnote w:id="7">
    <w:p w14:paraId="1227799D"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Boston Consulting Group (2019) Ascent to the Cloud: How Six Key APAC Economies Can Lift-off, </w:t>
      </w:r>
      <w:bookmarkStart w:id="101" w:name="_Hlk33026280"/>
      <w:r w:rsidRPr="00DB7D71">
        <w:rPr>
          <w:rFonts w:cstheme="minorHAnsi"/>
          <w:sz w:val="18"/>
          <w:szCs w:val="18"/>
        </w:rPr>
        <w:fldChar w:fldCharType="begin"/>
      </w:r>
      <w:r w:rsidRPr="00DB7D71">
        <w:rPr>
          <w:rFonts w:cstheme="minorHAnsi"/>
          <w:sz w:val="18"/>
          <w:szCs w:val="18"/>
        </w:rPr>
        <w:instrText xml:space="preserve"> HYPERLINK "https://www.bcg.com/publications/2019/economic-impact-public-cloud-apac/singapore.aspx" </w:instrText>
      </w:r>
      <w:r w:rsidRPr="00DB7D71">
        <w:rPr>
          <w:rFonts w:cstheme="minorHAnsi"/>
          <w:sz w:val="18"/>
          <w:szCs w:val="18"/>
        </w:rPr>
        <w:fldChar w:fldCharType="separate"/>
      </w:r>
      <w:r w:rsidRPr="00DB7D71">
        <w:rPr>
          <w:rStyle w:val="Hyperlink"/>
          <w:rFonts w:cstheme="minorHAnsi"/>
          <w:sz w:val="18"/>
          <w:szCs w:val="18"/>
        </w:rPr>
        <w:t>https://www.bcg.com/publications/2019/economic-impact-public-cloud-apac/singapore.aspx</w:t>
      </w:r>
      <w:r w:rsidRPr="00DB7D71">
        <w:rPr>
          <w:rFonts w:cstheme="minorHAnsi"/>
          <w:sz w:val="18"/>
          <w:szCs w:val="18"/>
        </w:rPr>
        <w:fldChar w:fldCharType="end"/>
      </w:r>
      <w:r w:rsidRPr="00DB7D71">
        <w:rPr>
          <w:rFonts w:cstheme="minorHAnsi"/>
          <w:sz w:val="18"/>
          <w:szCs w:val="18"/>
        </w:rPr>
        <w:t xml:space="preserve"> </w:t>
      </w:r>
      <w:bookmarkEnd w:id="101"/>
    </w:p>
  </w:endnote>
  <w:endnote w:id="8">
    <w:p w14:paraId="0F7123FA"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Frost and Sullivan (2012), Australia Video Conferencing Market Opportunities and Challenges. Estimates that the market will grow at close to 18% from 2011 to 2017. </w:t>
      </w:r>
      <w:hyperlink r:id="rId6" w:history="1">
        <w:r w:rsidRPr="00DB7D71">
          <w:rPr>
            <w:rStyle w:val="Hyperlink"/>
            <w:rFonts w:cstheme="minorHAnsi"/>
            <w:sz w:val="18"/>
            <w:szCs w:val="18"/>
          </w:rPr>
          <w:t>https://www.slideshare.net/FrostandSullivan/the-australia-videoconferencing-market</w:t>
        </w:r>
      </w:hyperlink>
      <w:r w:rsidRPr="00DB7D71">
        <w:rPr>
          <w:rFonts w:cstheme="minorHAnsi"/>
          <w:sz w:val="18"/>
          <w:szCs w:val="18"/>
        </w:rPr>
        <w:t xml:space="preserve"> </w:t>
      </w:r>
    </w:p>
  </w:endnote>
  <w:endnote w:id="9">
    <w:p w14:paraId="027DDA2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Frost and Sullivan assumed 18% growth of market, so we use 700 m estimate to calculate market size in 2020. </w:t>
      </w:r>
    </w:p>
  </w:endnote>
  <w:endnote w:id="10">
    <w:p w14:paraId="3127DE92"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7" w:history="1">
        <w:r w:rsidRPr="00DB7D71">
          <w:rPr>
            <w:rStyle w:val="Hyperlink"/>
            <w:rFonts w:cstheme="minorHAnsi"/>
            <w:sz w:val="18"/>
            <w:szCs w:val="18"/>
          </w:rPr>
          <w:t>https://www.statista.com/outlook/203/107/video-games/australia</w:t>
        </w:r>
      </w:hyperlink>
      <w:r w:rsidRPr="00DB7D71">
        <w:rPr>
          <w:rFonts w:cstheme="minorHAnsi"/>
          <w:sz w:val="18"/>
          <w:szCs w:val="18"/>
        </w:rPr>
        <w:t xml:space="preserve">; Same CAGR for 2020-2024 (2.8%) is used to arrive at 2019 estimates. </w:t>
      </w:r>
    </w:p>
  </w:endnote>
  <w:endnote w:id="11">
    <w:p w14:paraId="619241E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8" w:history="1">
        <w:r w:rsidRPr="00DB7D71">
          <w:rPr>
            <w:rStyle w:val="Hyperlink"/>
            <w:rFonts w:cstheme="minorHAnsi"/>
            <w:sz w:val="18"/>
            <w:szCs w:val="18"/>
          </w:rPr>
          <w:t>https://www.statista.com/outlook/203/124/video-games/singapore</w:t>
        </w:r>
      </w:hyperlink>
      <w:r w:rsidRPr="00DB7D71">
        <w:rPr>
          <w:rFonts w:cstheme="minorHAnsi"/>
          <w:sz w:val="18"/>
          <w:szCs w:val="18"/>
        </w:rPr>
        <w:t>; Same CAGR for 2020-2024 (1.5%) is used to arrive at 2019 estimates.</w:t>
      </w:r>
    </w:p>
  </w:endnote>
  <w:endnote w:id="12">
    <w:p w14:paraId="42F855D3"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9" w:history="1">
        <w:r w:rsidRPr="00DB7D71">
          <w:rPr>
            <w:rStyle w:val="Hyperlink"/>
            <w:rFonts w:cstheme="minorHAnsi"/>
            <w:sz w:val="18"/>
            <w:szCs w:val="18"/>
          </w:rPr>
          <w:t>https://www.statista.com/outlook/201/107/video-on-demand/australia</w:t>
        </w:r>
      </w:hyperlink>
      <w:r w:rsidRPr="00DB7D71">
        <w:rPr>
          <w:rFonts w:cstheme="minorHAnsi"/>
          <w:sz w:val="18"/>
          <w:szCs w:val="18"/>
        </w:rPr>
        <w:t>; Same CAGR (6.4%) is used to arrive at 2019 estimates.</w:t>
      </w:r>
    </w:p>
  </w:endnote>
  <w:endnote w:id="13">
    <w:p w14:paraId="4C015DFD"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0" w:history="1">
        <w:r w:rsidRPr="00DB7D71">
          <w:rPr>
            <w:rStyle w:val="Hyperlink"/>
            <w:rFonts w:cstheme="minorHAnsi"/>
            <w:sz w:val="18"/>
            <w:szCs w:val="18"/>
          </w:rPr>
          <w:t>https://www.statista.com/outlook/201/124/video-on-demand/singapore</w:t>
        </w:r>
      </w:hyperlink>
      <w:r w:rsidRPr="00DB7D71">
        <w:rPr>
          <w:rFonts w:cstheme="minorHAnsi"/>
          <w:sz w:val="18"/>
          <w:szCs w:val="18"/>
        </w:rPr>
        <w:t>; Same CAGR (5%) is used to arrive at 2019 estimates.</w:t>
      </w:r>
    </w:p>
  </w:endnote>
  <w:endnote w:id="14">
    <w:p w14:paraId="6B7F80A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1" w:history="1">
        <w:r w:rsidRPr="00DB7D71">
          <w:rPr>
            <w:rStyle w:val="Hyperlink"/>
            <w:rFonts w:cstheme="minorHAnsi"/>
            <w:sz w:val="18"/>
            <w:szCs w:val="18"/>
          </w:rPr>
          <w:t>https://www.statista.com/outlook/204/107/epublishing/australia</w:t>
        </w:r>
      </w:hyperlink>
      <w:r w:rsidRPr="00DB7D71">
        <w:rPr>
          <w:rFonts w:cstheme="minorHAnsi"/>
          <w:sz w:val="18"/>
          <w:szCs w:val="18"/>
        </w:rPr>
        <w:t>; Same CAGR (4.7%) is used to arrive at 2019 estimates.</w:t>
      </w:r>
    </w:p>
  </w:endnote>
  <w:endnote w:id="15">
    <w:p w14:paraId="1578A83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2" w:history="1">
        <w:r w:rsidRPr="00DB7D71">
          <w:rPr>
            <w:rStyle w:val="Hyperlink"/>
            <w:rFonts w:cstheme="minorHAnsi"/>
            <w:sz w:val="18"/>
            <w:szCs w:val="18"/>
          </w:rPr>
          <w:t>https://www.statista.com/outlook/204/124/epublishing/singapore</w:t>
        </w:r>
      </w:hyperlink>
      <w:r w:rsidRPr="00DB7D71">
        <w:rPr>
          <w:rFonts w:cstheme="minorHAnsi"/>
          <w:sz w:val="18"/>
          <w:szCs w:val="18"/>
        </w:rPr>
        <w:t>; Same CAGR (1.8%) is used to arrive at 2019 estimates.</w:t>
      </w:r>
    </w:p>
  </w:endnote>
  <w:endnote w:id="16">
    <w:p w14:paraId="50DB374D"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3" w:history="1">
        <w:r w:rsidRPr="00DB7D71">
          <w:rPr>
            <w:rStyle w:val="Hyperlink"/>
            <w:rFonts w:cstheme="minorHAnsi"/>
            <w:sz w:val="18"/>
            <w:szCs w:val="18"/>
          </w:rPr>
          <w:t>https://www.statista.com/outlook/202/107/digital-music/australia</w:t>
        </w:r>
      </w:hyperlink>
      <w:r w:rsidRPr="00DB7D71">
        <w:rPr>
          <w:rFonts w:cstheme="minorHAnsi"/>
          <w:sz w:val="18"/>
          <w:szCs w:val="18"/>
        </w:rPr>
        <w:t>; Same CAGR (1.7%) is used to arrive at 2019 estimates.</w:t>
      </w:r>
    </w:p>
  </w:endnote>
  <w:endnote w:id="17">
    <w:p w14:paraId="04E56A94"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4" w:history="1">
        <w:r w:rsidRPr="00DB7D71">
          <w:rPr>
            <w:rStyle w:val="Hyperlink"/>
            <w:rFonts w:cstheme="minorHAnsi"/>
            <w:sz w:val="18"/>
            <w:szCs w:val="18"/>
          </w:rPr>
          <w:t>https://www.statista.com/outlook/202/124/digital-music/singapore</w:t>
        </w:r>
      </w:hyperlink>
      <w:r w:rsidRPr="00DB7D71">
        <w:rPr>
          <w:rFonts w:cstheme="minorHAnsi"/>
          <w:sz w:val="18"/>
          <w:szCs w:val="18"/>
        </w:rPr>
        <w:t>; Same CAGR (7.1%) is used to arrive at 2019 estimates.</w:t>
      </w:r>
    </w:p>
  </w:endnote>
  <w:endnote w:id="18">
    <w:p w14:paraId="70366EED" w14:textId="77777777" w:rsidR="00F61ADD" w:rsidRPr="00DB7D71" w:rsidRDefault="00F61ADD" w:rsidP="005634C4">
      <w:pPr>
        <w:spacing w:before="0" w:after="0"/>
        <w:contextualSpacing/>
        <w:rPr>
          <w:rFonts w:eastAsia="Calibri" w:cstheme="minorHAnsi"/>
          <w:color w:val="0563C1" w:themeColor="hyperlink"/>
          <w:sz w:val="18"/>
          <w:szCs w:val="18"/>
          <w:u w:val="single"/>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Adnews (2019) Australia’s online advertising growth is slowing, </w:t>
      </w:r>
      <w:hyperlink r:id="rId15">
        <w:r w:rsidRPr="00DB7D71">
          <w:rPr>
            <w:rStyle w:val="Hyperlink"/>
            <w:rFonts w:eastAsia="Calibri" w:cstheme="minorHAnsi"/>
            <w:sz w:val="18"/>
            <w:szCs w:val="18"/>
          </w:rPr>
          <w:t>https://www.adnews.com.au/news/australia-s-online-advertising-growth-is-slowing</w:t>
        </w:r>
      </w:hyperlink>
      <w:r w:rsidRPr="00DB7D71">
        <w:rPr>
          <w:rStyle w:val="Hyperlink"/>
          <w:rFonts w:eastAsia="Calibri" w:cstheme="minorHAnsi"/>
          <w:sz w:val="18"/>
          <w:szCs w:val="18"/>
        </w:rPr>
        <w:t>;</w:t>
      </w:r>
      <w:r w:rsidRPr="00DB7D71">
        <w:rPr>
          <w:rFonts w:cstheme="minorHAnsi"/>
          <w:sz w:val="18"/>
          <w:szCs w:val="18"/>
        </w:rPr>
        <w:t xml:space="preserve"> Australia 2022 estimated on the assumption that CAGR is 7.1% from 2018 to 2022.</w:t>
      </w:r>
    </w:p>
  </w:endnote>
  <w:endnote w:id="19">
    <w:p w14:paraId="734A7F05"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Marketing (2018), Singapore media and entertainment spend to see 3.5% growth in next 5 years, </w:t>
      </w:r>
      <w:hyperlink r:id="rId16" w:history="1">
        <w:r w:rsidRPr="00DB7D71">
          <w:rPr>
            <w:rStyle w:val="Hyperlink"/>
            <w:rFonts w:cstheme="minorHAnsi"/>
            <w:sz w:val="18"/>
            <w:szCs w:val="18"/>
          </w:rPr>
          <w:t>https://www.marketing-interactive.com/singapore-media-and-entertainment-spend-to-see-3-5-growth-in-next-5-years/</w:t>
        </w:r>
      </w:hyperlink>
      <w:r w:rsidRPr="00DB7D71">
        <w:rPr>
          <w:rFonts w:cstheme="minorHAnsi"/>
          <w:sz w:val="18"/>
          <w:szCs w:val="18"/>
        </w:rPr>
        <w:t xml:space="preserve">; Based on a CAGR of 8.4, market will grow to USD 453 m by 2022. </w:t>
      </w:r>
    </w:p>
  </w:endnote>
  <w:endnote w:id="20">
    <w:p w14:paraId="0BF7C5A6"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estimates show that revenue is expected to have an annual growth rate of 5% from 2020-2024, we assume the same 5% growth, to get USD 21.72 bn in 2019. </w:t>
      </w:r>
      <w:hyperlink r:id="rId17">
        <w:r w:rsidRPr="00DB7D71">
          <w:rPr>
            <w:rStyle w:val="Hyperlink"/>
            <w:rFonts w:cstheme="minorHAnsi"/>
            <w:sz w:val="18"/>
            <w:szCs w:val="18"/>
          </w:rPr>
          <w:t>https://www.statista.com/outlook/243/107/ecommerce/australia</w:t>
        </w:r>
      </w:hyperlink>
      <w:r w:rsidRPr="00DB7D71">
        <w:rPr>
          <w:rFonts w:cstheme="minorHAnsi"/>
          <w:sz w:val="18"/>
          <w:szCs w:val="18"/>
        </w:rPr>
        <w:t xml:space="preserve">; </w:t>
      </w:r>
    </w:p>
  </w:endnote>
  <w:endnote w:id="21">
    <w:p w14:paraId="3B663B42"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estimates show that revenue is expected to have an annual growth rate of 9.1% from 2020-2024, we assume the same 9.1%, to get USD 2.55 bn in 2019. </w:t>
      </w:r>
      <w:hyperlink r:id="rId18" w:history="1">
        <w:r w:rsidRPr="00DB7D71">
          <w:rPr>
            <w:rStyle w:val="Hyperlink"/>
            <w:rFonts w:cstheme="minorHAnsi"/>
            <w:sz w:val="18"/>
            <w:szCs w:val="18"/>
          </w:rPr>
          <w:t>https://www.statista.com/outlook/243/124/ecommerce/singapore</w:t>
        </w:r>
      </w:hyperlink>
      <w:r w:rsidRPr="00DB7D71">
        <w:rPr>
          <w:rFonts w:cstheme="minorHAnsi"/>
          <w:sz w:val="18"/>
          <w:szCs w:val="18"/>
        </w:rPr>
        <w:t>;</w:t>
      </w:r>
    </w:p>
  </w:endnote>
  <w:endnote w:id="22">
    <w:p w14:paraId="5BFC378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Same CAGR (2.9%) is used to estimate 2019 figures.</w:t>
      </w:r>
    </w:p>
  </w:endnote>
  <w:endnote w:id="23">
    <w:p w14:paraId="75EB2D1A"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Same CAGR (4.5%) is used to estimate 2019 figures.</w:t>
      </w:r>
    </w:p>
  </w:endnote>
  <w:endnote w:id="24">
    <w:p w14:paraId="5A2E3056"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19" w:history="1">
        <w:r w:rsidRPr="00DB7D71">
          <w:rPr>
            <w:rStyle w:val="Hyperlink"/>
            <w:rFonts w:cstheme="minorHAnsi"/>
            <w:sz w:val="18"/>
            <w:szCs w:val="18"/>
          </w:rPr>
          <w:t>https://www.statista.com/outlook/368/107/ride-hailing/australia</w:t>
        </w:r>
      </w:hyperlink>
    </w:p>
  </w:endnote>
  <w:endnote w:id="25">
    <w:p w14:paraId="390130AE"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20" w:history="1">
        <w:r w:rsidRPr="00DB7D71">
          <w:rPr>
            <w:rStyle w:val="Hyperlink"/>
            <w:rFonts w:cstheme="minorHAnsi"/>
            <w:sz w:val="18"/>
            <w:szCs w:val="18"/>
          </w:rPr>
          <w:t>https://www.statista.com/outlook/368/124/ride-hailing/singapore</w:t>
        </w:r>
      </w:hyperlink>
    </w:p>
  </w:endnote>
  <w:endnote w:id="26">
    <w:p w14:paraId="7DB54A1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Google, Temasek and Bain &amp; Company (2019), The Future of Southeast Asia’s Digital Financial Services, </w:t>
      </w:r>
      <w:hyperlink r:id="rId21" w:history="1">
        <w:r w:rsidRPr="00DB7D71">
          <w:rPr>
            <w:rStyle w:val="Hyperlink"/>
            <w:rFonts w:cstheme="minorHAnsi"/>
            <w:sz w:val="18"/>
            <w:szCs w:val="18"/>
          </w:rPr>
          <w:t>https://www.bain.com/globalassets/noindex/2019/bain-report-fulfilling-its-promise.pdf</w:t>
        </w:r>
      </w:hyperlink>
      <w:r w:rsidRPr="00DB7D71">
        <w:rPr>
          <w:rStyle w:val="Hyperlink"/>
          <w:rFonts w:cstheme="minorHAnsi"/>
          <w:sz w:val="18"/>
          <w:szCs w:val="18"/>
        </w:rPr>
        <w:t xml:space="preserve">; </w:t>
      </w:r>
      <w:r w:rsidRPr="00DB7D71">
        <w:rPr>
          <w:rFonts w:cstheme="minorHAnsi"/>
          <w:sz w:val="18"/>
          <w:szCs w:val="18"/>
        </w:rPr>
        <w:t>Singapore current and future estimates.</w:t>
      </w:r>
      <w:r w:rsidRPr="00DB7D71">
        <w:rPr>
          <w:rStyle w:val="Hyperlink"/>
          <w:rFonts w:cstheme="minorHAnsi"/>
          <w:sz w:val="18"/>
          <w:szCs w:val="18"/>
        </w:rPr>
        <w:t xml:space="preserve"> </w:t>
      </w:r>
    </w:p>
  </w:endnote>
  <w:endnote w:id="27">
    <w:p w14:paraId="2EE84E1E"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Future five (2020) </w:t>
      </w:r>
      <w:r w:rsidRPr="00DB7D71">
        <w:rPr>
          <w:rFonts w:eastAsia="Calibri" w:cstheme="minorHAnsi"/>
          <w:color w:val="212529"/>
          <w:sz w:val="18"/>
          <w:szCs w:val="18"/>
        </w:rPr>
        <w:t>Growth of digital payments set to cost Australian banks US$3 bn,</w:t>
      </w:r>
      <w:r w:rsidRPr="00DB7D71">
        <w:rPr>
          <w:rFonts w:cstheme="minorHAnsi"/>
          <w:sz w:val="18"/>
          <w:szCs w:val="18"/>
        </w:rPr>
        <w:t xml:space="preserve"> </w:t>
      </w:r>
      <w:hyperlink r:id="rId22" w:history="1">
        <w:r w:rsidRPr="00DB7D71">
          <w:rPr>
            <w:rStyle w:val="Hyperlink"/>
            <w:rFonts w:eastAsia="Calibri" w:cstheme="minorHAnsi"/>
            <w:sz w:val="18"/>
            <w:szCs w:val="18"/>
          </w:rPr>
          <w:t>https://futurefive.com.au/story/growth-of-digital-payments-set-to-cost-australian-banks-us-3-billion</w:t>
        </w:r>
      </w:hyperlink>
      <w:r w:rsidRPr="00DB7D71">
        <w:rPr>
          <w:rFonts w:eastAsia="Calibri" w:cstheme="minorHAnsi"/>
          <w:sz w:val="18"/>
          <w:szCs w:val="18"/>
        </w:rPr>
        <w:t xml:space="preserve"> </w:t>
      </w:r>
    </w:p>
  </w:endnote>
  <w:endnote w:id="28">
    <w:p w14:paraId="21098ED2" w14:textId="77777777" w:rsidR="00F61ADD" w:rsidRPr="00DB7D71" w:rsidRDefault="00F61ADD" w:rsidP="005634C4">
      <w:pPr>
        <w:spacing w:before="0" w:after="0"/>
        <w:contextualSpacing/>
        <w:rPr>
          <w:rFonts w:cstheme="minorHAnsi"/>
          <w:sz w:val="18"/>
          <w:szCs w:val="18"/>
          <w:lang w:val="en-US"/>
        </w:rPr>
      </w:pPr>
      <w:r w:rsidRPr="00DB7D71">
        <w:rPr>
          <w:rStyle w:val="EndnoteReference"/>
          <w:rFonts w:cstheme="minorHAnsi"/>
          <w:sz w:val="18"/>
          <w:szCs w:val="18"/>
        </w:rPr>
        <w:endnoteRef/>
      </w:r>
      <w:r w:rsidRPr="00DB7D71">
        <w:rPr>
          <w:rFonts w:cstheme="minorHAnsi"/>
          <w:sz w:val="18"/>
          <w:szCs w:val="18"/>
        </w:rPr>
        <w:t xml:space="preserve"> Statista, Market size of the alternative finance market in Australia from 2013 to 2017, </w:t>
      </w:r>
      <w:hyperlink r:id="rId23" w:history="1">
        <w:r w:rsidRPr="00DB7D71">
          <w:rPr>
            <w:rStyle w:val="Hyperlink"/>
            <w:rFonts w:cstheme="minorHAnsi"/>
            <w:sz w:val="18"/>
            <w:szCs w:val="18"/>
          </w:rPr>
          <w:t>https://www.statista.com/statistics/883034/australia-alternative-finance-market-size/</w:t>
        </w:r>
      </w:hyperlink>
      <w:r w:rsidRPr="00DB7D71">
        <w:rPr>
          <w:rStyle w:val="Hyperlink"/>
          <w:rFonts w:cstheme="minorHAnsi"/>
          <w:sz w:val="18"/>
          <w:szCs w:val="18"/>
        </w:rPr>
        <w:t xml:space="preserve">; </w:t>
      </w:r>
      <w:r w:rsidRPr="00DB7D71">
        <w:rPr>
          <w:rFonts w:cstheme="minorHAnsi"/>
          <w:sz w:val="18"/>
          <w:szCs w:val="18"/>
        </w:rPr>
        <w:t>We use this to calculate 2019 numbers for alternative financing market of Australia.</w:t>
      </w:r>
      <w:r w:rsidRPr="00DB7D71">
        <w:rPr>
          <w:rStyle w:val="Hyperlink"/>
          <w:rFonts w:cstheme="minorHAnsi"/>
          <w:sz w:val="18"/>
          <w:szCs w:val="18"/>
        </w:rPr>
        <w:t xml:space="preserve"> </w:t>
      </w:r>
      <w:r w:rsidRPr="00DB7D71">
        <w:rPr>
          <w:rFonts w:cstheme="minorHAnsi"/>
          <w:sz w:val="18"/>
          <w:szCs w:val="18"/>
        </w:rPr>
        <w:t xml:space="preserve"> </w:t>
      </w:r>
    </w:p>
  </w:endnote>
  <w:endnote w:id="29">
    <w:p w14:paraId="06B8D16E"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Assuming the same growth rate of 88%, we estimate the alternative financing market in Australia for 2020. </w:t>
      </w:r>
    </w:p>
  </w:endnote>
  <w:endnote w:id="30">
    <w:p w14:paraId="7B4712D8"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24" w:history="1">
        <w:r w:rsidRPr="00DB7D71">
          <w:rPr>
            <w:rStyle w:val="Hyperlink"/>
            <w:rFonts w:eastAsia="Calibri" w:cstheme="minorHAnsi"/>
            <w:sz w:val="18"/>
            <w:szCs w:val="18"/>
          </w:rPr>
          <w:t>https://www.statista.com/statistics/500410/online-travel-sales-australia/</w:t>
        </w:r>
      </w:hyperlink>
      <w:r w:rsidRPr="00DB7D71">
        <w:rPr>
          <w:rFonts w:eastAsia="Calibri" w:cstheme="minorHAnsi"/>
          <w:sz w:val="18"/>
          <w:szCs w:val="18"/>
        </w:rPr>
        <w:t xml:space="preserve"> </w:t>
      </w:r>
    </w:p>
  </w:endnote>
  <w:endnote w:id="31">
    <w:p w14:paraId="70AAD6E9"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Google Temasek Bain E-conomy SEA 2019 report, </w:t>
      </w:r>
      <w:hyperlink r:id="rId25" w:history="1">
        <w:r w:rsidRPr="00DB7D71">
          <w:rPr>
            <w:rStyle w:val="Hyperlink"/>
            <w:rFonts w:cstheme="minorHAnsi"/>
            <w:sz w:val="18"/>
            <w:szCs w:val="18"/>
          </w:rPr>
          <w:t>https://www.bain.com/globalassets/noindex/2019/google_temasek_bain_e_conomy_sea_2019_report.pdf</w:t>
        </w:r>
      </w:hyperlink>
      <w:r w:rsidRPr="00DB7D71">
        <w:rPr>
          <w:rFonts w:cstheme="minorHAnsi"/>
          <w:sz w:val="18"/>
          <w:szCs w:val="18"/>
        </w:rPr>
        <w:t xml:space="preserve"> </w:t>
      </w:r>
    </w:p>
  </w:endnote>
  <w:endnote w:id="32">
    <w:p w14:paraId="65039EF4"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26" w:history="1">
        <w:r w:rsidRPr="00DB7D71">
          <w:rPr>
            <w:rStyle w:val="Hyperlink"/>
            <w:rFonts w:eastAsia="Calibri" w:cstheme="minorHAnsi"/>
            <w:sz w:val="18"/>
            <w:szCs w:val="18"/>
          </w:rPr>
          <w:t>https://www.statista.com/statistics/500410/online-travel-sales-australia/</w:t>
        </w:r>
      </w:hyperlink>
      <w:r w:rsidRPr="00DB7D71">
        <w:rPr>
          <w:rFonts w:eastAsia="Calibri" w:cstheme="minorHAnsi"/>
          <w:sz w:val="18"/>
          <w:szCs w:val="18"/>
        </w:rPr>
        <w:t xml:space="preserve"> </w:t>
      </w:r>
    </w:p>
  </w:endnote>
  <w:endnote w:id="33">
    <w:p w14:paraId="56F5EFA6"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Google Temasek Bain E-conomy SEA 2019 report, </w:t>
      </w:r>
      <w:hyperlink r:id="rId27" w:history="1">
        <w:r w:rsidRPr="00DB7D71">
          <w:rPr>
            <w:rStyle w:val="Hyperlink"/>
            <w:rFonts w:cstheme="minorHAnsi"/>
            <w:sz w:val="18"/>
            <w:szCs w:val="18"/>
          </w:rPr>
          <w:t>https://www.bain.com/globalassets/noindex/2019/google_temasek_bain_e_conomy_sea_2019_report.pdf</w:t>
        </w:r>
      </w:hyperlink>
      <w:r w:rsidRPr="00DB7D71">
        <w:rPr>
          <w:rFonts w:cstheme="minorHAnsi"/>
          <w:sz w:val="18"/>
          <w:szCs w:val="18"/>
        </w:rPr>
        <w:t xml:space="preserve"> </w:t>
      </w:r>
    </w:p>
  </w:endnote>
  <w:endnote w:id="34">
    <w:p w14:paraId="33F79A8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28" w:history="1">
        <w:r w:rsidRPr="00DB7D71">
          <w:rPr>
            <w:rStyle w:val="Hyperlink"/>
            <w:rFonts w:cstheme="minorHAnsi"/>
            <w:sz w:val="18"/>
            <w:szCs w:val="18"/>
          </w:rPr>
          <w:t>https://www.statista.com/outlook/261/107/eservices/australia</w:t>
        </w:r>
      </w:hyperlink>
      <w:r w:rsidRPr="00DB7D71">
        <w:rPr>
          <w:rFonts w:cstheme="minorHAnsi"/>
          <w:sz w:val="18"/>
          <w:szCs w:val="18"/>
        </w:rPr>
        <w:t>; Same CAGR (6.4%) is used to arrive at 2019 estimates.</w:t>
      </w:r>
    </w:p>
  </w:endnote>
  <w:endnote w:id="35">
    <w:p w14:paraId="3CF11EF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Statista, </w:t>
      </w:r>
      <w:hyperlink r:id="rId29" w:history="1">
        <w:r w:rsidRPr="00DB7D71">
          <w:rPr>
            <w:rStyle w:val="Hyperlink"/>
            <w:rFonts w:cstheme="minorHAnsi"/>
            <w:sz w:val="18"/>
            <w:szCs w:val="18"/>
          </w:rPr>
          <w:t>https://www.statista.com/outlook/261/124/eservices/singapore</w:t>
        </w:r>
      </w:hyperlink>
      <w:r w:rsidRPr="00DB7D71">
        <w:rPr>
          <w:rFonts w:cstheme="minorHAnsi"/>
          <w:sz w:val="18"/>
          <w:szCs w:val="18"/>
        </w:rPr>
        <w:t>; Same CAGR (10.2%) is used to arrive at 2019 estimates.</w:t>
      </w:r>
    </w:p>
  </w:endnote>
  <w:endnote w:id="36">
    <w:p w14:paraId="093DBA5B"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McKinsey, 2018, The rise and rise of medtech in Asia, </w:t>
      </w:r>
      <w:hyperlink r:id="rId30" w:history="1">
        <w:r w:rsidRPr="00DB7D71">
          <w:rPr>
            <w:rStyle w:val="Hyperlink"/>
            <w:rFonts w:cstheme="minorHAnsi"/>
            <w:sz w:val="18"/>
            <w:szCs w:val="18"/>
          </w:rPr>
          <w:t>https://www.mckinsey.com/industries/pharmaceuticals-and-medical-products/our-insights/the-rise-and-rise-of-medtech-in-asia</w:t>
        </w:r>
      </w:hyperlink>
      <w:r w:rsidRPr="00DB7D71">
        <w:rPr>
          <w:rFonts w:cstheme="minorHAnsi"/>
          <w:sz w:val="18"/>
          <w:szCs w:val="18"/>
        </w:rPr>
        <w:t xml:space="preserve"> estimates that in 2017, APAC Medtech sector was USD 95 bn and will grow to USD 137 bn in 2023, at a CAGR of 6%. The Medical Devices and Diagnostics Industry Capability Report, </w:t>
      </w:r>
      <w:hyperlink r:id="rId31" w:history="1">
        <w:r w:rsidRPr="00DB7D71">
          <w:rPr>
            <w:rStyle w:val="Hyperlink"/>
            <w:rFonts w:cstheme="minorHAnsi"/>
            <w:sz w:val="18"/>
            <w:szCs w:val="18"/>
          </w:rPr>
          <w:t>https://www.austrade.gov.au/ArticleDocuments/2814/Medical-Devices-and-Diagnostics-Industry-Capability-Report.pdf.aspx</w:t>
        </w:r>
      </w:hyperlink>
      <w:r w:rsidRPr="00DB7D71">
        <w:rPr>
          <w:rFonts w:cstheme="minorHAnsi"/>
          <w:sz w:val="18"/>
          <w:szCs w:val="18"/>
        </w:rPr>
        <w:t xml:space="preserve"> estimates that Australia’s share of the Asia-Pacific advanced medical technologies market was 10.72% in 2013. This provides estimates for 2017, and the constant market share is assumed to calculate Australia’s medtech market in 2023.   </w:t>
      </w:r>
    </w:p>
  </w:endnote>
  <w:endnote w:id="37">
    <w:p w14:paraId="2022F99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bookmarkStart w:id="102" w:name="_Hlk33108047"/>
      <w:r w:rsidRPr="00DB7D71">
        <w:rPr>
          <w:rFonts w:cstheme="minorHAnsi"/>
          <w:sz w:val="18"/>
          <w:szCs w:val="18"/>
        </w:rPr>
        <w:t xml:space="preserve">Marshall Cavendish Business Information (2018) Riding the MedTech Wave, </w:t>
      </w:r>
      <w:hyperlink r:id="rId32" w:history="1">
        <w:r w:rsidRPr="00DB7D71">
          <w:rPr>
            <w:rStyle w:val="Hyperlink"/>
            <w:rFonts w:cstheme="minorHAnsi"/>
            <w:sz w:val="18"/>
            <w:szCs w:val="18"/>
          </w:rPr>
          <w:t>https://www.singaporemedtech.com/articles/industry-articles/riding-the-medtech-wave</w:t>
        </w:r>
      </w:hyperlink>
      <w:r w:rsidRPr="00DB7D71">
        <w:rPr>
          <w:rFonts w:cstheme="minorHAnsi"/>
          <w:sz w:val="18"/>
          <w:szCs w:val="18"/>
        </w:rPr>
        <w:t xml:space="preserve"> </w:t>
      </w:r>
      <w:bookmarkEnd w:id="102"/>
    </w:p>
  </w:endnote>
  <w:endnote w:id="38">
    <w:p w14:paraId="78CF03F4"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Assuming Singapore market grows at the same pace as the APAC market, CAGR of 6% is applied on 2018 figures to estimate 2023 market size of Singapore. </w:t>
      </w:r>
      <w:hyperlink r:id="rId33" w:history="1">
        <w:r w:rsidRPr="00DB7D71">
          <w:rPr>
            <w:rStyle w:val="Hyperlink"/>
            <w:rFonts w:cstheme="minorHAnsi"/>
            <w:sz w:val="18"/>
            <w:szCs w:val="18"/>
          </w:rPr>
          <w:t>https://www.singaporemedtech.com/articles/industry-articles/riding-the-medtech-wave</w:t>
        </w:r>
      </w:hyperlink>
    </w:p>
  </w:endnote>
  <w:endnote w:id="39">
    <w:p w14:paraId="38D79483"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Research and Markets (2018), </w:t>
      </w:r>
      <w:hyperlink r:id="rId34" w:history="1">
        <w:r w:rsidRPr="00DB7D71">
          <w:rPr>
            <w:rStyle w:val="Hyperlink"/>
            <w:rFonts w:cstheme="minorHAnsi"/>
            <w:sz w:val="18"/>
            <w:szCs w:val="18"/>
          </w:rPr>
          <w:t>https://www.businesswire.com/news/home/20190731005745/en/Australias-4Bn-Online-Education-Market-2018-Projected</w:t>
        </w:r>
      </w:hyperlink>
      <w:r w:rsidRPr="00DB7D71">
        <w:rPr>
          <w:rFonts w:cstheme="minorHAnsi"/>
          <w:sz w:val="18"/>
          <w:szCs w:val="18"/>
        </w:rPr>
        <w:t xml:space="preserve">; Both 2018 and 2024 estimates. </w:t>
      </w:r>
    </w:p>
  </w:endnote>
  <w:endnote w:id="40">
    <w:p w14:paraId="41693C95" w14:textId="77777777" w:rsidR="00F61ADD" w:rsidRPr="00DB7D71" w:rsidRDefault="00F61ADD" w:rsidP="005634C4">
      <w:pPr>
        <w:pStyle w:val="EndnoteText"/>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Improvement in profits of the mining sector by digitalization, estimated to be between A40 billion and A80billion per year by 2025. We use the lower bound of this estimate. Mckinsey, 2015, How digital innovation can improve mining productivity, </w:t>
      </w:r>
      <w:hyperlink r:id="rId35" w:history="1">
        <w:r w:rsidRPr="00DB7D71">
          <w:rPr>
            <w:rStyle w:val="Hyperlink"/>
            <w:rFonts w:cstheme="minorHAnsi"/>
            <w:sz w:val="18"/>
            <w:szCs w:val="18"/>
          </w:rPr>
          <w:t>https://www.mckinsey.com/featured-insights/asia-pacific/digital-australia-seizing-opportunity-from-the-fourth-industrial-revolution</w:t>
        </w:r>
      </w:hyperlink>
    </w:p>
  </w:endnote>
  <w:endnote w:id="41">
    <w:p w14:paraId="7D45F58B"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Manufacturing value-added through the adoption of automation, advanced manufacturing and digital technologies.  Enterprise Singapore, </w:t>
      </w:r>
      <w:hyperlink r:id="rId36" w:history="1">
        <w:r w:rsidRPr="00DB7D71">
          <w:rPr>
            <w:rStyle w:val="Hyperlink"/>
            <w:rFonts w:cstheme="minorHAnsi"/>
            <w:sz w:val="18"/>
            <w:szCs w:val="18"/>
          </w:rPr>
          <w:t>https://www.enterprisesg.gov.sg/industries/type/energy-chemicals/industry-profile</w:t>
        </w:r>
      </w:hyperlink>
    </w:p>
  </w:endnote>
  <w:endnote w:id="42">
    <w:p w14:paraId="7FE9D864"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Grain Central, Agtech, 2018, How well placed is Australia for the digital revolution in agriculture? </w:t>
      </w:r>
      <w:hyperlink r:id="rId37">
        <w:r w:rsidRPr="00DB7D71">
          <w:rPr>
            <w:rStyle w:val="Hyperlink"/>
            <w:rFonts w:cstheme="minorHAnsi"/>
            <w:sz w:val="18"/>
            <w:szCs w:val="18"/>
          </w:rPr>
          <w:t>https://www.graincentral.com/ag-tech/how-well-placed-is-australia-for-the-digital-revolution-in-agriculture/</w:t>
        </w:r>
      </w:hyperlink>
    </w:p>
  </w:endnote>
  <w:endnote w:id="43">
    <w:p w14:paraId="491F811E"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Digital technologies will increase gross value of agriculture production by AUD20.3bn to reach AUD100bn. Grain Central, Agtech, 2018, How well placed is Australia for the digital revolution in agriculture? </w:t>
      </w:r>
      <w:hyperlink r:id="rId38" w:history="1">
        <w:r w:rsidRPr="00DB7D71">
          <w:rPr>
            <w:rStyle w:val="Hyperlink"/>
            <w:rFonts w:cstheme="minorHAnsi"/>
            <w:sz w:val="18"/>
            <w:szCs w:val="18"/>
          </w:rPr>
          <w:t>https://www.graincentral.com/ag-tech/how-well-placed-is-australia-for-the-digital-revolution-in-agriculture/</w:t>
        </w:r>
      </w:hyperlink>
      <w:r w:rsidRPr="00DB7D71">
        <w:rPr>
          <w:rFonts w:cstheme="minorHAnsi"/>
          <w:sz w:val="18"/>
          <w:szCs w:val="18"/>
        </w:rPr>
        <w:t xml:space="preserve"> </w:t>
      </w:r>
    </w:p>
  </w:endnote>
  <w:endnote w:id="44">
    <w:p w14:paraId="58A9416D"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Manufacturing value-added through the adoption of robotics and automation, innovation in manufacturing technologies. </w:t>
      </w:r>
      <w:r w:rsidRPr="00DB7D71">
        <w:rPr>
          <w:rFonts w:eastAsia="Calibri" w:cstheme="minorHAnsi"/>
          <w:sz w:val="18"/>
          <w:szCs w:val="18"/>
        </w:rPr>
        <w:t xml:space="preserve">Enterprise Singapore, </w:t>
      </w:r>
      <w:hyperlink r:id="rId39">
        <w:r w:rsidRPr="00DB7D71">
          <w:rPr>
            <w:rStyle w:val="Hyperlink"/>
            <w:rFonts w:eastAsia="Calibri" w:cstheme="minorHAnsi"/>
            <w:sz w:val="18"/>
            <w:szCs w:val="18"/>
          </w:rPr>
          <w:t>https://www.enterprisesg.gov.sg/industries/type/electronics/industry-profile</w:t>
        </w:r>
      </w:hyperlink>
      <w:r w:rsidRPr="00DB7D71">
        <w:rPr>
          <w:rStyle w:val="Hyperlink"/>
          <w:rFonts w:eastAsia="Calibri" w:cstheme="minorHAnsi"/>
          <w:sz w:val="18"/>
          <w:szCs w:val="18"/>
        </w:rPr>
        <w:t xml:space="preserve"> </w:t>
      </w:r>
    </w:p>
  </w:endnote>
  <w:endnote w:id="45">
    <w:p w14:paraId="703FD128"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[For both AU and SG] Mckinsey (2015), A Labor Market that works: Connecting Talent with Opportunity in the Digital Age, </w:t>
      </w:r>
      <w:hyperlink r:id="rId40" w:history="1">
        <w:r w:rsidRPr="00DB7D71">
          <w:rPr>
            <w:rStyle w:val="Hyperlink"/>
            <w:rFonts w:cstheme="minorHAnsi"/>
            <w:sz w:val="18"/>
            <w:szCs w:val="18"/>
          </w:rPr>
          <w:t>https://www.mckinsey.com/~/media/McKinsey/Featured%20Insights/Employment%20and%20Growth/Connecting%20talent%20with%20opportunity%20in%20the%20digital%20age/MGI%20Online%20talent_A_Labor_Market_That_Works_Executive_%20summary_June%202015.ashx</w:t>
        </w:r>
      </w:hyperlink>
    </w:p>
  </w:endnote>
  <w:endnote w:id="46">
    <w:p w14:paraId="5B47CE36"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Given that CAGR from 2020-2023 is 1.7%, we assume the same growth rate to arrive at USD 7.52 bn revenue of IT Equipment. </w:t>
      </w:r>
    </w:p>
  </w:endnote>
  <w:endnote w:id="47">
    <w:p w14:paraId="6CBECFFF"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Market Research, IT Hardware in Singapore, </w:t>
      </w:r>
      <w:hyperlink r:id="rId41" w:history="1">
        <w:r w:rsidRPr="00DB7D71">
          <w:rPr>
            <w:rStyle w:val="Hyperlink"/>
            <w:rFonts w:cstheme="minorHAnsi"/>
            <w:sz w:val="18"/>
            <w:szCs w:val="18"/>
          </w:rPr>
          <w:t>https://www.marketresearch.com/MarketLine-v3883/Hardware-Singapore-12763549/</w:t>
        </w:r>
      </w:hyperlink>
    </w:p>
  </w:endnote>
  <w:endnote w:id="48">
    <w:p w14:paraId="6F3E566E"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hyperlink r:id="rId42" w:history="1">
        <w:r w:rsidRPr="00DB7D71">
          <w:rPr>
            <w:rStyle w:val="Hyperlink"/>
            <w:rFonts w:cstheme="minorHAnsi"/>
            <w:sz w:val="18"/>
            <w:szCs w:val="18"/>
          </w:rPr>
          <w:t>https://www.statista.com/outlook/611000/107/it-equipment/australia</w:t>
        </w:r>
      </w:hyperlink>
      <w:r w:rsidRPr="00DB7D71">
        <w:rPr>
          <w:rFonts w:cstheme="minorHAnsi"/>
          <w:sz w:val="18"/>
          <w:szCs w:val="18"/>
        </w:rPr>
        <w:t xml:space="preserve"> </w:t>
      </w:r>
    </w:p>
  </w:endnote>
  <w:endnote w:id="49">
    <w:p w14:paraId="4586B046"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Assume the same CAGR of 0.6% to get the revenue of 2020. </w:t>
      </w:r>
    </w:p>
  </w:endnote>
  <w:endnote w:id="50">
    <w:p w14:paraId="5B254013"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AustCyber (2018) Australia's Cyber Security Sector Competitiveness Plan, </w:t>
      </w:r>
      <w:hyperlink r:id="rId43" w:history="1">
        <w:r w:rsidRPr="00DB7D71">
          <w:rPr>
            <w:rStyle w:val="Hyperlink"/>
            <w:rFonts w:cstheme="minorHAnsi"/>
            <w:sz w:val="18"/>
            <w:szCs w:val="18"/>
          </w:rPr>
          <w:t>https://www.austcyber.com/tools-and-resources/sector-competitiveness-plan-2017</w:t>
        </w:r>
      </w:hyperlink>
    </w:p>
  </w:endnote>
  <w:endnote w:id="51">
    <w:p w14:paraId="3F18002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MCI, Factsheet Cybersecurity Ecosystem, </w:t>
      </w:r>
      <w:hyperlink r:id="rId44" w:history="1">
        <w:r w:rsidRPr="00DB7D71">
          <w:rPr>
            <w:rStyle w:val="Hyperlink"/>
            <w:rFonts w:cstheme="minorHAnsi"/>
            <w:sz w:val="18"/>
            <w:szCs w:val="18"/>
          </w:rPr>
          <w:t>https://www.mci.gov.sg/~/media/mcicorp/images/budget%20workplan/cos%202018/factsheets/factsheet%20-%20innovation%20cybersecurity%20ecosystem%20at%20block%2071.pdf?la=en</w:t>
        </w:r>
      </w:hyperlink>
      <w:r w:rsidRPr="00DB7D71">
        <w:rPr>
          <w:rFonts w:cstheme="minorHAnsi"/>
          <w:sz w:val="18"/>
          <w:szCs w:val="18"/>
        </w:rPr>
        <w:t>; 2016 and 2020 estimates for Singapore</w:t>
      </w:r>
    </w:p>
  </w:endnote>
  <w:endnote w:id="52">
    <w:p w14:paraId="16CABD8C"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AustCyber (2018) Australia's Cyber Security Sector Competitiveness Plan, </w:t>
      </w:r>
      <w:hyperlink r:id="rId45" w:history="1">
        <w:r w:rsidRPr="00DB7D71">
          <w:rPr>
            <w:rStyle w:val="Hyperlink"/>
            <w:rFonts w:cstheme="minorHAnsi"/>
            <w:sz w:val="18"/>
            <w:szCs w:val="18"/>
          </w:rPr>
          <w:t>https://www.austcyber.com/tools-and-resources/sector-competitiveness-plan-2017</w:t>
        </w:r>
      </w:hyperlink>
      <w:r w:rsidRPr="00DB7D71">
        <w:rPr>
          <w:rFonts w:cstheme="minorHAnsi"/>
          <w:sz w:val="18"/>
          <w:szCs w:val="18"/>
        </w:rPr>
        <w:t xml:space="preserve">; Industry revenue is set to double from AUD2.2bn to A$4.7bn between 2016-2026. If Australia undertakes concerted efforts in key competitive areas, then it is estimated to grow to AUD6bn by 2026. </w:t>
      </w:r>
    </w:p>
  </w:endnote>
  <w:endnote w:id="53">
    <w:p w14:paraId="7AD6747B"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Oxford Economics, Australia GDP Real (LCU) 2030 is 2527.154 bn. Based on estimates from McKinsey Global Institute (2019) Digital identification: A key to inclusive growth, digital identities will unlock economic value equivalent of 3% of GDP in 2030 for mature economies. </w:t>
      </w:r>
      <w:hyperlink r:id="rId46" w:history="1">
        <w:r w:rsidRPr="00DB7D71">
          <w:rPr>
            <w:rStyle w:val="Hyperlink"/>
            <w:rFonts w:cstheme="minorHAnsi"/>
            <w:sz w:val="18"/>
            <w:szCs w:val="18"/>
          </w:rPr>
          <w:t>https://www.mckinsey.com/business-functions/mckinsey-digital/our-insights/digital-identification-a-key-to-inclusive-growth</w:t>
        </w:r>
      </w:hyperlink>
    </w:p>
  </w:endnote>
  <w:endnote w:id="54">
    <w:p w14:paraId="103F7D9C"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Oxford Economics, Singapore GDP Real (LCU) 2030 is 604.047 bn. Based on estimates from McKinsey Global Institute (2019) Digital identification: A key to inclusive growth, digital identities will unlock economic value equivalent of 3% of GDP in 2030 for mature economies. </w:t>
      </w:r>
    </w:p>
    <w:p w14:paraId="6EC284F0" w14:textId="77777777" w:rsidR="00F61ADD" w:rsidRPr="00DB7D71" w:rsidRDefault="00EE6B11" w:rsidP="005634C4">
      <w:pPr>
        <w:spacing w:before="0" w:after="0"/>
        <w:contextualSpacing/>
        <w:rPr>
          <w:rFonts w:cstheme="minorHAnsi"/>
          <w:sz w:val="18"/>
          <w:szCs w:val="18"/>
        </w:rPr>
      </w:pPr>
      <w:hyperlink r:id="rId47" w:history="1">
        <w:r w:rsidR="00F61ADD" w:rsidRPr="00DB7D71">
          <w:rPr>
            <w:rStyle w:val="Hyperlink"/>
            <w:rFonts w:cstheme="minorHAnsi"/>
            <w:sz w:val="18"/>
            <w:szCs w:val="18"/>
          </w:rPr>
          <w:t>https://www.mckinsey.com/business-functions/mckinsey-digital/our-insights/digital-identification-a-key-to-inclusive-growth</w:t>
        </w:r>
      </w:hyperlink>
    </w:p>
  </w:endnote>
  <w:endnote w:id="55">
    <w:p w14:paraId="3772DF0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TechSci Research, Australia Internet of Things (IoT) Market By Platform, By Component, By Application, Competition, Forecast &amp; Opportunities, 2024, </w:t>
      </w:r>
      <w:hyperlink r:id="rId48" w:history="1">
        <w:r w:rsidRPr="00DB7D71">
          <w:rPr>
            <w:rStyle w:val="Hyperlink"/>
            <w:rFonts w:cstheme="minorHAnsi"/>
            <w:sz w:val="18"/>
            <w:szCs w:val="18"/>
          </w:rPr>
          <w:t>https://www.techsciresearch.com/report/australia-internet-of-things-iot-market/1393.html</w:t>
        </w:r>
      </w:hyperlink>
    </w:p>
  </w:endnote>
  <w:endnote w:id="56">
    <w:p w14:paraId="4CE2E27D" w14:textId="77777777" w:rsidR="00F61ADD" w:rsidRPr="00DB7D71" w:rsidRDefault="00F61ADD" w:rsidP="005634C4">
      <w:pPr>
        <w:spacing w:before="0" w:after="0"/>
        <w:rPr>
          <w:rFonts w:eastAsia="PMingLiU" w:cstheme="minorHAnsi"/>
          <w:sz w:val="18"/>
          <w:szCs w:val="18"/>
          <w:lang w:val="en-US" w:eastAsia="zh-TW"/>
        </w:rPr>
      </w:pPr>
      <w:r w:rsidRPr="00DB7D71">
        <w:rPr>
          <w:rStyle w:val="EndnoteReference"/>
          <w:rFonts w:cstheme="minorHAnsi"/>
          <w:sz w:val="18"/>
          <w:szCs w:val="18"/>
        </w:rPr>
        <w:endnoteRef/>
      </w:r>
      <w:r w:rsidRPr="00DB7D71">
        <w:rPr>
          <w:rFonts w:cstheme="minorHAnsi"/>
          <w:sz w:val="18"/>
          <w:szCs w:val="18"/>
        </w:rPr>
        <w:t xml:space="preserve"> Current and projected figures on Singapore IoT, Blockchain technologies, 5G, AI are taken from </w:t>
      </w:r>
      <w:r w:rsidRPr="00DB7D71">
        <w:rPr>
          <w:rFonts w:eastAsia="PMingLiU" w:cstheme="minorHAnsi"/>
          <w:sz w:val="18"/>
          <w:szCs w:val="18"/>
          <w:lang w:val="en-US" w:eastAsia="zh-TW"/>
        </w:rPr>
        <w:t xml:space="preserve">Digital Reality (2019) Digital Capital Singapore Report, </w:t>
      </w:r>
      <w:hyperlink r:id="rId49" w:history="1">
        <w:r w:rsidRPr="00DB7D71">
          <w:rPr>
            <w:rStyle w:val="Hyperlink"/>
            <w:rFonts w:eastAsia="PMingLiU" w:cstheme="minorHAnsi"/>
            <w:sz w:val="18"/>
            <w:szCs w:val="18"/>
            <w:lang w:val="en-US" w:eastAsia="zh-TW"/>
          </w:rPr>
          <w:t>https://info.digitalrealty.com/XmE0NzZ0N000Jd0qm001Yj0</w:t>
        </w:r>
      </w:hyperlink>
      <w:r w:rsidRPr="00DB7D71">
        <w:rPr>
          <w:rFonts w:eastAsia="PMingLiU" w:cstheme="minorHAnsi"/>
          <w:sz w:val="18"/>
          <w:szCs w:val="18"/>
          <w:lang w:val="en-US" w:eastAsia="zh-TW"/>
        </w:rPr>
        <w:t xml:space="preserve"> </w:t>
      </w:r>
    </w:p>
  </w:endnote>
  <w:endnote w:id="57">
    <w:p w14:paraId="3717B22C"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Estimated based on the projection that Asia-Pacific is going to spend USD3.6 bn on additive manufacturing by 2024 and Australia market makes up around 5% of the APAC market. AMFG (2019) AM Around the World: How Mature is 3D Printing in the Asia-Pacific Region? </w:t>
      </w:r>
      <w:hyperlink r:id="rId50" w:history="1">
        <w:r w:rsidRPr="00DB7D71">
          <w:rPr>
            <w:rStyle w:val="Hyperlink"/>
            <w:rFonts w:cstheme="minorHAnsi"/>
            <w:sz w:val="18"/>
            <w:szCs w:val="18"/>
          </w:rPr>
          <w:t>https://amfg.ai/2019/11/20/am-around-the-world-how-mature-is-3d-printing-in-the-asia-pacific-region/</w:t>
        </w:r>
      </w:hyperlink>
      <w:r w:rsidRPr="00DB7D71">
        <w:rPr>
          <w:rFonts w:cstheme="minorHAnsi"/>
          <w:sz w:val="18"/>
          <w:szCs w:val="18"/>
        </w:rPr>
        <w:t xml:space="preserve"> </w:t>
      </w:r>
    </w:p>
  </w:endnote>
  <w:endnote w:id="58">
    <w:p w14:paraId="231B16E1"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Calculated based on the estimation that Asia Pacific is going to spend USD3.6 bn on additive manufacturing by 2024 and Singapore market makes up around 40% of the ASEAN market which accounts for 7% of the APAC market. AMFG (2019) AM Around the World: How Mature is 3D Printing in the Asia-Pacific Region? </w:t>
      </w:r>
      <w:hyperlink r:id="rId51">
        <w:r w:rsidRPr="00DB7D71">
          <w:rPr>
            <w:rStyle w:val="Hyperlink"/>
            <w:rFonts w:eastAsia="Calibri" w:cstheme="minorHAnsi"/>
            <w:sz w:val="18"/>
            <w:szCs w:val="18"/>
          </w:rPr>
          <w:t>https://amfg.ai/2019/11/20/am-around-the-world-how-mature-is-3d-printing-in-the-asia-pacific-region/</w:t>
        </w:r>
      </w:hyperlink>
    </w:p>
  </w:endnote>
  <w:endnote w:id="59">
    <w:p w14:paraId="614987DC"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ZDNet (2017) Ericsson: 5G will improve Australian telco revenue by almost 50 percent, </w:t>
      </w:r>
      <w:hyperlink r:id="rId52" w:history="1">
        <w:r w:rsidRPr="00DB7D71">
          <w:rPr>
            <w:rStyle w:val="Hyperlink"/>
            <w:rFonts w:cstheme="minorHAnsi"/>
            <w:sz w:val="18"/>
            <w:szCs w:val="18"/>
          </w:rPr>
          <w:t>https://www.zdnet.com/article/ericsson-5g-will-improve-australian-telco-revenue-by-almost-50-percent/</w:t>
        </w:r>
      </w:hyperlink>
    </w:p>
  </w:endnote>
  <w:endnote w:id="60">
    <w:p w14:paraId="5CEDDFC2"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Australian Trade and Investment Commission (2019) Artificial intelligence expert selects Sydney for Asia-Pacific launch pad, </w:t>
      </w:r>
      <w:hyperlink r:id="rId53">
        <w:r w:rsidRPr="00DB7D71">
          <w:rPr>
            <w:rStyle w:val="Hyperlink"/>
            <w:rFonts w:eastAsia="Calibri" w:cstheme="minorHAnsi"/>
            <w:sz w:val="18"/>
            <w:szCs w:val="18"/>
          </w:rPr>
          <w:t>https://www.austrade.gov.au/international/invest/investor-updates/2019/artificial-intelligence-expert-selects-sydney-for-asia-pacific-launch-pad</w:t>
        </w:r>
      </w:hyperlink>
    </w:p>
  </w:endnote>
  <w:endnote w:id="61">
    <w:p w14:paraId="2CADF157"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Australian Trade and Investment Commission (2019) Artificial intelligence expert selects Sydney for Asia-Pacific launch pad, </w:t>
      </w:r>
      <w:hyperlink r:id="rId54">
        <w:r w:rsidRPr="00DB7D71">
          <w:rPr>
            <w:rStyle w:val="Hyperlink"/>
            <w:rFonts w:eastAsia="Calibri" w:cstheme="minorHAnsi"/>
            <w:sz w:val="18"/>
            <w:szCs w:val="18"/>
          </w:rPr>
          <w:t>https://www.austrade.gov.au/international/invest/investor-updates/2019/artificial-intelligence-expert-selects-sydney-for-asia-pacific-launch-pad</w:t>
        </w:r>
      </w:hyperlink>
    </w:p>
  </w:endnote>
  <w:endnote w:id="62">
    <w:p w14:paraId="2810649C"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Austrade (2017) Australian Disruptive Technologies, </w:t>
      </w:r>
      <w:hyperlink r:id="rId55">
        <w:r w:rsidRPr="00DB7D71">
          <w:rPr>
            <w:rStyle w:val="Hyperlink"/>
            <w:rFonts w:cstheme="minorHAnsi"/>
            <w:sz w:val="18"/>
            <w:szCs w:val="18"/>
          </w:rPr>
          <w:t>https://www.austrade.gov.au/ArticleDocuments/1358/Australian_Disruptive_Technologies-Industry-Capability-Report.pdf.aspx</w:t>
        </w:r>
      </w:hyperlink>
    </w:p>
  </w:endnote>
  <w:endnote w:id="63">
    <w:p w14:paraId="17F06B86"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Singapore Economic Development Board (2018) Singapore’s big ambitions for big data in 2019, </w:t>
      </w:r>
      <w:hyperlink r:id="rId56">
        <w:r w:rsidRPr="00DB7D71">
          <w:rPr>
            <w:rStyle w:val="Hyperlink"/>
            <w:rFonts w:eastAsia="Calibri" w:cstheme="minorHAnsi"/>
            <w:sz w:val="18"/>
            <w:szCs w:val="18"/>
          </w:rPr>
          <w:t>https://www.edb.gov.sg/en/news-and-events/insights/innovation/singapore-s-big-ambitions-for-big-data-in-2019.html</w:t>
        </w:r>
      </w:hyperlink>
    </w:p>
  </w:endnote>
  <w:endnote w:id="64">
    <w:p w14:paraId="7D59A5A7" w14:textId="77777777" w:rsidR="00F61ADD" w:rsidRPr="00DB7D71" w:rsidRDefault="00F61ADD" w:rsidP="005634C4">
      <w:pPr>
        <w:pStyle w:val="EndnoteText"/>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Austrade (2017) Australian Disruptive Technologies, </w:t>
      </w:r>
      <w:hyperlink r:id="rId57">
        <w:r w:rsidRPr="00DB7D71">
          <w:rPr>
            <w:rStyle w:val="Hyperlink"/>
            <w:rFonts w:cstheme="minorHAnsi"/>
            <w:sz w:val="18"/>
            <w:szCs w:val="18"/>
          </w:rPr>
          <w:t>https://www.austrade.gov.au/ArticleDocuments/1358/Australian_Disruptive_Technologies-Industry-Capability-Report.pdf.aspx</w:t>
        </w:r>
      </w:hyperlink>
    </w:p>
  </w:endnote>
  <w:endnote w:id="65">
    <w:p w14:paraId="7334FDC9" w14:textId="77777777" w:rsidR="00F61ADD" w:rsidRPr="00DB7D71" w:rsidRDefault="00F61ADD" w:rsidP="005634C4">
      <w:pPr>
        <w:spacing w:before="0" w:after="0"/>
        <w:contextualSpacing/>
        <w:rPr>
          <w:rFonts w:cstheme="minorHAnsi"/>
          <w:sz w:val="18"/>
          <w:szCs w:val="18"/>
        </w:rPr>
      </w:pPr>
      <w:r w:rsidRPr="00DB7D71">
        <w:rPr>
          <w:rStyle w:val="EndnoteReference"/>
          <w:rFonts w:cstheme="minorHAnsi"/>
          <w:sz w:val="18"/>
          <w:szCs w:val="18"/>
        </w:rPr>
        <w:endnoteRef/>
      </w:r>
      <w:r w:rsidRPr="00DB7D71">
        <w:rPr>
          <w:rFonts w:cstheme="minorHAnsi"/>
          <w:sz w:val="18"/>
          <w:szCs w:val="18"/>
        </w:rPr>
        <w:t xml:space="preserve"> </w:t>
      </w:r>
      <w:r w:rsidRPr="00DB7D71">
        <w:rPr>
          <w:rFonts w:eastAsia="Calibri" w:cstheme="minorHAnsi"/>
          <w:sz w:val="18"/>
          <w:szCs w:val="18"/>
        </w:rPr>
        <w:t xml:space="preserve">Singapore Economic Development Board (2018) Singapore’s big ambitions for big data in 2019, </w:t>
      </w:r>
      <w:hyperlink r:id="rId58">
        <w:r w:rsidRPr="00DB7D71">
          <w:rPr>
            <w:rStyle w:val="Hyperlink"/>
            <w:rFonts w:eastAsia="Calibri" w:cstheme="minorHAnsi"/>
            <w:sz w:val="18"/>
            <w:szCs w:val="18"/>
          </w:rPr>
          <w:t>https://www.edb.gov.sg/en/news-and-events/insights/innovation/singapore-s-big-ambitions-for-big-data-in-2019.html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5B1C" w14:textId="77777777" w:rsidR="00F61ADD" w:rsidRDefault="00F61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97337217"/>
      <w:docPartObj>
        <w:docPartGallery w:val="Page Numbers (Bottom of Page)"/>
        <w:docPartUnique/>
      </w:docPartObj>
    </w:sdtPr>
    <w:sdtEndPr>
      <w:rPr>
        <w:noProof/>
      </w:rPr>
    </w:sdtEndPr>
    <w:sdtContent>
      <w:p w14:paraId="1F464BEE" w14:textId="3BB51EBE" w:rsidR="00F61ADD" w:rsidRPr="00BA6842" w:rsidRDefault="00F61ADD" w:rsidP="00BA6842">
        <w:pPr>
          <w:pStyle w:val="Footer"/>
          <w:pBdr>
            <w:top w:val="single" w:sz="4" w:space="2" w:color="000000" w:themeColor="text1"/>
          </w:pBdr>
          <w:spacing w:before="0" w:after="0"/>
          <w:jc w:val="center"/>
          <w:rPr>
            <w:noProof/>
            <w:sz w:val="18"/>
            <w:szCs w:val="18"/>
          </w:rPr>
        </w:pPr>
        <w:r>
          <w:rPr>
            <w:sz w:val="18"/>
            <w:szCs w:val="18"/>
          </w:rPr>
          <w:t>Australia-Singapore Digital Trade Standards</w:t>
        </w:r>
        <w:r>
          <w:rPr>
            <w:sz w:val="18"/>
            <w:szCs w:val="18"/>
          </w:rPr>
          <w:tab/>
        </w:r>
        <w:r>
          <w:rPr>
            <w:sz w:val="18"/>
            <w:szCs w:val="18"/>
          </w:rPr>
          <w:tab/>
        </w:r>
        <w:r w:rsidRPr="00FE6E51">
          <w:rPr>
            <w:sz w:val="18"/>
            <w:szCs w:val="18"/>
          </w:rPr>
          <w:t xml:space="preserve">Page </w:t>
        </w:r>
        <w:r w:rsidRPr="00FE6E51">
          <w:rPr>
            <w:sz w:val="18"/>
            <w:szCs w:val="18"/>
          </w:rPr>
          <w:fldChar w:fldCharType="begin"/>
        </w:r>
        <w:r w:rsidRPr="00FE6E51">
          <w:rPr>
            <w:sz w:val="18"/>
            <w:szCs w:val="18"/>
          </w:rPr>
          <w:instrText xml:space="preserve"> PAGE   \* MERGEFORMAT </w:instrText>
        </w:r>
        <w:r w:rsidRPr="00FE6E51">
          <w:rPr>
            <w:sz w:val="18"/>
            <w:szCs w:val="18"/>
          </w:rPr>
          <w:fldChar w:fldCharType="separate"/>
        </w:r>
        <w:r w:rsidR="00EE6B11">
          <w:rPr>
            <w:noProof/>
            <w:sz w:val="18"/>
            <w:szCs w:val="18"/>
          </w:rPr>
          <w:t>4</w:t>
        </w:r>
        <w:r w:rsidRPr="00FE6E51">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B61E3" w14:textId="77777777" w:rsidR="00F61ADD" w:rsidRDefault="00F61A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63101234"/>
      <w:docPartObj>
        <w:docPartGallery w:val="Page Numbers (Bottom of Page)"/>
        <w:docPartUnique/>
      </w:docPartObj>
    </w:sdtPr>
    <w:sdtEndPr>
      <w:rPr>
        <w:noProof/>
      </w:rPr>
    </w:sdtEndPr>
    <w:sdtContent>
      <w:p w14:paraId="1DB54158" w14:textId="15E42E1C" w:rsidR="00F61ADD" w:rsidRDefault="00F61ADD" w:rsidP="00947632">
        <w:pPr>
          <w:pStyle w:val="Footer"/>
          <w:pBdr>
            <w:top w:val="single" w:sz="4" w:space="2" w:color="000000" w:themeColor="text1"/>
          </w:pBdr>
          <w:spacing w:before="0" w:after="0"/>
          <w:jc w:val="center"/>
          <w:rPr>
            <w:noProof/>
            <w:sz w:val="18"/>
            <w:szCs w:val="18"/>
          </w:rPr>
        </w:pPr>
        <w:r>
          <w:rPr>
            <w:sz w:val="18"/>
            <w:szCs w:val="18"/>
          </w:rPr>
          <w:t>Australia-Singapore Digital Trade Standards</w:t>
        </w:r>
        <w:r>
          <w:rPr>
            <w:sz w:val="18"/>
            <w:szCs w:val="18"/>
          </w:rPr>
          <w:tab/>
        </w:r>
        <w:r>
          <w:rPr>
            <w:sz w:val="18"/>
            <w:szCs w:val="18"/>
          </w:rPr>
          <w:tab/>
        </w:r>
        <w:r w:rsidRPr="00FE6E51">
          <w:rPr>
            <w:sz w:val="18"/>
            <w:szCs w:val="18"/>
          </w:rPr>
          <w:t xml:space="preserve">Page </w:t>
        </w:r>
        <w:r w:rsidRPr="00FE6E51">
          <w:rPr>
            <w:sz w:val="18"/>
            <w:szCs w:val="18"/>
          </w:rPr>
          <w:fldChar w:fldCharType="begin"/>
        </w:r>
        <w:r w:rsidRPr="00FE6E51">
          <w:rPr>
            <w:sz w:val="18"/>
            <w:szCs w:val="18"/>
          </w:rPr>
          <w:instrText xml:space="preserve"> PAGE   \* MERGEFORMAT </w:instrText>
        </w:r>
        <w:r w:rsidRPr="00FE6E51">
          <w:rPr>
            <w:sz w:val="18"/>
            <w:szCs w:val="18"/>
          </w:rPr>
          <w:fldChar w:fldCharType="separate"/>
        </w:r>
        <w:r w:rsidR="00EE6B11">
          <w:rPr>
            <w:noProof/>
            <w:sz w:val="18"/>
            <w:szCs w:val="18"/>
          </w:rPr>
          <w:t>22</w:t>
        </w:r>
        <w:r w:rsidRPr="00FE6E51">
          <w:rPr>
            <w:noProof/>
            <w:sz w:val="18"/>
            <w:szCs w:val="18"/>
          </w:rPr>
          <w:fldChar w:fldCharType="end"/>
        </w:r>
      </w:p>
      <w:p w14:paraId="60FCFDEB" w14:textId="07375444" w:rsidR="00F61ADD" w:rsidRPr="005634C4" w:rsidRDefault="00EE6B11" w:rsidP="005634C4">
        <w:pPr>
          <w:pStyle w:val="Footer"/>
          <w:pBdr>
            <w:top w:val="single" w:sz="4" w:space="2" w:color="000000" w:themeColor="text1"/>
          </w:pBdr>
          <w:spacing w:before="0" w:after="0"/>
          <w:jc w:val="center"/>
          <w:rPr>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28CA4" w14:textId="77777777" w:rsidR="00C86647" w:rsidRDefault="00C86647" w:rsidP="00B976C6">
      <w:pPr>
        <w:spacing w:before="0" w:after="0"/>
      </w:pPr>
      <w:r>
        <w:separator/>
      </w:r>
    </w:p>
    <w:p w14:paraId="0D7A272E" w14:textId="77777777" w:rsidR="00C86647" w:rsidRDefault="00C86647"/>
    <w:p w14:paraId="223DBAA6" w14:textId="77777777" w:rsidR="00C86647" w:rsidRDefault="00C86647"/>
  </w:footnote>
  <w:footnote w:type="continuationSeparator" w:id="0">
    <w:p w14:paraId="46E21607" w14:textId="77777777" w:rsidR="00C86647" w:rsidRDefault="00C86647" w:rsidP="00B976C6">
      <w:pPr>
        <w:spacing w:before="0" w:after="0"/>
      </w:pPr>
      <w:r>
        <w:continuationSeparator/>
      </w:r>
    </w:p>
    <w:p w14:paraId="6A73D46C" w14:textId="77777777" w:rsidR="00C86647" w:rsidRDefault="00C86647"/>
    <w:p w14:paraId="78A910D1" w14:textId="77777777" w:rsidR="00C86647" w:rsidRDefault="00C86647"/>
  </w:footnote>
  <w:footnote w:type="continuationNotice" w:id="1">
    <w:p w14:paraId="0B248654" w14:textId="77777777" w:rsidR="00C86647" w:rsidRDefault="00C86647">
      <w:pPr>
        <w:spacing w:before="0" w:after="0"/>
      </w:pPr>
    </w:p>
    <w:p w14:paraId="1341FF1D" w14:textId="77777777" w:rsidR="00C86647" w:rsidRDefault="00C86647"/>
    <w:p w14:paraId="65E4B0A8" w14:textId="77777777" w:rsidR="00C86647" w:rsidRDefault="00C86647"/>
  </w:footnote>
  <w:footnote w:id="2">
    <w:p w14:paraId="0D5B372C"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bookmarkStart w:id="5" w:name="_Hlk39069935"/>
      <w:r w:rsidRPr="00E75FDA">
        <w:rPr>
          <w:rFonts w:cstheme="minorHAnsi"/>
          <w:sz w:val="18"/>
          <w:szCs w:val="18"/>
        </w:rPr>
        <w:t xml:space="preserve">MTI, Singapore Concludes Negotiations for Digital Economy Agreement with Australia, </w:t>
      </w:r>
      <w:bookmarkEnd w:id="5"/>
      <w:r w:rsidRPr="00E75FDA">
        <w:rPr>
          <w:rFonts w:cstheme="minorHAnsi"/>
          <w:sz w:val="18"/>
          <w:szCs w:val="18"/>
        </w:rPr>
        <w:fldChar w:fldCharType="begin"/>
      </w:r>
      <w:r w:rsidRPr="00E75FDA">
        <w:rPr>
          <w:rFonts w:cstheme="minorHAnsi"/>
          <w:sz w:val="18"/>
          <w:szCs w:val="18"/>
        </w:rPr>
        <w:instrText xml:space="preserve"> HYPERLINK "https://www.mti.gov.sg/-/media/MTI/Newsroom/Press-Releases/2020/03/Joint-press-release--Conclusion-of-Negotiations-for-the-SingaporeAustralia-Digital-Economy-Agreement.pdf" </w:instrText>
      </w:r>
      <w:r w:rsidRPr="00E75FDA">
        <w:rPr>
          <w:rFonts w:cstheme="minorHAnsi"/>
          <w:sz w:val="18"/>
          <w:szCs w:val="18"/>
        </w:rPr>
        <w:fldChar w:fldCharType="separate"/>
      </w:r>
      <w:r w:rsidRPr="00E75FDA">
        <w:rPr>
          <w:rStyle w:val="Hyperlink"/>
          <w:rFonts w:cstheme="minorHAnsi"/>
          <w:sz w:val="18"/>
          <w:szCs w:val="18"/>
        </w:rPr>
        <w:t>https://www.mti.gov.sg/-/media/MTI/Newsroom/Press-Releases/2020/03/Joint-press-release--Conclusion-of-Negotiations-for-the-SingaporeAustralia-Digital-Economy-Agreement.pdf</w:t>
      </w:r>
      <w:r w:rsidRPr="00E75FDA">
        <w:rPr>
          <w:rFonts w:cstheme="minorHAnsi"/>
          <w:sz w:val="18"/>
          <w:szCs w:val="18"/>
        </w:rPr>
        <w:fldChar w:fldCharType="end"/>
      </w:r>
      <w:r w:rsidRPr="00E75FDA">
        <w:rPr>
          <w:rFonts w:cstheme="minorHAnsi"/>
          <w:sz w:val="18"/>
          <w:szCs w:val="18"/>
        </w:rPr>
        <w:t xml:space="preserve"> </w:t>
      </w:r>
    </w:p>
  </w:footnote>
  <w:footnote w:id="3">
    <w:p w14:paraId="7F603D2A"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Australia Bureau of Statistics (May 2019)</w:t>
      </w:r>
    </w:p>
  </w:footnote>
  <w:footnote w:id="4">
    <w:p w14:paraId="2A177E94"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Department of Statistics, Singapore, </w:t>
      </w:r>
      <w:hyperlink r:id="rId1" w:history="1">
        <w:r w:rsidRPr="00E75FDA">
          <w:rPr>
            <w:rStyle w:val="Hyperlink"/>
            <w:rFonts w:cstheme="minorHAnsi"/>
            <w:sz w:val="18"/>
            <w:szCs w:val="18"/>
          </w:rPr>
          <w:t>https://www.singstat.gov.sg/modules/infographics/singapore-international-trade</w:t>
        </w:r>
      </w:hyperlink>
      <w:r w:rsidRPr="00E75FDA">
        <w:rPr>
          <w:rFonts w:cstheme="minorHAnsi"/>
          <w:sz w:val="18"/>
          <w:szCs w:val="18"/>
        </w:rPr>
        <w:t xml:space="preserve"> </w:t>
      </w:r>
    </w:p>
  </w:footnote>
  <w:footnote w:id="5">
    <w:p w14:paraId="625FB33A"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DFAT, Singapore-Australia FTA, </w:t>
      </w:r>
      <w:hyperlink r:id="rId2" w:history="1">
        <w:r w:rsidRPr="00E75FDA">
          <w:rPr>
            <w:rStyle w:val="Hyperlink"/>
            <w:rFonts w:cstheme="minorHAnsi"/>
            <w:sz w:val="18"/>
            <w:szCs w:val="18"/>
          </w:rPr>
          <w:t>https://dfat.gov.au/trade/agreements/in-force/safta/Pages/singapore-australia-fta.aspx</w:t>
        </w:r>
      </w:hyperlink>
      <w:r w:rsidRPr="00E75FDA">
        <w:rPr>
          <w:rFonts w:cstheme="minorHAnsi"/>
          <w:sz w:val="18"/>
          <w:szCs w:val="18"/>
        </w:rPr>
        <w:t xml:space="preserve"> </w:t>
      </w:r>
    </w:p>
  </w:footnote>
  <w:footnote w:id="6">
    <w:p w14:paraId="0C6BB28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3"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7">
    <w:p w14:paraId="1AABD110"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Australian Trade and Investment Commission (2019) Artificial intelligence expert selects Sydney for Asia-Pacific launch pad, </w:t>
      </w:r>
      <w:hyperlink r:id="rId4" w:history="1">
        <w:r w:rsidRPr="00E75FDA">
          <w:rPr>
            <w:rStyle w:val="Hyperlink1"/>
            <w:rFonts w:cstheme="minorHAnsi"/>
            <w:sz w:val="18"/>
            <w:szCs w:val="18"/>
          </w:rPr>
          <w:t>https://www.austrade.gov.au/international/invest/investor-updates/2019/artificial-intelligence-expert-selects-sydney-for-asia-pacific-launch-pad</w:t>
        </w:r>
      </w:hyperlink>
    </w:p>
  </w:footnote>
  <w:footnote w:id="8">
    <w:p w14:paraId="4C801041"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Digital Reality (2019) Digital Capital Singapore Report, </w:t>
      </w:r>
      <w:hyperlink r:id="rId5" w:history="1">
        <w:r w:rsidRPr="00E75FDA">
          <w:rPr>
            <w:rStyle w:val="Hyperlink"/>
            <w:rFonts w:cstheme="minorHAnsi"/>
            <w:sz w:val="18"/>
            <w:szCs w:val="18"/>
          </w:rPr>
          <w:t>https://info.digitalrealty.com/XmE0NzZ0N000Jd0qm001Yj0</w:t>
        </w:r>
      </w:hyperlink>
      <w:r w:rsidRPr="00E75FDA">
        <w:rPr>
          <w:rFonts w:cstheme="minorHAnsi"/>
          <w:sz w:val="18"/>
          <w:szCs w:val="18"/>
        </w:rPr>
        <w:t xml:space="preserve"> </w:t>
      </w:r>
    </w:p>
  </w:footnote>
  <w:footnote w:id="9">
    <w:p w14:paraId="67FC655A"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IEEE SA, The IEEE Global Initiative on Ethics of Autonomous and Intelligent Systems, </w:t>
      </w:r>
      <w:hyperlink r:id="rId6" w:history="1">
        <w:r w:rsidRPr="00E75FDA">
          <w:rPr>
            <w:rStyle w:val="Hyperlink"/>
            <w:rFonts w:cstheme="minorHAnsi"/>
            <w:sz w:val="18"/>
            <w:szCs w:val="18"/>
          </w:rPr>
          <w:t>https://standards.ieee.org/industry-connections/ec/autonomous-systems.html</w:t>
        </w:r>
      </w:hyperlink>
    </w:p>
  </w:footnote>
  <w:footnote w:id="10">
    <w:p w14:paraId="58C9226F"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ITU-T (2019), Y.3172 Architectural framework for machine learning in future networks including IMT-2020, </w:t>
      </w:r>
      <w:hyperlink r:id="rId7" w:history="1">
        <w:r w:rsidRPr="00E75FDA">
          <w:rPr>
            <w:rStyle w:val="Hyperlink"/>
            <w:rFonts w:cstheme="minorHAnsi"/>
            <w:sz w:val="18"/>
            <w:szCs w:val="18"/>
          </w:rPr>
          <w:t>https://www.itu.int/rec/T-REC-Y.3172-201906-I/en</w:t>
        </w:r>
      </w:hyperlink>
    </w:p>
  </w:footnote>
  <w:footnote w:id="11">
    <w:p w14:paraId="373AD604"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CAGR of 15%. </w:t>
      </w:r>
      <w:r w:rsidRPr="00E75FDA">
        <w:rPr>
          <w:rFonts w:eastAsia="PMingLiU" w:cstheme="minorHAnsi"/>
          <w:sz w:val="18"/>
          <w:szCs w:val="18"/>
          <w:lang w:eastAsia="zh-TW"/>
        </w:rPr>
        <w:t xml:space="preserve">Digital Reality (2019) Digital Capital Singapore Report, </w:t>
      </w:r>
      <w:hyperlink r:id="rId8" w:history="1">
        <w:r w:rsidRPr="00E75FDA">
          <w:rPr>
            <w:rStyle w:val="Hyperlink"/>
            <w:rFonts w:eastAsia="PMingLiU" w:cstheme="minorHAnsi"/>
            <w:sz w:val="18"/>
            <w:szCs w:val="18"/>
            <w:lang w:eastAsia="zh-TW"/>
          </w:rPr>
          <w:t>https://info.digitalrealty.com/XmE0NzZ0N000Jd0qm001Yj0</w:t>
        </w:r>
      </w:hyperlink>
      <w:r w:rsidRPr="00E75FDA">
        <w:rPr>
          <w:rStyle w:val="Hyperlink"/>
          <w:rFonts w:eastAsia="PMingLiU" w:cstheme="minorHAnsi"/>
          <w:sz w:val="18"/>
          <w:szCs w:val="18"/>
          <w:lang w:eastAsia="zh-TW"/>
        </w:rPr>
        <w:t xml:space="preserve">. </w:t>
      </w:r>
      <w:r w:rsidRPr="00E75FDA">
        <w:rPr>
          <w:rFonts w:eastAsia="Calibri" w:cstheme="minorHAnsi"/>
          <w:sz w:val="18"/>
          <w:szCs w:val="18"/>
        </w:rPr>
        <w:t xml:space="preserve">Also scope to reduce cost of processing trade documents by as much as 20%. See </w:t>
      </w:r>
      <w:r w:rsidRPr="00E75FDA">
        <w:rPr>
          <w:rFonts w:cstheme="minorHAnsi"/>
          <w:sz w:val="18"/>
          <w:szCs w:val="18"/>
        </w:rPr>
        <w:t>Maersk Paper Trail Research 2014.</w:t>
      </w:r>
    </w:p>
  </w:footnote>
  <w:footnote w:id="12">
    <w:p w14:paraId="67311B30"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ISO(2019), ISO/TR 23455:2019 Blockchain and distributed ledger technologies — Overview of and interactions between smart contracts in blockchain and distributed ledger technology systems, </w:t>
      </w:r>
      <w:hyperlink r:id="rId9" w:history="1">
        <w:r w:rsidRPr="00E75FDA">
          <w:rPr>
            <w:rStyle w:val="Hyperlink"/>
            <w:rFonts w:cstheme="minorHAnsi"/>
            <w:sz w:val="18"/>
            <w:szCs w:val="18"/>
          </w:rPr>
          <w:t>https://www.iso.org/standard/75624.html</w:t>
        </w:r>
      </w:hyperlink>
    </w:p>
  </w:footnote>
  <w:footnote w:id="13">
    <w:p w14:paraId="61ECE211"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IEEE(2017), P2418.1 - Standard for the Framework of Blockchain Use in Internet of Things (IoT), </w:t>
      </w:r>
      <w:hyperlink r:id="rId10" w:history="1">
        <w:r w:rsidRPr="00E75FDA">
          <w:rPr>
            <w:rStyle w:val="Hyperlink"/>
            <w:rFonts w:cstheme="minorHAnsi"/>
            <w:sz w:val="18"/>
            <w:szCs w:val="18"/>
          </w:rPr>
          <w:t>https://standards.ieee.org/project/2418_1.html</w:t>
        </w:r>
      </w:hyperlink>
    </w:p>
  </w:footnote>
  <w:footnote w:id="14">
    <w:p w14:paraId="57A99A04"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Estimated total due to “improved travel times” alone, illustrating the conservative nature of all estimates used in this report. ACS Australia’s Digital Pulse 2019, </w:t>
      </w:r>
      <w:hyperlink r:id="rId11" w:history="1">
        <w:r w:rsidRPr="00E75FDA">
          <w:rPr>
            <w:rStyle w:val="Hyperlink"/>
            <w:rFonts w:cstheme="minorHAnsi"/>
            <w:sz w:val="18"/>
            <w:szCs w:val="18"/>
          </w:rPr>
          <w:t>https://www2.deloitte.com/au/en/pages/economics/articles/australias-digital-pulse.html</w:t>
        </w:r>
      </w:hyperlink>
      <w:r w:rsidRPr="00E75FDA">
        <w:rPr>
          <w:rFonts w:cstheme="minorHAnsi"/>
          <w:sz w:val="18"/>
          <w:szCs w:val="18"/>
        </w:rPr>
        <w:t xml:space="preserve"> </w:t>
      </w:r>
    </w:p>
  </w:footnote>
  <w:footnote w:id="15">
    <w:p w14:paraId="20865E40"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ISO(2013), ISO/IEC 20005:2013 Information technology — Sensor networks — Services and interfaces supporting collaborative information processing in intelligent sensor networks, </w:t>
      </w:r>
      <w:hyperlink r:id="rId12" w:history="1">
        <w:r w:rsidRPr="00E75FDA">
          <w:rPr>
            <w:rStyle w:val="Hyperlink"/>
            <w:rFonts w:cstheme="minorHAnsi"/>
            <w:sz w:val="18"/>
            <w:szCs w:val="18"/>
          </w:rPr>
          <w:t>https://www.iso.org/standard/50952.html</w:t>
        </w:r>
      </w:hyperlink>
    </w:p>
  </w:footnote>
  <w:footnote w:id="16">
    <w:p w14:paraId="5DDA8C13"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ISO (2015), ISO/IEC 29182-7:2015, Information technology — Sensor networks: Sensor Network Reference Architecture (SNRA) — Part 7: Interoperability guidelines</w:t>
      </w:r>
    </w:p>
  </w:footnote>
  <w:footnote w:id="17">
    <w:p w14:paraId="243C920A"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TRPC estimation based on data from Oxford Economics that Australia GDP Real (LCU) 2030 is 2527.154 bn, and McKinsey Global Institute (2019) Digital identification: A key to inclusive growth, digital identities will unlock economic value equivalent of 3% of GDP in 2030 for mature economies. </w:t>
      </w:r>
      <w:hyperlink r:id="rId13" w:history="1">
        <w:r w:rsidRPr="00E75FDA">
          <w:rPr>
            <w:rStyle w:val="Hyperlink1"/>
            <w:rFonts w:cstheme="minorHAnsi"/>
            <w:sz w:val="18"/>
            <w:szCs w:val="18"/>
          </w:rPr>
          <w:t>https://www.mckinsey.com/business-functions/mckinsey-digital/our-insights/digital-identification-a-key-to-inclusive-growth</w:t>
        </w:r>
      </w:hyperlink>
    </w:p>
  </w:footnote>
  <w:footnote w:id="18">
    <w:p w14:paraId="42BB5B01"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US"/>
        </w:rPr>
        <w:t xml:space="preserve">TRPC estimation based on data from Oxford Economics that </w:t>
      </w:r>
      <w:r w:rsidRPr="00E75FDA">
        <w:rPr>
          <w:rFonts w:cstheme="minorHAnsi"/>
          <w:sz w:val="18"/>
          <w:szCs w:val="18"/>
        </w:rPr>
        <w:t xml:space="preserve">Singapore GDP Real (LCU) 2030 is 604.047 bn, and McKinsey Global Institute (2019) Digital identification: A key to inclusive growth, digital identities will unlock economic value equivalent of 3% of GDP in 2030 for mature economies. </w:t>
      </w:r>
    </w:p>
    <w:p w14:paraId="289F193F" w14:textId="77777777" w:rsidR="00F61ADD" w:rsidRPr="00E75FDA" w:rsidRDefault="00EE6B11" w:rsidP="003A2D41">
      <w:pPr>
        <w:spacing w:before="0" w:after="0"/>
        <w:contextualSpacing/>
        <w:rPr>
          <w:rFonts w:cstheme="minorHAnsi"/>
          <w:sz w:val="18"/>
          <w:szCs w:val="18"/>
        </w:rPr>
      </w:pPr>
      <w:hyperlink r:id="rId14" w:history="1">
        <w:r w:rsidR="00F61ADD" w:rsidRPr="00E75FDA">
          <w:rPr>
            <w:rStyle w:val="Hyperlink1"/>
            <w:rFonts w:cstheme="minorHAnsi"/>
            <w:sz w:val="18"/>
            <w:szCs w:val="18"/>
          </w:rPr>
          <w:t>https://www.mckinsey.com/business-functions/mckinsey-digital/our-insights/digital-identification-a-key-to-inclusive-growth</w:t>
        </w:r>
      </w:hyperlink>
    </w:p>
  </w:footnote>
  <w:footnote w:id="19">
    <w:p w14:paraId="7A983E3B"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(2019), ISO/IEC 24760-1:2019, IT Security and Privacy — A framework for identity management — Part 1: Terminology and concepts, </w:t>
      </w:r>
      <w:hyperlink r:id="rId15" w:history="1">
        <w:r w:rsidRPr="00E75FDA">
          <w:rPr>
            <w:rStyle w:val="Hyperlink"/>
            <w:rFonts w:cstheme="minorHAnsi"/>
            <w:sz w:val="18"/>
            <w:szCs w:val="18"/>
          </w:rPr>
          <w:t>https://www.iso.org/standard/77582.html</w:t>
        </w:r>
      </w:hyperlink>
    </w:p>
  </w:footnote>
  <w:footnote w:id="20">
    <w:p w14:paraId="3D984E0D"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(2018), ISO/IEC 19784-1:2018, Information technology — Biometric application programming interface — Part 1: BioAPI specification, </w:t>
      </w:r>
      <w:hyperlink r:id="rId16" w:history="1">
        <w:r w:rsidRPr="00E75FDA">
          <w:rPr>
            <w:rStyle w:val="Hyperlink"/>
            <w:rFonts w:cstheme="minorHAnsi"/>
            <w:sz w:val="18"/>
            <w:szCs w:val="18"/>
          </w:rPr>
          <w:t>https://www.iso.org/standard/70866.html</w:t>
        </w:r>
      </w:hyperlink>
      <w:r w:rsidRPr="00E75FDA">
        <w:rPr>
          <w:rFonts w:cstheme="minorHAnsi"/>
          <w:sz w:val="18"/>
          <w:szCs w:val="18"/>
        </w:rPr>
        <w:t xml:space="preserve"> </w:t>
      </w:r>
    </w:p>
  </w:footnote>
  <w:footnote w:id="21">
    <w:p w14:paraId="16F722DD"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FIDO Alliance, </w:t>
      </w:r>
      <w:hyperlink r:id="rId17" w:history="1">
        <w:r w:rsidRPr="00E75FDA">
          <w:rPr>
            <w:rStyle w:val="Hyperlink"/>
            <w:rFonts w:cstheme="minorHAnsi"/>
            <w:sz w:val="18"/>
            <w:szCs w:val="18"/>
          </w:rPr>
          <w:t>https://fidoalliance.org/</w:t>
        </w:r>
      </w:hyperlink>
    </w:p>
  </w:footnote>
  <w:footnote w:id="22">
    <w:p w14:paraId="22013F78"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TRPC estimation based on the assumption that digital payment market and alternative financing market grows at an annual rate of 3.7% and 88% respectively in 2020.  Please see Appendix A for sources and detailed calculation.</w:t>
      </w:r>
    </w:p>
  </w:footnote>
  <w:footnote w:id="23">
    <w:p w14:paraId="24ECA780" w14:textId="77777777" w:rsidR="00F61ADD" w:rsidRPr="00E75FDA" w:rsidRDefault="00F61ADD" w:rsidP="003A2D41">
      <w:pPr>
        <w:spacing w:before="0" w:after="0"/>
        <w:rPr>
          <w:rFonts w:cstheme="minorHAnsi"/>
          <w:sz w:val="18"/>
          <w:szCs w:val="18"/>
          <w:lang w:val="en-US"/>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color w:val="000000"/>
          <w:sz w:val="18"/>
          <w:szCs w:val="18"/>
          <w:shd w:val="clear" w:color="auto" w:fill="FFFFFF"/>
          <w:lang w:val="en-US" w:eastAsia="zh-TW"/>
        </w:rPr>
        <w:t>Google, Temasek and Bain &amp; Company (2019), The Future of Southeast Asia’s Digital Financial Services, </w:t>
      </w:r>
      <w:hyperlink r:id="rId18" w:tgtFrame="_blank" w:history="1">
        <w:r w:rsidRPr="00E75FDA">
          <w:rPr>
            <w:rFonts w:eastAsia="PMingLiU" w:cstheme="minorHAnsi"/>
            <w:color w:val="0563C1"/>
            <w:sz w:val="18"/>
            <w:szCs w:val="18"/>
            <w:shd w:val="clear" w:color="auto" w:fill="FFFFFF"/>
            <w:lang w:val="en-US" w:eastAsia="zh-TW"/>
          </w:rPr>
          <w:t>https://www.bain.com/globalassets/noindex/2019/bain-report-fulfilling-its-promise.pdf</w:t>
        </w:r>
      </w:hyperlink>
      <w:r w:rsidRPr="00E75FDA">
        <w:rPr>
          <w:rFonts w:eastAsia="PMingLiU" w:cstheme="minorHAnsi"/>
          <w:color w:val="0563C1"/>
          <w:sz w:val="18"/>
          <w:szCs w:val="18"/>
          <w:shd w:val="clear" w:color="auto" w:fill="FFFFFF"/>
          <w:lang w:val="en-US" w:eastAsia="zh-TW"/>
        </w:rPr>
        <w:t xml:space="preserve">. We have estimated a CAGR of 14%, which is conservative. </w:t>
      </w:r>
    </w:p>
  </w:footnote>
  <w:footnote w:id="24">
    <w:p w14:paraId="25E2A93A"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Universal financial industry message scheme, </w:t>
      </w:r>
      <w:hyperlink r:id="rId19" w:history="1">
        <w:r w:rsidRPr="00E75FDA">
          <w:rPr>
            <w:rStyle w:val="Hyperlink"/>
            <w:rFonts w:cstheme="minorHAnsi"/>
            <w:sz w:val="18"/>
            <w:szCs w:val="18"/>
          </w:rPr>
          <w:t>https://www.iso20022.org/</w:t>
        </w:r>
      </w:hyperlink>
    </w:p>
  </w:footnote>
  <w:footnote w:id="25">
    <w:p w14:paraId="0382D3BE"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EMV were originally the companies of Europay, Mastercard, and Visa, who created the standard for cards and chip payments. Today EMV is known as EMVCo, a consortium of financial companies, which develops standards in mobile, Payment Tokenisation, 3-D Secure, QR Code, Secure Remote Commerce. </w:t>
      </w:r>
      <w:hyperlink r:id="rId20" w:history="1">
        <w:r w:rsidRPr="00E75FDA">
          <w:rPr>
            <w:rStyle w:val="Hyperlink"/>
            <w:rFonts w:cstheme="minorHAnsi"/>
            <w:sz w:val="18"/>
            <w:szCs w:val="18"/>
          </w:rPr>
          <w:t>https://www.emvco.com/about/overview/</w:t>
        </w:r>
      </w:hyperlink>
    </w:p>
  </w:footnote>
  <w:footnote w:id="26">
    <w:p w14:paraId="4D01BFF1"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The Treasury, Australia, 2018, e-Invoicing, </w:t>
      </w:r>
      <w:hyperlink r:id="rId21" w:history="1">
        <w:r w:rsidRPr="00E75FDA">
          <w:rPr>
            <w:rStyle w:val="Hyperlink"/>
            <w:rFonts w:cstheme="minorHAnsi"/>
            <w:sz w:val="18"/>
            <w:szCs w:val="18"/>
          </w:rPr>
          <w:t>https://treasury.gov.au/consultation/e-invoicing</w:t>
        </w:r>
      </w:hyperlink>
      <w:r w:rsidRPr="00E75FDA">
        <w:rPr>
          <w:rFonts w:cstheme="minorHAnsi"/>
          <w:sz w:val="18"/>
          <w:szCs w:val="18"/>
        </w:rPr>
        <w:t xml:space="preserve"> </w:t>
      </w:r>
    </w:p>
  </w:footnote>
  <w:footnote w:id="27">
    <w:p w14:paraId="041F26EA"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CEN (2017), EN 16931-1:2017+A1:2019, </w:t>
      </w:r>
      <w:hyperlink r:id="rId22" w:history="1">
        <w:r w:rsidRPr="00E75FDA">
          <w:rPr>
            <w:rStyle w:val="Hyperlink"/>
            <w:rFonts w:cstheme="minorHAnsi"/>
            <w:sz w:val="18"/>
            <w:szCs w:val="18"/>
          </w:rPr>
          <w:t>https://infostore.saiglobal.com/en-au/Standards/EN-16931-1-2017-A1-2019-342638_SAIG_CEN_CEN_2785568/</w:t>
        </w:r>
      </w:hyperlink>
    </w:p>
  </w:footnote>
  <w:footnote w:id="28">
    <w:p w14:paraId="3A24982E" w14:textId="77777777" w:rsidR="00F61ADD" w:rsidRPr="00E75FDA" w:rsidRDefault="00F61ADD" w:rsidP="003A2D41">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eastAsia="zh-TW"/>
        </w:rPr>
        <w:t xml:space="preserve">TechSci Research, Australia Internet of Things (IoT) Market By Platform, By Component, By Application, Competition, Forecast &amp; Opportunities, 2024, </w:t>
      </w:r>
      <w:hyperlink r:id="rId23" w:history="1">
        <w:r w:rsidRPr="00E75FDA">
          <w:rPr>
            <w:rFonts w:eastAsia="PMingLiU" w:cstheme="minorHAnsi"/>
            <w:color w:val="0563C1" w:themeColor="hyperlink"/>
            <w:sz w:val="18"/>
            <w:szCs w:val="18"/>
            <w:u w:val="single"/>
            <w:lang w:eastAsia="zh-TW"/>
          </w:rPr>
          <w:t>https://www.techsciresearch.com/report/australia-internet-of-things-iot-market/1393.html</w:t>
        </w:r>
      </w:hyperlink>
    </w:p>
  </w:footnote>
  <w:footnote w:id="29">
    <w:p w14:paraId="28EEE6E4" w14:textId="77777777" w:rsidR="00F61ADD" w:rsidRPr="00E75FDA" w:rsidRDefault="00F61ADD" w:rsidP="003A2D41">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val="en-US" w:eastAsia="zh-TW"/>
        </w:rPr>
        <w:t xml:space="preserve">Digital Reality (2019) Digital Capital Singapore Report, </w:t>
      </w:r>
      <w:hyperlink r:id="rId24" w:history="1">
        <w:r w:rsidRPr="00E75FDA">
          <w:rPr>
            <w:rStyle w:val="Hyperlink"/>
            <w:rFonts w:eastAsia="PMingLiU" w:cstheme="minorHAnsi"/>
            <w:sz w:val="18"/>
            <w:szCs w:val="18"/>
            <w:lang w:val="en-US" w:eastAsia="zh-TW"/>
          </w:rPr>
          <w:t>https://info.digitalrealty.com/XmE0NzZ0N000Jd0qm001Yj0</w:t>
        </w:r>
      </w:hyperlink>
      <w:r w:rsidRPr="00E75FDA">
        <w:rPr>
          <w:rFonts w:eastAsia="PMingLiU" w:cstheme="minorHAnsi"/>
          <w:sz w:val="18"/>
          <w:szCs w:val="18"/>
          <w:lang w:val="en-US" w:eastAsia="zh-TW"/>
        </w:rPr>
        <w:t xml:space="preserve"> </w:t>
      </w:r>
    </w:p>
  </w:footnote>
  <w:footnote w:id="30">
    <w:p w14:paraId="701C8BEC"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IEC(2020), IEC 61850:2020 SER, Communication networks and systems for power utility automation, </w:t>
      </w:r>
      <w:hyperlink r:id="rId25" w:history="1">
        <w:r w:rsidRPr="00E75FDA">
          <w:rPr>
            <w:rStyle w:val="Hyperlink"/>
            <w:rFonts w:cstheme="minorHAnsi"/>
            <w:sz w:val="18"/>
            <w:szCs w:val="18"/>
          </w:rPr>
          <w:t>https://webstore.iec.ch/publication/6028</w:t>
        </w:r>
      </w:hyperlink>
    </w:p>
  </w:footnote>
  <w:footnote w:id="31">
    <w:p w14:paraId="1230C76F"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IEEE(2017), P2418.1 - Standard for the Framework of Blockchain Use in Internet of Things (IoT), </w:t>
      </w:r>
      <w:hyperlink r:id="rId26" w:history="1">
        <w:r w:rsidRPr="00E75FDA">
          <w:rPr>
            <w:rStyle w:val="Hyperlink"/>
            <w:rFonts w:cstheme="minorHAnsi"/>
            <w:sz w:val="18"/>
            <w:szCs w:val="18"/>
          </w:rPr>
          <w:t>https://standards.ieee.org/project/2418_1.html</w:t>
        </w:r>
      </w:hyperlink>
    </w:p>
    <w:p w14:paraId="745FB9F9"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Estimated total due to “improved travel times” alone, illustrating the conservative nature of all estimates used in this report. ACS Australia’s Digital Pulse 2019, </w:t>
      </w:r>
      <w:hyperlink r:id="rId27" w:history="1">
        <w:r w:rsidRPr="00E75FDA">
          <w:rPr>
            <w:rStyle w:val="Hyperlink"/>
            <w:rFonts w:cstheme="minorHAnsi"/>
            <w:sz w:val="18"/>
            <w:szCs w:val="18"/>
          </w:rPr>
          <w:t>https://www2.deloitte.com/au/en/pages/economics/articles/australias-digital-pulse.html</w:t>
        </w:r>
      </w:hyperlink>
      <w:r w:rsidRPr="00E75FDA">
        <w:rPr>
          <w:rFonts w:cstheme="minorHAnsi"/>
          <w:sz w:val="18"/>
          <w:szCs w:val="18"/>
        </w:rPr>
        <w:t xml:space="preserve"> </w:t>
      </w:r>
    </w:p>
  </w:footnote>
  <w:footnote w:id="32">
    <w:p w14:paraId="176E7EB2" w14:textId="510780CA"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Measures the average cost of a cyberattack to organisations in Australia. Australian Cybersecurity Magazine (2020) Businesses in the dark: McAfee survey reveals disconnect in cybersecurity culture and cyber resilience,</w:t>
      </w:r>
    </w:p>
    <w:p w14:paraId="04FF223F" w14:textId="7F393564" w:rsidR="00F61ADD" w:rsidRPr="00E75FDA" w:rsidRDefault="00EE6B11" w:rsidP="003A2D41">
      <w:pPr>
        <w:pStyle w:val="FootnoteText"/>
        <w:rPr>
          <w:rFonts w:cstheme="minorHAnsi"/>
          <w:sz w:val="18"/>
          <w:szCs w:val="18"/>
          <w:lang w:val="en-SG"/>
        </w:rPr>
      </w:pPr>
      <w:hyperlink r:id="rId28" w:history="1"/>
      <w:hyperlink r:id="rId29" w:history="1">
        <w:r w:rsidR="00F61ADD" w:rsidRPr="00E75FDA">
          <w:rPr>
            <w:rStyle w:val="Hyperlink"/>
            <w:rFonts w:cstheme="minorHAnsi"/>
            <w:sz w:val="18"/>
            <w:szCs w:val="18"/>
            <w:lang w:val="en-SG"/>
          </w:rPr>
          <w:t>https://australiancybersecuritymagazine.com.au/businesses-in-the-dark-mcafee-survey-reveals-disconnect-in-cybersecurity-culture-and-cyber-resilience/</w:t>
        </w:r>
      </w:hyperlink>
      <w:r w:rsidR="00F61ADD" w:rsidRPr="00E75FDA">
        <w:rPr>
          <w:rFonts w:cstheme="minorHAnsi"/>
          <w:sz w:val="18"/>
          <w:szCs w:val="18"/>
          <w:lang w:val="en-SG"/>
        </w:rPr>
        <w:t xml:space="preserve"> </w:t>
      </w:r>
    </w:p>
  </w:footnote>
  <w:footnote w:id="33">
    <w:p w14:paraId="63E090D3" w14:textId="4AC5D024" w:rsidR="00F61ADD" w:rsidRPr="00E75FDA" w:rsidRDefault="00F61ADD" w:rsidP="00084038">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Measures the average cost of a cyberattack to organisations in Singapore. ChannelAsia (2020) Security attacks cost Singaporean businesses $1.7m per breach, </w:t>
      </w:r>
      <w:hyperlink r:id="rId30" w:history="1">
        <w:r w:rsidRPr="00E75FDA">
          <w:rPr>
            <w:rStyle w:val="Hyperlink"/>
            <w:rFonts w:cstheme="minorHAnsi"/>
            <w:sz w:val="18"/>
            <w:szCs w:val="18"/>
            <w:lang w:val="en-SG"/>
          </w:rPr>
          <w:t>https://www.channelasia.tech/article/670400/security-attacks-cost-singaporean-businesses-1-7m-per-breach/</w:t>
        </w:r>
      </w:hyperlink>
      <w:r w:rsidRPr="00E75FDA">
        <w:rPr>
          <w:rStyle w:val="Hyperlink"/>
          <w:rFonts w:cstheme="minorHAnsi"/>
          <w:sz w:val="18"/>
          <w:szCs w:val="18"/>
          <w:lang w:val="en-SG"/>
        </w:rPr>
        <w:t xml:space="preserve"> </w:t>
      </w:r>
    </w:p>
  </w:footnote>
  <w:footnote w:id="34">
    <w:p w14:paraId="3920CFC3"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(2019), ISO/IEC 27018:2019 Information technology — Security techniques — Code of practice for protection of personally identifiable information (PII) in public clouds acting as PII processors, </w:t>
      </w:r>
      <w:hyperlink r:id="rId31" w:history="1">
        <w:r w:rsidRPr="00E75FDA">
          <w:rPr>
            <w:rStyle w:val="Hyperlink"/>
            <w:rFonts w:cstheme="minorHAnsi"/>
            <w:sz w:val="18"/>
            <w:szCs w:val="18"/>
          </w:rPr>
          <w:t>https://www.iso.org/standard/76559.html</w:t>
        </w:r>
      </w:hyperlink>
    </w:p>
  </w:footnote>
  <w:footnote w:id="35">
    <w:p w14:paraId="3ACF2EE7"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(2019), ISO/IEC 27701:2019 Security techniques — Extension to ISO/IEC 27001 and ISO/IEC 27002 for privacy information management — Requirements and guidelines, </w:t>
      </w:r>
      <w:hyperlink r:id="rId32" w:history="1">
        <w:r w:rsidRPr="00E75FDA">
          <w:rPr>
            <w:rStyle w:val="Hyperlink"/>
            <w:rFonts w:cstheme="minorHAnsi"/>
            <w:sz w:val="18"/>
            <w:szCs w:val="18"/>
          </w:rPr>
          <w:t>https://www.iso.org/standard/71670.html</w:t>
        </w:r>
      </w:hyperlink>
    </w:p>
  </w:footnote>
  <w:footnote w:id="36">
    <w:p w14:paraId="39471D33" w14:textId="412305FC"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McKinsey Global Institute (2016) </w:t>
      </w:r>
      <w:r w:rsidRPr="00E75FDA">
        <w:rPr>
          <w:rFonts w:cstheme="minorHAnsi"/>
          <w:sz w:val="18"/>
          <w:szCs w:val="18"/>
          <w:lang w:val="en-SG"/>
        </w:rPr>
        <w:t>Digital Globalization: The New Era of Global Flows,</w:t>
      </w:r>
      <w:r w:rsidRPr="00E75FDA">
        <w:rPr>
          <w:rFonts w:cstheme="minorHAnsi"/>
          <w:sz w:val="18"/>
          <w:szCs w:val="18"/>
        </w:rPr>
        <w:t xml:space="preserve"> </w:t>
      </w:r>
      <w:hyperlink r:id="rId33" w:history="1">
        <w:r w:rsidRPr="00471A0F">
          <w:rPr>
            <w:rStyle w:val="Hyperlink"/>
            <w:rFonts w:cstheme="minorHAnsi"/>
            <w:sz w:val="18"/>
            <w:szCs w:val="18"/>
          </w:rPr>
          <w:t>https://www.mckinsey.com/~/media/McKinsey/Business%20Functions/McKinsey%20Digital/Our%20Insights/Digital%20globalization%20The%20new%20era%20of%20global%20flows/MGI-Digital-globalization-Full-report.pdf</w:t>
        </w:r>
      </w:hyperlink>
      <w:r>
        <w:rPr>
          <w:rFonts w:cstheme="minorHAnsi"/>
          <w:sz w:val="18"/>
          <w:szCs w:val="18"/>
        </w:rPr>
        <w:t xml:space="preserve"> </w:t>
      </w:r>
    </w:p>
  </w:footnote>
  <w:footnote w:id="37">
    <w:p w14:paraId="16744A5C"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ISO (2020), ISO/IEC 22624:2020 Information technology — Cloud computing — Taxonomy based data handling for cloud services, </w:t>
      </w:r>
      <w:hyperlink r:id="rId34" w:history="1">
        <w:r w:rsidRPr="00E75FDA">
          <w:rPr>
            <w:rStyle w:val="Hyperlink"/>
            <w:rFonts w:cstheme="minorHAnsi"/>
            <w:sz w:val="18"/>
            <w:szCs w:val="18"/>
          </w:rPr>
          <w:t>https://www.iso.org/standard/73614.html</w:t>
        </w:r>
      </w:hyperlink>
    </w:p>
  </w:footnote>
  <w:footnote w:id="38">
    <w:p w14:paraId="15FF7043" w14:textId="1EF7BB6F" w:rsidR="00F61ADD" w:rsidRPr="00E75FDA" w:rsidRDefault="00F61ADD">
      <w:pPr>
        <w:pStyle w:val="FootnoteText"/>
        <w:rPr>
          <w:sz w:val="18"/>
          <w:szCs w:val="18"/>
        </w:rPr>
      </w:pPr>
      <w:r w:rsidRPr="00E75FDA">
        <w:rPr>
          <w:rStyle w:val="FootnoteReference"/>
          <w:sz w:val="18"/>
          <w:szCs w:val="18"/>
        </w:rPr>
        <w:footnoteRef/>
      </w:r>
      <w:r w:rsidRPr="00E75FDA">
        <w:rPr>
          <w:sz w:val="18"/>
          <w:szCs w:val="18"/>
        </w:rPr>
        <w:t xml:space="preserve"> </w:t>
      </w:r>
      <w:r w:rsidRPr="00E75FDA">
        <w:rPr>
          <w:rFonts w:cstheme="minorHAnsi"/>
          <w:sz w:val="18"/>
          <w:szCs w:val="18"/>
        </w:rPr>
        <w:t xml:space="preserve">APEC (2019) What is the Cross-Border Privacy Rules System? </w:t>
      </w:r>
      <w:hyperlink r:id="rId35" w:history="1">
        <w:r w:rsidRPr="00E75FDA">
          <w:rPr>
            <w:rStyle w:val="Hyperlink"/>
            <w:rFonts w:cstheme="minorHAnsi"/>
            <w:sz w:val="18"/>
            <w:szCs w:val="18"/>
            <w:lang w:val="en-SG"/>
          </w:rPr>
          <w:t>https://www.apec.org/About-Us/About-APEC/Fact-Sheets/What-is-the-Cross-Border-Privacy-Rules-System</w:t>
        </w:r>
      </w:hyperlink>
    </w:p>
  </w:footnote>
  <w:footnote w:id="39">
    <w:p w14:paraId="7B73C523" w14:textId="77777777" w:rsidR="00F61ADD" w:rsidRPr="00E75FDA" w:rsidRDefault="00F61ADD" w:rsidP="005A1ED4">
      <w:pPr>
        <w:spacing w:before="0" w:after="0"/>
        <w:rPr>
          <w:rFonts w:cstheme="minorHAnsi"/>
          <w:sz w:val="18"/>
          <w:szCs w:val="18"/>
        </w:rPr>
      </w:pPr>
      <w:r w:rsidRPr="00E75FDA">
        <w:rPr>
          <w:rStyle w:val="FootnoteReference"/>
          <w:rFonts w:cstheme="minorHAnsi"/>
          <w:sz w:val="18"/>
          <w:szCs w:val="18"/>
        </w:rPr>
        <w:footnoteRef/>
      </w:r>
      <w:r w:rsidRPr="00E75FDA">
        <w:rPr>
          <w:rStyle w:val="FootnoteReference"/>
          <w:rFonts w:cstheme="minorHAnsi"/>
          <w:sz w:val="18"/>
          <w:szCs w:val="18"/>
        </w:rPr>
        <w:t xml:space="preserve"> </w:t>
      </w:r>
      <w:r w:rsidRPr="00E75FDA">
        <w:rPr>
          <w:rFonts w:cstheme="minorHAnsi"/>
          <w:sz w:val="18"/>
          <w:szCs w:val="18"/>
        </w:rPr>
        <w:t xml:space="preserve">Measures data-driven innovation per annum. Australian Government Department of the Prime Minister and Cabinet (2018) The Australian Government’s response to the Productivity Commission Data Availability and Use Inquiry, </w:t>
      </w:r>
      <w:hyperlink r:id="rId36" w:history="1">
        <w:r w:rsidRPr="00E75FDA">
          <w:rPr>
            <w:rStyle w:val="Hyperlink"/>
            <w:rFonts w:cstheme="minorHAnsi"/>
            <w:sz w:val="18"/>
            <w:szCs w:val="18"/>
          </w:rPr>
          <w:t>https://dataavailability.pmc.gov.au/sites/default/files/govt-response-pc-dau-inquiry.pdf</w:t>
        </w:r>
      </w:hyperlink>
    </w:p>
  </w:footnote>
  <w:footnote w:id="40">
    <w:p w14:paraId="2617F077" w14:textId="77777777" w:rsidR="00F61ADD" w:rsidRPr="00E75FDA" w:rsidRDefault="00F61ADD" w:rsidP="00C9081C">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(2017) ISO/IEC 38505-1:2017 Information technology — Governance of IT — Governance of data — Part 1: Application of ISO/IEC 38500 to the governance of data, </w:t>
      </w:r>
      <w:hyperlink r:id="rId37" w:history="1">
        <w:r w:rsidRPr="00E75FDA">
          <w:rPr>
            <w:rStyle w:val="Hyperlink"/>
            <w:rFonts w:cstheme="minorHAnsi"/>
            <w:sz w:val="18"/>
            <w:szCs w:val="18"/>
          </w:rPr>
          <w:t>https://www.iso.org/standard/56639.html</w:t>
        </w:r>
      </w:hyperlink>
    </w:p>
  </w:footnote>
  <w:footnote w:id="41">
    <w:p w14:paraId="038B6A10" w14:textId="1C1CD52F" w:rsidR="00F61ADD" w:rsidRPr="00E75FDA" w:rsidRDefault="00F61ADD" w:rsidP="007C3AB8">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(2017) ISO/IEC 38505-1:2017 Information technology — Governance of IT — Governance of data — Part 1: Application of ISO/IEC 38500 to the governance of data, </w:t>
      </w:r>
      <w:hyperlink r:id="rId38" w:history="1">
        <w:r w:rsidRPr="00E75FDA">
          <w:rPr>
            <w:rStyle w:val="Hyperlink"/>
            <w:rFonts w:cstheme="minorHAnsi"/>
            <w:sz w:val="18"/>
            <w:szCs w:val="18"/>
          </w:rPr>
          <w:t>https://www.iso.org/standard/56639.html</w:t>
        </w:r>
      </w:hyperlink>
    </w:p>
  </w:footnote>
  <w:footnote w:id="42">
    <w:p w14:paraId="35D43E0F"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(2020), Web-service-based application programming interface (WAPI) in financial services, </w:t>
      </w:r>
      <w:hyperlink r:id="rId39" w:history="1">
        <w:r w:rsidRPr="00E75FDA">
          <w:rPr>
            <w:rStyle w:val="Hyperlink"/>
            <w:rFonts w:cstheme="minorHAnsi"/>
            <w:sz w:val="18"/>
            <w:szCs w:val="18"/>
          </w:rPr>
          <w:t>https://www.iso.org/standard/74353.html</w:t>
        </w:r>
      </w:hyperlink>
      <w:r w:rsidRPr="00E75FDA">
        <w:rPr>
          <w:rFonts w:cstheme="minorHAnsi"/>
          <w:sz w:val="18"/>
          <w:szCs w:val="18"/>
        </w:rPr>
        <w:t xml:space="preserve"> </w:t>
      </w:r>
    </w:p>
  </w:footnote>
  <w:footnote w:id="43">
    <w:p w14:paraId="60A9DA1C"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OpenGov (2020) Singapore develops new standards to support resilience and sustainability, </w:t>
      </w:r>
      <w:hyperlink r:id="rId40" w:history="1">
        <w:r w:rsidRPr="00E75FDA">
          <w:rPr>
            <w:rStyle w:val="Hyperlink"/>
            <w:rFonts w:cstheme="minorHAnsi"/>
            <w:sz w:val="18"/>
            <w:szCs w:val="18"/>
          </w:rPr>
          <w:t>https://www.opengovasia.com/singapore-develops-new-standards-to-support-resilience-and-sustainability/</w:t>
        </w:r>
      </w:hyperlink>
      <w:r w:rsidRPr="00E75FDA">
        <w:rPr>
          <w:rFonts w:cstheme="minorHAnsi"/>
          <w:sz w:val="18"/>
          <w:szCs w:val="18"/>
        </w:rPr>
        <w:t xml:space="preserve"> </w:t>
      </w:r>
    </w:p>
  </w:footnote>
  <w:footnote w:id="44">
    <w:p w14:paraId="6F215756"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41"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45">
    <w:p w14:paraId="6D205F0C"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Australia Bureau of Statistics (May 2019)</w:t>
      </w:r>
    </w:p>
  </w:footnote>
  <w:footnote w:id="46">
    <w:p w14:paraId="0DEB4347"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Department of Statistics, Singapore, </w:t>
      </w:r>
      <w:hyperlink r:id="rId42" w:history="1">
        <w:r w:rsidRPr="00E75FDA">
          <w:rPr>
            <w:rStyle w:val="Hyperlink"/>
            <w:rFonts w:cstheme="minorHAnsi"/>
            <w:sz w:val="18"/>
            <w:szCs w:val="18"/>
          </w:rPr>
          <w:t>https://www.singstat.gov.sg/modules/infographics/singapore-international-trade</w:t>
        </w:r>
      </w:hyperlink>
      <w:r w:rsidRPr="00E75FDA">
        <w:rPr>
          <w:rFonts w:cstheme="minorHAnsi"/>
          <w:sz w:val="18"/>
          <w:szCs w:val="18"/>
        </w:rPr>
        <w:t xml:space="preserve"> </w:t>
      </w:r>
    </w:p>
  </w:footnote>
  <w:footnote w:id="47">
    <w:p w14:paraId="1580AE46"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43"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48">
    <w:p w14:paraId="04AA5EBE"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Australian Bureau of Statistics, Measuring Digital Activities in the Australian Economy, </w:t>
      </w:r>
      <w:hyperlink r:id="rId44" w:history="1">
        <w:r w:rsidRPr="00E75FDA">
          <w:rPr>
            <w:rStyle w:val="Hyperlink"/>
            <w:rFonts w:cstheme="minorHAnsi"/>
            <w:sz w:val="18"/>
            <w:szCs w:val="18"/>
          </w:rPr>
          <w:t>https://www.abs.gov.au/websitedbs/D3310114.nsf/home/ABS+Chief+Economist+-+Full+Paper+of+Measuring+Digital+Activities+in+the+Australian+Economy</w:t>
        </w:r>
      </w:hyperlink>
      <w:r w:rsidRPr="00E75FDA">
        <w:rPr>
          <w:rFonts w:cstheme="minorHAnsi"/>
          <w:sz w:val="18"/>
          <w:szCs w:val="18"/>
        </w:rPr>
        <w:t xml:space="preserve"> </w:t>
      </w:r>
    </w:p>
  </w:footnote>
  <w:footnote w:id="49">
    <w:p w14:paraId="1701520D"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Bain &amp; Company (2019) e-Conomy SEA 2019, </w:t>
      </w:r>
      <w:hyperlink r:id="rId45" w:history="1">
        <w:r w:rsidRPr="00E75FDA">
          <w:rPr>
            <w:rStyle w:val="Hyperlink"/>
            <w:rFonts w:cstheme="minorHAnsi"/>
            <w:sz w:val="18"/>
            <w:szCs w:val="18"/>
            <w:lang w:val="en-SG"/>
          </w:rPr>
          <w:t>https://www.bain.com/insights/e-conomy-sea-2019/</w:t>
        </w:r>
      </w:hyperlink>
      <w:r w:rsidRPr="00E75FDA">
        <w:rPr>
          <w:rFonts w:cstheme="minorHAnsi"/>
          <w:sz w:val="18"/>
          <w:szCs w:val="18"/>
          <w:lang w:val="en-SG"/>
        </w:rPr>
        <w:t xml:space="preserve"> </w:t>
      </w:r>
    </w:p>
  </w:footnote>
  <w:footnote w:id="50">
    <w:p w14:paraId="28B58AF3"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Transforming Industries, </w:t>
      </w:r>
      <w:hyperlink r:id="rId46" w:history="1">
        <w:r w:rsidRPr="00E75FDA">
          <w:rPr>
            <w:rStyle w:val="Hyperlink"/>
            <w:rFonts w:cstheme="minorHAnsi"/>
            <w:sz w:val="18"/>
            <w:szCs w:val="18"/>
          </w:rPr>
          <w:t>https://www.mti.gov.sg/Transforming-Industries/For-Industries</w:t>
        </w:r>
      </w:hyperlink>
      <w:r w:rsidRPr="00E75FDA">
        <w:rPr>
          <w:rFonts w:cstheme="minorHAnsi"/>
          <w:sz w:val="18"/>
          <w:szCs w:val="18"/>
        </w:rPr>
        <w:t xml:space="preserve"> </w:t>
      </w:r>
    </w:p>
  </w:footnote>
  <w:footnote w:id="51">
    <w:p w14:paraId="57A05807"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Microsoft, Digital transformation to contribute US10 billion to Singapore GDP by 2021, </w:t>
      </w:r>
      <w:hyperlink r:id="rId47" w:history="1">
        <w:r w:rsidRPr="00E75FDA">
          <w:rPr>
            <w:rStyle w:val="Hyperlink"/>
            <w:rFonts w:cstheme="minorHAnsi"/>
            <w:sz w:val="18"/>
            <w:szCs w:val="18"/>
          </w:rPr>
          <w:t>https://news.microsoft.com/en-sg/2018/02/21/digital-transformation-contribute-us10-billion-singapore-gdp-2021/</w:t>
        </w:r>
      </w:hyperlink>
      <w:r w:rsidRPr="00E75FDA">
        <w:rPr>
          <w:rFonts w:cstheme="minorHAnsi"/>
          <w:sz w:val="18"/>
          <w:szCs w:val="18"/>
        </w:rPr>
        <w:t xml:space="preserve"> </w:t>
      </w:r>
    </w:p>
  </w:footnote>
  <w:footnote w:id="52">
    <w:p w14:paraId="3D5DF6E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Henrich Foundation, From resource boom to digital boom: Capturing Australia’s digital trade opportunity at home and abroad. </w:t>
      </w:r>
      <w:hyperlink r:id="rId48" w:history="1">
        <w:r w:rsidRPr="00E75FDA">
          <w:rPr>
            <w:rStyle w:val="Hyperlink"/>
            <w:rFonts w:cstheme="minorHAnsi"/>
            <w:sz w:val="18"/>
            <w:szCs w:val="18"/>
          </w:rPr>
          <w:t>https://www.alphabeta.com/wp-content/uploads/2018/10/digital-trade-fa_oct-2018.pdf</w:t>
        </w:r>
      </w:hyperlink>
    </w:p>
  </w:footnote>
  <w:footnote w:id="53">
    <w:p w14:paraId="58D51CFC"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ACS Australia’s Digital Pulse 2019, </w:t>
      </w:r>
      <w:hyperlink r:id="rId49" w:history="1">
        <w:r w:rsidRPr="00E75FDA">
          <w:rPr>
            <w:rStyle w:val="Hyperlink"/>
            <w:rFonts w:cstheme="minorHAnsi"/>
            <w:sz w:val="18"/>
            <w:szCs w:val="18"/>
          </w:rPr>
          <w:t>https://www2.deloitte.com/au/en/pages/economics/articles/australias-digital-pulse.html</w:t>
        </w:r>
      </w:hyperlink>
      <w:r w:rsidRPr="00E75FDA">
        <w:rPr>
          <w:rFonts w:cstheme="minorHAnsi"/>
          <w:sz w:val="18"/>
          <w:szCs w:val="18"/>
        </w:rPr>
        <w:t xml:space="preserve"> </w:t>
      </w:r>
    </w:p>
  </w:footnote>
  <w:footnote w:id="54">
    <w:p w14:paraId="02C5C41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Austrade, Doing Business, Singapore, </w:t>
      </w:r>
      <w:hyperlink r:id="rId50" w:history="1">
        <w:r w:rsidRPr="00E75FDA">
          <w:rPr>
            <w:rStyle w:val="Hyperlink"/>
            <w:rFonts w:cstheme="minorHAnsi"/>
            <w:sz w:val="18"/>
            <w:szCs w:val="18"/>
          </w:rPr>
          <w:t>https://www.austrade.gov.au/Australian/Export/Export-markets/Countries/Singapore/Doing-business</w:t>
        </w:r>
      </w:hyperlink>
      <w:r w:rsidRPr="00E75FDA">
        <w:rPr>
          <w:rFonts w:cstheme="minorHAnsi"/>
          <w:sz w:val="18"/>
          <w:szCs w:val="18"/>
        </w:rPr>
        <w:t xml:space="preserve"> </w:t>
      </w:r>
      <w:r w:rsidRPr="00E75FDA">
        <w:rPr>
          <w:rFonts w:cstheme="minorHAnsi"/>
          <w:sz w:val="18"/>
          <w:szCs w:val="18"/>
        </w:rPr>
        <w:cr/>
        <w:t xml:space="preserve">  </w:t>
      </w:r>
    </w:p>
  </w:footnote>
  <w:footnote w:id="55">
    <w:p w14:paraId="77FF95D1" w14:textId="1E207446"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Some governments may have their own definitions of trade</w:t>
      </w:r>
    </w:p>
  </w:footnote>
  <w:footnote w:id="56">
    <w:p w14:paraId="2323645F" w14:textId="114D7BB6"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López González, J. and M. Jouanjean (2017), Digital Trade: Developing a Framework for Analysis, </w:t>
      </w:r>
      <w:hyperlink r:id="rId51" w:history="1">
        <w:r w:rsidRPr="00E75FDA">
          <w:rPr>
            <w:rStyle w:val="Hyperlink"/>
            <w:rFonts w:cstheme="minorHAnsi"/>
            <w:sz w:val="18"/>
            <w:szCs w:val="18"/>
          </w:rPr>
          <w:t>http://dx.doi.org/10.1787/524c8c83-en</w:t>
        </w:r>
      </w:hyperlink>
      <w:r w:rsidRPr="00E75FDA">
        <w:rPr>
          <w:rFonts w:cstheme="minorHAnsi"/>
          <w:sz w:val="18"/>
          <w:szCs w:val="18"/>
        </w:rPr>
        <w:t xml:space="preserve"> </w:t>
      </w:r>
    </w:p>
  </w:footnote>
  <w:footnote w:id="57">
    <w:p w14:paraId="1FCE5B38" w14:textId="77777777" w:rsidR="00F61ADD" w:rsidRPr="00E75FDA" w:rsidRDefault="00F61ADD" w:rsidP="003A2D41">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bookmarkStart w:id="28" w:name="_Hlk32852573"/>
      <w:r w:rsidRPr="00E75FDA">
        <w:rPr>
          <w:rFonts w:cstheme="minorHAnsi"/>
          <w:sz w:val="18"/>
          <w:szCs w:val="18"/>
        </w:rPr>
        <w:t xml:space="preserve">OECD, Digital trade, </w:t>
      </w:r>
      <w:hyperlink r:id="rId52" w:history="1">
        <w:r w:rsidRPr="00E75FDA">
          <w:rPr>
            <w:rStyle w:val="Hyperlink"/>
            <w:rFonts w:cstheme="minorHAnsi"/>
            <w:sz w:val="18"/>
            <w:szCs w:val="18"/>
          </w:rPr>
          <w:t>https://www.oecd.org/trade/topics/digital-trade/</w:t>
        </w:r>
      </w:hyperlink>
      <w:r w:rsidRPr="00E75FDA">
        <w:rPr>
          <w:rFonts w:cstheme="minorHAnsi"/>
          <w:sz w:val="18"/>
          <w:szCs w:val="18"/>
        </w:rPr>
        <w:t xml:space="preserve"> </w:t>
      </w:r>
    </w:p>
    <w:bookmarkEnd w:id="28"/>
  </w:footnote>
  <w:footnote w:id="58">
    <w:p w14:paraId="4A8E2A7E" w14:textId="77777777" w:rsidR="00F61ADD" w:rsidRPr="00E75FDA" w:rsidRDefault="00F61ADD" w:rsidP="003A2D41">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UN ESCAP (2016) International trade in a digital age, </w:t>
      </w:r>
      <w:hyperlink r:id="rId53" w:history="1">
        <w:r w:rsidRPr="00E75FDA">
          <w:rPr>
            <w:rStyle w:val="Hyperlink"/>
            <w:rFonts w:cstheme="minorHAnsi"/>
            <w:sz w:val="18"/>
            <w:szCs w:val="18"/>
          </w:rPr>
          <w:t>https://www.unescap.org/sites/default/files/aptir-2016-ch7.pdf</w:t>
        </w:r>
      </w:hyperlink>
      <w:r w:rsidRPr="00E75FDA">
        <w:rPr>
          <w:rFonts w:cstheme="minorHAnsi"/>
          <w:sz w:val="18"/>
          <w:szCs w:val="18"/>
        </w:rPr>
        <w:t xml:space="preserve"> </w:t>
      </w:r>
    </w:p>
  </w:footnote>
  <w:footnote w:id="59">
    <w:p w14:paraId="4B00F1A0" w14:textId="3657B3DC"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USITC (2017) Global Digital Trade 1:Market Opportunities and Key Foreign Trade Restrictions, </w:t>
      </w:r>
      <w:hyperlink r:id="rId54" w:history="1">
        <w:r w:rsidRPr="00E75FDA">
          <w:rPr>
            <w:rStyle w:val="Hyperlink"/>
            <w:rFonts w:cstheme="minorHAnsi"/>
            <w:sz w:val="18"/>
            <w:szCs w:val="18"/>
          </w:rPr>
          <w:t>https://www.usitc.gov/publications/332/pub4716.pdf</w:t>
        </w:r>
      </w:hyperlink>
      <w:r w:rsidRPr="00E75FDA">
        <w:rPr>
          <w:rFonts w:cstheme="minorHAnsi"/>
          <w:sz w:val="18"/>
          <w:szCs w:val="18"/>
        </w:rPr>
        <w:t xml:space="preserve"> </w:t>
      </w:r>
    </w:p>
  </w:footnote>
  <w:footnote w:id="60">
    <w:p w14:paraId="7E425665" w14:textId="6B132234"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The definition of digital trade is based on TRPC research and analysis and may differ from definitions used and applied by the Australian or Singapore Government.</w:t>
      </w:r>
    </w:p>
  </w:footnote>
  <w:footnote w:id="61">
    <w:p w14:paraId="27962776" w14:textId="2CDEF9C4" w:rsidR="00F61ADD" w:rsidRPr="00E75FDA" w:rsidRDefault="00F61ADD">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GB"/>
        </w:rPr>
        <w:t xml:space="preserve">Productivity Commissions of Australia and New Zealand (2019) Growing the Digital Economy and Maximising Opportunities for SMEs, </w:t>
      </w:r>
      <w:hyperlink r:id="rId55" w:history="1">
        <w:r w:rsidRPr="00E75FDA">
          <w:rPr>
            <w:rStyle w:val="Hyperlink"/>
            <w:rFonts w:cstheme="minorHAnsi"/>
            <w:sz w:val="18"/>
            <w:szCs w:val="18"/>
            <w:lang w:val="en-GB"/>
          </w:rPr>
          <w:t>https://www.pc.gov.au/research/completed/growing-digital-economy</w:t>
        </w:r>
      </w:hyperlink>
    </w:p>
  </w:footnote>
  <w:footnote w:id="62">
    <w:p w14:paraId="51F967A3" w14:textId="0FC54623"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López González, J. and M. Jouanjean (2017) Digital Trade: Developing a Framework for Analysis, </w:t>
      </w:r>
      <w:hyperlink r:id="rId56" w:history="1">
        <w:r w:rsidRPr="00E75FDA">
          <w:rPr>
            <w:rStyle w:val="Hyperlink"/>
            <w:rFonts w:cstheme="minorHAnsi"/>
            <w:sz w:val="18"/>
            <w:szCs w:val="18"/>
          </w:rPr>
          <w:t>http://dx.doi.org/10.1787/524c8c83-en</w:t>
        </w:r>
      </w:hyperlink>
      <w:r w:rsidRPr="00E75FDA">
        <w:rPr>
          <w:rFonts w:cstheme="minorHAnsi"/>
          <w:sz w:val="18"/>
          <w:szCs w:val="18"/>
        </w:rPr>
        <w:t xml:space="preserve"> </w:t>
      </w:r>
    </w:p>
  </w:footnote>
  <w:footnote w:id="63">
    <w:p w14:paraId="6809B74C" w14:textId="67A6E069"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Trade Facilitation Implementation Guide, The Buy-Ship-Pay Reference Models, </w:t>
      </w:r>
      <w:hyperlink r:id="rId57" w:history="1">
        <w:r w:rsidRPr="00E75FDA">
          <w:rPr>
            <w:rStyle w:val="Hyperlink"/>
            <w:rFonts w:cstheme="minorHAnsi"/>
            <w:sz w:val="18"/>
            <w:szCs w:val="18"/>
          </w:rPr>
          <w:t>www.tfig.unece.org/contents/buy-ship-pay-model.htm</w:t>
        </w:r>
      </w:hyperlink>
      <w:r w:rsidRPr="00E75FDA">
        <w:rPr>
          <w:rFonts w:cstheme="minorHAnsi"/>
          <w:sz w:val="18"/>
          <w:szCs w:val="18"/>
        </w:rPr>
        <w:t xml:space="preserve">     </w:t>
      </w:r>
    </w:p>
  </w:footnote>
  <w:footnote w:id="64">
    <w:p w14:paraId="57C9CBB4"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López González, J. and M. Jouanjean (2017-07-27), “Digital Trade: Developing a Framework for Analysis”, OECD Trade Policy Papers, No. 205, OECD Publishing, Paris. </w:t>
      </w:r>
      <w:hyperlink r:id="rId58" w:history="1">
        <w:r w:rsidRPr="00E75FDA">
          <w:rPr>
            <w:rStyle w:val="Hyperlink"/>
            <w:rFonts w:cstheme="minorHAnsi"/>
            <w:sz w:val="18"/>
            <w:szCs w:val="18"/>
          </w:rPr>
          <w:t>http://dx.doi.org/10.1787/524c8c83-en</w:t>
        </w:r>
      </w:hyperlink>
      <w:r w:rsidRPr="00E75FDA">
        <w:rPr>
          <w:rFonts w:cstheme="minorHAnsi"/>
          <w:sz w:val="18"/>
          <w:szCs w:val="18"/>
        </w:rPr>
        <w:t xml:space="preserve"> </w:t>
      </w:r>
    </w:p>
  </w:footnote>
  <w:footnote w:id="65">
    <w:p w14:paraId="7398A436"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Networked Trade Platform (2020) Networked Trade Platform, </w:t>
      </w:r>
      <w:hyperlink r:id="rId59" w:history="1">
        <w:r w:rsidRPr="00E75FDA">
          <w:rPr>
            <w:rStyle w:val="Hyperlink"/>
            <w:rFonts w:cstheme="minorHAnsi"/>
            <w:sz w:val="18"/>
            <w:szCs w:val="18"/>
            <w:lang w:val="en-SG"/>
          </w:rPr>
          <w:t>https://www.ntp.gov.sg/home/?TYPE=login</w:t>
        </w:r>
      </w:hyperlink>
    </w:p>
  </w:footnote>
  <w:footnote w:id="66">
    <w:p w14:paraId="41E09411"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Business sans Borders (BSB) is an initiative to connect domestic and cross-border online business platforms and marketplaces to improve discovery of businesses across multiple platforms and matching of buyers and sellers. http://</w:t>
      </w:r>
      <w:hyperlink r:id="rId60" w:history="1">
        <w:r w:rsidRPr="00E75FDA">
          <w:rPr>
            <w:rStyle w:val="Hyperlink"/>
            <w:rFonts w:cstheme="minorHAnsi"/>
            <w:sz w:val="18"/>
            <w:szCs w:val="18"/>
          </w:rPr>
          <w:t>www.imda.gov.sg/bsb</w:t>
        </w:r>
      </w:hyperlink>
      <w:r w:rsidRPr="00E75FDA">
        <w:rPr>
          <w:rFonts w:cstheme="minorHAnsi"/>
          <w:sz w:val="18"/>
          <w:szCs w:val="18"/>
        </w:rPr>
        <w:t xml:space="preserve">  </w:t>
      </w:r>
    </w:p>
  </w:footnote>
  <w:footnote w:id="67">
    <w:p w14:paraId="5F9D321B"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McKinsey Global Institute (2013) Disruptive technologies: Advances that will transform life, business, and the global economy, </w:t>
      </w:r>
      <w:hyperlink r:id="rId61" w:history="1">
        <w:r w:rsidRPr="00E75FDA">
          <w:rPr>
            <w:rStyle w:val="Hyperlink"/>
            <w:rFonts w:cstheme="minorHAnsi"/>
            <w:sz w:val="18"/>
            <w:szCs w:val="18"/>
          </w:rPr>
          <w:t>https://www.mckinsey.com/business-functions/digital-mckinsey/our-insights/disruptive-technologies</w:t>
        </w:r>
      </w:hyperlink>
      <w:r w:rsidRPr="00E75FDA">
        <w:rPr>
          <w:rFonts w:cstheme="minorHAnsi"/>
          <w:sz w:val="18"/>
          <w:szCs w:val="18"/>
        </w:rPr>
        <w:t xml:space="preserve"> </w:t>
      </w:r>
    </w:p>
  </w:footnote>
  <w:footnote w:id="68">
    <w:p w14:paraId="2C981F29" w14:textId="6D334ED2"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bookmarkStart w:id="43" w:name="_Hlk38983020"/>
      <w:r w:rsidRPr="00E75FDA">
        <w:rPr>
          <w:rFonts w:cstheme="minorHAnsi"/>
          <w:sz w:val="18"/>
          <w:szCs w:val="18"/>
        </w:rPr>
        <w:t xml:space="preserve">World Economic Forum (2017) Paperless Trading: How Does It Impact the Trade System? </w:t>
      </w:r>
      <w:hyperlink r:id="rId62" w:history="1">
        <w:r w:rsidRPr="00E75FDA">
          <w:rPr>
            <w:rStyle w:val="Hyperlink"/>
            <w:rFonts w:cstheme="minorHAnsi"/>
            <w:sz w:val="18"/>
            <w:szCs w:val="18"/>
            <w:lang w:val="en-SG"/>
          </w:rPr>
          <w:t>http://www3.weforum.org/docs/WEF_36073_Paperless_Trading_How_Does_It_Impact_the_Trade_System.pdf</w:t>
        </w:r>
      </w:hyperlink>
    </w:p>
    <w:bookmarkEnd w:id="43"/>
  </w:footnote>
  <w:footnote w:id="69">
    <w:p w14:paraId="62F02A34" w14:textId="53B9E77C"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All values are converted to AUD using the following exchange rates: Australian to US Dollar Exchange Rate (2015 – 2019 average) = 0.742 (</w:t>
      </w:r>
      <w:hyperlink r:id="rId63" w:history="1">
        <w:r w:rsidRPr="00E75FDA">
          <w:rPr>
            <w:rStyle w:val="Hyperlink"/>
            <w:rFonts w:cstheme="minorHAnsi"/>
            <w:sz w:val="18"/>
            <w:szCs w:val="18"/>
          </w:rPr>
          <w:t>https://www.macrotrends.net/2551/australian-us-dollar-exchange-rate-historical-chart</w:t>
        </w:r>
      </w:hyperlink>
      <w:r w:rsidRPr="00E75FDA">
        <w:rPr>
          <w:rFonts w:cstheme="minorHAnsi"/>
          <w:sz w:val="18"/>
          <w:szCs w:val="18"/>
        </w:rPr>
        <w:t>); Singapore to Australian Dollar Exchange Rate (2015 – 2019 average) = 0.986 (</w:t>
      </w:r>
      <w:hyperlink r:id="rId64" w:history="1">
        <w:r w:rsidRPr="00E75FDA">
          <w:rPr>
            <w:rStyle w:val="Hyperlink"/>
            <w:rFonts w:cstheme="minorHAnsi"/>
            <w:sz w:val="18"/>
            <w:szCs w:val="18"/>
          </w:rPr>
          <w:t>https://www.ofx.com/en-sg/forex-news/historical-exchange-rates/yearly-average-rates/</w:t>
        </w:r>
      </w:hyperlink>
      <w:r w:rsidRPr="00E75FDA">
        <w:rPr>
          <w:rFonts w:cstheme="minorHAnsi"/>
          <w:sz w:val="18"/>
          <w:szCs w:val="18"/>
        </w:rPr>
        <w:t xml:space="preserve">) </w:t>
      </w:r>
    </w:p>
  </w:footnote>
  <w:footnote w:id="70">
    <w:p w14:paraId="32900394" w14:textId="56867F4A"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Austrade, Export Markets: Singapore, </w:t>
      </w:r>
      <w:hyperlink r:id="rId65" w:history="1">
        <w:r w:rsidRPr="00E75FDA">
          <w:rPr>
            <w:rStyle w:val="Hyperlink"/>
            <w:rFonts w:cstheme="minorHAnsi"/>
            <w:sz w:val="18"/>
            <w:szCs w:val="18"/>
          </w:rPr>
          <w:t>https://www.austrade.gov.au/Australian/Export/Export-markets/Countries/Singapore/Doing-business</w:t>
        </w:r>
      </w:hyperlink>
      <w:r w:rsidRPr="00E75FDA">
        <w:rPr>
          <w:rFonts w:cstheme="minorHAnsi"/>
          <w:sz w:val="18"/>
          <w:szCs w:val="18"/>
        </w:rPr>
        <w:t xml:space="preserve"> </w:t>
      </w:r>
      <w:r w:rsidRPr="00E75FDA">
        <w:rPr>
          <w:rFonts w:cstheme="minorHAnsi"/>
          <w:sz w:val="18"/>
          <w:szCs w:val="18"/>
        </w:rPr>
        <w:cr/>
      </w:r>
    </w:p>
  </w:footnote>
  <w:footnote w:id="71">
    <w:p w14:paraId="59E613D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Calibri" w:cstheme="minorHAnsi"/>
          <w:sz w:val="18"/>
          <w:szCs w:val="18"/>
        </w:rPr>
        <w:t xml:space="preserve">Microsoft (2018) Direct costs associated with cybersecurity incidents costs Australian businesses $29 bn per annum, </w:t>
      </w:r>
      <w:hyperlink r:id="rId66">
        <w:r w:rsidRPr="00E75FDA">
          <w:rPr>
            <w:rStyle w:val="Hyperlink"/>
            <w:rFonts w:eastAsia="Calibri" w:cstheme="minorHAnsi"/>
            <w:sz w:val="18"/>
            <w:szCs w:val="18"/>
          </w:rPr>
          <w:t>https://news.microsoft.com/en-au/features/direct-costs-associated-with-cybersecurity-incidents-costs-australian-businesses-29-billion-per-annum/</w:t>
        </w:r>
      </w:hyperlink>
    </w:p>
  </w:footnote>
  <w:footnote w:id="72">
    <w:p w14:paraId="6A93049A"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Calibri" w:cstheme="minorHAnsi"/>
          <w:sz w:val="18"/>
          <w:szCs w:val="18"/>
        </w:rPr>
        <w:t xml:space="preserve">McKinsey Global Institute (2019) Digital identification: A key to inclusive growth, </w:t>
      </w:r>
      <w:hyperlink r:id="rId67">
        <w:r w:rsidRPr="00E75FDA">
          <w:rPr>
            <w:rStyle w:val="Hyperlink"/>
            <w:rFonts w:eastAsia="Calibri" w:cstheme="minorHAnsi"/>
            <w:sz w:val="18"/>
            <w:szCs w:val="18"/>
          </w:rPr>
          <w:t>https://www.mckinsey.com/business-functions/mckinsey-digital/our-insights/digital-identification-a-key-to-inclusive-growth</w:t>
        </w:r>
      </w:hyperlink>
    </w:p>
  </w:footnote>
  <w:footnote w:id="73">
    <w:p w14:paraId="25247352"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eastAsia="zh-TW"/>
        </w:rPr>
        <w:t xml:space="preserve">Digital Reality (2019) Digital Capital Singapore Report, </w:t>
      </w:r>
      <w:hyperlink r:id="rId68" w:history="1">
        <w:r w:rsidRPr="00E75FDA">
          <w:rPr>
            <w:rStyle w:val="Hyperlink"/>
            <w:rFonts w:eastAsia="PMingLiU" w:cstheme="minorHAnsi"/>
            <w:sz w:val="18"/>
            <w:szCs w:val="18"/>
            <w:lang w:eastAsia="zh-TW"/>
          </w:rPr>
          <w:t>https://info.digitalrealty.com/XmE0NzZ0N000Jd0qm001Yj0</w:t>
        </w:r>
      </w:hyperlink>
      <w:r w:rsidRPr="00E75FDA">
        <w:rPr>
          <w:rFonts w:eastAsia="PMingLiU" w:cstheme="minorHAnsi"/>
          <w:sz w:val="18"/>
          <w:szCs w:val="18"/>
          <w:lang w:eastAsia="zh-TW"/>
        </w:rPr>
        <w:t xml:space="preserve"> </w:t>
      </w:r>
    </w:p>
  </w:footnote>
  <w:footnote w:id="74">
    <w:p w14:paraId="0268CF6F"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TechSci Research, Australia Internet of Things (IoT) Market By Platform, By Component, By Application, Competition, Forecast &amp; Opportunities, 2024, </w:t>
      </w:r>
      <w:hyperlink r:id="rId69" w:history="1">
        <w:r w:rsidRPr="00E75FDA">
          <w:rPr>
            <w:rStyle w:val="Hyperlink"/>
            <w:rFonts w:cstheme="minorHAnsi"/>
            <w:sz w:val="18"/>
            <w:szCs w:val="18"/>
          </w:rPr>
          <w:t>https://www.techsciresearch.com/report/australia-internet-of-things-iot-market/1393.html</w:t>
        </w:r>
      </w:hyperlink>
    </w:p>
  </w:footnote>
  <w:footnote w:id="75">
    <w:p w14:paraId="09EA831C"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ACS (2018), Australia’s IoT Opportunity: Driving Future Growth </w:t>
      </w:r>
      <w:hyperlink r:id="rId70" w:history="1">
        <w:r w:rsidRPr="00E75FDA">
          <w:rPr>
            <w:rStyle w:val="Hyperlink"/>
            <w:rFonts w:cstheme="minorHAnsi"/>
            <w:sz w:val="18"/>
            <w:szCs w:val="18"/>
          </w:rPr>
          <w:t>https://www.pwc.com.au/consulting/assets/publications/acs-pwc-iot-report-web.pdf</w:t>
        </w:r>
      </w:hyperlink>
      <w:r w:rsidRPr="00E75FDA">
        <w:rPr>
          <w:rFonts w:cstheme="minorHAnsi"/>
          <w:sz w:val="18"/>
          <w:szCs w:val="18"/>
        </w:rPr>
        <w:t xml:space="preserve">  </w:t>
      </w:r>
    </w:p>
  </w:footnote>
  <w:footnote w:id="76">
    <w:p w14:paraId="04B47BFB"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eastAsia="zh-TW"/>
        </w:rPr>
        <w:t>Digital Reality (2019) Digital Capital Singapore Report, https://info.digitalrealty.com/XmE0NzZ0N000Jd0qm001Yj0</w:t>
      </w:r>
    </w:p>
  </w:footnote>
  <w:footnote w:id="77">
    <w:p w14:paraId="1B04F623"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IMDA Future Communications and Internet of Things, </w:t>
      </w:r>
      <w:hyperlink r:id="rId71" w:history="1">
        <w:r w:rsidRPr="00E75FDA">
          <w:rPr>
            <w:rStyle w:val="Hyperlink"/>
            <w:rFonts w:cstheme="minorHAnsi"/>
            <w:sz w:val="18"/>
            <w:szCs w:val="18"/>
          </w:rPr>
          <w:t>https://www.imda.gov.sg/-/media/Imda/Files/Industry-Development/Infrastructure/Technology/Technology-Roadmap/WG1-Executive-Summary-for-Future-Communications-and-IoT.pdf</w:t>
        </w:r>
      </w:hyperlink>
      <w:r w:rsidRPr="00E75FDA">
        <w:rPr>
          <w:rStyle w:val="Hyperlink"/>
          <w:rFonts w:cstheme="minorHAnsi"/>
          <w:sz w:val="18"/>
          <w:szCs w:val="18"/>
        </w:rPr>
        <w:t xml:space="preserve"> </w:t>
      </w:r>
    </w:p>
  </w:footnote>
  <w:footnote w:id="78">
    <w:p w14:paraId="28635C82"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eastAsia="zh-TW"/>
        </w:rPr>
        <w:t>Digital Reality (2019) Digital Capital Singapore Report, https://info.digitalrealty.com/XmE0NzZ0N000Jd0qm001Yj0</w:t>
      </w:r>
    </w:p>
  </w:footnote>
  <w:footnote w:id="79">
    <w:p w14:paraId="06E0B83A" w14:textId="542E6E25"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AMFG (2019) AM Around the World: How Mature is 3D Printing in the Asia-Pacific Region?, </w:t>
      </w:r>
      <w:hyperlink r:id="rId72" w:history="1">
        <w:r w:rsidRPr="00E75FDA">
          <w:rPr>
            <w:rStyle w:val="Hyperlink"/>
            <w:rFonts w:cstheme="minorHAnsi"/>
            <w:sz w:val="18"/>
            <w:szCs w:val="18"/>
          </w:rPr>
          <w:t>https://amfg.ai/2019/11/20/am-around-the-world-how-mature-is-3d-printing-in-the-asia-pacific-region/</w:t>
        </w:r>
      </w:hyperlink>
      <w:r w:rsidRPr="00E75FDA">
        <w:rPr>
          <w:rFonts w:cstheme="minorHAnsi"/>
          <w:sz w:val="18"/>
          <w:szCs w:val="18"/>
        </w:rPr>
        <w:t xml:space="preserve"> </w:t>
      </w:r>
    </w:p>
  </w:footnote>
  <w:footnote w:id="80">
    <w:p w14:paraId="76084A1B"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Australian Trade and Investment Commission (2019) Artificial intelligence expert selects Sydney for Asia-Pacific launch pad, </w:t>
      </w:r>
      <w:hyperlink r:id="rId73">
        <w:r w:rsidRPr="00E75FDA">
          <w:rPr>
            <w:rStyle w:val="Hyperlink"/>
            <w:rFonts w:cstheme="minorHAnsi"/>
            <w:sz w:val="18"/>
            <w:szCs w:val="18"/>
            <w:lang w:val="en-SG"/>
          </w:rPr>
          <w:t>https://www.austrade.gov.au/international/invest/investor-updates/2019/artificial-intelligence-expert-selects-sydney-for-asia-pacific-launch-pad</w:t>
        </w:r>
      </w:hyperlink>
    </w:p>
  </w:footnote>
  <w:footnote w:id="81">
    <w:p w14:paraId="370FE120"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eastAsia="PMingLiU" w:cstheme="minorHAnsi"/>
          <w:sz w:val="18"/>
          <w:szCs w:val="18"/>
          <w:lang w:eastAsia="zh-TW"/>
        </w:rPr>
        <w:t xml:space="preserve">Digital Reality (2019) Digital Capital Singapore Report, </w:t>
      </w:r>
      <w:hyperlink r:id="rId74" w:history="1">
        <w:r w:rsidRPr="00E75FDA">
          <w:rPr>
            <w:rStyle w:val="Hyperlink"/>
            <w:rFonts w:eastAsia="PMingLiU" w:cstheme="minorHAnsi"/>
            <w:sz w:val="18"/>
            <w:szCs w:val="18"/>
            <w:lang w:eastAsia="zh-TW"/>
          </w:rPr>
          <w:t>https://info.digitalrealty.com/XmE0NzZ0N000Jd0qm001Yj0</w:t>
        </w:r>
      </w:hyperlink>
      <w:r w:rsidRPr="00E75FDA">
        <w:rPr>
          <w:rFonts w:eastAsia="PMingLiU" w:cstheme="minorHAnsi"/>
          <w:sz w:val="18"/>
          <w:szCs w:val="18"/>
          <w:lang w:eastAsia="zh-TW"/>
        </w:rPr>
        <w:t xml:space="preserve"> </w:t>
      </w:r>
    </w:p>
  </w:footnote>
  <w:footnote w:id="82">
    <w:p w14:paraId="773C5114"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UNCTAD, Digital Economy report 2019, Value Creation and Capture, Implications for Developing Countries</w:t>
      </w:r>
    </w:p>
  </w:footnote>
  <w:footnote w:id="83">
    <w:p w14:paraId="5FFF5EE8"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How to Move Forward on Measuring Digital Trade </w:t>
      </w:r>
      <w:hyperlink r:id="rId75" w:history="1">
        <w:r w:rsidRPr="00E75FDA">
          <w:rPr>
            <w:rStyle w:val="Hyperlink"/>
            <w:rFonts w:cstheme="minorHAnsi"/>
            <w:sz w:val="18"/>
            <w:szCs w:val="18"/>
          </w:rPr>
          <w:t>https://www.imf.org/external/pubs/ft/bop/2019/pdf/19-07.pdf</w:t>
        </w:r>
      </w:hyperlink>
      <w:r w:rsidRPr="00E75FDA">
        <w:rPr>
          <w:rFonts w:cstheme="minorHAnsi"/>
          <w:sz w:val="18"/>
          <w:szCs w:val="18"/>
        </w:rPr>
        <w:t xml:space="preserve"> </w:t>
      </w:r>
    </w:p>
  </w:footnote>
  <w:footnote w:id="84">
    <w:p w14:paraId="62E8C0D2" w14:textId="77777777" w:rsidR="00F61ADD" w:rsidRPr="00E75FDA" w:rsidRDefault="00F61ADD" w:rsidP="003A2D41">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OECD, Digital trade, </w:t>
      </w:r>
      <w:hyperlink r:id="rId76" w:history="1">
        <w:r w:rsidRPr="00E75FDA">
          <w:rPr>
            <w:rStyle w:val="Hyperlink"/>
            <w:rFonts w:cstheme="minorHAnsi"/>
            <w:sz w:val="18"/>
            <w:szCs w:val="18"/>
          </w:rPr>
          <w:t>https://www.oecd.org/trade/topics/digital-trade/</w:t>
        </w:r>
      </w:hyperlink>
      <w:r w:rsidRPr="00E75FDA">
        <w:rPr>
          <w:rFonts w:cstheme="minorHAnsi"/>
          <w:sz w:val="18"/>
          <w:szCs w:val="18"/>
        </w:rPr>
        <w:t xml:space="preserve"> </w:t>
      </w:r>
    </w:p>
  </w:footnote>
  <w:footnote w:id="85">
    <w:p w14:paraId="163A30A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CEBR 2015, The Economic Contribution of Standards to the UK Economy </w:t>
      </w:r>
      <w:hyperlink r:id="rId77" w:history="1">
        <w:r w:rsidRPr="00E75FDA">
          <w:rPr>
            <w:rStyle w:val="Hyperlink"/>
            <w:rFonts w:cstheme="minorHAnsi"/>
            <w:sz w:val="18"/>
            <w:szCs w:val="18"/>
          </w:rPr>
          <w:t>https://www.bsigroup.com/LocalFiles/en-GB/standards/BSI-The-Economic-Contribution-of-Standards-to-the-UK-Economy-UK-EN.pdf</w:t>
        </w:r>
      </w:hyperlink>
    </w:p>
  </w:footnote>
  <w:footnote w:id="86">
    <w:p w14:paraId="51683906"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Austrade, Export Market Development Grants, </w:t>
      </w:r>
      <w:hyperlink r:id="rId78" w:history="1">
        <w:r w:rsidRPr="00E75FDA">
          <w:rPr>
            <w:rStyle w:val="Hyperlink"/>
            <w:rFonts w:cstheme="minorHAnsi"/>
            <w:sz w:val="18"/>
            <w:szCs w:val="18"/>
          </w:rPr>
          <w:t>https://www.austrade.gov.au/australian/export/export-grants/news/success-stories/turning-raw-data-into-retail-insights</w:t>
        </w:r>
      </w:hyperlink>
      <w:r w:rsidRPr="00E75FDA">
        <w:rPr>
          <w:rFonts w:cstheme="minorHAnsi"/>
          <w:sz w:val="18"/>
          <w:szCs w:val="18"/>
        </w:rPr>
        <w:t xml:space="preserve"> </w:t>
      </w:r>
    </w:p>
  </w:footnote>
  <w:footnote w:id="87">
    <w:p w14:paraId="26607F49"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CIO, 2019, How Singapore is using artificial intelligence, </w:t>
      </w:r>
      <w:hyperlink r:id="rId79" w:history="1">
        <w:r w:rsidRPr="00E75FDA">
          <w:rPr>
            <w:rStyle w:val="Hyperlink"/>
            <w:rFonts w:cstheme="minorHAnsi"/>
            <w:sz w:val="18"/>
            <w:szCs w:val="18"/>
          </w:rPr>
          <w:t>https://www.cio.com/article/3292616/how-singapore-is-using-artificial-intelligence.html</w:t>
        </w:r>
      </w:hyperlink>
      <w:r w:rsidRPr="00E75FDA">
        <w:rPr>
          <w:rFonts w:cstheme="minorHAnsi"/>
          <w:sz w:val="18"/>
          <w:szCs w:val="18"/>
        </w:rPr>
        <w:t xml:space="preserve"> </w:t>
      </w:r>
    </w:p>
  </w:footnote>
  <w:footnote w:id="88">
    <w:p w14:paraId="5EFFE0C5"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EMV were originally the companies of Europay, Mastercard, and Visa, who created the standard for cards and chip payments. Today EMV is known as EMVCo, a consortium of financial companies, which develops standards in mobile, Payment Tokenisation, 3-D Secure, QR Code, Secure Remote Commerce. </w:t>
      </w:r>
      <w:hyperlink r:id="rId80" w:history="1">
        <w:r w:rsidRPr="00E75FDA">
          <w:rPr>
            <w:rStyle w:val="Hyperlink"/>
            <w:rFonts w:cstheme="minorHAnsi"/>
            <w:sz w:val="18"/>
            <w:szCs w:val="18"/>
          </w:rPr>
          <w:t>https://www.emvco.com/about/overview/</w:t>
        </w:r>
      </w:hyperlink>
    </w:p>
  </w:footnote>
  <w:footnote w:id="89">
    <w:p w14:paraId="0019C234" w14:textId="77777777" w:rsidR="00F61ADD" w:rsidRPr="00E75FDA" w:rsidRDefault="00F61ADD" w:rsidP="00F22D3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Wilkinson, M, et al. (2016) The Fair Guiding Principles for scientific data management and stewardship, </w:t>
      </w:r>
      <w:hyperlink r:id="rId81" w:history="1">
        <w:r w:rsidRPr="00E75FDA">
          <w:rPr>
            <w:rStyle w:val="Hyperlink"/>
            <w:rFonts w:cstheme="minorHAnsi"/>
            <w:sz w:val="18"/>
            <w:szCs w:val="18"/>
            <w:lang w:val="en-SG"/>
          </w:rPr>
          <w:t>https://www.nature.com/articles/sdata201618</w:t>
        </w:r>
      </w:hyperlink>
    </w:p>
  </w:footnote>
  <w:footnote w:id="90">
    <w:p w14:paraId="3E67EC13" w14:textId="6C19D0F1" w:rsidR="00F61ADD" w:rsidRPr="00E75FDA" w:rsidRDefault="00F61ADD" w:rsidP="00F22D31">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EDM Council (2019) About FIBO: Open Semantic Standard for the Financial Industry, </w:t>
      </w:r>
      <w:hyperlink r:id="rId82" w:history="1">
        <w:r w:rsidRPr="00E75FDA">
          <w:rPr>
            <w:rStyle w:val="Hyperlink"/>
            <w:rFonts w:cstheme="minorHAnsi"/>
            <w:sz w:val="18"/>
            <w:szCs w:val="18"/>
          </w:rPr>
          <w:t>https://edmcouncil.org/page/aboutfiboreview</w:t>
        </w:r>
      </w:hyperlink>
    </w:p>
  </w:footnote>
  <w:footnote w:id="91">
    <w:p w14:paraId="195EC9D3" w14:textId="38F9106A"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Enterprise Singapore (2020) New standards to be developed to support resilience and sustainability, </w:t>
      </w:r>
      <w:hyperlink r:id="rId83" w:history="1">
        <w:r w:rsidRPr="00E75FDA">
          <w:rPr>
            <w:rStyle w:val="Hyperlink"/>
            <w:rFonts w:cstheme="minorHAnsi"/>
            <w:sz w:val="18"/>
            <w:szCs w:val="18"/>
          </w:rPr>
          <w:t>https://www.enterprisesg.gov.sg/media-centre/media-releases/2020/june/new-standards-to-be-developed-to-support-resilience-and-sustainability</w:t>
        </w:r>
      </w:hyperlink>
      <w:r w:rsidRPr="00E75FDA">
        <w:rPr>
          <w:rFonts w:cstheme="minorHAnsi"/>
          <w:sz w:val="18"/>
          <w:szCs w:val="18"/>
        </w:rPr>
        <w:t xml:space="preserve"> </w:t>
      </w:r>
    </w:p>
  </w:footnote>
  <w:footnote w:id="92">
    <w:p w14:paraId="6471587A" w14:textId="52B9700E"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PM Australia, Media Release (2019) Joint Statement by Prime Ministers the Rt Hon Jacinda Ardern and the Hon Scott Morrison MP, </w:t>
      </w:r>
      <w:hyperlink r:id="rId84" w:history="1">
        <w:r w:rsidRPr="00E75FDA">
          <w:rPr>
            <w:rStyle w:val="Hyperlink"/>
            <w:rFonts w:cstheme="minorHAnsi"/>
            <w:sz w:val="18"/>
            <w:szCs w:val="18"/>
          </w:rPr>
          <w:t>https://www.pm.gov.au/media/joint-statement-prime-ministers-rt-hon-jacinda-ardern-and-hon-scott-morrison-mp</w:t>
        </w:r>
      </w:hyperlink>
      <w:r w:rsidRPr="00E75FDA">
        <w:rPr>
          <w:rFonts w:cstheme="minorHAnsi"/>
          <w:sz w:val="18"/>
          <w:szCs w:val="18"/>
        </w:rPr>
        <w:t xml:space="preserve"> </w:t>
      </w:r>
    </w:p>
  </w:footnote>
  <w:footnote w:id="93">
    <w:p w14:paraId="42323BB6" w14:textId="470952DC" w:rsidR="00F61ADD" w:rsidRPr="00D676C9" w:rsidRDefault="00F61ADD">
      <w:pPr>
        <w:pStyle w:val="FootnoteText"/>
        <w:rPr>
          <w:lang w:val="en-SG"/>
        </w:rPr>
      </w:pPr>
      <w:r>
        <w:rPr>
          <w:rStyle w:val="FootnoteReference"/>
        </w:rPr>
        <w:footnoteRef/>
      </w:r>
      <w:r>
        <w:t xml:space="preserve"> Australian Government Department of Foreign Affairs and Trade (DFAT) (2020) Partnerships for Recovery: Australia’s COVID-19 Development Response, </w:t>
      </w:r>
      <w:hyperlink r:id="rId85" w:history="1">
        <w:r w:rsidRPr="002F7C7C">
          <w:rPr>
            <w:rStyle w:val="Hyperlink"/>
            <w:lang w:val="en-SG"/>
          </w:rPr>
          <w:t>https://www.dfat.gov.au/sites/default/files/partnerships-for-recovery-australias-covid-19-development-response.pdf</w:t>
        </w:r>
      </w:hyperlink>
    </w:p>
  </w:footnote>
  <w:footnote w:id="94">
    <w:p w14:paraId="6B5C1C54"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IMDA, Factsheet, TradeTrust, </w:t>
      </w:r>
      <w:hyperlink r:id="rId86" w:history="1">
        <w:r w:rsidRPr="00E75FDA">
          <w:rPr>
            <w:rStyle w:val="Hyperlink"/>
            <w:rFonts w:cstheme="minorHAnsi"/>
            <w:sz w:val="18"/>
            <w:szCs w:val="18"/>
          </w:rPr>
          <w:t>https://www.imda.gov.sg/-/media/Imda/Files/About/Media-Releases/2020/Annex-B-TradeTrust-Fact-Sheet.pdf</w:t>
        </w:r>
      </w:hyperlink>
    </w:p>
  </w:footnote>
  <w:footnote w:id="95">
    <w:p w14:paraId="47B7C4D1"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Australian Trade and Investment Commission (2019) Artificial intelligence expert selects Sydney for Asia-Pacific launch pad, </w:t>
      </w:r>
      <w:hyperlink r:id="rId87" w:history="1">
        <w:r w:rsidRPr="00E75FDA">
          <w:rPr>
            <w:rStyle w:val="Hyperlink1"/>
            <w:rFonts w:cstheme="minorHAnsi"/>
            <w:sz w:val="18"/>
            <w:szCs w:val="18"/>
          </w:rPr>
          <w:t>https://www.austrade.gov.au/international/invest/investor-updates/2019/artificial-intelligence-expert-selects-sydney-for-asia-pacific-launch-pad</w:t>
        </w:r>
      </w:hyperlink>
    </w:p>
  </w:footnote>
  <w:footnote w:id="96">
    <w:p w14:paraId="70065AF7"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88"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97">
    <w:p w14:paraId="3EDCBC27"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MAS, Principles to Promote Fairness, Ethics, Accountability and Transparency (FEAT) in the Use of Artificial Intelligence and Data Analytics in Singapore’s Financial Sector</w:t>
      </w:r>
    </w:p>
    <w:p w14:paraId="352AF8EA" w14:textId="77777777" w:rsidR="00F61ADD" w:rsidRPr="00E75FDA" w:rsidRDefault="00EE6B11" w:rsidP="003A2D41">
      <w:pPr>
        <w:pStyle w:val="FootnoteText"/>
        <w:contextualSpacing/>
        <w:rPr>
          <w:rFonts w:cstheme="minorHAnsi"/>
          <w:sz w:val="18"/>
          <w:szCs w:val="18"/>
          <w:lang w:val="en-SG"/>
        </w:rPr>
      </w:pPr>
      <w:hyperlink r:id="rId89" w:history="1">
        <w:r w:rsidR="00F61ADD" w:rsidRPr="00E75FDA">
          <w:rPr>
            <w:rStyle w:val="Hyperlink"/>
            <w:rFonts w:cstheme="minorHAnsi"/>
            <w:sz w:val="18"/>
            <w:szCs w:val="18"/>
            <w:lang w:val="en-SG"/>
          </w:rPr>
          <w:t>https://www.mas.gov.sg/~/media/MAS/News%20and%20Publications/Monographs%20and%20Information%20Papers/FEAT%20Principles%20Final.pdf</w:t>
        </w:r>
      </w:hyperlink>
      <w:r w:rsidR="00F61ADD" w:rsidRPr="00E75FDA">
        <w:rPr>
          <w:rFonts w:cstheme="minorHAnsi"/>
          <w:sz w:val="18"/>
          <w:szCs w:val="18"/>
          <w:lang w:val="en-SG"/>
        </w:rPr>
        <w:t xml:space="preserve"> </w:t>
      </w:r>
      <w:r w:rsidR="00F61ADD" w:rsidRPr="00E75FDA">
        <w:rPr>
          <w:rFonts w:cstheme="minorHAnsi"/>
          <w:sz w:val="18"/>
          <w:szCs w:val="18"/>
        </w:rPr>
        <w:t xml:space="preserve">   </w:t>
      </w:r>
      <w:hyperlink r:id="rId90" w:history="1">
        <w:r w:rsidR="00F61ADD" w:rsidRPr="00E75FDA">
          <w:rPr>
            <w:rStyle w:val="Hyperlink"/>
            <w:rFonts w:cstheme="minorHAnsi"/>
            <w:sz w:val="18"/>
            <w:szCs w:val="18"/>
            <w:lang w:val="en-SG"/>
          </w:rPr>
          <w:t>https://www.mas.gov.sg/~/media/MAS/News%20and%20Publications/Monographs%20and%20Information%20Papers/FEAT%20Principles%20Final.pdf</w:t>
        </w:r>
      </w:hyperlink>
      <w:r w:rsidR="00F61ADD" w:rsidRPr="00E75FDA">
        <w:rPr>
          <w:rFonts w:cstheme="minorHAnsi"/>
          <w:sz w:val="18"/>
          <w:szCs w:val="18"/>
          <w:lang w:val="en-SG"/>
        </w:rPr>
        <w:t xml:space="preserve"> </w:t>
      </w:r>
    </w:p>
  </w:footnote>
  <w:footnote w:id="98">
    <w:p w14:paraId="4C9BED31"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Maersk Paper Trail Research 2014</w:t>
      </w:r>
    </w:p>
  </w:footnote>
  <w:footnote w:id="99">
    <w:p w14:paraId="14E755E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91"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100">
    <w:p w14:paraId="09D673DB"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ACS Australia’s Digital Pulse 2019, </w:t>
      </w:r>
      <w:hyperlink r:id="rId92" w:history="1">
        <w:r w:rsidRPr="00E75FDA">
          <w:rPr>
            <w:rStyle w:val="Hyperlink"/>
            <w:rFonts w:cstheme="minorHAnsi"/>
            <w:sz w:val="18"/>
            <w:szCs w:val="18"/>
          </w:rPr>
          <w:t>https://www2.deloitte.com/au/en/pages/economics/articles/australias-digital-pulse.html</w:t>
        </w:r>
      </w:hyperlink>
      <w:r w:rsidRPr="00E75FDA">
        <w:rPr>
          <w:rFonts w:cstheme="minorHAnsi"/>
          <w:sz w:val="18"/>
          <w:szCs w:val="18"/>
        </w:rPr>
        <w:t xml:space="preserve"> </w:t>
      </w:r>
    </w:p>
  </w:footnote>
  <w:footnote w:id="101">
    <w:p w14:paraId="0327473E"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Smart Nation Initiatives, Open Data and Analytics for Urban Transportation, </w:t>
      </w:r>
      <w:hyperlink r:id="rId93" w:history="1">
        <w:r w:rsidRPr="00E75FDA">
          <w:rPr>
            <w:rStyle w:val="Hyperlink"/>
            <w:rFonts w:cstheme="minorHAnsi"/>
            <w:sz w:val="18"/>
            <w:szCs w:val="18"/>
          </w:rPr>
          <w:t>https://www.smartnation.gov.sg/what-is-smart-nation/initiatives/Transport/open-data-and-analytics-for-urban-transportation-1</w:t>
        </w:r>
      </w:hyperlink>
    </w:p>
  </w:footnote>
  <w:footnote w:id="102">
    <w:p w14:paraId="14E4CF39"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Oxford Economics, Australia GDP Real (LCU) 2030 is 2527.154 bn. Based on estimates from McKinsey Global Institute (2019) Digital identification: A key to inclusive growth, digital identities will unlock economic value equivalent of 3% of GDP in 2030 for mature economies. </w:t>
      </w:r>
      <w:hyperlink r:id="rId94" w:history="1">
        <w:r w:rsidRPr="00E75FDA">
          <w:rPr>
            <w:rStyle w:val="Hyperlink1"/>
            <w:rFonts w:cstheme="minorHAnsi"/>
            <w:sz w:val="18"/>
            <w:szCs w:val="18"/>
          </w:rPr>
          <w:t>https://www.mckinsey.com/business-functions/mckinsey-digital/our-insights/digital-identification-a-key-to-inclusive-growth</w:t>
        </w:r>
      </w:hyperlink>
    </w:p>
  </w:footnote>
  <w:footnote w:id="103">
    <w:p w14:paraId="28EE6BF1" w14:textId="77777777" w:rsidR="00F61ADD" w:rsidRPr="00E75FDA" w:rsidRDefault="00F61ADD" w:rsidP="003A2D41">
      <w:pPr>
        <w:spacing w:before="0" w:after="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Oxford Economics, Singapore GDP Real (LCU) 2030 is 604.047 bn. Based on estimates from McKinsey Global Institute (2019) Digital identification: A key to inclusive growth, digital identities will unlock economic value equivalent of 3% of GDP in 2030 for mature economies. </w:t>
      </w:r>
    </w:p>
    <w:p w14:paraId="5DAFC9CD" w14:textId="77777777" w:rsidR="00F61ADD" w:rsidRPr="00E75FDA" w:rsidRDefault="00EE6B11" w:rsidP="003A2D41">
      <w:pPr>
        <w:spacing w:before="0" w:after="0"/>
        <w:contextualSpacing/>
        <w:rPr>
          <w:rFonts w:cstheme="minorHAnsi"/>
          <w:sz w:val="18"/>
          <w:szCs w:val="18"/>
        </w:rPr>
      </w:pPr>
      <w:hyperlink r:id="rId95" w:history="1">
        <w:r w:rsidR="00F61ADD" w:rsidRPr="00E75FDA">
          <w:rPr>
            <w:rStyle w:val="Hyperlink1"/>
            <w:rFonts w:cstheme="minorHAnsi"/>
            <w:sz w:val="18"/>
            <w:szCs w:val="18"/>
          </w:rPr>
          <w:t>https://www.mckinsey.com/business-functions/mckinsey-digital/our-insights/digital-identification-a-key-to-inclusive-growth</w:t>
        </w:r>
      </w:hyperlink>
    </w:p>
  </w:footnote>
  <w:footnote w:id="104">
    <w:p w14:paraId="3BDDA1BA"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96"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105">
    <w:p w14:paraId="409237C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hyperlink r:id="rId97"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106">
    <w:p w14:paraId="4471E97D"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The Treasury, Australia, 2018, e-Invoicing, </w:t>
      </w:r>
      <w:hyperlink r:id="rId98" w:history="1">
        <w:r w:rsidRPr="00E75FDA">
          <w:rPr>
            <w:rStyle w:val="Hyperlink"/>
            <w:rFonts w:cstheme="minorHAnsi"/>
            <w:sz w:val="18"/>
            <w:szCs w:val="18"/>
          </w:rPr>
          <w:t>https://treasury.gov.au/consultation/e-invoicing</w:t>
        </w:r>
      </w:hyperlink>
      <w:r w:rsidRPr="00E75FDA">
        <w:rPr>
          <w:rFonts w:cstheme="minorHAnsi"/>
          <w:sz w:val="18"/>
          <w:szCs w:val="18"/>
        </w:rPr>
        <w:t xml:space="preserve"> </w:t>
      </w:r>
    </w:p>
  </w:footnote>
  <w:footnote w:id="107">
    <w:p w14:paraId="61173C58"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DFAT, Australia-Singapore Digital Economy Agreement: summary of key outcomes, </w:t>
      </w:r>
      <w:hyperlink r:id="rId99" w:history="1">
        <w:r w:rsidRPr="00E75FDA">
          <w:rPr>
            <w:rStyle w:val="Hyperlink"/>
            <w:rFonts w:cstheme="minorHAnsi"/>
            <w:sz w:val="18"/>
            <w:szCs w:val="18"/>
          </w:rPr>
          <w:t>https://www.dfat.gov.au/trade/services-and-digital-trade/australia-singapore-digital-economy-agreement-summary-key-outcomes</w:t>
        </w:r>
      </w:hyperlink>
      <w:r w:rsidRPr="00E75FDA">
        <w:rPr>
          <w:rFonts w:cstheme="minorHAnsi"/>
          <w:sz w:val="18"/>
          <w:szCs w:val="18"/>
        </w:rPr>
        <w:t xml:space="preserve"> </w:t>
      </w:r>
      <w:r w:rsidRPr="00E75FDA">
        <w:rPr>
          <w:rFonts w:cstheme="minorHAnsi"/>
          <w:sz w:val="18"/>
          <w:szCs w:val="18"/>
        </w:rPr>
        <w:cr/>
      </w:r>
    </w:p>
  </w:footnote>
  <w:footnote w:id="108">
    <w:p w14:paraId="5372F74D"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lang w:val="en-SG"/>
        </w:rPr>
        <w:t xml:space="preserve">The McAfee Cyber Risk &amp; Resilience (MCRR) White Paper </w:t>
      </w:r>
    </w:p>
    <w:p w14:paraId="7C861E0F" w14:textId="77777777" w:rsidR="00F61ADD" w:rsidRPr="00E75FDA" w:rsidRDefault="00EE6B11" w:rsidP="003A2D41">
      <w:pPr>
        <w:pStyle w:val="FootnoteText"/>
        <w:rPr>
          <w:rFonts w:cstheme="minorHAnsi"/>
          <w:sz w:val="18"/>
          <w:szCs w:val="18"/>
          <w:lang w:val="en-SG"/>
        </w:rPr>
      </w:pPr>
      <w:hyperlink r:id="rId100" w:history="1">
        <w:r w:rsidR="00F61ADD" w:rsidRPr="00E75FDA">
          <w:rPr>
            <w:rStyle w:val="Hyperlink"/>
            <w:rFonts w:cstheme="minorHAnsi"/>
            <w:sz w:val="18"/>
            <w:szCs w:val="18"/>
            <w:lang w:val="en-SG"/>
          </w:rPr>
          <w:t>https://www.mcafee.com/enterprise/en-us/solutions/lp/mcafee-cyber-resilience-report.html</w:t>
        </w:r>
      </w:hyperlink>
      <w:r w:rsidR="00F61ADD" w:rsidRPr="00E75FDA">
        <w:rPr>
          <w:rFonts w:cstheme="minorHAnsi"/>
          <w:sz w:val="18"/>
          <w:szCs w:val="18"/>
          <w:lang w:val="en-SG"/>
        </w:rPr>
        <w:t xml:space="preserve"> </w:t>
      </w:r>
    </w:p>
  </w:footnote>
  <w:footnote w:id="109">
    <w:p w14:paraId="403C2487"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The Australian Office of the Australian Information Commissioner and the Singaporean Personal Data Protection Commission’s Memorandum of Understanding: </w:t>
      </w:r>
      <w:hyperlink r:id="rId101" w:history="1">
        <w:r w:rsidRPr="00E75FDA">
          <w:rPr>
            <w:rStyle w:val="Hyperlink"/>
            <w:rFonts w:cstheme="minorHAnsi"/>
            <w:sz w:val="18"/>
            <w:szCs w:val="18"/>
          </w:rPr>
          <w:t>https://www.oaic.gov.au/about-us/our-corporate-information/memorandums-of-understanding/mous/mou-with-pdpc/</w:t>
        </w:r>
      </w:hyperlink>
      <w:r w:rsidRPr="00E75FDA">
        <w:rPr>
          <w:rFonts w:cstheme="minorHAnsi"/>
          <w:sz w:val="18"/>
          <w:szCs w:val="18"/>
        </w:rPr>
        <w:t>.</w:t>
      </w:r>
    </w:p>
  </w:footnote>
  <w:footnote w:id="110">
    <w:p w14:paraId="5E522B47" w14:textId="326A9169"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McKinsey Global Institute (2016) Digital Globalization: The New Era of Global Flows, </w:t>
      </w:r>
      <w:hyperlink r:id="rId102" w:history="1">
        <w:r w:rsidRPr="00471A0F">
          <w:rPr>
            <w:rStyle w:val="Hyperlink"/>
            <w:rFonts w:cstheme="minorHAnsi"/>
            <w:sz w:val="18"/>
            <w:szCs w:val="18"/>
          </w:rPr>
          <w:t>https://www.mckinsey.com/~/media/McKinsey/Business%20Functions/McKinsey%20Digital/Our%20Insights/Digital%20globalization%20The%20new%20era%20of%20global%20flows/MGI-Digital-globalization-Full-report.pdf</w:t>
        </w:r>
      </w:hyperlink>
      <w:r>
        <w:rPr>
          <w:rFonts w:cstheme="minorHAnsi"/>
          <w:sz w:val="18"/>
          <w:szCs w:val="18"/>
        </w:rPr>
        <w:t xml:space="preserve"> </w:t>
      </w:r>
    </w:p>
  </w:footnote>
  <w:footnote w:id="111">
    <w:p w14:paraId="2716E056" w14:textId="4DFDA55C" w:rsidR="00F61ADD" w:rsidRPr="00E75FDA" w:rsidRDefault="00F61ADD">
      <w:pPr>
        <w:pStyle w:val="FootnoteText"/>
        <w:rPr>
          <w:sz w:val="18"/>
          <w:szCs w:val="18"/>
          <w:lang w:val="en-SG"/>
        </w:rPr>
      </w:pPr>
      <w:r w:rsidRPr="00E75FDA">
        <w:rPr>
          <w:rStyle w:val="FootnoteReference"/>
          <w:sz w:val="18"/>
          <w:szCs w:val="18"/>
        </w:rPr>
        <w:footnoteRef/>
      </w:r>
      <w:r w:rsidRPr="00E75FDA">
        <w:rPr>
          <w:sz w:val="18"/>
          <w:szCs w:val="18"/>
        </w:rPr>
        <w:t xml:space="preserve"> Cross Border Privacy Rules System, Government, </w:t>
      </w:r>
      <w:hyperlink r:id="rId103" w:history="1">
        <w:r w:rsidRPr="00E75FDA">
          <w:rPr>
            <w:rStyle w:val="Hyperlink"/>
            <w:sz w:val="18"/>
            <w:szCs w:val="18"/>
            <w:lang w:val="en-SG"/>
          </w:rPr>
          <w:t>http://cbprs.org/government/</w:t>
        </w:r>
      </w:hyperlink>
    </w:p>
  </w:footnote>
  <w:footnote w:id="112">
    <w:p w14:paraId="115333A3"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https://newsroom.abf.gov.au/channels/NEWS/releases/e2f458e8-4603-4c8d-be43-12e98d726c9f</w:t>
      </w:r>
    </w:p>
  </w:footnote>
  <w:footnote w:id="113">
    <w:p w14:paraId="3FF0BCD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104"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114">
    <w:p w14:paraId="2432F5EA" w14:textId="4EDCA900" w:rsidR="00F61ADD" w:rsidRPr="00E75FDA" w:rsidRDefault="00F61ADD">
      <w:pPr>
        <w:pStyle w:val="FootnoteText"/>
        <w:rPr>
          <w:sz w:val="18"/>
          <w:szCs w:val="18"/>
        </w:rPr>
      </w:pPr>
      <w:r w:rsidRPr="00E75FDA">
        <w:rPr>
          <w:rStyle w:val="FootnoteReference"/>
          <w:sz w:val="18"/>
          <w:szCs w:val="18"/>
        </w:rPr>
        <w:footnoteRef/>
      </w:r>
      <w:r w:rsidRPr="00E75FDA">
        <w:rPr>
          <w:sz w:val="18"/>
          <w:szCs w:val="18"/>
        </w:rPr>
        <w:t xml:space="preserve"> </w:t>
      </w:r>
      <w:r w:rsidRPr="00E75FDA">
        <w:rPr>
          <w:rFonts w:cstheme="minorHAnsi"/>
          <w:sz w:val="18"/>
          <w:szCs w:val="18"/>
        </w:rPr>
        <w:t xml:space="preserve">Measures data-driven innovation per annum. Australian Government Department of the Prime Minister and Cabinet (2018) The Australian Government’s response to the Productivity Commission Data Availability and Use Inquiry, </w:t>
      </w:r>
      <w:hyperlink r:id="rId105" w:history="1">
        <w:r w:rsidRPr="00E75FDA">
          <w:rPr>
            <w:rStyle w:val="Hyperlink"/>
            <w:rFonts w:cstheme="minorHAnsi"/>
            <w:sz w:val="18"/>
            <w:szCs w:val="18"/>
          </w:rPr>
          <w:t>https://dataavailability.pmc.gov.au/sites/default/files/govt-response-pc-dau-inquiry.pdf</w:t>
        </w:r>
      </w:hyperlink>
    </w:p>
  </w:footnote>
  <w:footnote w:id="115">
    <w:p w14:paraId="404D6436" w14:textId="5480F581" w:rsidR="00F61ADD" w:rsidRPr="00E75FDA" w:rsidRDefault="00F61ADD" w:rsidP="003A42EE">
      <w:pPr>
        <w:spacing w:before="0" w:after="0"/>
        <w:rPr>
          <w:sz w:val="18"/>
          <w:szCs w:val="18"/>
        </w:rPr>
      </w:pPr>
      <w:r w:rsidRPr="00E75FDA">
        <w:rPr>
          <w:rStyle w:val="FootnoteReference"/>
          <w:sz w:val="18"/>
          <w:szCs w:val="18"/>
        </w:rPr>
        <w:footnoteRef/>
      </w:r>
      <w:r w:rsidRPr="00E75FDA">
        <w:rPr>
          <w:sz w:val="18"/>
          <w:szCs w:val="18"/>
        </w:rPr>
        <w:t xml:space="preserve"> Data61 (2020) Consumer Data Standards, </w:t>
      </w:r>
      <w:hyperlink r:id="rId106" w:history="1">
        <w:r w:rsidRPr="00E75FDA">
          <w:rPr>
            <w:rStyle w:val="Hyperlink"/>
            <w:sz w:val="18"/>
            <w:szCs w:val="18"/>
          </w:rPr>
          <w:t>https://data61.csiro.au/en/Our-Research/Focus-Areas/Special-Projects/Consumer-Data-Standards</w:t>
        </w:r>
      </w:hyperlink>
    </w:p>
  </w:footnote>
  <w:footnote w:id="116">
    <w:p w14:paraId="1C5A0D45" w14:textId="743A3FB5" w:rsidR="00F61ADD" w:rsidRPr="00E75FDA" w:rsidRDefault="00F61ADD" w:rsidP="00E75FDA">
      <w:pPr>
        <w:spacing w:before="0" w:after="0"/>
        <w:rPr>
          <w:sz w:val="18"/>
          <w:szCs w:val="18"/>
        </w:rPr>
      </w:pPr>
      <w:r w:rsidRPr="00E75FDA">
        <w:rPr>
          <w:rStyle w:val="FootnoteReference"/>
          <w:sz w:val="18"/>
          <w:szCs w:val="18"/>
        </w:rPr>
        <w:footnoteRef/>
      </w:r>
      <w:r w:rsidRPr="00E75FDA">
        <w:rPr>
          <w:sz w:val="18"/>
          <w:szCs w:val="18"/>
        </w:rPr>
        <w:t xml:space="preserve"> Personal Data Protection Commission (2019) Public Consultation on Review of the Personal Data Protection Act 2012 – Proposed Data Portability and Data Innovation Provisions, </w:t>
      </w:r>
      <w:hyperlink r:id="rId107" w:history="1">
        <w:r w:rsidRPr="00E75FDA">
          <w:rPr>
            <w:rStyle w:val="Hyperlink"/>
            <w:sz w:val="18"/>
            <w:szCs w:val="18"/>
          </w:rPr>
          <w:t>https://www.pdpc.gov.sg/-/media/Files/PDPC/PDF-Files/Legislation-and-Guidelines/PDPC-Public-Consultation-Paper-on-Data-Portability-and-Data-Innovation-Provisions-(220519).pdf?la=en</w:t>
        </w:r>
      </w:hyperlink>
    </w:p>
  </w:footnote>
  <w:footnote w:id="117">
    <w:p w14:paraId="11889E8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MTI, Singapore Concludes Negotiations for Digital Economy Agreement with Australia, </w:t>
      </w:r>
      <w:hyperlink r:id="rId108" w:history="1">
        <w:r w:rsidRPr="00E75FDA">
          <w:rPr>
            <w:rStyle w:val="Hyperlink"/>
            <w:rFonts w:cstheme="minorHAnsi"/>
            <w:sz w:val="18"/>
            <w:szCs w:val="18"/>
          </w:rPr>
          <w:t>https://www.mti.gov.sg/-/media/MTI/Newsroom/Press-Releases/2020/03/Joint-press-release--Conclusion-of-Negotiations-for-the-SingaporeAustralia-Digital-Economy-Agreement.pdf</w:t>
        </w:r>
      </w:hyperlink>
      <w:r w:rsidRPr="00E75FDA">
        <w:rPr>
          <w:rFonts w:cstheme="minorHAnsi"/>
          <w:sz w:val="18"/>
          <w:szCs w:val="18"/>
        </w:rPr>
        <w:t xml:space="preserve"> </w:t>
      </w:r>
    </w:p>
  </w:footnote>
  <w:footnote w:id="118">
    <w:p w14:paraId="41358904"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CSIRO, 2019, Australia’s AI roadmap launched: Solving problems, growing the economy and improving our quality of life, </w:t>
      </w:r>
      <w:hyperlink r:id="rId109" w:history="1">
        <w:r w:rsidRPr="00E75FDA">
          <w:rPr>
            <w:rStyle w:val="Hyperlink"/>
            <w:rFonts w:cstheme="minorHAnsi"/>
            <w:sz w:val="18"/>
            <w:szCs w:val="18"/>
          </w:rPr>
          <w:t>https://research.csiro.au/robotics/australias-ai-roadmap-launched-solving-problems-growing-the-economy-and-improving-our-quality-of-life/</w:t>
        </w:r>
      </w:hyperlink>
      <w:r w:rsidRPr="00E75FDA">
        <w:rPr>
          <w:rFonts w:cstheme="minorHAnsi"/>
          <w:sz w:val="18"/>
          <w:szCs w:val="18"/>
        </w:rPr>
        <w:t xml:space="preserve"> </w:t>
      </w:r>
    </w:p>
  </w:footnote>
  <w:footnote w:id="119">
    <w:p w14:paraId="3DD6233D"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DISER, AI Ethics Framework, </w:t>
      </w:r>
      <w:hyperlink r:id="rId110" w:history="1">
        <w:r w:rsidRPr="00E75FDA">
          <w:rPr>
            <w:rStyle w:val="Hyperlink"/>
            <w:rFonts w:cstheme="minorHAnsi"/>
            <w:sz w:val="18"/>
            <w:szCs w:val="18"/>
          </w:rPr>
          <w:t>https://www.industry.gov.au/data-and-publications/building-australias-artificial-intelligence-capability/ai-ethics-framework</w:t>
        </w:r>
      </w:hyperlink>
      <w:r w:rsidRPr="00E75FDA">
        <w:rPr>
          <w:rFonts w:cstheme="minorHAnsi"/>
          <w:sz w:val="18"/>
          <w:szCs w:val="18"/>
        </w:rPr>
        <w:t xml:space="preserve"> </w:t>
      </w:r>
    </w:p>
  </w:footnote>
  <w:footnote w:id="120">
    <w:p w14:paraId="5B12AB42"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Smart Nation, Singapore, </w:t>
      </w:r>
      <w:hyperlink r:id="rId111" w:history="1">
        <w:r w:rsidRPr="00E75FDA">
          <w:rPr>
            <w:rStyle w:val="Hyperlink"/>
            <w:rFonts w:cstheme="minorHAnsi"/>
            <w:sz w:val="18"/>
            <w:szCs w:val="18"/>
          </w:rPr>
          <w:t>https://www.smartnation.sg/why-Smart-Nation/NationalAIStrategy</w:t>
        </w:r>
      </w:hyperlink>
      <w:r w:rsidRPr="00E75FDA">
        <w:rPr>
          <w:rFonts w:cstheme="minorHAnsi"/>
          <w:sz w:val="18"/>
          <w:szCs w:val="18"/>
        </w:rPr>
        <w:t xml:space="preserve"> </w:t>
      </w:r>
    </w:p>
  </w:footnote>
  <w:footnote w:id="121">
    <w:p w14:paraId="7640E37B"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IMDA, Artificial Intelligence, </w:t>
      </w:r>
      <w:hyperlink r:id="rId112" w:history="1">
        <w:r w:rsidRPr="00E75FDA">
          <w:rPr>
            <w:rStyle w:val="Hyperlink"/>
            <w:rFonts w:cstheme="minorHAnsi"/>
            <w:sz w:val="18"/>
            <w:szCs w:val="18"/>
          </w:rPr>
          <w:t>https://www.imda.gov.sg/infocomm-media-landscape/SGDigital/tech-pillars/Artificial-Intelligence</w:t>
        </w:r>
      </w:hyperlink>
      <w:r w:rsidRPr="00E75FDA">
        <w:rPr>
          <w:rFonts w:cstheme="minorHAnsi"/>
          <w:sz w:val="18"/>
          <w:szCs w:val="18"/>
        </w:rPr>
        <w:t xml:space="preserve"> </w:t>
      </w:r>
    </w:p>
  </w:footnote>
  <w:footnote w:id="122">
    <w:p w14:paraId="3263E417"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ISO/IEC JTC 1/SC 42, Artificial Intelligence, </w:t>
      </w:r>
      <w:hyperlink r:id="rId113" w:history="1">
        <w:r w:rsidRPr="00E75FDA">
          <w:rPr>
            <w:rStyle w:val="Hyperlink"/>
            <w:rFonts w:cstheme="minorHAnsi"/>
            <w:sz w:val="18"/>
            <w:szCs w:val="18"/>
          </w:rPr>
          <w:t>https://www.iso.org/committee/6794475.html?view=participation</w:t>
        </w:r>
      </w:hyperlink>
      <w:bookmarkStart w:id="86" w:name="_Hlk32395274"/>
    </w:p>
    <w:bookmarkEnd w:id="86"/>
  </w:footnote>
  <w:footnote w:id="123">
    <w:p w14:paraId="3D320A51"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hyperlink r:id="rId114" w:history="1">
        <w:r w:rsidRPr="00E75FDA">
          <w:rPr>
            <w:rStyle w:val="Hyperlink1"/>
            <w:rFonts w:cstheme="minorHAnsi"/>
            <w:sz w:val="18"/>
            <w:szCs w:val="18"/>
          </w:rPr>
          <w:t>https://www.industry.gov.au/data-and-publications/national-blockchain-roadmap/sectoral-opportunities</w:t>
        </w:r>
      </w:hyperlink>
      <w:r w:rsidRPr="00E75FDA">
        <w:rPr>
          <w:rFonts w:cstheme="minorHAnsi"/>
          <w:sz w:val="18"/>
          <w:szCs w:val="18"/>
        </w:rPr>
        <w:t xml:space="preserve"> </w:t>
      </w:r>
    </w:p>
  </w:footnote>
  <w:footnote w:id="124">
    <w:p w14:paraId="43C29599"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Fintech News, 2019, Singapore’s Blockchain Map Proves That It Is a Hotbed for Blockchain Innovation,  </w:t>
      </w:r>
      <w:hyperlink r:id="rId115" w:history="1">
        <w:r w:rsidRPr="00E75FDA">
          <w:rPr>
            <w:rStyle w:val="Hyperlink"/>
            <w:rFonts w:cstheme="minorHAnsi"/>
            <w:sz w:val="18"/>
            <w:szCs w:val="18"/>
          </w:rPr>
          <w:t>https://fintechnews.sg/34478/blockchain/blockchain-singapore-map/</w:t>
        </w:r>
      </w:hyperlink>
      <w:r w:rsidRPr="00E75FDA">
        <w:rPr>
          <w:rFonts w:cstheme="minorHAnsi"/>
          <w:sz w:val="18"/>
          <w:szCs w:val="18"/>
        </w:rPr>
        <w:t xml:space="preserve"> </w:t>
      </w:r>
    </w:p>
  </w:footnote>
  <w:footnote w:id="125">
    <w:p w14:paraId="1AF1F61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ISO/TC 307 TC, Blockchain and distributed ledger technologies, </w:t>
      </w:r>
      <w:hyperlink r:id="rId116" w:history="1">
        <w:r w:rsidRPr="00E75FDA">
          <w:rPr>
            <w:rStyle w:val="Hyperlink"/>
            <w:rFonts w:cstheme="minorHAnsi"/>
            <w:sz w:val="18"/>
            <w:szCs w:val="18"/>
          </w:rPr>
          <w:t>https://www.iso.org/committee-/6266604.html</w:t>
        </w:r>
      </w:hyperlink>
      <w:r w:rsidRPr="00E75FDA">
        <w:rPr>
          <w:rFonts w:cstheme="minorHAnsi"/>
          <w:sz w:val="18"/>
          <w:szCs w:val="18"/>
        </w:rPr>
        <w:t xml:space="preserve"> </w:t>
      </w:r>
    </w:p>
  </w:footnote>
  <w:footnote w:id="126">
    <w:p w14:paraId="4F79715E" w14:textId="77777777" w:rsidR="00F61ADD" w:rsidRPr="00E75FDA" w:rsidRDefault="00F61ADD" w:rsidP="003A2D41">
      <w:pPr>
        <w:pStyle w:val="FootnoteText"/>
        <w:snapToGrid w:val="0"/>
        <w:contextualSpacing/>
        <w:rPr>
          <w:rFonts w:cstheme="minorHAnsi"/>
          <w:sz w:val="18"/>
          <w:szCs w:val="18"/>
          <w:lang w:val="en-SG"/>
        </w:rPr>
      </w:pPr>
      <w:r w:rsidRPr="00E75FDA">
        <w:rPr>
          <w:rStyle w:val="FootnoteReference"/>
          <w:rFonts w:cstheme="minorHAnsi"/>
          <w:sz w:val="18"/>
          <w:szCs w:val="18"/>
          <w:lang w:val="en-SG"/>
        </w:rPr>
        <w:footnoteRef/>
      </w:r>
      <w:r w:rsidRPr="00E75FDA">
        <w:rPr>
          <w:rFonts w:cstheme="minorHAnsi"/>
          <w:sz w:val="18"/>
          <w:szCs w:val="18"/>
          <w:lang w:val="en-SG"/>
        </w:rPr>
        <w:t xml:space="preserve"> ISO, #worldsmartcity, </w:t>
      </w:r>
      <w:hyperlink r:id="rId117" w:history="1">
        <w:r w:rsidRPr="00E75FDA">
          <w:rPr>
            <w:rStyle w:val="Hyperlink"/>
            <w:rFonts w:cstheme="minorHAnsi"/>
            <w:sz w:val="18"/>
            <w:szCs w:val="18"/>
            <w:lang w:val="en-SG"/>
          </w:rPr>
          <w:t>https://www.iso.org/sites/worldsmartcity/</w:t>
        </w:r>
      </w:hyperlink>
      <w:r w:rsidRPr="00E75FDA">
        <w:rPr>
          <w:rFonts w:cstheme="minorHAnsi"/>
          <w:sz w:val="18"/>
          <w:szCs w:val="18"/>
          <w:lang w:val="en-SG"/>
        </w:rPr>
        <w:t xml:space="preserve">   </w:t>
      </w:r>
    </w:p>
  </w:footnote>
  <w:footnote w:id="127">
    <w:p w14:paraId="00FF0DC7"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ACS Australia’s Digital Pulse 2019, </w:t>
      </w:r>
      <w:hyperlink r:id="rId118" w:history="1">
        <w:r w:rsidRPr="00E75FDA">
          <w:rPr>
            <w:rStyle w:val="Hyperlink"/>
            <w:rFonts w:cstheme="minorHAnsi"/>
            <w:sz w:val="18"/>
            <w:szCs w:val="18"/>
          </w:rPr>
          <w:t>https://www2.deloitte.com/au/en/pages/economics/articles/australias-digital-pulse.html</w:t>
        </w:r>
      </w:hyperlink>
      <w:r w:rsidRPr="00E75FDA">
        <w:rPr>
          <w:rFonts w:cstheme="minorHAnsi"/>
          <w:sz w:val="18"/>
          <w:szCs w:val="18"/>
        </w:rPr>
        <w:t xml:space="preserve"> </w:t>
      </w:r>
    </w:p>
  </w:footnote>
  <w:footnote w:id="128">
    <w:p w14:paraId="53C02A9D" w14:textId="77777777" w:rsidR="00F61ADD" w:rsidRPr="00E75FDA" w:rsidRDefault="00F61ADD" w:rsidP="003A2D41">
      <w:pPr>
        <w:pStyle w:val="FootnoteText"/>
        <w:snapToGrid w:val="0"/>
        <w:contextualSpacing/>
        <w:rPr>
          <w:rFonts w:cstheme="minorHAnsi"/>
          <w:sz w:val="18"/>
          <w:szCs w:val="18"/>
          <w:lang w:val="en-SG"/>
        </w:rPr>
      </w:pPr>
      <w:r w:rsidRPr="00E75FDA">
        <w:rPr>
          <w:rStyle w:val="FootnoteReference"/>
          <w:rFonts w:cstheme="minorHAnsi"/>
          <w:sz w:val="18"/>
          <w:szCs w:val="18"/>
          <w:lang w:val="en-SG"/>
        </w:rPr>
        <w:footnoteRef/>
      </w:r>
      <w:r w:rsidRPr="00E75FDA">
        <w:rPr>
          <w:rFonts w:cstheme="minorHAnsi"/>
          <w:sz w:val="18"/>
          <w:szCs w:val="18"/>
          <w:lang w:val="en-SG"/>
        </w:rPr>
        <w:t xml:space="preserve"> ISO/TC 268/SC 1, Smart community infrastructures, </w:t>
      </w:r>
      <w:hyperlink r:id="rId119" w:history="1">
        <w:r w:rsidRPr="00E75FDA">
          <w:rPr>
            <w:rStyle w:val="Hyperlink"/>
            <w:rFonts w:cstheme="minorHAnsi"/>
            <w:sz w:val="18"/>
            <w:szCs w:val="18"/>
            <w:lang w:val="en-SG"/>
          </w:rPr>
          <w:t>https://www.iso.org/committee/656967.html</w:t>
        </w:r>
      </w:hyperlink>
      <w:r w:rsidRPr="00E75FDA">
        <w:rPr>
          <w:rFonts w:cstheme="minorHAnsi"/>
          <w:sz w:val="18"/>
          <w:szCs w:val="18"/>
          <w:lang w:val="en-SG"/>
        </w:rPr>
        <w:t xml:space="preserve"> </w:t>
      </w:r>
    </w:p>
  </w:footnote>
  <w:footnote w:id="129">
    <w:p w14:paraId="0E2FA008"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ISO/TC 268, Sustainable cities and communities, </w:t>
      </w:r>
      <w:hyperlink r:id="rId120" w:history="1">
        <w:r w:rsidRPr="00E75FDA">
          <w:rPr>
            <w:rStyle w:val="Hyperlink"/>
            <w:rFonts w:cstheme="minorHAnsi"/>
            <w:sz w:val="18"/>
            <w:szCs w:val="18"/>
          </w:rPr>
          <w:t>https://www.iso.org/committee/656906.html-?view=participation</w:t>
        </w:r>
      </w:hyperlink>
      <w:r w:rsidRPr="00E75FDA">
        <w:rPr>
          <w:rFonts w:cstheme="minorHAnsi"/>
          <w:sz w:val="18"/>
          <w:szCs w:val="18"/>
        </w:rPr>
        <w:t xml:space="preserve"> </w:t>
      </w:r>
    </w:p>
  </w:footnote>
  <w:footnote w:id="130">
    <w:p w14:paraId="541B0D6D"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Australian Bureau of Statistics, Measuring Digital Activities in the Australian Economy, </w:t>
      </w:r>
      <w:hyperlink r:id="rId121" w:history="1">
        <w:r w:rsidRPr="00E75FDA">
          <w:rPr>
            <w:rStyle w:val="Hyperlink"/>
            <w:rFonts w:cstheme="minorHAnsi"/>
            <w:sz w:val="18"/>
            <w:szCs w:val="18"/>
          </w:rPr>
          <w:t>https://www.abs.gov.au/websitedbs/D3310114.nsf/home/ABS+Chief+Economist+-+Full+Paper+of+Measuring+Digital+Activities+in+the+Australian+Economy</w:t>
        </w:r>
      </w:hyperlink>
      <w:r w:rsidRPr="00E75FDA">
        <w:rPr>
          <w:rFonts w:cstheme="minorHAnsi"/>
          <w:sz w:val="18"/>
          <w:szCs w:val="18"/>
        </w:rPr>
        <w:t xml:space="preserve"> </w:t>
      </w:r>
    </w:p>
  </w:footnote>
  <w:footnote w:id="131">
    <w:p w14:paraId="2CDEE31E" w14:textId="77777777" w:rsidR="00F61ADD" w:rsidRPr="00E75FDA" w:rsidRDefault="00F61ADD" w:rsidP="003A2D41">
      <w:pPr>
        <w:pStyle w:val="FootnoteText"/>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Though the terms Internet economy and the digital economy are often used interchangeably, the distinction rests of the difference in sectoral impact. The Internet economy refer to the economic activities, inputs, outputs and employment directly associated with the use of the Internet. By contrast, the digital economy relies on enhanced interconnectivity of networks and the interoperability of digital platforms in all sectors of the economy and society to offer convergent services.</w:t>
      </w:r>
    </w:p>
  </w:footnote>
  <w:footnote w:id="132">
    <w:p w14:paraId="7DBBCB8A" w14:textId="77777777" w:rsidR="00F61ADD" w:rsidRPr="00E75FDA" w:rsidRDefault="00F61ADD" w:rsidP="003A2D41">
      <w:pPr>
        <w:pStyle w:val="FootnoteText"/>
        <w:contextualSpacing/>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SG"/>
        </w:rPr>
        <w:t xml:space="preserve">Bain &amp; Company (2019) e-Conomy SEA 2019, </w:t>
      </w:r>
      <w:hyperlink r:id="rId122" w:history="1">
        <w:r w:rsidRPr="00E75FDA">
          <w:rPr>
            <w:rStyle w:val="Hyperlink"/>
            <w:rFonts w:cstheme="minorHAnsi"/>
            <w:sz w:val="18"/>
            <w:szCs w:val="18"/>
            <w:lang w:val="en-SG"/>
          </w:rPr>
          <w:t>https://www.bain.com/insights/e-conomy-sea-2019/</w:t>
        </w:r>
      </w:hyperlink>
      <w:r w:rsidRPr="00E75FDA">
        <w:rPr>
          <w:rFonts w:cstheme="minorHAnsi"/>
          <w:sz w:val="18"/>
          <w:szCs w:val="18"/>
          <w:lang w:val="en-SG"/>
        </w:rPr>
        <w:t xml:space="preserve"> </w:t>
      </w:r>
    </w:p>
  </w:footnote>
  <w:footnote w:id="133">
    <w:p w14:paraId="5237900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Singapore Standards Council and Enterprise Singapore (2019) Singapore Standards Council to strengthen industry collaboration efforts and focus on nascent areas for standards development, </w:t>
      </w:r>
      <w:hyperlink r:id="rId123" w:history="1">
        <w:r w:rsidRPr="00E75FDA">
          <w:rPr>
            <w:rStyle w:val="Hyperlink"/>
            <w:rFonts w:cstheme="minorHAnsi"/>
            <w:sz w:val="18"/>
            <w:szCs w:val="18"/>
          </w:rPr>
          <w:t>https://www.gov.sg/~/sgpcmedia/media_releases/enterprise-sg/press_release/P-20190715-1/attachment/MR03019_Singapore%20Standards%20Council%20to%20strengthen%20industry%20collaboration%20efforts%20and%20focus%20on%20nascent%20areas%20for%20standards%20development_2019%2007%2015.pdf</w:t>
        </w:r>
      </w:hyperlink>
      <w:r w:rsidRPr="00E75FDA">
        <w:rPr>
          <w:rFonts w:cstheme="minorHAnsi"/>
          <w:sz w:val="18"/>
          <w:szCs w:val="18"/>
        </w:rPr>
        <w:t xml:space="preserve"> </w:t>
      </w:r>
    </w:p>
  </w:footnote>
  <w:footnote w:id="134">
    <w:p w14:paraId="389C3408"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https://www.opengovasia.com/singapore-develops-new-standards-to-support-resilience-and-sustainability/</w:t>
      </w:r>
    </w:p>
  </w:footnote>
  <w:footnote w:id="135">
    <w:p w14:paraId="5B84DD3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Singapore Standards Council and Enterprise Singapore (2019) Singapore Standards Council to strengthen industry collaboration efforts and focus on nascent areas for standards development, </w:t>
      </w:r>
      <w:hyperlink r:id="rId124" w:history="1">
        <w:r w:rsidRPr="00E75FDA">
          <w:rPr>
            <w:rStyle w:val="Hyperlink"/>
            <w:rFonts w:cstheme="minorHAnsi"/>
            <w:sz w:val="18"/>
            <w:szCs w:val="18"/>
          </w:rPr>
          <w:t>https://www.gov.sg/~/sgpcmedia/media_releases/enterprise-sg/press_release/P-20190715-1/attachment/MR03019_Singapore%20Standards%20Council%20to%20strengthen%20industry%20collaboration%20efforts%20and%20focus%20on%20nascent%20areas%20for%20standards%20development_2019%2007%2015.pdf</w:t>
        </w:r>
      </w:hyperlink>
      <w:r w:rsidRPr="00E75FDA">
        <w:rPr>
          <w:rFonts w:cstheme="minorHAnsi"/>
          <w:sz w:val="18"/>
          <w:szCs w:val="18"/>
        </w:rPr>
        <w:t xml:space="preserve"> </w:t>
      </w:r>
    </w:p>
  </w:footnote>
  <w:footnote w:id="136">
    <w:p w14:paraId="132662D1"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Straits Times (2019) New standards being drafted for emerging business areas, </w:t>
      </w:r>
      <w:hyperlink r:id="rId125" w:history="1">
        <w:r w:rsidRPr="00E75FDA">
          <w:rPr>
            <w:rStyle w:val="Hyperlink"/>
            <w:rFonts w:cstheme="minorHAnsi"/>
            <w:sz w:val="18"/>
            <w:szCs w:val="18"/>
          </w:rPr>
          <w:t>https://www.straitstimes.com/business/new-standards-being-drafted-for-emerging-business-areas</w:t>
        </w:r>
      </w:hyperlink>
      <w:r w:rsidRPr="00E75FDA">
        <w:rPr>
          <w:rFonts w:cstheme="minorHAnsi"/>
          <w:sz w:val="18"/>
          <w:szCs w:val="18"/>
        </w:rPr>
        <w:t xml:space="preserve"> </w:t>
      </w:r>
    </w:p>
  </w:footnote>
  <w:footnote w:id="137">
    <w:p w14:paraId="42A9A060"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IMDA IT Standards Committee (ITSC), </w:t>
      </w:r>
      <w:hyperlink r:id="rId126" w:history="1">
        <w:r w:rsidRPr="00E75FDA">
          <w:rPr>
            <w:rStyle w:val="Hyperlink"/>
            <w:rFonts w:cstheme="minorHAnsi"/>
            <w:sz w:val="18"/>
            <w:szCs w:val="18"/>
          </w:rPr>
          <w:t>https://www2.imda.gov.sg/regulations-and-licensing-listing/ict-standards-and-quality-of-service/industry-committees-and-working-groups/IT-Standards-Committee</w:t>
        </w:r>
      </w:hyperlink>
      <w:r w:rsidRPr="00E75FDA">
        <w:rPr>
          <w:rFonts w:cstheme="minorHAnsi"/>
          <w:sz w:val="18"/>
          <w:szCs w:val="18"/>
        </w:rPr>
        <w:t xml:space="preserve"> </w:t>
      </w:r>
    </w:p>
  </w:footnote>
  <w:footnote w:id="138">
    <w:p w14:paraId="007A626A"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Operations, Supply Chain, Product Lifecycle, Automation, Connectivity, Intelligence, Structure and Management, and Talent Readiness. See </w:t>
      </w:r>
      <w:hyperlink r:id="rId127" w:history="1">
        <w:r w:rsidRPr="00E75FDA">
          <w:rPr>
            <w:rStyle w:val="Hyperlink"/>
            <w:rFonts w:cstheme="minorHAnsi"/>
            <w:sz w:val="18"/>
            <w:szCs w:val="18"/>
          </w:rPr>
          <w:t>https://www.enterprisesg.gov.sg/media-centre/media-releases/2018/october/worlds-first-standards-mapping-tool-to-help-enterprises-build-capabilities-for-industry-4</w:t>
        </w:r>
      </w:hyperlink>
    </w:p>
  </w:footnote>
  <w:footnote w:id="139">
    <w:p w14:paraId="1FB9BA1B"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ISO/IEC JTC 1/SC 42, Artificial intelligence, </w:t>
      </w:r>
      <w:hyperlink r:id="rId128" w:history="1">
        <w:r w:rsidRPr="00E75FDA">
          <w:rPr>
            <w:rStyle w:val="Hyperlink"/>
            <w:rFonts w:cstheme="minorHAnsi"/>
            <w:sz w:val="18"/>
            <w:szCs w:val="18"/>
          </w:rPr>
          <w:t>https://www.iso.org/committee/6794475.html</w:t>
        </w:r>
      </w:hyperlink>
    </w:p>
  </w:footnote>
  <w:footnote w:id="140">
    <w:p w14:paraId="332555C8"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ISO/IEC JTC 1/SC 42, Artificial intelligence, </w:t>
      </w:r>
      <w:hyperlink r:id="rId129" w:history="1">
        <w:r w:rsidRPr="00E75FDA">
          <w:rPr>
            <w:rStyle w:val="Hyperlink"/>
            <w:rFonts w:cstheme="minorHAnsi"/>
            <w:sz w:val="18"/>
            <w:szCs w:val="18"/>
          </w:rPr>
          <w:t>https://www.iso.org/committee/6794475.html</w:t>
        </w:r>
      </w:hyperlink>
    </w:p>
  </w:footnote>
  <w:footnote w:id="141">
    <w:p w14:paraId="3A58A76F"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ISO/IEC JTC 1/SC 42, Artificial intelligence, </w:t>
      </w:r>
      <w:hyperlink r:id="rId130" w:history="1">
        <w:r w:rsidRPr="00E75FDA">
          <w:rPr>
            <w:rStyle w:val="Hyperlink"/>
            <w:rFonts w:cstheme="minorHAnsi"/>
            <w:sz w:val="18"/>
            <w:szCs w:val="18"/>
          </w:rPr>
          <w:t>https://www.iso.org/committee/6794475.html?-view=participation</w:t>
        </w:r>
      </w:hyperlink>
    </w:p>
  </w:footnote>
  <w:footnote w:id="142">
    <w:p w14:paraId="761C15A1"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IEEE SA, The IEEE Global Initiative on Ethics of Autonomous and Intelligent Systems, </w:t>
      </w:r>
      <w:hyperlink r:id="rId131" w:history="1">
        <w:r w:rsidRPr="00E75FDA">
          <w:rPr>
            <w:rStyle w:val="Hyperlink"/>
            <w:rFonts w:cstheme="minorHAnsi"/>
            <w:sz w:val="18"/>
            <w:szCs w:val="18"/>
          </w:rPr>
          <w:t>https://standards.ieee.org/industry-connections/ec/autonomous-systems.html</w:t>
        </w:r>
      </w:hyperlink>
    </w:p>
  </w:footnote>
  <w:footnote w:id="143">
    <w:p w14:paraId="2E76A631"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ITU-T Y.3172 (06/2019), Architectural framework for machine learning in future networks including IMT-2020, </w:t>
      </w:r>
      <w:hyperlink r:id="rId132" w:history="1">
        <w:r w:rsidRPr="00E75FDA">
          <w:rPr>
            <w:rStyle w:val="Hyperlink"/>
            <w:rFonts w:cstheme="minorHAnsi"/>
            <w:sz w:val="18"/>
            <w:szCs w:val="18"/>
          </w:rPr>
          <w:t>https://www.itu.int/ITU-T/recommendations/rec.aspx?rec=13894&amp;lang=en</w:t>
        </w:r>
      </w:hyperlink>
    </w:p>
  </w:footnote>
  <w:footnote w:id="144">
    <w:p w14:paraId="18D28470"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NIST, 2019, U.S. Leadership in AI: A Plan for Federal Engagement in Developing Technical Standards and Related Tools, </w:t>
      </w:r>
      <w:hyperlink r:id="rId133" w:history="1">
        <w:r w:rsidRPr="00E75FDA">
          <w:rPr>
            <w:rStyle w:val="Hyperlink"/>
            <w:rFonts w:cstheme="minorHAnsi"/>
            <w:sz w:val="18"/>
            <w:szCs w:val="18"/>
          </w:rPr>
          <w:t>https://www.nist.gov/system/files/documents/2019/08/10/ai_standards-_fedengagement_plan_9aug2019.pdf</w:t>
        </w:r>
      </w:hyperlink>
    </w:p>
  </w:footnote>
  <w:footnote w:id="145">
    <w:p w14:paraId="5AD436C6" w14:textId="77777777" w:rsidR="00F61ADD" w:rsidRPr="00E75FDA" w:rsidRDefault="00F61ADD" w:rsidP="008818AD">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ISO/TC 307, Blockchain and distributed ledger technologies, </w:t>
      </w:r>
      <w:hyperlink r:id="rId134" w:history="1">
        <w:r w:rsidRPr="00E75FDA">
          <w:rPr>
            <w:rStyle w:val="Hyperlink"/>
            <w:rFonts w:cstheme="minorHAnsi"/>
            <w:sz w:val="18"/>
            <w:szCs w:val="18"/>
          </w:rPr>
          <w:t>https://www.iso.org/committee/6266604.html</w:t>
        </w:r>
      </w:hyperlink>
      <w:r w:rsidRPr="00E75FDA">
        <w:rPr>
          <w:rFonts w:cstheme="minorHAnsi"/>
          <w:sz w:val="18"/>
          <w:szCs w:val="18"/>
        </w:rPr>
        <w:t xml:space="preserve"> </w:t>
      </w:r>
    </w:p>
  </w:footnote>
  <w:footnote w:id="146">
    <w:p w14:paraId="1A463262" w14:textId="77777777" w:rsidR="00F61ADD" w:rsidRPr="00E75FDA" w:rsidRDefault="00F61ADD" w:rsidP="008818AD">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ITU, Focus Group on Application of Distributed Ledger Technology, </w:t>
      </w:r>
      <w:hyperlink r:id="rId135" w:history="1">
        <w:r w:rsidRPr="00E75FDA">
          <w:rPr>
            <w:rStyle w:val="Hyperlink"/>
            <w:rFonts w:cstheme="minorHAnsi"/>
            <w:sz w:val="18"/>
            <w:szCs w:val="18"/>
          </w:rPr>
          <w:t>https://www.itu.int/en/ITU-T/focusgroups/dlt/Pages/default.aspx</w:t>
        </w:r>
      </w:hyperlink>
      <w:r w:rsidRPr="00E75FDA">
        <w:rPr>
          <w:rFonts w:cstheme="minorHAnsi"/>
          <w:sz w:val="18"/>
          <w:szCs w:val="18"/>
        </w:rPr>
        <w:t xml:space="preserve"> </w:t>
      </w:r>
    </w:p>
  </w:footnote>
  <w:footnote w:id="147">
    <w:p w14:paraId="12079506" w14:textId="77777777" w:rsidR="00F61ADD" w:rsidRPr="00E75FDA" w:rsidRDefault="00F61ADD" w:rsidP="008818AD">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IEEE, Standards - IEEE Blockchain Initiative, </w:t>
      </w:r>
      <w:hyperlink r:id="rId136" w:history="1">
        <w:r w:rsidRPr="00E75FDA">
          <w:rPr>
            <w:rStyle w:val="Hyperlink"/>
            <w:rFonts w:cstheme="minorHAnsi"/>
            <w:sz w:val="18"/>
            <w:szCs w:val="18"/>
          </w:rPr>
          <w:t>https://blockchain.ieee.org/standards</w:t>
        </w:r>
      </w:hyperlink>
      <w:r w:rsidRPr="00E75FDA">
        <w:rPr>
          <w:rFonts w:cstheme="minorHAnsi"/>
          <w:sz w:val="18"/>
          <w:szCs w:val="18"/>
        </w:rPr>
        <w:t xml:space="preserve"> </w:t>
      </w:r>
    </w:p>
  </w:footnote>
  <w:footnote w:id="148">
    <w:p w14:paraId="47ECBC3B" w14:textId="77777777" w:rsidR="00F61ADD" w:rsidRPr="00E75FDA" w:rsidRDefault="00F61ADD" w:rsidP="008818AD">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ISO/TC 268/SC 1, Smart community infrastructures, </w:t>
      </w:r>
      <w:hyperlink r:id="rId137" w:history="1">
        <w:r w:rsidRPr="00E75FDA">
          <w:rPr>
            <w:rStyle w:val="Hyperlink"/>
            <w:rFonts w:cstheme="minorHAnsi"/>
            <w:sz w:val="18"/>
            <w:szCs w:val="18"/>
          </w:rPr>
          <w:t>https://www.iso.org/committee/656967.html</w:t>
        </w:r>
      </w:hyperlink>
      <w:r w:rsidRPr="00E75FDA">
        <w:rPr>
          <w:rFonts w:cstheme="minorHAnsi"/>
          <w:sz w:val="18"/>
          <w:szCs w:val="18"/>
        </w:rPr>
        <w:t xml:space="preserve"> </w:t>
      </w:r>
    </w:p>
  </w:footnote>
  <w:footnote w:id="149">
    <w:p w14:paraId="1989DC99"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(2019) ISO/IEC 24760-1:2019, IT Security and Privacy — A framework for identity management — Part 1: Terminology and concepts, </w:t>
      </w:r>
      <w:hyperlink r:id="rId138" w:history="1">
        <w:r w:rsidRPr="00E75FDA">
          <w:rPr>
            <w:rStyle w:val="Hyperlink"/>
            <w:rFonts w:cstheme="minorHAnsi"/>
            <w:sz w:val="18"/>
            <w:szCs w:val="18"/>
          </w:rPr>
          <w:t>https://www.iso.org/standard/77582.html</w:t>
        </w:r>
      </w:hyperlink>
      <w:r w:rsidRPr="00E75FDA">
        <w:rPr>
          <w:rFonts w:cstheme="minorHAnsi"/>
          <w:sz w:val="18"/>
          <w:szCs w:val="18"/>
        </w:rPr>
        <w:t xml:space="preserve"> </w:t>
      </w:r>
    </w:p>
  </w:footnote>
  <w:footnote w:id="150">
    <w:p w14:paraId="58E09825"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(2011) ISO/IEC 24745:2011, Information technology — Security techniques — Biometric information protection, </w:t>
      </w:r>
      <w:hyperlink r:id="rId139" w:history="1">
        <w:r w:rsidRPr="00E75FDA">
          <w:rPr>
            <w:rStyle w:val="Hyperlink"/>
            <w:rFonts w:cstheme="minorHAnsi"/>
            <w:sz w:val="18"/>
            <w:szCs w:val="18"/>
          </w:rPr>
          <w:t>https://www.iso.org/standard/52946.html</w:t>
        </w:r>
      </w:hyperlink>
      <w:r w:rsidRPr="00E75FDA">
        <w:rPr>
          <w:rFonts w:cstheme="minorHAnsi"/>
          <w:sz w:val="18"/>
          <w:szCs w:val="18"/>
        </w:rPr>
        <w:t xml:space="preserve"> </w:t>
      </w:r>
    </w:p>
  </w:footnote>
  <w:footnote w:id="151">
    <w:p w14:paraId="66F68B26" w14:textId="77777777" w:rsidR="00F61ADD" w:rsidRPr="00E75FDA" w:rsidRDefault="00F61ADD" w:rsidP="005E530A">
      <w:pPr>
        <w:pStyle w:val="FootnoteText"/>
        <w:snapToGrid w:val="0"/>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Peppol, What is Peppol?, </w:t>
      </w:r>
      <w:hyperlink r:id="rId140" w:history="1">
        <w:r w:rsidRPr="00E75FDA">
          <w:rPr>
            <w:rStyle w:val="Hyperlink1"/>
            <w:rFonts w:cstheme="minorHAnsi"/>
            <w:sz w:val="18"/>
            <w:szCs w:val="18"/>
          </w:rPr>
          <w:t>https://peppol.eu/what-is-peppol/</w:t>
        </w:r>
      </w:hyperlink>
      <w:r w:rsidRPr="00E75FDA">
        <w:rPr>
          <w:rFonts w:cstheme="minorHAnsi"/>
          <w:sz w:val="18"/>
          <w:szCs w:val="18"/>
        </w:rPr>
        <w:t xml:space="preserve"> </w:t>
      </w:r>
    </w:p>
  </w:footnote>
  <w:footnote w:id="152">
    <w:p w14:paraId="00123081"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IEC (2019) IEC 61850:2019 SER </w:t>
      </w:r>
    </w:p>
    <w:p w14:paraId="54DB872D" w14:textId="77777777" w:rsidR="00F61ADD" w:rsidRPr="00E75FDA" w:rsidRDefault="00F61ADD" w:rsidP="008818AD">
      <w:pPr>
        <w:pStyle w:val="FootnoteText"/>
        <w:contextualSpacing/>
        <w:rPr>
          <w:rFonts w:cstheme="minorHAnsi"/>
          <w:sz w:val="18"/>
          <w:szCs w:val="18"/>
        </w:rPr>
      </w:pPr>
      <w:r w:rsidRPr="00E75FDA">
        <w:rPr>
          <w:rFonts w:cstheme="minorHAnsi"/>
          <w:sz w:val="18"/>
          <w:szCs w:val="18"/>
        </w:rPr>
        <w:t xml:space="preserve">Series, </w:t>
      </w:r>
      <w:hyperlink r:id="rId141" w:history="1">
        <w:r w:rsidRPr="00E75FDA">
          <w:rPr>
            <w:rStyle w:val="Hyperlink1"/>
            <w:rFonts w:cstheme="minorHAnsi"/>
            <w:sz w:val="18"/>
            <w:szCs w:val="18"/>
          </w:rPr>
          <w:t>https://webstore.iec.ch/publication/6028</w:t>
        </w:r>
      </w:hyperlink>
      <w:r w:rsidRPr="00E75FDA">
        <w:rPr>
          <w:rFonts w:cstheme="minorHAnsi"/>
          <w:sz w:val="18"/>
          <w:szCs w:val="18"/>
        </w:rPr>
        <w:t xml:space="preserve"> </w:t>
      </w:r>
    </w:p>
  </w:footnote>
  <w:footnote w:id="153">
    <w:p w14:paraId="04DD99AD"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IMDA (2017) Technical Specification, Internet of Things, </w:t>
      </w:r>
      <w:hyperlink r:id="rId142" w:history="1">
        <w:r w:rsidRPr="00E75FDA">
          <w:rPr>
            <w:rStyle w:val="Hyperlink1"/>
            <w:rFonts w:cstheme="minorHAnsi"/>
            <w:sz w:val="18"/>
            <w:szCs w:val="18"/>
          </w:rPr>
          <w:t>https://www2.imda.gov.sg/-/media/Imda/Files/Regulation-Licensing-and-Consultations/ICT-Standards/Telecommunication-Standards/Radio-Comms/IMDA-TS-IOT.pdf?la=en</w:t>
        </w:r>
      </w:hyperlink>
      <w:r w:rsidRPr="00E75FDA">
        <w:rPr>
          <w:rFonts w:cstheme="minorHAnsi"/>
          <w:sz w:val="18"/>
          <w:szCs w:val="18"/>
        </w:rPr>
        <w:t xml:space="preserve"> </w:t>
      </w:r>
    </w:p>
  </w:footnote>
  <w:footnote w:id="154">
    <w:p w14:paraId="445D382C"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Singapore Standards Council (2016) Technical Reference, IoT Reference Architecture for Smart Nation, </w:t>
      </w:r>
      <w:hyperlink r:id="rId143" w:history="1">
        <w:r w:rsidRPr="00E75FDA">
          <w:rPr>
            <w:rStyle w:val="Hyperlink1"/>
            <w:rFonts w:cstheme="minorHAnsi"/>
            <w:sz w:val="18"/>
            <w:szCs w:val="18"/>
          </w:rPr>
          <w:t>https://www.singaporestandardseshop.sg/Product/GetPdf?fileName=180331121435TR%2047-2016_Preview.pdf&amp;pdtid=d963a0ae-022f-4132-bf0d-12f1dc9c245f</w:t>
        </w:r>
      </w:hyperlink>
      <w:r w:rsidRPr="00E75FDA">
        <w:rPr>
          <w:rFonts w:cstheme="minorHAnsi"/>
          <w:sz w:val="18"/>
          <w:szCs w:val="18"/>
        </w:rPr>
        <w:t xml:space="preserve"> </w:t>
      </w:r>
    </w:p>
  </w:footnote>
  <w:footnote w:id="155">
    <w:p w14:paraId="179BA4D1"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(2011) ISO/IEC 29100:2011, Information technology — Security techniques — Privacy framework, </w:t>
      </w:r>
      <w:hyperlink r:id="rId144" w:history="1">
        <w:r w:rsidRPr="00E75FDA">
          <w:rPr>
            <w:rStyle w:val="Hyperlink"/>
            <w:rFonts w:cstheme="minorHAnsi"/>
            <w:sz w:val="18"/>
            <w:szCs w:val="18"/>
          </w:rPr>
          <w:t>https://www.iso.org/standard/45123.html</w:t>
        </w:r>
      </w:hyperlink>
      <w:r w:rsidRPr="00E75FDA">
        <w:rPr>
          <w:rFonts w:cstheme="minorHAnsi"/>
          <w:sz w:val="18"/>
          <w:szCs w:val="18"/>
        </w:rPr>
        <w:t xml:space="preserve"> </w:t>
      </w:r>
    </w:p>
  </w:footnote>
  <w:footnote w:id="156">
    <w:p w14:paraId="00046C7B"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((2018) ISO/IEC 29101:2018, Information technology — Security techniques — Privacy architecture framework, </w:t>
      </w:r>
      <w:hyperlink r:id="rId145" w:history="1">
        <w:r w:rsidRPr="00E75FDA">
          <w:rPr>
            <w:rStyle w:val="Hyperlink"/>
            <w:rFonts w:cstheme="minorHAnsi"/>
            <w:sz w:val="18"/>
            <w:szCs w:val="18"/>
          </w:rPr>
          <w:t>https://www.iso.org/standard/75293.html</w:t>
        </w:r>
      </w:hyperlink>
      <w:r w:rsidRPr="00E75FDA">
        <w:rPr>
          <w:rFonts w:cstheme="minorHAnsi"/>
          <w:sz w:val="18"/>
          <w:szCs w:val="18"/>
        </w:rPr>
        <w:t xml:space="preserve"> </w:t>
      </w:r>
    </w:p>
  </w:footnote>
  <w:footnote w:id="157">
    <w:p w14:paraId="104E796B"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(2019) ISO/IEC 27018:2019, Information technology — Security techniques — Code of practice for protection of personally identifiable information (PII) in public clouds acting as PII processors, </w:t>
      </w:r>
      <w:hyperlink r:id="rId146" w:history="1">
        <w:r w:rsidRPr="00E75FDA">
          <w:rPr>
            <w:rStyle w:val="Hyperlink"/>
            <w:rFonts w:cstheme="minorHAnsi"/>
            <w:sz w:val="18"/>
            <w:szCs w:val="18"/>
          </w:rPr>
          <w:t>https://www.iso.org/standard/76559.html</w:t>
        </w:r>
      </w:hyperlink>
      <w:r w:rsidRPr="00E75FDA">
        <w:rPr>
          <w:rFonts w:cstheme="minorHAnsi"/>
          <w:sz w:val="18"/>
          <w:szCs w:val="18"/>
        </w:rPr>
        <w:t xml:space="preserve"> </w:t>
      </w:r>
    </w:p>
  </w:footnote>
  <w:footnote w:id="158">
    <w:p w14:paraId="25D0AB89" w14:textId="77777777" w:rsidR="00F61ADD" w:rsidRPr="00E75FDA" w:rsidRDefault="00F61ADD" w:rsidP="003A2D41">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(2019) ISO/IEC 27701:2019, Security techniques — Extension to ISO/IEC 27001 and ISO/IEC 27002 for privacy information management — Requirements and guidelines, </w:t>
      </w:r>
      <w:hyperlink r:id="rId147" w:history="1">
        <w:r w:rsidRPr="00E75FDA">
          <w:rPr>
            <w:rStyle w:val="Hyperlink"/>
            <w:rFonts w:cstheme="minorHAnsi"/>
            <w:sz w:val="18"/>
            <w:szCs w:val="18"/>
          </w:rPr>
          <w:t>https://www.iso.org/standard/71670.html</w:t>
        </w:r>
      </w:hyperlink>
      <w:r w:rsidRPr="00E75FDA">
        <w:rPr>
          <w:rFonts w:cstheme="minorHAnsi"/>
          <w:sz w:val="18"/>
          <w:szCs w:val="18"/>
        </w:rPr>
        <w:t xml:space="preserve"> </w:t>
      </w:r>
    </w:p>
  </w:footnote>
  <w:footnote w:id="159">
    <w:p w14:paraId="585E6B51" w14:textId="77777777" w:rsidR="00F61ADD" w:rsidRPr="00E75FDA" w:rsidRDefault="00F61ADD">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APEC (2019) What is the Cross-Border Privacy Rules System? </w:t>
      </w:r>
      <w:hyperlink r:id="rId148" w:history="1">
        <w:r w:rsidRPr="00E75FDA">
          <w:rPr>
            <w:rStyle w:val="Hyperlink"/>
            <w:rFonts w:cstheme="minorHAnsi"/>
            <w:sz w:val="18"/>
            <w:szCs w:val="18"/>
            <w:lang w:val="en-SG"/>
          </w:rPr>
          <w:t>https://www.apec.org/About-Us/About-APEC/Fact-Sheets/What-is-the-Cross-Border-Privacy-Rules-System</w:t>
        </w:r>
      </w:hyperlink>
    </w:p>
  </w:footnote>
  <w:footnote w:id="160">
    <w:p w14:paraId="15302A80" w14:textId="77777777" w:rsidR="00F61ADD" w:rsidRPr="00E75FDA" w:rsidRDefault="00F61ADD" w:rsidP="00F12507">
      <w:pPr>
        <w:pStyle w:val="NoSpacing"/>
        <w:contextualSpacing/>
        <w:rPr>
          <w:rFonts w:cstheme="minorHAnsi"/>
          <w:sz w:val="18"/>
          <w:szCs w:val="18"/>
          <w:lang w:val="en-US"/>
        </w:rPr>
      </w:pPr>
      <w:r w:rsidRPr="00E75FDA">
        <w:rPr>
          <w:rStyle w:val="FootnoteReference"/>
          <w:rFonts w:cstheme="minorHAnsi"/>
          <w:sz w:val="18"/>
          <w:szCs w:val="18"/>
        </w:rPr>
        <w:footnoteRef/>
      </w:r>
      <w:r w:rsidRPr="00E75FDA">
        <w:rPr>
          <w:rFonts w:cstheme="minorHAnsi"/>
          <w:sz w:val="18"/>
          <w:szCs w:val="18"/>
        </w:rPr>
        <w:t xml:space="preserve"> </w:t>
      </w:r>
      <w:r w:rsidRPr="00E75FDA">
        <w:rPr>
          <w:rFonts w:cstheme="minorHAnsi"/>
          <w:sz w:val="18"/>
          <w:szCs w:val="18"/>
          <w:lang w:val="en-US"/>
        </w:rPr>
        <w:t xml:space="preserve">APEC (2005) APEC Privacy Framework, </w:t>
      </w:r>
      <w:hyperlink r:id="rId149" w:history="1">
        <w:r w:rsidRPr="00E75FDA">
          <w:rPr>
            <w:rStyle w:val="Hyperlink"/>
            <w:rFonts w:cstheme="minorHAnsi"/>
            <w:color w:val="0060A0"/>
            <w:sz w:val="18"/>
            <w:szCs w:val="18"/>
            <w:shd w:val="clear" w:color="auto" w:fill="FFFFFF"/>
          </w:rPr>
          <w:t>http://publications.apec.org/publication-detail.php?pub_id=390</w:t>
        </w:r>
      </w:hyperlink>
    </w:p>
  </w:footnote>
  <w:footnote w:id="161">
    <w:p w14:paraId="73DB1AFB" w14:textId="77777777" w:rsidR="00F61ADD" w:rsidRPr="00E75FDA" w:rsidRDefault="00F61ADD" w:rsidP="00F12507">
      <w:pPr>
        <w:pStyle w:val="NoSpacing"/>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Lawfare (2019) Cross-border Privacy Rules in Asia: An Overview, </w:t>
      </w:r>
      <w:hyperlink r:id="rId150">
        <w:r w:rsidRPr="00E75FDA">
          <w:rPr>
            <w:rStyle w:val="Hyperlink"/>
            <w:rFonts w:cstheme="minorHAnsi"/>
            <w:sz w:val="18"/>
            <w:szCs w:val="18"/>
          </w:rPr>
          <w:t>https://www.lawfareblog.com/cross-border-privacy-rules-asia-overview</w:t>
        </w:r>
      </w:hyperlink>
    </w:p>
  </w:footnote>
  <w:footnote w:id="162">
    <w:p w14:paraId="6923F98A" w14:textId="77777777" w:rsidR="00F61ADD" w:rsidRPr="00E75FDA" w:rsidRDefault="00F61ADD" w:rsidP="00F12507">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(2017) ISO/IEC 38505-1:2017 Information technology — Governance of IT — Governance of data — Part 1: Application of ISO/IEC 38500 to the governance of data, </w:t>
      </w:r>
      <w:hyperlink r:id="rId151" w:history="1">
        <w:r w:rsidRPr="00E75FDA">
          <w:rPr>
            <w:rStyle w:val="Hyperlink"/>
            <w:rFonts w:cstheme="minorHAnsi"/>
            <w:sz w:val="18"/>
            <w:szCs w:val="18"/>
          </w:rPr>
          <w:t>https://www.iso.org/standard/56639.html</w:t>
        </w:r>
      </w:hyperlink>
    </w:p>
  </w:footnote>
  <w:footnote w:id="163">
    <w:p w14:paraId="4E2F1F16" w14:textId="77777777" w:rsidR="00F61ADD" w:rsidRPr="00E75FDA" w:rsidRDefault="00F61ADD" w:rsidP="000C42C7">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Wilkinson, M, et al. (2016) The Fair Guiding Principles for scientific data management and stewardship, </w:t>
      </w:r>
      <w:hyperlink r:id="rId152" w:history="1">
        <w:r w:rsidRPr="00E75FDA">
          <w:rPr>
            <w:rStyle w:val="Hyperlink"/>
            <w:rFonts w:cstheme="minorHAnsi"/>
            <w:sz w:val="18"/>
            <w:szCs w:val="18"/>
            <w:lang w:val="en-SG"/>
          </w:rPr>
          <w:t>https://www.nature.com/articles/sdata201618</w:t>
        </w:r>
      </w:hyperlink>
    </w:p>
  </w:footnote>
  <w:footnote w:id="164">
    <w:p w14:paraId="08F7785C" w14:textId="77777777" w:rsidR="00F61ADD" w:rsidRPr="00E75FDA" w:rsidRDefault="00F61ADD" w:rsidP="000C42C7">
      <w:pPr>
        <w:spacing w:before="0" w:after="0"/>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EDM Council (2019) About FIBO: Open Semantic Standard for the Financial Industry, </w:t>
      </w:r>
      <w:hyperlink r:id="rId153" w:history="1">
        <w:r w:rsidRPr="00E75FDA">
          <w:rPr>
            <w:rStyle w:val="Hyperlink"/>
            <w:rFonts w:cstheme="minorHAnsi"/>
            <w:sz w:val="18"/>
            <w:szCs w:val="18"/>
          </w:rPr>
          <w:t>https://edmcouncil.org/page/aboutfiboreview</w:t>
        </w:r>
      </w:hyperlink>
    </w:p>
  </w:footnote>
  <w:footnote w:id="165">
    <w:p w14:paraId="7C876DAA" w14:textId="6EAD282E" w:rsidR="00F61ADD" w:rsidRDefault="00F61ADD">
      <w:pPr>
        <w:pStyle w:val="FootnoteText"/>
      </w:pPr>
      <w:r>
        <w:rPr>
          <w:rStyle w:val="FootnoteReference"/>
        </w:rPr>
        <w:footnoteRef/>
      </w:r>
      <w:r>
        <w:t xml:space="preserve"> </w:t>
      </w:r>
      <w:r w:rsidRPr="00E75FDA">
        <w:rPr>
          <w:sz w:val="18"/>
          <w:szCs w:val="18"/>
        </w:rPr>
        <w:t xml:space="preserve">Data61 (2020) Consumer Data Standards, </w:t>
      </w:r>
      <w:hyperlink r:id="rId154" w:history="1">
        <w:r w:rsidRPr="00E75FDA">
          <w:rPr>
            <w:rStyle w:val="Hyperlink"/>
            <w:sz w:val="18"/>
            <w:szCs w:val="18"/>
          </w:rPr>
          <w:t>https://data61.csiro.au/en/Our-Research/Focus-Areas/Special-Projects/Consumer-Data-Standards</w:t>
        </w:r>
      </w:hyperlink>
    </w:p>
  </w:footnote>
  <w:footnote w:id="166">
    <w:p w14:paraId="42CACD36"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(2013) ISO/IEC 27001:2013, Information technology — Security techniques — Information security management systems — Requirements, </w:t>
      </w:r>
      <w:hyperlink r:id="rId155" w:history="1">
        <w:r w:rsidRPr="00E75FDA">
          <w:rPr>
            <w:rStyle w:val="Hyperlink"/>
            <w:rFonts w:cstheme="minorHAnsi"/>
            <w:sz w:val="18"/>
            <w:szCs w:val="18"/>
          </w:rPr>
          <w:t>https://www.iso.org/standard/54534.html</w:t>
        </w:r>
      </w:hyperlink>
      <w:r w:rsidRPr="00E75FDA">
        <w:rPr>
          <w:rFonts w:cstheme="minorHAnsi"/>
          <w:sz w:val="18"/>
          <w:szCs w:val="18"/>
        </w:rPr>
        <w:t xml:space="preserve"> </w:t>
      </w:r>
    </w:p>
  </w:footnote>
  <w:footnote w:id="167">
    <w:p w14:paraId="792F67D5"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ISO (2013) ISO/IEC 27002:2013, Information technology — Security techniques — Code of practice for information security controls, </w:t>
      </w:r>
      <w:hyperlink r:id="rId156" w:history="1">
        <w:r w:rsidRPr="00E75FDA">
          <w:rPr>
            <w:rStyle w:val="Hyperlink"/>
            <w:rFonts w:cstheme="minorHAnsi"/>
            <w:sz w:val="18"/>
            <w:szCs w:val="18"/>
          </w:rPr>
          <w:t>https://www.iso.org/standard/54533.html</w:t>
        </w:r>
      </w:hyperlink>
      <w:r w:rsidRPr="00E75FDA">
        <w:rPr>
          <w:rFonts w:cstheme="minorHAnsi"/>
          <w:sz w:val="18"/>
          <w:szCs w:val="18"/>
        </w:rPr>
        <w:t xml:space="preserve"> </w:t>
      </w:r>
    </w:p>
  </w:footnote>
  <w:footnote w:id="168">
    <w:p w14:paraId="2AAF40B4" w14:textId="77777777" w:rsidR="00F61ADD" w:rsidRPr="00E75FDA" w:rsidRDefault="00F61ADD" w:rsidP="008818AD">
      <w:pPr>
        <w:pStyle w:val="FootnoteText"/>
        <w:contextualSpacing/>
        <w:rPr>
          <w:rFonts w:cstheme="minorHAnsi"/>
          <w:sz w:val="18"/>
          <w:szCs w:val="18"/>
        </w:rPr>
      </w:pPr>
      <w:r w:rsidRPr="00E75FDA">
        <w:rPr>
          <w:rStyle w:val="FootnoteReference"/>
          <w:rFonts w:cstheme="minorHAnsi"/>
          <w:sz w:val="18"/>
          <w:szCs w:val="18"/>
        </w:rPr>
        <w:footnoteRef/>
      </w:r>
      <w:r w:rsidRPr="00E75FDA">
        <w:rPr>
          <w:rFonts w:cstheme="minorHAnsi"/>
          <w:sz w:val="18"/>
          <w:szCs w:val="18"/>
        </w:rPr>
        <w:t xml:space="preserve"> ISA (2018) New ISA/IEC 62443 standard specifies security capabilities for control system components, </w:t>
      </w:r>
      <w:hyperlink r:id="rId157" w:history="1">
        <w:r w:rsidRPr="00E75FDA">
          <w:rPr>
            <w:rStyle w:val="Hyperlink"/>
            <w:rFonts w:cstheme="minorHAnsi"/>
            <w:sz w:val="18"/>
            <w:szCs w:val="18"/>
          </w:rPr>
          <w:t>https://www.isa.org/intech/201810standards/</w:t>
        </w:r>
      </w:hyperlink>
      <w:r w:rsidRPr="00E75FDA">
        <w:rPr>
          <w:rFonts w:cstheme="minorHAnsi"/>
          <w:sz w:val="18"/>
          <w:szCs w:val="18"/>
        </w:rPr>
        <w:t xml:space="preserve"> </w:t>
      </w:r>
    </w:p>
  </w:footnote>
  <w:footnote w:id="169">
    <w:p w14:paraId="205209A4" w14:textId="77777777" w:rsidR="00F61ADD" w:rsidRPr="00E75FDA" w:rsidRDefault="00F61ADD" w:rsidP="008818AD">
      <w:pPr>
        <w:pStyle w:val="NoSpacing"/>
        <w:contextualSpacing/>
        <w:rPr>
          <w:rFonts w:cstheme="minorHAnsi"/>
          <w:sz w:val="18"/>
          <w:szCs w:val="18"/>
          <w:lang w:val="en-SG"/>
        </w:rPr>
      </w:pPr>
      <w:r w:rsidRPr="00E75FDA">
        <w:rPr>
          <w:rStyle w:val="FootnoteReference"/>
          <w:rFonts w:cstheme="minorHAnsi"/>
          <w:sz w:val="18"/>
          <w:szCs w:val="18"/>
          <w:lang w:val="en-SG"/>
        </w:rPr>
        <w:footnoteRef/>
      </w:r>
      <w:r w:rsidRPr="00E75FDA">
        <w:rPr>
          <w:rFonts w:cstheme="minorHAnsi"/>
          <w:sz w:val="18"/>
          <w:szCs w:val="18"/>
          <w:lang w:val="en-SG"/>
        </w:rPr>
        <w:t xml:space="preserve"> ISACA, COBIT 5 Development, </w:t>
      </w:r>
      <w:hyperlink r:id="rId158" w:history="1">
        <w:r w:rsidRPr="00E75FDA">
          <w:rPr>
            <w:rStyle w:val="Hyperlink"/>
            <w:rFonts w:cstheme="minorHAnsi"/>
            <w:sz w:val="18"/>
            <w:szCs w:val="18"/>
            <w:lang w:val="en-SG"/>
          </w:rPr>
          <w:t>www.isaca.org/Knowledge-Center/cobit/Pages/Development.aspx</w:t>
        </w:r>
      </w:hyperlink>
      <w:r w:rsidRPr="00E75FDA">
        <w:rPr>
          <w:rFonts w:cstheme="minorHAnsi"/>
          <w:sz w:val="18"/>
          <w:szCs w:val="18"/>
          <w:lang w:val="en-SG"/>
        </w:rPr>
        <w:t xml:space="preserve"> </w:t>
      </w:r>
    </w:p>
  </w:footnote>
  <w:footnote w:id="170">
    <w:p w14:paraId="0648A0AA" w14:textId="77777777" w:rsidR="00F61ADD" w:rsidRPr="00E75FDA" w:rsidRDefault="00F61ADD" w:rsidP="008818AD">
      <w:pPr>
        <w:pStyle w:val="NoSpacing"/>
        <w:contextualSpacing/>
        <w:rPr>
          <w:rFonts w:cstheme="minorHAnsi"/>
          <w:sz w:val="18"/>
          <w:szCs w:val="18"/>
          <w:lang w:val="en-SG"/>
        </w:rPr>
      </w:pPr>
      <w:r w:rsidRPr="00E75FDA">
        <w:rPr>
          <w:rStyle w:val="FootnoteReference"/>
          <w:rFonts w:cstheme="minorHAnsi"/>
          <w:sz w:val="18"/>
          <w:szCs w:val="18"/>
          <w:lang w:val="en-SG"/>
        </w:rPr>
        <w:footnoteRef/>
      </w:r>
      <w:r w:rsidRPr="00E75FDA">
        <w:rPr>
          <w:rFonts w:cstheme="minorHAnsi"/>
          <w:sz w:val="18"/>
          <w:szCs w:val="18"/>
          <w:lang w:val="en-SG"/>
        </w:rPr>
        <w:t xml:space="preserve"> NIST, Evolution of the Framework, </w:t>
      </w:r>
      <w:hyperlink r:id="rId159" w:history="1">
        <w:r w:rsidRPr="00E75FDA">
          <w:rPr>
            <w:rStyle w:val="Hyperlink"/>
            <w:rFonts w:cstheme="minorHAnsi"/>
            <w:sz w:val="18"/>
            <w:szCs w:val="18"/>
            <w:lang w:val="en-SG"/>
          </w:rPr>
          <w:t>https://www.nist.gov/cyberframework/evolution</w:t>
        </w:r>
      </w:hyperlink>
      <w:r w:rsidRPr="00E75FDA">
        <w:rPr>
          <w:rFonts w:cstheme="minorHAnsi"/>
          <w:sz w:val="18"/>
          <w:szCs w:val="18"/>
          <w:lang w:val="en-SG"/>
        </w:rPr>
        <w:t xml:space="preserve"> </w:t>
      </w:r>
    </w:p>
  </w:footnote>
  <w:footnote w:id="171">
    <w:p w14:paraId="32BE4692" w14:textId="4D9B910C"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w:t>
      </w:r>
      <w:r w:rsidR="009F3DFB" w:rsidRPr="009F3DFB">
        <w:rPr>
          <w:rFonts w:cstheme="minorHAnsi"/>
          <w:sz w:val="18"/>
          <w:szCs w:val="18"/>
        </w:rPr>
        <w:t>APIX is the flagship product developed and operated by The ASEAN Financial Innovation Network (AFIN), a not-for-profit entity formed by the Monetary Authority of Singapore, International Finance Corporation, a member of the World Bank Group, and the ASEAN Bankers Association, with the objectives of supporting financial innovation and inclusion around the world. Through APIX, financial institutions and FinTech firms can discover one another on a curated global marketplace, design experiments collaboratively in the sandbox and deploy innovative solutions rapidly at a lower cost.</w:t>
      </w:r>
      <w:r w:rsidR="009F3DFB" w:rsidRPr="009F3DFB" w:rsidDel="009F3DFB">
        <w:rPr>
          <w:rFonts w:cstheme="minorHAnsi"/>
          <w:sz w:val="18"/>
          <w:szCs w:val="18"/>
        </w:rPr>
        <w:t xml:space="preserve"> </w:t>
      </w:r>
    </w:p>
  </w:footnote>
  <w:footnote w:id="172">
    <w:p w14:paraId="48A60F41" w14:textId="77777777" w:rsidR="00F61ADD" w:rsidRPr="00E75FDA" w:rsidRDefault="00F61ADD" w:rsidP="003A2D41">
      <w:pPr>
        <w:pStyle w:val="FootnoteText"/>
        <w:rPr>
          <w:rFonts w:cstheme="minorHAnsi"/>
          <w:sz w:val="18"/>
          <w:szCs w:val="18"/>
          <w:lang w:val="en-SG"/>
        </w:rPr>
      </w:pPr>
      <w:r w:rsidRPr="00E75FDA">
        <w:rPr>
          <w:rStyle w:val="FootnoteReference"/>
          <w:rFonts w:cstheme="minorHAnsi"/>
          <w:sz w:val="18"/>
          <w:szCs w:val="18"/>
        </w:rPr>
        <w:footnoteRef/>
      </w:r>
      <w:r w:rsidRPr="00E75FDA">
        <w:rPr>
          <w:rFonts w:cstheme="minorHAnsi"/>
          <w:sz w:val="18"/>
          <w:szCs w:val="18"/>
        </w:rPr>
        <w:t xml:space="preserve"> Singapore Customs and GovTech – is a one-stop trade and logistics platform which supports digitalisation efforts and connects players across the trade value chain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EAC1" w14:textId="77777777" w:rsidR="00F61ADD" w:rsidRDefault="00F61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69CB3" w14:textId="77777777" w:rsidR="00F61ADD" w:rsidRDefault="00F61A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637FA" w14:textId="77777777" w:rsidR="00F61ADD" w:rsidRDefault="00F61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6EE3"/>
    <w:multiLevelType w:val="hybridMultilevel"/>
    <w:tmpl w:val="95A447AC"/>
    <w:lvl w:ilvl="0" w:tplc="48090001">
      <w:start w:val="1"/>
      <w:numFmt w:val="bullet"/>
      <w:lvlText w:val=""/>
      <w:lvlJc w:val="left"/>
      <w:pPr>
        <w:ind w:left="1381" w:hanging="360"/>
      </w:pPr>
      <w:rPr>
        <w:rFonts w:ascii="Symbol" w:hAnsi="Symbol" w:hint="default"/>
      </w:rPr>
    </w:lvl>
    <w:lvl w:ilvl="1" w:tplc="48090003" w:tentative="1">
      <w:start w:val="1"/>
      <w:numFmt w:val="bullet"/>
      <w:lvlText w:val="o"/>
      <w:lvlJc w:val="left"/>
      <w:pPr>
        <w:ind w:left="2101" w:hanging="360"/>
      </w:pPr>
      <w:rPr>
        <w:rFonts w:ascii="Courier New" w:hAnsi="Courier New" w:cs="Courier New" w:hint="default"/>
      </w:rPr>
    </w:lvl>
    <w:lvl w:ilvl="2" w:tplc="48090005" w:tentative="1">
      <w:start w:val="1"/>
      <w:numFmt w:val="bullet"/>
      <w:lvlText w:val=""/>
      <w:lvlJc w:val="left"/>
      <w:pPr>
        <w:ind w:left="2821" w:hanging="360"/>
      </w:pPr>
      <w:rPr>
        <w:rFonts w:ascii="Wingdings" w:hAnsi="Wingdings" w:cs="Wingdings" w:hint="default"/>
      </w:rPr>
    </w:lvl>
    <w:lvl w:ilvl="3" w:tplc="48090001" w:tentative="1">
      <w:start w:val="1"/>
      <w:numFmt w:val="bullet"/>
      <w:lvlText w:val=""/>
      <w:lvlJc w:val="left"/>
      <w:pPr>
        <w:ind w:left="3541" w:hanging="360"/>
      </w:pPr>
      <w:rPr>
        <w:rFonts w:ascii="Symbol" w:hAnsi="Symbol" w:cs="Symbol" w:hint="default"/>
      </w:rPr>
    </w:lvl>
    <w:lvl w:ilvl="4" w:tplc="48090003" w:tentative="1">
      <w:start w:val="1"/>
      <w:numFmt w:val="bullet"/>
      <w:lvlText w:val="o"/>
      <w:lvlJc w:val="left"/>
      <w:pPr>
        <w:ind w:left="4261" w:hanging="360"/>
      </w:pPr>
      <w:rPr>
        <w:rFonts w:ascii="Courier New" w:hAnsi="Courier New" w:cs="Courier New" w:hint="default"/>
      </w:rPr>
    </w:lvl>
    <w:lvl w:ilvl="5" w:tplc="48090005" w:tentative="1">
      <w:start w:val="1"/>
      <w:numFmt w:val="bullet"/>
      <w:lvlText w:val=""/>
      <w:lvlJc w:val="left"/>
      <w:pPr>
        <w:ind w:left="4981" w:hanging="360"/>
      </w:pPr>
      <w:rPr>
        <w:rFonts w:ascii="Wingdings" w:hAnsi="Wingdings" w:cs="Wingdings" w:hint="default"/>
      </w:rPr>
    </w:lvl>
    <w:lvl w:ilvl="6" w:tplc="48090001" w:tentative="1">
      <w:start w:val="1"/>
      <w:numFmt w:val="bullet"/>
      <w:lvlText w:val=""/>
      <w:lvlJc w:val="left"/>
      <w:pPr>
        <w:ind w:left="5701" w:hanging="360"/>
      </w:pPr>
      <w:rPr>
        <w:rFonts w:ascii="Symbol" w:hAnsi="Symbol" w:cs="Symbol" w:hint="default"/>
      </w:rPr>
    </w:lvl>
    <w:lvl w:ilvl="7" w:tplc="48090003" w:tentative="1">
      <w:start w:val="1"/>
      <w:numFmt w:val="bullet"/>
      <w:lvlText w:val="o"/>
      <w:lvlJc w:val="left"/>
      <w:pPr>
        <w:ind w:left="6421" w:hanging="360"/>
      </w:pPr>
      <w:rPr>
        <w:rFonts w:ascii="Courier New" w:hAnsi="Courier New" w:cs="Courier New" w:hint="default"/>
      </w:rPr>
    </w:lvl>
    <w:lvl w:ilvl="8" w:tplc="48090005" w:tentative="1">
      <w:start w:val="1"/>
      <w:numFmt w:val="bullet"/>
      <w:lvlText w:val=""/>
      <w:lvlJc w:val="left"/>
      <w:pPr>
        <w:ind w:left="7141" w:hanging="360"/>
      </w:pPr>
      <w:rPr>
        <w:rFonts w:ascii="Wingdings" w:hAnsi="Wingdings" w:cs="Wingdings" w:hint="default"/>
      </w:rPr>
    </w:lvl>
  </w:abstractNum>
  <w:abstractNum w:abstractNumId="1" w15:restartNumberingAfterBreak="0">
    <w:nsid w:val="0AAA5EF8"/>
    <w:multiLevelType w:val="hybridMultilevel"/>
    <w:tmpl w:val="FFF8559A"/>
    <w:lvl w:ilvl="0" w:tplc="24DEB2C0">
      <w:start w:val="1"/>
      <w:numFmt w:val="upperRoman"/>
      <w:pStyle w:val="AppendixHeading"/>
      <w:lvlText w:val="Appendix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13F22"/>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 w15:restartNumberingAfterBreak="0">
    <w:nsid w:val="0FEF6692"/>
    <w:multiLevelType w:val="hybridMultilevel"/>
    <w:tmpl w:val="AB929E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216B6F"/>
    <w:multiLevelType w:val="hybridMultilevel"/>
    <w:tmpl w:val="AB5EB9F4"/>
    <w:lvl w:ilvl="0" w:tplc="7C124520">
      <w:start w:val="1"/>
      <w:numFmt w:val="lowerRoman"/>
      <w:lvlText w:val="(%1)"/>
      <w:lvlJc w:val="left"/>
      <w:pPr>
        <w:ind w:left="1021" w:hanging="454"/>
      </w:pPr>
      <w:rPr>
        <w:rFonts w:hint="default"/>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5" w15:restartNumberingAfterBreak="0">
    <w:nsid w:val="1855232A"/>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6" w15:restartNumberingAfterBreak="0">
    <w:nsid w:val="18873787"/>
    <w:multiLevelType w:val="hybridMultilevel"/>
    <w:tmpl w:val="E3BAD9DA"/>
    <w:lvl w:ilvl="0" w:tplc="48090001">
      <w:start w:val="1"/>
      <w:numFmt w:val="bullet"/>
      <w:lvlText w:val=""/>
      <w:lvlJc w:val="left"/>
      <w:pPr>
        <w:ind w:left="720" w:hanging="360"/>
      </w:pPr>
      <w:rPr>
        <w:rFonts w:ascii="Symbol" w:hAnsi="Symbol" w:cs="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8EB1C7B"/>
    <w:multiLevelType w:val="hybridMultilevel"/>
    <w:tmpl w:val="BA5AAF20"/>
    <w:lvl w:ilvl="0" w:tplc="F20C6138">
      <w:start w:val="1"/>
      <w:numFmt w:val="decimal"/>
      <w:lvlText w:val="%1."/>
      <w:lvlJc w:val="right"/>
      <w:pPr>
        <w:ind w:left="927" w:hanging="360"/>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8" w15:restartNumberingAfterBreak="0">
    <w:nsid w:val="1A270C63"/>
    <w:multiLevelType w:val="hybridMultilevel"/>
    <w:tmpl w:val="5590EF92"/>
    <w:lvl w:ilvl="0" w:tplc="1EC61720">
      <w:start w:val="1"/>
      <w:numFmt w:val="lowerRoman"/>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A3F1F63"/>
    <w:multiLevelType w:val="hybridMultilevel"/>
    <w:tmpl w:val="38E29FC2"/>
    <w:lvl w:ilvl="0" w:tplc="8424E04E">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0" w15:restartNumberingAfterBreak="0">
    <w:nsid w:val="1E597A8B"/>
    <w:multiLevelType w:val="hybridMultilevel"/>
    <w:tmpl w:val="532A089E"/>
    <w:lvl w:ilvl="0" w:tplc="EB48DE90">
      <w:start w:val="1"/>
      <w:numFmt w:val="bullet"/>
      <w:pStyle w:val="ColorfulList-Accent11"/>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A53E8"/>
    <w:multiLevelType w:val="hybridMultilevel"/>
    <w:tmpl w:val="3444A472"/>
    <w:lvl w:ilvl="0" w:tplc="56624992">
      <w:start w:val="1"/>
      <w:numFmt w:val="bullet"/>
      <w:pStyle w:val="ListParagraph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2532F"/>
    <w:multiLevelType w:val="hybridMultilevel"/>
    <w:tmpl w:val="8A266116"/>
    <w:lvl w:ilvl="0" w:tplc="19F64068">
      <w:start w:val="1"/>
      <w:numFmt w:val="lowerLetter"/>
      <w:pStyle w:val="NumBullet"/>
      <w:lvlText w:val="%1."/>
      <w:lvlJc w:val="left"/>
      <w:pPr>
        <w:ind w:left="720" w:hanging="360"/>
      </w:pPr>
      <w:rPr>
        <w:rFonts w:ascii="Calibri" w:eastAsiaTheme="minorHAns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C0F83"/>
    <w:multiLevelType w:val="hybridMultilevel"/>
    <w:tmpl w:val="A4A002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D4A0C24"/>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5" w15:restartNumberingAfterBreak="0">
    <w:nsid w:val="421613AE"/>
    <w:multiLevelType w:val="hybridMultilevel"/>
    <w:tmpl w:val="89F63E2A"/>
    <w:lvl w:ilvl="0" w:tplc="7C124520">
      <w:start w:val="1"/>
      <w:numFmt w:val="lowerRoman"/>
      <w:lvlText w:val="(%1)"/>
      <w:lvlJc w:val="left"/>
      <w:pPr>
        <w:ind w:left="1021" w:hanging="454"/>
      </w:pPr>
      <w:rPr>
        <w:rFonts w:hint="default"/>
        <w:i w:val="0"/>
        <w:iCs/>
      </w:rPr>
    </w:lvl>
    <w:lvl w:ilvl="1" w:tplc="F2FC5908">
      <w:start w:val="1"/>
      <w:numFmt w:val="lowerLetter"/>
      <w:lvlText w:val="(%2)"/>
      <w:lvlJc w:val="left"/>
      <w:pPr>
        <w:ind w:left="1488" w:hanging="360"/>
      </w:pPr>
      <w:rPr>
        <w:rFonts w:hint="default"/>
      </w:r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6" w15:restartNumberingAfterBreak="0">
    <w:nsid w:val="452434FC"/>
    <w:multiLevelType w:val="hybridMultilevel"/>
    <w:tmpl w:val="AB5EB9F4"/>
    <w:lvl w:ilvl="0" w:tplc="7C124520">
      <w:start w:val="1"/>
      <w:numFmt w:val="lowerRoman"/>
      <w:lvlText w:val="(%1)"/>
      <w:lvlJc w:val="left"/>
      <w:pPr>
        <w:ind w:left="1021" w:hanging="454"/>
      </w:pPr>
      <w:rPr>
        <w:rFonts w:hint="default"/>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7" w15:restartNumberingAfterBreak="0">
    <w:nsid w:val="456B6491"/>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8" w15:restartNumberingAfterBreak="0">
    <w:nsid w:val="45C30BA5"/>
    <w:multiLevelType w:val="hybridMultilevel"/>
    <w:tmpl w:val="FFFFFFFF"/>
    <w:lvl w:ilvl="0" w:tplc="B0CAE38E">
      <w:start w:val="1"/>
      <w:numFmt w:val="bullet"/>
      <w:lvlText w:val=""/>
      <w:lvlJc w:val="left"/>
      <w:pPr>
        <w:ind w:left="720" w:hanging="360"/>
      </w:pPr>
      <w:rPr>
        <w:rFonts w:ascii="Symbol" w:hAnsi="Symbol" w:hint="default"/>
      </w:rPr>
    </w:lvl>
    <w:lvl w:ilvl="1" w:tplc="48507A96">
      <w:start w:val="1"/>
      <w:numFmt w:val="bullet"/>
      <w:lvlText w:val="o"/>
      <w:lvlJc w:val="left"/>
      <w:pPr>
        <w:ind w:left="1440" w:hanging="360"/>
      </w:pPr>
      <w:rPr>
        <w:rFonts w:ascii="Courier New" w:hAnsi="Courier New" w:hint="default"/>
      </w:rPr>
    </w:lvl>
    <w:lvl w:ilvl="2" w:tplc="4D9840EC">
      <w:start w:val="1"/>
      <w:numFmt w:val="bullet"/>
      <w:lvlText w:val=""/>
      <w:lvlJc w:val="left"/>
      <w:pPr>
        <w:ind w:left="2160" w:hanging="360"/>
      </w:pPr>
      <w:rPr>
        <w:rFonts w:ascii="Wingdings" w:hAnsi="Wingdings" w:hint="default"/>
      </w:rPr>
    </w:lvl>
    <w:lvl w:ilvl="3" w:tplc="20E6A20A">
      <w:start w:val="1"/>
      <w:numFmt w:val="bullet"/>
      <w:lvlText w:val=""/>
      <w:lvlJc w:val="left"/>
      <w:pPr>
        <w:ind w:left="2880" w:hanging="360"/>
      </w:pPr>
      <w:rPr>
        <w:rFonts w:ascii="Symbol" w:hAnsi="Symbol" w:hint="default"/>
      </w:rPr>
    </w:lvl>
    <w:lvl w:ilvl="4" w:tplc="D29C37B2">
      <w:start w:val="1"/>
      <w:numFmt w:val="bullet"/>
      <w:lvlText w:val="o"/>
      <w:lvlJc w:val="left"/>
      <w:pPr>
        <w:ind w:left="3600" w:hanging="360"/>
      </w:pPr>
      <w:rPr>
        <w:rFonts w:ascii="Courier New" w:hAnsi="Courier New" w:hint="default"/>
      </w:rPr>
    </w:lvl>
    <w:lvl w:ilvl="5" w:tplc="F1E8D302">
      <w:start w:val="1"/>
      <w:numFmt w:val="bullet"/>
      <w:lvlText w:val=""/>
      <w:lvlJc w:val="left"/>
      <w:pPr>
        <w:ind w:left="4320" w:hanging="360"/>
      </w:pPr>
      <w:rPr>
        <w:rFonts w:ascii="Wingdings" w:hAnsi="Wingdings" w:hint="default"/>
      </w:rPr>
    </w:lvl>
    <w:lvl w:ilvl="6" w:tplc="83A25D76">
      <w:start w:val="1"/>
      <w:numFmt w:val="bullet"/>
      <w:lvlText w:val=""/>
      <w:lvlJc w:val="left"/>
      <w:pPr>
        <w:ind w:left="5040" w:hanging="360"/>
      </w:pPr>
      <w:rPr>
        <w:rFonts w:ascii="Symbol" w:hAnsi="Symbol" w:hint="default"/>
      </w:rPr>
    </w:lvl>
    <w:lvl w:ilvl="7" w:tplc="05A87748">
      <w:start w:val="1"/>
      <w:numFmt w:val="bullet"/>
      <w:lvlText w:val="o"/>
      <w:lvlJc w:val="left"/>
      <w:pPr>
        <w:ind w:left="5760" w:hanging="360"/>
      </w:pPr>
      <w:rPr>
        <w:rFonts w:ascii="Courier New" w:hAnsi="Courier New" w:hint="default"/>
      </w:rPr>
    </w:lvl>
    <w:lvl w:ilvl="8" w:tplc="7728CC80">
      <w:start w:val="1"/>
      <w:numFmt w:val="bullet"/>
      <w:lvlText w:val=""/>
      <w:lvlJc w:val="left"/>
      <w:pPr>
        <w:ind w:left="6480" w:hanging="360"/>
      </w:pPr>
      <w:rPr>
        <w:rFonts w:ascii="Wingdings" w:hAnsi="Wingdings" w:hint="default"/>
      </w:rPr>
    </w:lvl>
  </w:abstractNum>
  <w:abstractNum w:abstractNumId="19" w15:restartNumberingAfterBreak="0">
    <w:nsid w:val="4874518A"/>
    <w:multiLevelType w:val="hybridMultilevel"/>
    <w:tmpl w:val="4D5AC3D8"/>
    <w:lvl w:ilvl="0" w:tplc="BE380B14">
      <w:start w:val="1"/>
      <w:numFmt w:val="bullet"/>
      <w:pStyle w:val="Tablelist"/>
      <w:lvlText w:val=""/>
      <w:lvlJc w:val="left"/>
      <w:pPr>
        <w:ind w:left="-708" w:hanging="360"/>
      </w:pPr>
      <w:rPr>
        <w:rFonts w:ascii="Symbol" w:hAnsi="Symbol"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20" w15:restartNumberingAfterBreak="0">
    <w:nsid w:val="4A235661"/>
    <w:multiLevelType w:val="hybridMultilevel"/>
    <w:tmpl w:val="190C34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D7F504B"/>
    <w:multiLevelType w:val="multilevel"/>
    <w:tmpl w:val="5BB222A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3" w:hanging="720"/>
      </w:pPr>
      <w:rPr>
        <w:rFonts w:hint="default"/>
        <w:i w:val="0"/>
        <w:iCs w:val="0"/>
      </w:rPr>
    </w:lvl>
    <w:lvl w:ilvl="3">
      <w:start w:val="1"/>
      <w:numFmt w:val="decimal"/>
      <w:lvlText w:val="%1.%2.%3.%4"/>
      <w:lvlJc w:val="left"/>
      <w:pPr>
        <w:ind w:left="2016" w:hanging="936"/>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87229B"/>
    <w:multiLevelType w:val="hybridMultilevel"/>
    <w:tmpl w:val="BAB669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505B0987"/>
    <w:multiLevelType w:val="hybridMultilevel"/>
    <w:tmpl w:val="AB5EB9F4"/>
    <w:lvl w:ilvl="0" w:tplc="7C124520">
      <w:start w:val="1"/>
      <w:numFmt w:val="lowerRoman"/>
      <w:lvlText w:val="(%1)"/>
      <w:lvlJc w:val="left"/>
      <w:pPr>
        <w:ind w:left="1021" w:hanging="454"/>
      </w:pPr>
      <w:rPr>
        <w:rFonts w:hint="default"/>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4" w15:restartNumberingAfterBreak="0">
    <w:nsid w:val="52FF5A18"/>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5" w15:restartNumberingAfterBreak="0">
    <w:nsid w:val="57DB24C8"/>
    <w:multiLevelType w:val="hybridMultilevel"/>
    <w:tmpl w:val="7D28F2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B51531"/>
    <w:multiLevelType w:val="hybridMultilevel"/>
    <w:tmpl w:val="5E0080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78D5D09"/>
    <w:multiLevelType w:val="hybridMultilevel"/>
    <w:tmpl w:val="AB5EB9F4"/>
    <w:lvl w:ilvl="0" w:tplc="7C124520">
      <w:start w:val="1"/>
      <w:numFmt w:val="lowerRoman"/>
      <w:lvlText w:val="(%1)"/>
      <w:lvlJc w:val="left"/>
      <w:pPr>
        <w:ind w:left="1021" w:hanging="454"/>
      </w:pPr>
      <w:rPr>
        <w:rFonts w:hint="default"/>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8" w15:restartNumberingAfterBreak="0">
    <w:nsid w:val="6A4E01EA"/>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9" w15:restartNumberingAfterBreak="0">
    <w:nsid w:val="6D692CBE"/>
    <w:multiLevelType w:val="hybridMultilevel"/>
    <w:tmpl w:val="46FECA80"/>
    <w:lvl w:ilvl="0" w:tplc="04EE59B4">
      <w:start w:val="1"/>
      <w:numFmt w:val="decimal"/>
      <w:pStyle w:val="BodyText"/>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6D772D01"/>
    <w:multiLevelType w:val="hybridMultilevel"/>
    <w:tmpl w:val="A1AA66DC"/>
    <w:lvl w:ilvl="0" w:tplc="927E5BAC">
      <w:start w:val="1"/>
      <w:numFmt w:val="lowerRoman"/>
      <w:lvlText w:val="(%1)"/>
      <w:lvlJc w:val="left"/>
      <w:pPr>
        <w:ind w:left="1021" w:hanging="454"/>
      </w:pPr>
      <w:rPr>
        <w:rFonts w:hint="default"/>
        <w:b w:val="0"/>
        <w:bCs w:val="0"/>
        <w:i w:val="0"/>
        <w:iCs/>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num w:numId="1">
    <w:abstractNumId w:val="21"/>
  </w:num>
  <w:num w:numId="2">
    <w:abstractNumId w:val="1"/>
  </w:num>
  <w:num w:numId="3">
    <w:abstractNumId w:val="10"/>
  </w:num>
  <w:num w:numId="4">
    <w:abstractNumId w:val="9"/>
  </w:num>
  <w:num w:numId="5">
    <w:abstractNumId w:val="12"/>
  </w:num>
  <w:num w:numId="6">
    <w:abstractNumId w:val="19"/>
  </w:num>
  <w:num w:numId="7">
    <w:abstractNumId w:val="11"/>
  </w:num>
  <w:num w:numId="8">
    <w:abstractNumId w:val="29"/>
  </w:num>
  <w:num w:numId="9">
    <w:abstractNumId w:val="18"/>
  </w:num>
  <w:num w:numId="10">
    <w:abstractNumId w:val="0"/>
  </w:num>
  <w:num w:numId="11">
    <w:abstractNumId w:val="6"/>
  </w:num>
  <w:num w:numId="12">
    <w:abstractNumId w:val="13"/>
  </w:num>
  <w:num w:numId="13">
    <w:abstractNumId w:val="3"/>
  </w:num>
  <w:num w:numId="14">
    <w:abstractNumId w:val="26"/>
  </w:num>
  <w:num w:numId="15">
    <w:abstractNumId w:val="20"/>
  </w:num>
  <w:num w:numId="16">
    <w:abstractNumId w:val="25"/>
  </w:num>
  <w:num w:numId="17">
    <w:abstractNumId w:val="22"/>
  </w:num>
  <w:num w:numId="18">
    <w:abstractNumId w:val="27"/>
  </w:num>
  <w:num w:numId="19">
    <w:abstractNumId w:val="16"/>
  </w:num>
  <w:num w:numId="20">
    <w:abstractNumId w:val="23"/>
  </w:num>
  <w:num w:numId="21">
    <w:abstractNumId w:val="4"/>
  </w:num>
  <w:num w:numId="22">
    <w:abstractNumId w:val="15"/>
  </w:num>
  <w:num w:numId="23">
    <w:abstractNumId w:val="30"/>
  </w:num>
  <w:num w:numId="24">
    <w:abstractNumId w:val="24"/>
  </w:num>
  <w:num w:numId="25">
    <w:abstractNumId w:val="28"/>
  </w:num>
  <w:num w:numId="26">
    <w:abstractNumId w:val="5"/>
  </w:num>
  <w:num w:numId="27">
    <w:abstractNumId w:val="2"/>
  </w:num>
  <w:num w:numId="28">
    <w:abstractNumId w:val="17"/>
  </w:num>
  <w:num w:numId="29">
    <w:abstractNumId w:val="14"/>
  </w:num>
  <w:num w:numId="30">
    <w:abstractNumId w:val="8"/>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SG" w:vendorID="64" w:dllVersion="4096" w:nlCheck="1" w:checkStyle="0"/>
  <w:activeWritingStyle w:appName="MSWord" w:lang="en-GB" w:vendorID="64" w:dllVersion="131078" w:nlCheck="1" w:checkStyle="1"/>
  <w:activeWritingStyle w:appName="MSWord" w:lang="en-SG" w:vendorID="64" w:dllVersion="131078" w:nlCheck="1" w:checkStyle="1"/>
  <w:activeWritingStyle w:appName="MSWord" w:lang="en-US" w:vendorID="64" w:dllVersion="131078" w:nlCheck="1" w:checkStyle="1"/>
  <w:trackRevisions/>
  <w:defaultTabStop w:val="720"/>
  <w:hyphenationZone w:val="425"/>
  <w:characterSpacingControl w:val="doNotCompress"/>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NzMxMLMwtjCzNDdU0lEKTi0uzszPAykwqQUAOXoUtywAAAA="/>
  </w:docVars>
  <w:rsids>
    <w:rsidRoot w:val="00AB51AD"/>
    <w:rsid w:val="00000074"/>
    <w:rsid w:val="000001A5"/>
    <w:rsid w:val="00000E28"/>
    <w:rsid w:val="00000E95"/>
    <w:rsid w:val="00002D7C"/>
    <w:rsid w:val="000043B8"/>
    <w:rsid w:val="00004FBF"/>
    <w:rsid w:val="00007C2C"/>
    <w:rsid w:val="000101F7"/>
    <w:rsid w:val="00010918"/>
    <w:rsid w:val="00012FEA"/>
    <w:rsid w:val="00015AD1"/>
    <w:rsid w:val="00016746"/>
    <w:rsid w:val="000173C1"/>
    <w:rsid w:val="00020821"/>
    <w:rsid w:val="00020CDB"/>
    <w:rsid w:val="00021445"/>
    <w:rsid w:val="00021738"/>
    <w:rsid w:val="0002302F"/>
    <w:rsid w:val="00023DA3"/>
    <w:rsid w:val="000246D0"/>
    <w:rsid w:val="0002470D"/>
    <w:rsid w:val="00024C9C"/>
    <w:rsid w:val="00026763"/>
    <w:rsid w:val="0002781D"/>
    <w:rsid w:val="00027BCF"/>
    <w:rsid w:val="000308A3"/>
    <w:rsid w:val="00030A67"/>
    <w:rsid w:val="00030E96"/>
    <w:rsid w:val="000318B1"/>
    <w:rsid w:val="000326EE"/>
    <w:rsid w:val="000329D4"/>
    <w:rsid w:val="0003360C"/>
    <w:rsid w:val="00034E30"/>
    <w:rsid w:val="0003500D"/>
    <w:rsid w:val="000350F4"/>
    <w:rsid w:val="00036170"/>
    <w:rsid w:val="00037A4E"/>
    <w:rsid w:val="00037B6E"/>
    <w:rsid w:val="00037DC3"/>
    <w:rsid w:val="0004064C"/>
    <w:rsid w:val="00041919"/>
    <w:rsid w:val="00043407"/>
    <w:rsid w:val="00043AD1"/>
    <w:rsid w:val="000443CD"/>
    <w:rsid w:val="0004554B"/>
    <w:rsid w:val="000475CF"/>
    <w:rsid w:val="0004775B"/>
    <w:rsid w:val="00047BC2"/>
    <w:rsid w:val="00047C41"/>
    <w:rsid w:val="000504B4"/>
    <w:rsid w:val="000505CB"/>
    <w:rsid w:val="000506E0"/>
    <w:rsid w:val="000509FA"/>
    <w:rsid w:val="00050A82"/>
    <w:rsid w:val="00051F77"/>
    <w:rsid w:val="000520AB"/>
    <w:rsid w:val="0005285F"/>
    <w:rsid w:val="00052DAB"/>
    <w:rsid w:val="0005393E"/>
    <w:rsid w:val="00054AAE"/>
    <w:rsid w:val="00054F08"/>
    <w:rsid w:val="00055AD9"/>
    <w:rsid w:val="00055D5E"/>
    <w:rsid w:val="000562D9"/>
    <w:rsid w:val="00060A12"/>
    <w:rsid w:val="00060D9B"/>
    <w:rsid w:val="0006235D"/>
    <w:rsid w:val="00064188"/>
    <w:rsid w:val="00065108"/>
    <w:rsid w:val="00065931"/>
    <w:rsid w:val="00065B61"/>
    <w:rsid w:val="00065C20"/>
    <w:rsid w:val="000670EC"/>
    <w:rsid w:val="00067405"/>
    <w:rsid w:val="00070EC7"/>
    <w:rsid w:val="000726F7"/>
    <w:rsid w:val="0007294E"/>
    <w:rsid w:val="00073103"/>
    <w:rsid w:val="00073452"/>
    <w:rsid w:val="00074392"/>
    <w:rsid w:val="00074AC2"/>
    <w:rsid w:val="00074E60"/>
    <w:rsid w:val="00074F8D"/>
    <w:rsid w:val="0007628F"/>
    <w:rsid w:val="00076677"/>
    <w:rsid w:val="00076AE7"/>
    <w:rsid w:val="000773B8"/>
    <w:rsid w:val="00077449"/>
    <w:rsid w:val="00079250"/>
    <w:rsid w:val="000800FE"/>
    <w:rsid w:val="00080442"/>
    <w:rsid w:val="00080C11"/>
    <w:rsid w:val="000816F1"/>
    <w:rsid w:val="00082C6C"/>
    <w:rsid w:val="00083D0B"/>
    <w:rsid w:val="00084038"/>
    <w:rsid w:val="00084468"/>
    <w:rsid w:val="00084771"/>
    <w:rsid w:val="00084922"/>
    <w:rsid w:val="00084B15"/>
    <w:rsid w:val="00084D62"/>
    <w:rsid w:val="00084EB2"/>
    <w:rsid w:val="00085080"/>
    <w:rsid w:val="00085873"/>
    <w:rsid w:val="00085BFA"/>
    <w:rsid w:val="00086325"/>
    <w:rsid w:val="00086F32"/>
    <w:rsid w:val="00086FD1"/>
    <w:rsid w:val="000871A9"/>
    <w:rsid w:val="000876DF"/>
    <w:rsid w:val="00090965"/>
    <w:rsid w:val="000915D0"/>
    <w:rsid w:val="0009178C"/>
    <w:rsid w:val="00092423"/>
    <w:rsid w:val="00092AC2"/>
    <w:rsid w:val="00093303"/>
    <w:rsid w:val="00093625"/>
    <w:rsid w:val="00093DF2"/>
    <w:rsid w:val="00093E31"/>
    <w:rsid w:val="000948B7"/>
    <w:rsid w:val="000948DD"/>
    <w:rsid w:val="000953DF"/>
    <w:rsid w:val="00095AFD"/>
    <w:rsid w:val="00096934"/>
    <w:rsid w:val="000974CC"/>
    <w:rsid w:val="0009755E"/>
    <w:rsid w:val="00097989"/>
    <w:rsid w:val="00097A08"/>
    <w:rsid w:val="00097DF4"/>
    <w:rsid w:val="00097F88"/>
    <w:rsid w:val="000A0305"/>
    <w:rsid w:val="000A04DD"/>
    <w:rsid w:val="000A0A40"/>
    <w:rsid w:val="000A2563"/>
    <w:rsid w:val="000A34B8"/>
    <w:rsid w:val="000A4270"/>
    <w:rsid w:val="000A427F"/>
    <w:rsid w:val="000A4471"/>
    <w:rsid w:val="000A5B7A"/>
    <w:rsid w:val="000A6DC3"/>
    <w:rsid w:val="000A7A63"/>
    <w:rsid w:val="000B08F4"/>
    <w:rsid w:val="000B0CED"/>
    <w:rsid w:val="000B14F3"/>
    <w:rsid w:val="000B195F"/>
    <w:rsid w:val="000B205A"/>
    <w:rsid w:val="000B25C9"/>
    <w:rsid w:val="000B394C"/>
    <w:rsid w:val="000B3F07"/>
    <w:rsid w:val="000B427F"/>
    <w:rsid w:val="000B59DA"/>
    <w:rsid w:val="000B6630"/>
    <w:rsid w:val="000B6CA2"/>
    <w:rsid w:val="000B717C"/>
    <w:rsid w:val="000B7434"/>
    <w:rsid w:val="000B7CB4"/>
    <w:rsid w:val="000B7ED5"/>
    <w:rsid w:val="000C0F72"/>
    <w:rsid w:val="000C34EE"/>
    <w:rsid w:val="000C3F1D"/>
    <w:rsid w:val="000C42C7"/>
    <w:rsid w:val="000C60A9"/>
    <w:rsid w:val="000C7FDF"/>
    <w:rsid w:val="000D0763"/>
    <w:rsid w:val="000D1137"/>
    <w:rsid w:val="000D381F"/>
    <w:rsid w:val="000D41CE"/>
    <w:rsid w:val="000D441F"/>
    <w:rsid w:val="000D55CA"/>
    <w:rsid w:val="000D5CA2"/>
    <w:rsid w:val="000D6B7B"/>
    <w:rsid w:val="000D6C7B"/>
    <w:rsid w:val="000D6D3E"/>
    <w:rsid w:val="000D72A6"/>
    <w:rsid w:val="000E014C"/>
    <w:rsid w:val="000E02A0"/>
    <w:rsid w:val="000E02DD"/>
    <w:rsid w:val="000E07E9"/>
    <w:rsid w:val="000E1095"/>
    <w:rsid w:val="000E2334"/>
    <w:rsid w:val="000E242F"/>
    <w:rsid w:val="000E29FC"/>
    <w:rsid w:val="000E4FFA"/>
    <w:rsid w:val="000E5F6F"/>
    <w:rsid w:val="000E62C8"/>
    <w:rsid w:val="000E63AB"/>
    <w:rsid w:val="000E6A65"/>
    <w:rsid w:val="000E6AF8"/>
    <w:rsid w:val="000E7F63"/>
    <w:rsid w:val="000F13D7"/>
    <w:rsid w:val="000F21B3"/>
    <w:rsid w:val="000F3724"/>
    <w:rsid w:val="000F37B8"/>
    <w:rsid w:val="000F46A1"/>
    <w:rsid w:val="000F674E"/>
    <w:rsid w:val="000F6C62"/>
    <w:rsid w:val="000F73C8"/>
    <w:rsid w:val="000F7F1F"/>
    <w:rsid w:val="00100C5F"/>
    <w:rsid w:val="00100DED"/>
    <w:rsid w:val="00100EBA"/>
    <w:rsid w:val="00102864"/>
    <w:rsid w:val="00103159"/>
    <w:rsid w:val="0010346D"/>
    <w:rsid w:val="0010383E"/>
    <w:rsid w:val="00104A75"/>
    <w:rsid w:val="00104F16"/>
    <w:rsid w:val="001063BE"/>
    <w:rsid w:val="00106D31"/>
    <w:rsid w:val="001071D9"/>
    <w:rsid w:val="001073E2"/>
    <w:rsid w:val="0011073B"/>
    <w:rsid w:val="00110C50"/>
    <w:rsid w:val="001110D5"/>
    <w:rsid w:val="00111BC8"/>
    <w:rsid w:val="001139EC"/>
    <w:rsid w:val="00114087"/>
    <w:rsid w:val="0011483E"/>
    <w:rsid w:val="00114A3C"/>
    <w:rsid w:val="0011512D"/>
    <w:rsid w:val="0011539E"/>
    <w:rsid w:val="001160F5"/>
    <w:rsid w:val="001163FF"/>
    <w:rsid w:val="00116DB3"/>
    <w:rsid w:val="0011735E"/>
    <w:rsid w:val="00121B14"/>
    <w:rsid w:val="00123ECB"/>
    <w:rsid w:val="00124495"/>
    <w:rsid w:val="0012454E"/>
    <w:rsid w:val="0012499F"/>
    <w:rsid w:val="001249BA"/>
    <w:rsid w:val="001253C4"/>
    <w:rsid w:val="001259BD"/>
    <w:rsid w:val="00126473"/>
    <w:rsid w:val="00127EFB"/>
    <w:rsid w:val="00130061"/>
    <w:rsid w:val="001301E4"/>
    <w:rsid w:val="001309F0"/>
    <w:rsid w:val="00130A20"/>
    <w:rsid w:val="00131CE6"/>
    <w:rsid w:val="00132231"/>
    <w:rsid w:val="00135C27"/>
    <w:rsid w:val="00135EF5"/>
    <w:rsid w:val="0013703A"/>
    <w:rsid w:val="001407F2"/>
    <w:rsid w:val="0014208D"/>
    <w:rsid w:val="00142C01"/>
    <w:rsid w:val="0014309F"/>
    <w:rsid w:val="001433D8"/>
    <w:rsid w:val="001443EF"/>
    <w:rsid w:val="00145BCE"/>
    <w:rsid w:val="00146423"/>
    <w:rsid w:val="0014699F"/>
    <w:rsid w:val="00146B4C"/>
    <w:rsid w:val="00147FDB"/>
    <w:rsid w:val="001509CF"/>
    <w:rsid w:val="00151613"/>
    <w:rsid w:val="00152215"/>
    <w:rsid w:val="00152483"/>
    <w:rsid w:val="0015286C"/>
    <w:rsid w:val="00152A53"/>
    <w:rsid w:val="001558A7"/>
    <w:rsid w:val="00155A61"/>
    <w:rsid w:val="00156AB2"/>
    <w:rsid w:val="00157884"/>
    <w:rsid w:val="00157BFB"/>
    <w:rsid w:val="0016052B"/>
    <w:rsid w:val="0016186A"/>
    <w:rsid w:val="001625DA"/>
    <w:rsid w:val="00162639"/>
    <w:rsid w:val="0016339C"/>
    <w:rsid w:val="00164675"/>
    <w:rsid w:val="00166626"/>
    <w:rsid w:val="0017046D"/>
    <w:rsid w:val="001741B8"/>
    <w:rsid w:val="00177CE2"/>
    <w:rsid w:val="00177D97"/>
    <w:rsid w:val="00177DFF"/>
    <w:rsid w:val="0018004C"/>
    <w:rsid w:val="001802C2"/>
    <w:rsid w:val="001827B0"/>
    <w:rsid w:val="001832D5"/>
    <w:rsid w:val="001835EC"/>
    <w:rsid w:val="0018387C"/>
    <w:rsid w:val="00184AF4"/>
    <w:rsid w:val="001851A9"/>
    <w:rsid w:val="0018649A"/>
    <w:rsid w:val="001865D0"/>
    <w:rsid w:val="001868B7"/>
    <w:rsid w:val="0018734C"/>
    <w:rsid w:val="00187E41"/>
    <w:rsid w:val="00187F2F"/>
    <w:rsid w:val="001909E4"/>
    <w:rsid w:val="00190E9F"/>
    <w:rsid w:val="00191343"/>
    <w:rsid w:val="00191715"/>
    <w:rsid w:val="00191C00"/>
    <w:rsid w:val="00191CF5"/>
    <w:rsid w:val="00192B2A"/>
    <w:rsid w:val="0019353B"/>
    <w:rsid w:val="00193CA1"/>
    <w:rsid w:val="001941F0"/>
    <w:rsid w:val="001943AC"/>
    <w:rsid w:val="00194513"/>
    <w:rsid w:val="0019458E"/>
    <w:rsid w:val="0019515D"/>
    <w:rsid w:val="00195379"/>
    <w:rsid w:val="00195A3D"/>
    <w:rsid w:val="00197314"/>
    <w:rsid w:val="00197600"/>
    <w:rsid w:val="00197E2B"/>
    <w:rsid w:val="001A0D59"/>
    <w:rsid w:val="001A1445"/>
    <w:rsid w:val="001A32DB"/>
    <w:rsid w:val="001A45D6"/>
    <w:rsid w:val="001A46B0"/>
    <w:rsid w:val="001A5F02"/>
    <w:rsid w:val="001A6861"/>
    <w:rsid w:val="001B0950"/>
    <w:rsid w:val="001B2728"/>
    <w:rsid w:val="001B3548"/>
    <w:rsid w:val="001B3954"/>
    <w:rsid w:val="001B4879"/>
    <w:rsid w:val="001B5478"/>
    <w:rsid w:val="001B66E1"/>
    <w:rsid w:val="001B6806"/>
    <w:rsid w:val="001B6854"/>
    <w:rsid w:val="001B7810"/>
    <w:rsid w:val="001B790F"/>
    <w:rsid w:val="001C2BDB"/>
    <w:rsid w:val="001C2D79"/>
    <w:rsid w:val="001C2F7A"/>
    <w:rsid w:val="001C36F2"/>
    <w:rsid w:val="001C3A48"/>
    <w:rsid w:val="001C413A"/>
    <w:rsid w:val="001C5907"/>
    <w:rsid w:val="001C5ACB"/>
    <w:rsid w:val="001C631A"/>
    <w:rsid w:val="001C6FA6"/>
    <w:rsid w:val="001D101A"/>
    <w:rsid w:val="001D233E"/>
    <w:rsid w:val="001D23E2"/>
    <w:rsid w:val="001D2763"/>
    <w:rsid w:val="001D3F6D"/>
    <w:rsid w:val="001D40BD"/>
    <w:rsid w:val="001D4592"/>
    <w:rsid w:val="001D4695"/>
    <w:rsid w:val="001D4F09"/>
    <w:rsid w:val="001D5374"/>
    <w:rsid w:val="001D7A61"/>
    <w:rsid w:val="001D7F8A"/>
    <w:rsid w:val="001E00B2"/>
    <w:rsid w:val="001E06DA"/>
    <w:rsid w:val="001E0EB8"/>
    <w:rsid w:val="001E1AE7"/>
    <w:rsid w:val="001E24D9"/>
    <w:rsid w:val="001E342F"/>
    <w:rsid w:val="001E3449"/>
    <w:rsid w:val="001E3653"/>
    <w:rsid w:val="001E3BBC"/>
    <w:rsid w:val="001E3E5C"/>
    <w:rsid w:val="001E501F"/>
    <w:rsid w:val="001E5388"/>
    <w:rsid w:val="001E57D7"/>
    <w:rsid w:val="001E6793"/>
    <w:rsid w:val="001E73CB"/>
    <w:rsid w:val="001E7B53"/>
    <w:rsid w:val="001F09E1"/>
    <w:rsid w:val="001F1EA3"/>
    <w:rsid w:val="001F2393"/>
    <w:rsid w:val="001F244E"/>
    <w:rsid w:val="001F37D6"/>
    <w:rsid w:val="001F38AF"/>
    <w:rsid w:val="001F3F85"/>
    <w:rsid w:val="001F433C"/>
    <w:rsid w:val="001F4AC0"/>
    <w:rsid w:val="001F4C60"/>
    <w:rsid w:val="001F5B18"/>
    <w:rsid w:val="001F7057"/>
    <w:rsid w:val="001F7A57"/>
    <w:rsid w:val="00200135"/>
    <w:rsid w:val="002015C2"/>
    <w:rsid w:val="00202BDD"/>
    <w:rsid w:val="00203AB6"/>
    <w:rsid w:val="00203C22"/>
    <w:rsid w:val="00204A9A"/>
    <w:rsid w:val="00204B1C"/>
    <w:rsid w:val="002053E3"/>
    <w:rsid w:val="00205C29"/>
    <w:rsid w:val="00205C75"/>
    <w:rsid w:val="00206973"/>
    <w:rsid w:val="00206C0D"/>
    <w:rsid w:val="00206E34"/>
    <w:rsid w:val="0021078F"/>
    <w:rsid w:val="0021097E"/>
    <w:rsid w:val="00211284"/>
    <w:rsid w:val="0021141C"/>
    <w:rsid w:val="002116E1"/>
    <w:rsid w:val="00211F36"/>
    <w:rsid w:val="002126EC"/>
    <w:rsid w:val="00212C2E"/>
    <w:rsid w:val="0021399B"/>
    <w:rsid w:val="002139ED"/>
    <w:rsid w:val="00214D6D"/>
    <w:rsid w:val="00216D8A"/>
    <w:rsid w:val="00217686"/>
    <w:rsid w:val="00217EAE"/>
    <w:rsid w:val="0022371B"/>
    <w:rsid w:val="00223D6A"/>
    <w:rsid w:val="00224105"/>
    <w:rsid w:val="00224650"/>
    <w:rsid w:val="00226401"/>
    <w:rsid w:val="00226C82"/>
    <w:rsid w:val="002272B2"/>
    <w:rsid w:val="002276AF"/>
    <w:rsid w:val="00227BE4"/>
    <w:rsid w:val="00227E93"/>
    <w:rsid w:val="002302B8"/>
    <w:rsid w:val="00230826"/>
    <w:rsid w:val="00230DBB"/>
    <w:rsid w:val="0023271B"/>
    <w:rsid w:val="00234C5D"/>
    <w:rsid w:val="00235F5F"/>
    <w:rsid w:val="00236A33"/>
    <w:rsid w:val="00236B79"/>
    <w:rsid w:val="00237A2A"/>
    <w:rsid w:val="002400B8"/>
    <w:rsid w:val="002415A1"/>
    <w:rsid w:val="002436AA"/>
    <w:rsid w:val="00243CD8"/>
    <w:rsid w:val="00243E1C"/>
    <w:rsid w:val="002440C6"/>
    <w:rsid w:val="00244635"/>
    <w:rsid w:val="00245C23"/>
    <w:rsid w:val="00245C6A"/>
    <w:rsid w:val="002462A0"/>
    <w:rsid w:val="00246437"/>
    <w:rsid w:val="00246644"/>
    <w:rsid w:val="00246766"/>
    <w:rsid w:val="002467B9"/>
    <w:rsid w:val="00246D8C"/>
    <w:rsid w:val="00250490"/>
    <w:rsid w:val="002507D9"/>
    <w:rsid w:val="00251651"/>
    <w:rsid w:val="00252C50"/>
    <w:rsid w:val="00254384"/>
    <w:rsid w:val="00255FB6"/>
    <w:rsid w:val="0025659D"/>
    <w:rsid w:val="0025669A"/>
    <w:rsid w:val="0025717F"/>
    <w:rsid w:val="002574DD"/>
    <w:rsid w:val="002575BD"/>
    <w:rsid w:val="00257A51"/>
    <w:rsid w:val="00260229"/>
    <w:rsid w:val="002614B6"/>
    <w:rsid w:val="00261F48"/>
    <w:rsid w:val="0026237E"/>
    <w:rsid w:val="0026240B"/>
    <w:rsid w:val="0026252E"/>
    <w:rsid w:val="00264C5D"/>
    <w:rsid w:val="00264EE8"/>
    <w:rsid w:val="00265143"/>
    <w:rsid w:val="00265549"/>
    <w:rsid w:val="00265A4D"/>
    <w:rsid w:val="0026622A"/>
    <w:rsid w:val="00266B58"/>
    <w:rsid w:val="00267DE2"/>
    <w:rsid w:val="002706F4"/>
    <w:rsid w:val="00273690"/>
    <w:rsid w:val="002749C9"/>
    <w:rsid w:val="00275946"/>
    <w:rsid w:val="00275B36"/>
    <w:rsid w:val="002764C5"/>
    <w:rsid w:val="00277D41"/>
    <w:rsid w:val="00277F7F"/>
    <w:rsid w:val="0028083A"/>
    <w:rsid w:val="0028100C"/>
    <w:rsid w:val="00283B28"/>
    <w:rsid w:val="00284925"/>
    <w:rsid w:val="002857BC"/>
    <w:rsid w:val="002857C7"/>
    <w:rsid w:val="00286FEA"/>
    <w:rsid w:val="00287075"/>
    <w:rsid w:val="0029093E"/>
    <w:rsid w:val="00290A4C"/>
    <w:rsid w:val="0029158C"/>
    <w:rsid w:val="00291C13"/>
    <w:rsid w:val="00291F24"/>
    <w:rsid w:val="00293206"/>
    <w:rsid w:val="002935F3"/>
    <w:rsid w:val="00293D85"/>
    <w:rsid w:val="00293F79"/>
    <w:rsid w:val="002948BD"/>
    <w:rsid w:val="00294E61"/>
    <w:rsid w:val="002966FC"/>
    <w:rsid w:val="0029680F"/>
    <w:rsid w:val="002976FA"/>
    <w:rsid w:val="00297E3F"/>
    <w:rsid w:val="002A0D69"/>
    <w:rsid w:val="002A226F"/>
    <w:rsid w:val="002A2E1D"/>
    <w:rsid w:val="002A305A"/>
    <w:rsid w:val="002A364B"/>
    <w:rsid w:val="002A45F4"/>
    <w:rsid w:val="002A48B1"/>
    <w:rsid w:val="002A5202"/>
    <w:rsid w:val="002A6A92"/>
    <w:rsid w:val="002A74E3"/>
    <w:rsid w:val="002A7797"/>
    <w:rsid w:val="002B0242"/>
    <w:rsid w:val="002B05F9"/>
    <w:rsid w:val="002B1D6B"/>
    <w:rsid w:val="002B2031"/>
    <w:rsid w:val="002B309F"/>
    <w:rsid w:val="002B4057"/>
    <w:rsid w:val="002B53B6"/>
    <w:rsid w:val="002B596E"/>
    <w:rsid w:val="002B6119"/>
    <w:rsid w:val="002B7202"/>
    <w:rsid w:val="002B7C37"/>
    <w:rsid w:val="002C04C9"/>
    <w:rsid w:val="002C1351"/>
    <w:rsid w:val="002C1958"/>
    <w:rsid w:val="002C1B1D"/>
    <w:rsid w:val="002C1D60"/>
    <w:rsid w:val="002C426B"/>
    <w:rsid w:val="002C42A1"/>
    <w:rsid w:val="002C4DA6"/>
    <w:rsid w:val="002C6275"/>
    <w:rsid w:val="002C7272"/>
    <w:rsid w:val="002C7F31"/>
    <w:rsid w:val="002D0FDD"/>
    <w:rsid w:val="002D1181"/>
    <w:rsid w:val="002D1941"/>
    <w:rsid w:val="002D201A"/>
    <w:rsid w:val="002D2658"/>
    <w:rsid w:val="002D2C96"/>
    <w:rsid w:val="002D30C6"/>
    <w:rsid w:val="002D332C"/>
    <w:rsid w:val="002D40D3"/>
    <w:rsid w:val="002D44C6"/>
    <w:rsid w:val="002D4758"/>
    <w:rsid w:val="002D48C7"/>
    <w:rsid w:val="002D4FA2"/>
    <w:rsid w:val="002D6918"/>
    <w:rsid w:val="002D6C70"/>
    <w:rsid w:val="002D758A"/>
    <w:rsid w:val="002D7B2C"/>
    <w:rsid w:val="002E12EF"/>
    <w:rsid w:val="002E1674"/>
    <w:rsid w:val="002E328F"/>
    <w:rsid w:val="002E36BF"/>
    <w:rsid w:val="002E4030"/>
    <w:rsid w:val="002E4E7F"/>
    <w:rsid w:val="002E5C9A"/>
    <w:rsid w:val="002E64C5"/>
    <w:rsid w:val="002E7258"/>
    <w:rsid w:val="002E75C5"/>
    <w:rsid w:val="002E7776"/>
    <w:rsid w:val="002F05F2"/>
    <w:rsid w:val="002F0B30"/>
    <w:rsid w:val="002F108F"/>
    <w:rsid w:val="002F18B5"/>
    <w:rsid w:val="002F1B75"/>
    <w:rsid w:val="002F38EC"/>
    <w:rsid w:val="002F3BBA"/>
    <w:rsid w:val="002F3E3F"/>
    <w:rsid w:val="002F42DE"/>
    <w:rsid w:val="002F46C5"/>
    <w:rsid w:val="002F47E4"/>
    <w:rsid w:val="002F5046"/>
    <w:rsid w:val="002F519E"/>
    <w:rsid w:val="002F5BB2"/>
    <w:rsid w:val="002F65EF"/>
    <w:rsid w:val="002F67BF"/>
    <w:rsid w:val="002F755F"/>
    <w:rsid w:val="00300DF1"/>
    <w:rsid w:val="00300FB7"/>
    <w:rsid w:val="003016DF"/>
    <w:rsid w:val="003022AF"/>
    <w:rsid w:val="00302583"/>
    <w:rsid w:val="003027C7"/>
    <w:rsid w:val="00302A2D"/>
    <w:rsid w:val="00303268"/>
    <w:rsid w:val="00304074"/>
    <w:rsid w:val="0030593E"/>
    <w:rsid w:val="00305E68"/>
    <w:rsid w:val="0030645B"/>
    <w:rsid w:val="00306C5B"/>
    <w:rsid w:val="00307781"/>
    <w:rsid w:val="0030788D"/>
    <w:rsid w:val="00310753"/>
    <w:rsid w:val="003109D4"/>
    <w:rsid w:val="00310A80"/>
    <w:rsid w:val="00310E55"/>
    <w:rsid w:val="0031218F"/>
    <w:rsid w:val="00312435"/>
    <w:rsid w:val="00312C46"/>
    <w:rsid w:val="00313323"/>
    <w:rsid w:val="00313740"/>
    <w:rsid w:val="00313796"/>
    <w:rsid w:val="00313AA4"/>
    <w:rsid w:val="00315207"/>
    <w:rsid w:val="00315DD1"/>
    <w:rsid w:val="00317412"/>
    <w:rsid w:val="0032040C"/>
    <w:rsid w:val="00320A08"/>
    <w:rsid w:val="00320B8D"/>
    <w:rsid w:val="00322961"/>
    <w:rsid w:val="0032314E"/>
    <w:rsid w:val="003235C6"/>
    <w:rsid w:val="0032535D"/>
    <w:rsid w:val="003253C2"/>
    <w:rsid w:val="00325D3A"/>
    <w:rsid w:val="00327970"/>
    <w:rsid w:val="00327AF0"/>
    <w:rsid w:val="003303C6"/>
    <w:rsid w:val="00330758"/>
    <w:rsid w:val="00331B58"/>
    <w:rsid w:val="00332907"/>
    <w:rsid w:val="0033336B"/>
    <w:rsid w:val="003336B0"/>
    <w:rsid w:val="003337EA"/>
    <w:rsid w:val="00333CC5"/>
    <w:rsid w:val="00334E47"/>
    <w:rsid w:val="00336285"/>
    <w:rsid w:val="003368A6"/>
    <w:rsid w:val="00340BD9"/>
    <w:rsid w:val="00342547"/>
    <w:rsid w:val="00343525"/>
    <w:rsid w:val="00343D5A"/>
    <w:rsid w:val="003448BF"/>
    <w:rsid w:val="00344B2F"/>
    <w:rsid w:val="00347E63"/>
    <w:rsid w:val="00347F82"/>
    <w:rsid w:val="00350DCD"/>
    <w:rsid w:val="003516F0"/>
    <w:rsid w:val="00352290"/>
    <w:rsid w:val="00353077"/>
    <w:rsid w:val="0035311C"/>
    <w:rsid w:val="00353242"/>
    <w:rsid w:val="00353539"/>
    <w:rsid w:val="00353659"/>
    <w:rsid w:val="003548D2"/>
    <w:rsid w:val="00354C1C"/>
    <w:rsid w:val="00354D4D"/>
    <w:rsid w:val="00354FAA"/>
    <w:rsid w:val="00355505"/>
    <w:rsid w:val="003557FC"/>
    <w:rsid w:val="00355E43"/>
    <w:rsid w:val="003562AE"/>
    <w:rsid w:val="003563C6"/>
    <w:rsid w:val="00365DE2"/>
    <w:rsid w:val="003662B8"/>
    <w:rsid w:val="00366535"/>
    <w:rsid w:val="00366673"/>
    <w:rsid w:val="003668A1"/>
    <w:rsid w:val="003679CC"/>
    <w:rsid w:val="00367E71"/>
    <w:rsid w:val="00367FB0"/>
    <w:rsid w:val="00372623"/>
    <w:rsid w:val="00372F0F"/>
    <w:rsid w:val="00373B8F"/>
    <w:rsid w:val="00373EE0"/>
    <w:rsid w:val="00374D09"/>
    <w:rsid w:val="00375089"/>
    <w:rsid w:val="003751AD"/>
    <w:rsid w:val="003758EB"/>
    <w:rsid w:val="003758EC"/>
    <w:rsid w:val="00375982"/>
    <w:rsid w:val="00377812"/>
    <w:rsid w:val="00377A8E"/>
    <w:rsid w:val="0038062B"/>
    <w:rsid w:val="00382E2D"/>
    <w:rsid w:val="003830BD"/>
    <w:rsid w:val="0038365C"/>
    <w:rsid w:val="00384500"/>
    <w:rsid w:val="00384888"/>
    <w:rsid w:val="00386327"/>
    <w:rsid w:val="003864EA"/>
    <w:rsid w:val="00386D28"/>
    <w:rsid w:val="00386EDB"/>
    <w:rsid w:val="003871F6"/>
    <w:rsid w:val="0038726F"/>
    <w:rsid w:val="00392074"/>
    <w:rsid w:val="003929A9"/>
    <w:rsid w:val="00393697"/>
    <w:rsid w:val="00393C28"/>
    <w:rsid w:val="003945C5"/>
    <w:rsid w:val="00394C82"/>
    <w:rsid w:val="00395160"/>
    <w:rsid w:val="003957F9"/>
    <w:rsid w:val="003958D7"/>
    <w:rsid w:val="00397088"/>
    <w:rsid w:val="003971CD"/>
    <w:rsid w:val="00397887"/>
    <w:rsid w:val="003A06AD"/>
    <w:rsid w:val="003A0837"/>
    <w:rsid w:val="003A1137"/>
    <w:rsid w:val="003A2D41"/>
    <w:rsid w:val="003A2F47"/>
    <w:rsid w:val="003A325B"/>
    <w:rsid w:val="003A4092"/>
    <w:rsid w:val="003A413F"/>
    <w:rsid w:val="003A42EE"/>
    <w:rsid w:val="003A461B"/>
    <w:rsid w:val="003A5BB8"/>
    <w:rsid w:val="003A7609"/>
    <w:rsid w:val="003A7DBF"/>
    <w:rsid w:val="003A7FCD"/>
    <w:rsid w:val="003B0DAD"/>
    <w:rsid w:val="003B1134"/>
    <w:rsid w:val="003B12DE"/>
    <w:rsid w:val="003B4625"/>
    <w:rsid w:val="003B62DD"/>
    <w:rsid w:val="003B6D7F"/>
    <w:rsid w:val="003C0E62"/>
    <w:rsid w:val="003C1BEA"/>
    <w:rsid w:val="003C238E"/>
    <w:rsid w:val="003C280F"/>
    <w:rsid w:val="003C44AD"/>
    <w:rsid w:val="003C51E1"/>
    <w:rsid w:val="003C57A4"/>
    <w:rsid w:val="003C5A68"/>
    <w:rsid w:val="003C775F"/>
    <w:rsid w:val="003D0400"/>
    <w:rsid w:val="003D24CB"/>
    <w:rsid w:val="003D26C0"/>
    <w:rsid w:val="003D3177"/>
    <w:rsid w:val="003D35A4"/>
    <w:rsid w:val="003D3A5F"/>
    <w:rsid w:val="003D4D46"/>
    <w:rsid w:val="003D57A4"/>
    <w:rsid w:val="003D5CAD"/>
    <w:rsid w:val="003D619A"/>
    <w:rsid w:val="003D64DC"/>
    <w:rsid w:val="003D6C35"/>
    <w:rsid w:val="003D6D4D"/>
    <w:rsid w:val="003D6DFE"/>
    <w:rsid w:val="003D77ED"/>
    <w:rsid w:val="003D7946"/>
    <w:rsid w:val="003E07A5"/>
    <w:rsid w:val="003E22AA"/>
    <w:rsid w:val="003E2930"/>
    <w:rsid w:val="003E4298"/>
    <w:rsid w:val="003E4919"/>
    <w:rsid w:val="003E4D4D"/>
    <w:rsid w:val="003E5040"/>
    <w:rsid w:val="003E5792"/>
    <w:rsid w:val="003E5F48"/>
    <w:rsid w:val="003E6D65"/>
    <w:rsid w:val="003E7127"/>
    <w:rsid w:val="003F0675"/>
    <w:rsid w:val="003F123D"/>
    <w:rsid w:val="003F136C"/>
    <w:rsid w:val="003F4EE0"/>
    <w:rsid w:val="003F58F4"/>
    <w:rsid w:val="003F6BD0"/>
    <w:rsid w:val="003F6C29"/>
    <w:rsid w:val="0040018C"/>
    <w:rsid w:val="004011EA"/>
    <w:rsid w:val="00401391"/>
    <w:rsid w:val="00401F99"/>
    <w:rsid w:val="004021DC"/>
    <w:rsid w:val="004027BE"/>
    <w:rsid w:val="00402A34"/>
    <w:rsid w:val="00402DBD"/>
    <w:rsid w:val="00403154"/>
    <w:rsid w:val="0040319A"/>
    <w:rsid w:val="0040355B"/>
    <w:rsid w:val="004037DB"/>
    <w:rsid w:val="00403B2A"/>
    <w:rsid w:val="004042BC"/>
    <w:rsid w:val="004045EE"/>
    <w:rsid w:val="00405251"/>
    <w:rsid w:val="00405812"/>
    <w:rsid w:val="0040731C"/>
    <w:rsid w:val="004077CA"/>
    <w:rsid w:val="00407A4D"/>
    <w:rsid w:val="0041028C"/>
    <w:rsid w:val="004104B4"/>
    <w:rsid w:val="004112CF"/>
    <w:rsid w:val="004116F0"/>
    <w:rsid w:val="00411DA2"/>
    <w:rsid w:val="0041206C"/>
    <w:rsid w:val="0041276A"/>
    <w:rsid w:val="004134F8"/>
    <w:rsid w:val="004143A7"/>
    <w:rsid w:val="00414ED0"/>
    <w:rsid w:val="0041555D"/>
    <w:rsid w:val="0042054A"/>
    <w:rsid w:val="004206AE"/>
    <w:rsid w:val="004207F7"/>
    <w:rsid w:val="00421769"/>
    <w:rsid w:val="0042179B"/>
    <w:rsid w:val="004219C9"/>
    <w:rsid w:val="0042218C"/>
    <w:rsid w:val="0042280F"/>
    <w:rsid w:val="00422E92"/>
    <w:rsid w:val="00423C66"/>
    <w:rsid w:val="004243BC"/>
    <w:rsid w:val="00425096"/>
    <w:rsid w:val="004253AA"/>
    <w:rsid w:val="004253B8"/>
    <w:rsid w:val="004254A1"/>
    <w:rsid w:val="0042688A"/>
    <w:rsid w:val="004273FE"/>
    <w:rsid w:val="00427E7C"/>
    <w:rsid w:val="00427EC1"/>
    <w:rsid w:val="00431623"/>
    <w:rsid w:val="004329F1"/>
    <w:rsid w:val="00432CB1"/>
    <w:rsid w:val="00433317"/>
    <w:rsid w:val="004336EA"/>
    <w:rsid w:val="00433C01"/>
    <w:rsid w:val="00433FFE"/>
    <w:rsid w:val="00434A3D"/>
    <w:rsid w:val="00435D83"/>
    <w:rsid w:val="00435FE3"/>
    <w:rsid w:val="0044079D"/>
    <w:rsid w:val="00441DE0"/>
    <w:rsid w:val="004425EB"/>
    <w:rsid w:val="00442769"/>
    <w:rsid w:val="004442FC"/>
    <w:rsid w:val="00444CCC"/>
    <w:rsid w:val="004452AC"/>
    <w:rsid w:val="0044557C"/>
    <w:rsid w:val="004455C1"/>
    <w:rsid w:val="0044571E"/>
    <w:rsid w:val="00446C8C"/>
    <w:rsid w:val="00447E1F"/>
    <w:rsid w:val="004500D6"/>
    <w:rsid w:val="004506E4"/>
    <w:rsid w:val="00450D1C"/>
    <w:rsid w:val="004511CD"/>
    <w:rsid w:val="00452B7D"/>
    <w:rsid w:val="004538A2"/>
    <w:rsid w:val="00455774"/>
    <w:rsid w:val="00455864"/>
    <w:rsid w:val="004569BE"/>
    <w:rsid w:val="004571E7"/>
    <w:rsid w:val="004573A4"/>
    <w:rsid w:val="00457EAE"/>
    <w:rsid w:val="004603D5"/>
    <w:rsid w:val="00462026"/>
    <w:rsid w:val="0046288D"/>
    <w:rsid w:val="00462907"/>
    <w:rsid w:val="0046293B"/>
    <w:rsid w:val="00462BA2"/>
    <w:rsid w:val="0046506F"/>
    <w:rsid w:val="00467F21"/>
    <w:rsid w:val="004717B4"/>
    <w:rsid w:val="00472561"/>
    <w:rsid w:val="004730AA"/>
    <w:rsid w:val="00473163"/>
    <w:rsid w:val="00473B99"/>
    <w:rsid w:val="00474AE6"/>
    <w:rsid w:val="004752AC"/>
    <w:rsid w:val="00475EA5"/>
    <w:rsid w:val="0047612F"/>
    <w:rsid w:val="00476C22"/>
    <w:rsid w:val="00477215"/>
    <w:rsid w:val="00480DBE"/>
    <w:rsid w:val="004815D3"/>
    <w:rsid w:val="004823E8"/>
    <w:rsid w:val="00482D91"/>
    <w:rsid w:val="0048319A"/>
    <w:rsid w:val="004832DC"/>
    <w:rsid w:val="00483894"/>
    <w:rsid w:val="0048408D"/>
    <w:rsid w:val="00484527"/>
    <w:rsid w:val="00484591"/>
    <w:rsid w:val="00486CED"/>
    <w:rsid w:val="004871E8"/>
    <w:rsid w:val="004875DA"/>
    <w:rsid w:val="00490293"/>
    <w:rsid w:val="00490AC7"/>
    <w:rsid w:val="00492CA9"/>
    <w:rsid w:val="00495A04"/>
    <w:rsid w:val="00496C01"/>
    <w:rsid w:val="00496C2C"/>
    <w:rsid w:val="00497599"/>
    <w:rsid w:val="004A070B"/>
    <w:rsid w:val="004A0A83"/>
    <w:rsid w:val="004A11C2"/>
    <w:rsid w:val="004A2CAC"/>
    <w:rsid w:val="004A3471"/>
    <w:rsid w:val="004A356E"/>
    <w:rsid w:val="004A3808"/>
    <w:rsid w:val="004A38A3"/>
    <w:rsid w:val="004A3E8F"/>
    <w:rsid w:val="004A4EF1"/>
    <w:rsid w:val="004A54E6"/>
    <w:rsid w:val="004A601C"/>
    <w:rsid w:val="004A6320"/>
    <w:rsid w:val="004A67F1"/>
    <w:rsid w:val="004A69C5"/>
    <w:rsid w:val="004A6CBD"/>
    <w:rsid w:val="004A6FAD"/>
    <w:rsid w:val="004A7760"/>
    <w:rsid w:val="004B0816"/>
    <w:rsid w:val="004B1251"/>
    <w:rsid w:val="004B1288"/>
    <w:rsid w:val="004B1441"/>
    <w:rsid w:val="004B16AC"/>
    <w:rsid w:val="004B2DF0"/>
    <w:rsid w:val="004B37AF"/>
    <w:rsid w:val="004B4883"/>
    <w:rsid w:val="004B48E5"/>
    <w:rsid w:val="004B4D52"/>
    <w:rsid w:val="004B552F"/>
    <w:rsid w:val="004B559F"/>
    <w:rsid w:val="004B5A87"/>
    <w:rsid w:val="004B71EF"/>
    <w:rsid w:val="004B7E4A"/>
    <w:rsid w:val="004C12A2"/>
    <w:rsid w:val="004C1824"/>
    <w:rsid w:val="004C2B39"/>
    <w:rsid w:val="004C2C3D"/>
    <w:rsid w:val="004C2F29"/>
    <w:rsid w:val="004C40A8"/>
    <w:rsid w:val="004C4562"/>
    <w:rsid w:val="004C5000"/>
    <w:rsid w:val="004C58B9"/>
    <w:rsid w:val="004C5A76"/>
    <w:rsid w:val="004C5E7B"/>
    <w:rsid w:val="004C5F91"/>
    <w:rsid w:val="004C68E4"/>
    <w:rsid w:val="004C6E53"/>
    <w:rsid w:val="004C79F2"/>
    <w:rsid w:val="004C7B56"/>
    <w:rsid w:val="004D03EC"/>
    <w:rsid w:val="004D1B0F"/>
    <w:rsid w:val="004D2240"/>
    <w:rsid w:val="004D2972"/>
    <w:rsid w:val="004D2C88"/>
    <w:rsid w:val="004D3530"/>
    <w:rsid w:val="004D3E7C"/>
    <w:rsid w:val="004D4325"/>
    <w:rsid w:val="004D4A67"/>
    <w:rsid w:val="004D6FB2"/>
    <w:rsid w:val="004D73B8"/>
    <w:rsid w:val="004D73DC"/>
    <w:rsid w:val="004D7507"/>
    <w:rsid w:val="004D7AEA"/>
    <w:rsid w:val="004E0206"/>
    <w:rsid w:val="004E0794"/>
    <w:rsid w:val="004E113D"/>
    <w:rsid w:val="004E13E6"/>
    <w:rsid w:val="004E2E69"/>
    <w:rsid w:val="004E2E71"/>
    <w:rsid w:val="004E3CA7"/>
    <w:rsid w:val="004E3DF9"/>
    <w:rsid w:val="004E40D5"/>
    <w:rsid w:val="004E5171"/>
    <w:rsid w:val="004E55F8"/>
    <w:rsid w:val="004E6329"/>
    <w:rsid w:val="004E6EEC"/>
    <w:rsid w:val="004E71E4"/>
    <w:rsid w:val="004F098F"/>
    <w:rsid w:val="004F4225"/>
    <w:rsid w:val="004F471F"/>
    <w:rsid w:val="004F4869"/>
    <w:rsid w:val="004F4B4B"/>
    <w:rsid w:val="004F4C2F"/>
    <w:rsid w:val="004F5C27"/>
    <w:rsid w:val="004F7BC5"/>
    <w:rsid w:val="00501442"/>
    <w:rsid w:val="00501861"/>
    <w:rsid w:val="00502504"/>
    <w:rsid w:val="0050367D"/>
    <w:rsid w:val="00503690"/>
    <w:rsid w:val="00504240"/>
    <w:rsid w:val="005048B3"/>
    <w:rsid w:val="00504941"/>
    <w:rsid w:val="00504C43"/>
    <w:rsid w:val="00504D65"/>
    <w:rsid w:val="005069D8"/>
    <w:rsid w:val="00510928"/>
    <w:rsid w:val="0051232F"/>
    <w:rsid w:val="00512389"/>
    <w:rsid w:val="005125D0"/>
    <w:rsid w:val="005128B4"/>
    <w:rsid w:val="00512C06"/>
    <w:rsid w:val="00512E5A"/>
    <w:rsid w:val="00516709"/>
    <w:rsid w:val="0051722C"/>
    <w:rsid w:val="0051764F"/>
    <w:rsid w:val="0052137F"/>
    <w:rsid w:val="0052148E"/>
    <w:rsid w:val="00521DF5"/>
    <w:rsid w:val="00522B08"/>
    <w:rsid w:val="00524102"/>
    <w:rsid w:val="00524834"/>
    <w:rsid w:val="00524AB2"/>
    <w:rsid w:val="00524B60"/>
    <w:rsid w:val="00525871"/>
    <w:rsid w:val="005259BA"/>
    <w:rsid w:val="00525FC4"/>
    <w:rsid w:val="00526A1E"/>
    <w:rsid w:val="00527381"/>
    <w:rsid w:val="00527CDD"/>
    <w:rsid w:val="00530846"/>
    <w:rsid w:val="00530EDB"/>
    <w:rsid w:val="00531041"/>
    <w:rsid w:val="00531119"/>
    <w:rsid w:val="005311B8"/>
    <w:rsid w:val="0053161F"/>
    <w:rsid w:val="005318BA"/>
    <w:rsid w:val="005321F9"/>
    <w:rsid w:val="00532C3C"/>
    <w:rsid w:val="00534474"/>
    <w:rsid w:val="005356C9"/>
    <w:rsid w:val="005368D7"/>
    <w:rsid w:val="0053692E"/>
    <w:rsid w:val="00536AA7"/>
    <w:rsid w:val="005412E2"/>
    <w:rsid w:val="00541F60"/>
    <w:rsid w:val="00543658"/>
    <w:rsid w:val="00545079"/>
    <w:rsid w:val="00545CFD"/>
    <w:rsid w:val="00545E34"/>
    <w:rsid w:val="00546DC6"/>
    <w:rsid w:val="00546DEE"/>
    <w:rsid w:val="0054703C"/>
    <w:rsid w:val="00547819"/>
    <w:rsid w:val="005519BD"/>
    <w:rsid w:val="00551BC7"/>
    <w:rsid w:val="005526A5"/>
    <w:rsid w:val="00552DAF"/>
    <w:rsid w:val="00553432"/>
    <w:rsid w:val="005549DA"/>
    <w:rsid w:val="00554D9D"/>
    <w:rsid w:val="00554EA4"/>
    <w:rsid w:val="00555578"/>
    <w:rsid w:val="00556001"/>
    <w:rsid w:val="00556BE1"/>
    <w:rsid w:val="00556C44"/>
    <w:rsid w:val="005574F6"/>
    <w:rsid w:val="0055773D"/>
    <w:rsid w:val="00557EB1"/>
    <w:rsid w:val="00557FDF"/>
    <w:rsid w:val="00560955"/>
    <w:rsid w:val="005609B4"/>
    <w:rsid w:val="00562598"/>
    <w:rsid w:val="0056338D"/>
    <w:rsid w:val="005634C4"/>
    <w:rsid w:val="00564744"/>
    <w:rsid w:val="00564E51"/>
    <w:rsid w:val="00565737"/>
    <w:rsid w:val="00565C8F"/>
    <w:rsid w:val="00566A4B"/>
    <w:rsid w:val="00570094"/>
    <w:rsid w:val="005707F1"/>
    <w:rsid w:val="00570BC4"/>
    <w:rsid w:val="00571300"/>
    <w:rsid w:val="00572A2F"/>
    <w:rsid w:val="0057540D"/>
    <w:rsid w:val="005756FE"/>
    <w:rsid w:val="00575840"/>
    <w:rsid w:val="0057694A"/>
    <w:rsid w:val="00576C68"/>
    <w:rsid w:val="00576DCC"/>
    <w:rsid w:val="005779D7"/>
    <w:rsid w:val="00577A3A"/>
    <w:rsid w:val="00577EA8"/>
    <w:rsid w:val="00580F1E"/>
    <w:rsid w:val="00581ECE"/>
    <w:rsid w:val="00581FF2"/>
    <w:rsid w:val="0058266A"/>
    <w:rsid w:val="00582D65"/>
    <w:rsid w:val="00583622"/>
    <w:rsid w:val="00584615"/>
    <w:rsid w:val="00585A38"/>
    <w:rsid w:val="00585B6F"/>
    <w:rsid w:val="00586082"/>
    <w:rsid w:val="0058670D"/>
    <w:rsid w:val="0058798A"/>
    <w:rsid w:val="00587D24"/>
    <w:rsid w:val="005910B1"/>
    <w:rsid w:val="0059224D"/>
    <w:rsid w:val="00593BF5"/>
    <w:rsid w:val="00593F45"/>
    <w:rsid w:val="00594AB3"/>
    <w:rsid w:val="00596C53"/>
    <w:rsid w:val="00597FAE"/>
    <w:rsid w:val="005A01F7"/>
    <w:rsid w:val="005A0A94"/>
    <w:rsid w:val="005A123E"/>
    <w:rsid w:val="005A1ED4"/>
    <w:rsid w:val="005A2223"/>
    <w:rsid w:val="005A26BE"/>
    <w:rsid w:val="005A3E48"/>
    <w:rsid w:val="005A3EAE"/>
    <w:rsid w:val="005A48FA"/>
    <w:rsid w:val="005A4C1C"/>
    <w:rsid w:val="005A5984"/>
    <w:rsid w:val="005A6620"/>
    <w:rsid w:val="005B2491"/>
    <w:rsid w:val="005B3D47"/>
    <w:rsid w:val="005B4EDF"/>
    <w:rsid w:val="005B514C"/>
    <w:rsid w:val="005B5368"/>
    <w:rsid w:val="005B5457"/>
    <w:rsid w:val="005B5FFD"/>
    <w:rsid w:val="005B7681"/>
    <w:rsid w:val="005B78C4"/>
    <w:rsid w:val="005C04AF"/>
    <w:rsid w:val="005C1045"/>
    <w:rsid w:val="005C1834"/>
    <w:rsid w:val="005C1D19"/>
    <w:rsid w:val="005C3724"/>
    <w:rsid w:val="005C504A"/>
    <w:rsid w:val="005C6427"/>
    <w:rsid w:val="005C77E7"/>
    <w:rsid w:val="005D0A56"/>
    <w:rsid w:val="005D1CE1"/>
    <w:rsid w:val="005D1E16"/>
    <w:rsid w:val="005D26F6"/>
    <w:rsid w:val="005D2C76"/>
    <w:rsid w:val="005D4C33"/>
    <w:rsid w:val="005D501E"/>
    <w:rsid w:val="005D63C8"/>
    <w:rsid w:val="005D6879"/>
    <w:rsid w:val="005D70DF"/>
    <w:rsid w:val="005E0985"/>
    <w:rsid w:val="005E10E6"/>
    <w:rsid w:val="005E1438"/>
    <w:rsid w:val="005E1BBF"/>
    <w:rsid w:val="005E1ECA"/>
    <w:rsid w:val="005E2430"/>
    <w:rsid w:val="005E3A18"/>
    <w:rsid w:val="005E3D8D"/>
    <w:rsid w:val="005E4B77"/>
    <w:rsid w:val="005E530A"/>
    <w:rsid w:val="005E5B30"/>
    <w:rsid w:val="005E732D"/>
    <w:rsid w:val="005E76ED"/>
    <w:rsid w:val="005F06BB"/>
    <w:rsid w:val="005F0F17"/>
    <w:rsid w:val="005F3361"/>
    <w:rsid w:val="005F3364"/>
    <w:rsid w:val="005F38E5"/>
    <w:rsid w:val="005F3C18"/>
    <w:rsid w:val="005F4075"/>
    <w:rsid w:val="005F4B16"/>
    <w:rsid w:val="005F4BBA"/>
    <w:rsid w:val="005F569D"/>
    <w:rsid w:val="005F6FA7"/>
    <w:rsid w:val="005F73F2"/>
    <w:rsid w:val="005F7FDF"/>
    <w:rsid w:val="006020DF"/>
    <w:rsid w:val="00602533"/>
    <w:rsid w:val="00604618"/>
    <w:rsid w:val="00604F53"/>
    <w:rsid w:val="006052B6"/>
    <w:rsid w:val="006055D7"/>
    <w:rsid w:val="00605AEE"/>
    <w:rsid w:val="00606925"/>
    <w:rsid w:val="00607155"/>
    <w:rsid w:val="0061155A"/>
    <w:rsid w:val="006136D0"/>
    <w:rsid w:val="006137CC"/>
    <w:rsid w:val="00614670"/>
    <w:rsid w:val="006153EF"/>
    <w:rsid w:val="0061662D"/>
    <w:rsid w:val="006174FC"/>
    <w:rsid w:val="00620578"/>
    <w:rsid w:val="0062213B"/>
    <w:rsid w:val="00622734"/>
    <w:rsid w:val="00623589"/>
    <w:rsid w:val="00623B08"/>
    <w:rsid w:val="00624080"/>
    <w:rsid w:val="00624B4E"/>
    <w:rsid w:val="0062632D"/>
    <w:rsid w:val="00627C1D"/>
    <w:rsid w:val="00630209"/>
    <w:rsid w:val="0063042B"/>
    <w:rsid w:val="006306B2"/>
    <w:rsid w:val="006315F2"/>
    <w:rsid w:val="00633A34"/>
    <w:rsid w:val="00633B94"/>
    <w:rsid w:val="0063410A"/>
    <w:rsid w:val="00634248"/>
    <w:rsid w:val="00634666"/>
    <w:rsid w:val="00634F20"/>
    <w:rsid w:val="006358DE"/>
    <w:rsid w:val="00635A4F"/>
    <w:rsid w:val="00635A8B"/>
    <w:rsid w:val="006365C0"/>
    <w:rsid w:val="00637B08"/>
    <w:rsid w:val="00637EF2"/>
    <w:rsid w:val="00640924"/>
    <w:rsid w:val="00640C8C"/>
    <w:rsid w:val="00641DFE"/>
    <w:rsid w:val="00642370"/>
    <w:rsid w:val="00642E73"/>
    <w:rsid w:val="00643586"/>
    <w:rsid w:val="00643919"/>
    <w:rsid w:val="00645459"/>
    <w:rsid w:val="00645BD3"/>
    <w:rsid w:val="00646909"/>
    <w:rsid w:val="00646D32"/>
    <w:rsid w:val="00647C8F"/>
    <w:rsid w:val="00647D5B"/>
    <w:rsid w:val="006500EC"/>
    <w:rsid w:val="00650680"/>
    <w:rsid w:val="00650CC1"/>
    <w:rsid w:val="00651163"/>
    <w:rsid w:val="006515BA"/>
    <w:rsid w:val="00651896"/>
    <w:rsid w:val="006519C6"/>
    <w:rsid w:val="00652267"/>
    <w:rsid w:val="0065269B"/>
    <w:rsid w:val="0065328D"/>
    <w:rsid w:val="00653FB0"/>
    <w:rsid w:val="00654A40"/>
    <w:rsid w:val="00655768"/>
    <w:rsid w:val="00655E30"/>
    <w:rsid w:val="00656201"/>
    <w:rsid w:val="006568A9"/>
    <w:rsid w:val="00656DDD"/>
    <w:rsid w:val="00657098"/>
    <w:rsid w:val="0065748B"/>
    <w:rsid w:val="006575A9"/>
    <w:rsid w:val="0065763C"/>
    <w:rsid w:val="00662095"/>
    <w:rsid w:val="0066475E"/>
    <w:rsid w:val="00664A74"/>
    <w:rsid w:val="006661DE"/>
    <w:rsid w:val="0066662E"/>
    <w:rsid w:val="00666B27"/>
    <w:rsid w:val="006674A1"/>
    <w:rsid w:val="00667BF7"/>
    <w:rsid w:val="00667E41"/>
    <w:rsid w:val="006712F4"/>
    <w:rsid w:val="00671789"/>
    <w:rsid w:val="00671CE3"/>
    <w:rsid w:val="00672A24"/>
    <w:rsid w:val="00674A97"/>
    <w:rsid w:val="00675798"/>
    <w:rsid w:val="00675AD8"/>
    <w:rsid w:val="00676D43"/>
    <w:rsid w:val="00677BF4"/>
    <w:rsid w:val="00680D64"/>
    <w:rsid w:val="00681B45"/>
    <w:rsid w:val="00682B08"/>
    <w:rsid w:val="00683A31"/>
    <w:rsid w:val="006852CD"/>
    <w:rsid w:val="00685CB6"/>
    <w:rsid w:val="00685CDE"/>
    <w:rsid w:val="00687718"/>
    <w:rsid w:val="00687A88"/>
    <w:rsid w:val="00690702"/>
    <w:rsid w:val="006907BE"/>
    <w:rsid w:val="00691EB0"/>
    <w:rsid w:val="00692650"/>
    <w:rsid w:val="00692A25"/>
    <w:rsid w:val="00692CF0"/>
    <w:rsid w:val="00693110"/>
    <w:rsid w:val="0069431F"/>
    <w:rsid w:val="00694C84"/>
    <w:rsid w:val="0069503E"/>
    <w:rsid w:val="00695934"/>
    <w:rsid w:val="00695E95"/>
    <w:rsid w:val="00697A16"/>
    <w:rsid w:val="00697C48"/>
    <w:rsid w:val="006A1A30"/>
    <w:rsid w:val="006A246A"/>
    <w:rsid w:val="006A3123"/>
    <w:rsid w:val="006A4817"/>
    <w:rsid w:val="006A57B5"/>
    <w:rsid w:val="006A5D0A"/>
    <w:rsid w:val="006A5E39"/>
    <w:rsid w:val="006A5E3C"/>
    <w:rsid w:val="006A61E7"/>
    <w:rsid w:val="006B0400"/>
    <w:rsid w:val="006B0621"/>
    <w:rsid w:val="006B1787"/>
    <w:rsid w:val="006B22DE"/>
    <w:rsid w:val="006B268E"/>
    <w:rsid w:val="006B2A8C"/>
    <w:rsid w:val="006B2A8F"/>
    <w:rsid w:val="006B32D8"/>
    <w:rsid w:val="006B40CB"/>
    <w:rsid w:val="006B42F4"/>
    <w:rsid w:val="006B49F2"/>
    <w:rsid w:val="006B5273"/>
    <w:rsid w:val="006B7011"/>
    <w:rsid w:val="006C07B6"/>
    <w:rsid w:val="006C0A01"/>
    <w:rsid w:val="006C0C84"/>
    <w:rsid w:val="006C137E"/>
    <w:rsid w:val="006C14D9"/>
    <w:rsid w:val="006C2B29"/>
    <w:rsid w:val="006C64E0"/>
    <w:rsid w:val="006C69AE"/>
    <w:rsid w:val="006C6B53"/>
    <w:rsid w:val="006C7D68"/>
    <w:rsid w:val="006D0078"/>
    <w:rsid w:val="006D0550"/>
    <w:rsid w:val="006D0619"/>
    <w:rsid w:val="006D0935"/>
    <w:rsid w:val="006D1324"/>
    <w:rsid w:val="006D13D3"/>
    <w:rsid w:val="006D23D5"/>
    <w:rsid w:val="006D2405"/>
    <w:rsid w:val="006D3113"/>
    <w:rsid w:val="006D330A"/>
    <w:rsid w:val="006D36A8"/>
    <w:rsid w:val="006D41A6"/>
    <w:rsid w:val="006D4234"/>
    <w:rsid w:val="006D4502"/>
    <w:rsid w:val="006D4571"/>
    <w:rsid w:val="006D4DD8"/>
    <w:rsid w:val="006D518F"/>
    <w:rsid w:val="006D53A9"/>
    <w:rsid w:val="006D6688"/>
    <w:rsid w:val="006D66F3"/>
    <w:rsid w:val="006D684D"/>
    <w:rsid w:val="006D694F"/>
    <w:rsid w:val="006D715B"/>
    <w:rsid w:val="006D7183"/>
    <w:rsid w:val="006D7D96"/>
    <w:rsid w:val="006E079E"/>
    <w:rsid w:val="006E16FA"/>
    <w:rsid w:val="006E1802"/>
    <w:rsid w:val="006E1F7B"/>
    <w:rsid w:val="006E2659"/>
    <w:rsid w:val="006E393D"/>
    <w:rsid w:val="006E40E5"/>
    <w:rsid w:val="006E4C51"/>
    <w:rsid w:val="006E4CBA"/>
    <w:rsid w:val="006E57F0"/>
    <w:rsid w:val="006E5881"/>
    <w:rsid w:val="006E7116"/>
    <w:rsid w:val="006E7410"/>
    <w:rsid w:val="006E772D"/>
    <w:rsid w:val="006F0077"/>
    <w:rsid w:val="006F1444"/>
    <w:rsid w:val="006F24F7"/>
    <w:rsid w:val="006F2C60"/>
    <w:rsid w:val="006F2E83"/>
    <w:rsid w:val="006F469E"/>
    <w:rsid w:val="006F5CE1"/>
    <w:rsid w:val="006F5DB1"/>
    <w:rsid w:val="006F669A"/>
    <w:rsid w:val="006F739F"/>
    <w:rsid w:val="006F7550"/>
    <w:rsid w:val="006F7F37"/>
    <w:rsid w:val="0070055D"/>
    <w:rsid w:val="00700BCC"/>
    <w:rsid w:val="007010B9"/>
    <w:rsid w:val="007014C3"/>
    <w:rsid w:val="00702689"/>
    <w:rsid w:val="00702D23"/>
    <w:rsid w:val="007044C9"/>
    <w:rsid w:val="0070512E"/>
    <w:rsid w:val="0070528A"/>
    <w:rsid w:val="00705559"/>
    <w:rsid w:val="007059AE"/>
    <w:rsid w:val="00707034"/>
    <w:rsid w:val="00707A09"/>
    <w:rsid w:val="00710AF9"/>
    <w:rsid w:val="00711766"/>
    <w:rsid w:val="007135C8"/>
    <w:rsid w:val="00713E18"/>
    <w:rsid w:val="0071499D"/>
    <w:rsid w:val="007151D6"/>
    <w:rsid w:val="00717E18"/>
    <w:rsid w:val="007225AA"/>
    <w:rsid w:val="007234C7"/>
    <w:rsid w:val="0072407F"/>
    <w:rsid w:val="00724286"/>
    <w:rsid w:val="00724A7F"/>
    <w:rsid w:val="00724DC3"/>
    <w:rsid w:val="0072604F"/>
    <w:rsid w:val="00727DAB"/>
    <w:rsid w:val="0073060A"/>
    <w:rsid w:val="00730AF6"/>
    <w:rsid w:val="00730BAC"/>
    <w:rsid w:val="0073197C"/>
    <w:rsid w:val="00731DDC"/>
    <w:rsid w:val="00732328"/>
    <w:rsid w:val="00732451"/>
    <w:rsid w:val="00733176"/>
    <w:rsid w:val="00737772"/>
    <w:rsid w:val="00740BDE"/>
    <w:rsid w:val="00742586"/>
    <w:rsid w:val="00742763"/>
    <w:rsid w:val="007428DA"/>
    <w:rsid w:val="00742F77"/>
    <w:rsid w:val="007433A8"/>
    <w:rsid w:val="00743B13"/>
    <w:rsid w:val="007440E1"/>
    <w:rsid w:val="007441B7"/>
    <w:rsid w:val="007442D1"/>
    <w:rsid w:val="00744448"/>
    <w:rsid w:val="00745809"/>
    <w:rsid w:val="00745D84"/>
    <w:rsid w:val="00746E71"/>
    <w:rsid w:val="007479B7"/>
    <w:rsid w:val="00747CC5"/>
    <w:rsid w:val="00747D36"/>
    <w:rsid w:val="00750330"/>
    <w:rsid w:val="00750B8B"/>
    <w:rsid w:val="00750C4E"/>
    <w:rsid w:val="007531A2"/>
    <w:rsid w:val="00753CBC"/>
    <w:rsid w:val="00753DDF"/>
    <w:rsid w:val="00754658"/>
    <w:rsid w:val="007548AC"/>
    <w:rsid w:val="00754E54"/>
    <w:rsid w:val="00755312"/>
    <w:rsid w:val="00756AAE"/>
    <w:rsid w:val="00757778"/>
    <w:rsid w:val="0075792E"/>
    <w:rsid w:val="007579F6"/>
    <w:rsid w:val="0076057B"/>
    <w:rsid w:val="00761439"/>
    <w:rsid w:val="0076186C"/>
    <w:rsid w:val="00761C81"/>
    <w:rsid w:val="007622C3"/>
    <w:rsid w:val="00762608"/>
    <w:rsid w:val="007628B5"/>
    <w:rsid w:val="00764C10"/>
    <w:rsid w:val="0076506A"/>
    <w:rsid w:val="007655BC"/>
    <w:rsid w:val="00765898"/>
    <w:rsid w:val="00765DF0"/>
    <w:rsid w:val="00766679"/>
    <w:rsid w:val="00766F4E"/>
    <w:rsid w:val="00767171"/>
    <w:rsid w:val="007678EF"/>
    <w:rsid w:val="00770F4A"/>
    <w:rsid w:val="00771091"/>
    <w:rsid w:val="007714D9"/>
    <w:rsid w:val="007717AE"/>
    <w:rsid w:val="00771870"/>
    <w:rsid w:val="00772D3D"/>
    <w:rsid w:val="00773056"/>
    <w:rsid w:val="00773ADE"/>
    <w:rsid w:val="00774C8A"/>
    <w:rsid w:val="007752B7"/>
    <w:rsid w:val="007755B7"/>
    <w:rsid w:val="007760FA"/>
    <w:rsid w:val="00776390"/>
    <w:rsid w:val="00776937"/>
    <w:rsid w:val="00776CFE"/>
    <w:rsid w:val="0077747F"/>
    <w:rsid w:val="00780221"/>
    <w:rsid w:val="00780F6F"/>
    <w:rsid w:val="00781128"/>
    <w:rsid w:val="0078170E"/>
    <w:rsid w:val="00781D5E"/>
    <w:rsid w:val="00781D9B"/>
    <w:rsid w:val="00781F09"/>
    <w:rsid w:val="007822B9"/>
    <w:rsid w:val="007828FE"/>
    <w:rsid w:val="00783277"/>
    <w:rsid w:val="007832D6"/>
    <w:rsid w:val="00783A94"/>
    <w:rsid w:val="007856DE"/>
    <w:rsid w:val="00785767"/>
    <w:rsid w:val="00786C21"/>
    <w:rsid w:val="00786CF6"/>
    <w:rsid w:val="00786F4B"/>
    <w:rsid w:val="00787346"/>
    <w:rsid w:val="00787D88"/>
    <w:rsid w:val="0079052B"/>
    <w:rsid w:val="0079071C"/>
    <w:rsid w:val="00791619"/>
    <w:rsid w:val="00792130"/>
    <w:rsid w:val="007921C5"/>
    <w:rsid w:val="00792943"/>
    <w:rsid w:val="00793575"/>
    <w:rsid w:val="0079388E"/>
    <w:rsid w:val="007943C8"/>
    <w:rsid w:val="00795803"/>
    <w:rsid w:val="0079596D"/>
    <w:rsid w:val="00795F1C"/>
    <w:rsid w:val="0079682B"/>
    <w:rsid w:val="00797D05"/>
    <w:rsid w:val="007A055B"/>
    <w:rsid w:val="007A0AC6"/>
    <w:rsid w:val="007A0B81"/>
    <w:rsid w:val="007A104A"/>
    <w:rsid w:val="007A2ADC"/>
    <w:rsid w:val="007A3468"/>
    <w:rsid w:val="007A6084"/>
    <w:rsid w:val="007A6A14"/>
    <w:rsid w:val="007A6E87"/>
    <w:rsid w:val="007A7269"/>
    <w:rsid w:val="007B0074"/>
    <w:rsid w:val="007B034A"/>
    <w:rsid w:val="007B1109"/>
    <w:rsid w:val="007B13E8"/>
    <w:rsid w:val="007B17FD"/>
    <w:rsid w:val="007B1A8B"/>
    <w:rsid w:val="007B424F"/>
    <w:rsid w:val="007B479A"/>
    <w:rsid w:val="007B4892"/>
    <w:rsid w:val="007B4905"/>
    <w:rsid w:val="007B5A5E"/>
    <w:rsid w:val="007B5B4C"/>
    <w:rsid w:val="007B69DB"/>
    <w:rsid w:val="007B6B18"/>
    <w:rsid w:val="007B75F9"/>
    <w:rsid w:val="007C0781"/>
    <w:rsid w:val="007C09F2"/>
    <w:rsid w:val="007C1A1C"/>
    <w:rsid w:val="007C208B"/>
    <w:rsid w:val="007C2639"/>
    <w:rsid w:val="007C3AB8"/>
    <w:rsid w:val="007C4AF5"/>
    <w:rsid w:val="007C6C75"/>
    <w:rsid w:val="007C6C9E"/>
    <w:rsid w:val="007C7DBF"/>
    <w:rsid w:val="007C7EB5"/>
    <w:rsid w:val="007D16A0"/>
    <w:rsid w:val="007D20B8"/>
    <w:rsid w:val="007D2B41"/>
    <w:rsid w:val="007D2C00"/>
    <w:rsid w:val="007D2C21"/>
    <w:rsid w:val="007D2DB3"/>
    <w:rsid w:val="007D353C"/>
    <w:rsid w:val="007D3B1E"/>
    <w:rsid w:val="007D407D"/>
    <w:rsid w:val="007D52FC"/>
    <w:rsid w:val="007D628D"/>
    <w:rsid w:val="007D70BD"/>
    <w:rsid w:val="007E13C3"/>
    <w:rsid w:val="007E1747"/>
    <w:rsid w:val="007E1AC0"/>
    <w:rsid w:val="007E1E21"/>
    <w:rsid w:val="007E1FEA"/>
    <w:rsid w:val="007E32AA"/>
    <w:rsid w:val="007E342B"/>
    <w:rsid w:val="007E34AF"/>
    <w:rsid w:val="007E36FD"/>
    <w:rsid w:val="007E5181"/>
    <w:rsid w:val="007E6191"/>
    <w:rsid w:val="007E7039"/>
    <w:rsid w:val="007E7E31"/>
    <w:rsid w:val="007E7EBA"/>
    <w:rsid w:val="007F04AF"/>
    <w:rsid w:val="007F0BBA"/>
    <w:rsid w:val="007F0C2B"/>
    <w:rsid w:val="007F0EFA"/>
    <w:rsid w:val="007F21B6"/>
    <w:rsid w:val="007F24B4"/>
    <w:rsid w:val="007F2D82"/>
    <w:rsid w:val="007F3B3A"/>
    <w:rsid w:val="007F448F"/>
    <w:rsid w:val="007F4C77"/>
    <w:rsid w:val="007F5060"/>
    <w:rsid w:val="007F51D3"/>
    <w:rsid w:val="007F5945"/>
    <w:rsid w:val="007F7C72"/>
    <w:rsid w:val="00800A82"/>
    <w:rsid w:val="00801081"/>
    <w:rsid w:val="0080115D"/>
    <w:rsid w:val="008024B8"/>
    <w:rsid w:val="00803FB7"/>
    <w:rsid w:val="0080412E"/>
    <w:rsid w:val="00804A64"/>
    <w:rsid w:val="0080567A"/>
    <w:rsid w:val="00806648"/>
    <w:rsid w:val="00806887"/>
    <w:rsid w:val="00810EE7"/>
    <w:rsid w:val="00812272"/>
    <w:rsid w:val="008124D6"/>
    <w:rsid w:val="00812EE7"/>
    <w:rsid w:val="0081465C"/>
    <w:rsid w:val="0081473F"/>
    <w:rsid w:val="0081494E"/>
    <w:rsid w:val="008149DD"/>
    <w:rsid w:val="0081526D"/>
    <w:rsid w:val="0081544B"/>
    <w:rsid w:val="0081553D"/>
    <w:rsid w:val="00817138"/>
    <w:rsid w:val="008178AB"/>
    <w:rsid w:val="00821BC3"/>
    <w:rsid w:val="00821DE5"/>
    <w:rsid w:val="00822B5D"/>
    <w:rsid w:val="00824AD8"/>
    <w:rsid w:val="008253A8"/>
    <w:rsid w:val="008256EB"/>
    <w:rsid w:val="008267F1"/>
    <w:rsid w:val="00826FDA"/>
    <w:rsid w:val="00830241"/>
    <w:rsid w:val="00832B23"/>
    <w:rsid w:val="00834EDD"/>
    <w:rsid w:val="00835516"/>
    <w:rsid w:val="0083606E"/>
    <w:rsid w:val="00837DC1"/>
    <w:rsid w:val="00840389"/>
    <w:rsid w:val="008416F0"/>
    <w:rsid w:val="00842252"/>
    <w:rsid w:val="00842782"/>
    <w:rsid w:val="00842BE4"/>
    <w:rsid w:val="008431C5"/>
    <w:rsid w:val="008434C4"/>
    <w:rsid w:val="008434E0"/>
    <w:rsid w:val="00843B33"/>
    <w:rsid w:val="0084486C"/>
    <w:rsid w:val="0084507A"/>
    <w:rsid w:val="008452FA"/>
    <w:rsid w:val="008466EA"/>
    <w:rsid w:val="00847B91"/>
    <w:rsid w:val="00850223"/>
    <w:rsid w:val="00851B73"/>
    <w:rsid w:val="00851D3C"/>
    <w:rsid w:val="00851D7B"/>
    <w:rsid w:val="00851F15"/>
    <w:rsid w:val="00852562"/>
    <w:rsid w:val="008528D5"/>
    <w:rsid w:val="00852BD3"/>
    <w:rsid w:val="00853017"/>
    <w:rsid w:val="0085324C"/>
    <w:rsid w:val="00853F63"/>
    <w:rsid w:val="00854FD1"/>
    <w:rsid w:val="00855576"/>
    <w:rsid w:val="0085604C"/>
    <w:rsid w:val="0085704F"/>
    <w:rsid w:val="0085D995"/>
    <w:rsid w:val="008610B3"/>
    <w:rsid w:val="008612EC"/>
    <w:rsid w:val="00861925"/>
    <w:rsid w:val="00862152"/>
    <w:rsid w:val="0086251A"/>
    <w:rsid w:val="00862C4F"/>
    <w:rsid w:val="00864960"/>
    <w:rsid w:val="00864CEE"/>
    <w:rsid w:val="008655F3"/>
    <w:rsid w:val="008656BF"/>
    <w:rsid w:val="00865974"/>
    <w:rsid w:val="0086776A"/>
    <w:rsid w:val="00867798"/>
    <w:rsid w:val="0087080C"/>
    <w:rsid w:val="0087122B"/>
    <w:rsid w:val="00873F52"/>
    <w:rsid w:val="00874237"/>
    <w:rsid w:val="00874572"/>
    <w:rsid w:val="00875B52"/>
    <w:rsid w:val="008760A8"/>
    <w:rsid w:val="00877C13"/>
    <w:rsid w:val="0088005D"/>
    <w:rsid w:val="008803DD"/>
    <w:rsid w:val="008815FA"/>
    <w:rsid w:val="008818AD"/>
    <w:rsid w:val="008818ED"/>
    <w:rsid w:val="00882E8A"/>
    <w:rsid w:val="008841A2"/>
    <w:rsid w:val="00884A5F"/>
    <w:rsid w:val="00884BE4"/>
    <w:rsid w:val="00884C3A"/>
    <w:rsid w:val="00884D8C"/>
    <w:rsid w:val="00884EEC"/>
    <w:rsid w:val="0088500B"/>
    <w:rsid w:val="00886D77"/>
    <w:rsid w:val="00887080"/>
    <w:rsid w:val="008907DE"/>
    <w:rsid w:val="00890AF5"/>
    <w:rsid w:val="00890B88"/>
    <w:rsid w:val="00890CD5"/>
    <w:rsid w:val="00892038"/>
    <w:rsid w:val="00892867"/>
    <w:rsid w:val="00893273"/>
    <w:rsid w:val="008932B9"/>
    <w:rsid w:val="008935CB"/>
    <w:rsid w:val="00893C02"/>
    <w:rsid w:val="00894794"/>
    <w:rsid w:val="00894C15"/>
    <w:rsid w:val="00895806"/>
    <w:rsid w:val="008959D3"/>
    <w:rsid w:val="00895F42"/>
    <w:rsid w:val="00897011"/>
    <w:rsid w:val="008A0100"/>
    <w:rsid w:val="008A186B"/>
    <w:rsid w:val="008A1CC9"/>
    <w:rsid w:val="008A209D"/>
    <w:rsid w:val="008A3B4E"/>
    <w:rsid w:val="008A41AC"/>
    <w:rsid w:val="008A43A8"/>
    <w:rsid w:val="008A4C08"/>
    <w:rsid w:val="008A67A9"/>
    <w:rsid w:val="008B1592"/>
    <w:rsid w:val="008B179C"/>
    <w:rsid w:val="008B2B94"/>
    <w:rsid w:val="008B4A35"/>
    <w:rsid w:val="008B4CEA"/>
    <w:rsid w:val="008B617E"/>
    <w:rsid w:val="008B6330"/>
    <w:rsid w:val="008B7F95"/>
    <w:rsid w:val="008C0964"/>
    <w:rsid w:val="008C1241"/>
    <w:rsid w:val="008C139B"/>
    <w:rsid w:val="008C24CD"/>
    <w:rsid w:val="008C3143"/>
    <w:rsid w:val="008C35E6"/>
    <w:rsid w:val="008C471A"/>
    <w:rsid w:val="008C67A5"/>
    <w:rsid w:val="008C6F86"/>
    <w:rsid w:val="008D0BCF"/>
    <w:rsid w:val="008D0C1A"/>
    <w:rsid w:val="008D15BA"/>
    <w:rsid w:val="008D17EE"/>
    <w:rsid w:val="008D1F7B"/>
    <w:rsid w:val="008D30B4"/>
    <w:rsid w:val="008D399E"/>
    <w:rsid w:val="008D39AE"/>
    <w:rsid w:val="008D3D02"/>
    <w:rsid w:val="008D4724"/>
    <w:rsid w:val="008D4EA7"/>
    <w:rsid w:val="008D5635"/>
    <w:rsid w:val="008D5D02"/>
    <w:rsid w:val="008D7872"/>
    <w:rsid w:val="008D79EB"/>
    <w:rsid w:val="008D7C67"/>
    <w:rsid w:val="008E0E4D"/>
    <w:rsid w:val="008E159A"/>
    <w:rsid w:val="008E1C89"/>
    <w:rsid w:val="008E3FC3"/>
    <w:rsid w:val="008E4B61"/>
    <w:rsid w:val="008E4CB7"/>
    <w:rsid w:val="008E4E28"/>
    <w:rsid w:val="008E5A15"/>
    <w:rsid w:val="008E6758"/>
    <w:rsid w:val="008E7043"/>
    <w:rsid w:val="008E7617"/>
    <w:rsid w:val="008E7801"/>
    <w:rsid w:val="008F0518"/>
    <w:rsid w:val="008F06A6"/>
    <w:rsid w:val="008F1C52"/>
    <w:rsid w:val="008F3104"/>
    <w:rsid w:val="008F4184"/>
    <w:rsid w:val="008F436A"/>
    <w:rsid w:val="008F47BB"/>
    <w:rsid w:val="008F7022"/>
    <w:rsid w:val="008F7238"/>
    <w:rsid w:val="008F772C"/>
    <w:rsid w:val="008F7857"/>
    <w:rsid w:val="0090202B"/>
    <w:rsid w:val="009021B7"/>
    <w:rsid w:val="00902D95"/>
    <w:rsid w:val="0090311F"/>
    <w:rsid w:val="00903704"/>
    <w:rsid w:val="00903811"/>
    <w:rsid w:val="00903C1B"/>
    <w:rsid w:val="00903D8A"/>
    <w:rsid w:val="009046D6"/>
    <w:rsid w:val="009049EA"/>
    <w:rsid w:val="00905607"/>
    <w:rsid w:val="00905DFE"/>
    <w:rsid w:val="009074F6"/>
    <w:rsid w:val="00910EC4"/>
    <w:rsid w:val="00911376"/>
    <w:rsid w:val="0091343C"/>
    <w:rsid w:val="00913D3B"/>
    <w:rsid w:val="00915021"/>
    <w:rsid w:val="009152F7"/>
    <w:rsid w:val="0091561A"/>
    <w:rsid w:val="00915DE4"/>
    <w:rsid w:val="00915ED9"/>
    <w:rsid w:val="00916774"/>
    <w:rsid w:val="009169B2"/>
    <w:rsid w:val="00917628"/>
    <w:rsid w:val="009179A9"/>
    <w:rsid w:val="009210A2"/>
    <w:rsid w:val="00921364"/>
    <w:rsid w:val="00921ADE"/>
    <w:rsid w:val="00921F5B"/>
    <w:rsid w:val="0092275B"/>
    <w:rsid w:val="00923E79"/>
    <w:rsid w:val="009260B2"/>
    <w:rsid w:val="0092615B"/>
    <w:rsid w:val="00926A7E"/>
    <w:rsid w:val="00926AC3"/>
    <w:rsid w:val="0092772F"/>
    <w:rsid w:val="00927E03"/>
    <w:rsid w:val="00930B2E"/>
    <w:rsid w:val="00930FCE"/>
    <w:rsid w:val="00931B94"/>
    <w:rsid w:val="0093308C"/>
    <w:rsid w:val="009332CB"/>
    <w:rsid w:val="009337F8"/>
    <w:rsid w:val="0093497E"/>
    <w:rsid w:val="00936F69"/>
    <w:rsid w:val="009375BE"/>
    <w:rsid w:val="00937FAF"/>
    <w:rsid w:val="00941AFB"/>
    <w:rsid w:val="00941C0C"/>
    <w:rsid w:val="0094266B"/>
    <w:rsid w:val="009451AE"/>
    <w:rsid w:val="0094719B"/>
    <w:rsid w:val="0094741B"/>
    <w:rsid w:val="00947445"/>
    <w:rsid w:val="00947632"/>
    <w:rsid w:val="00947649"/>
    <w:rsid w:val="00947CE0"/>
    <w:rsid w:val="00950193"/>
    <w:rsid w:val="009502DA"/>
    <w:rsid w:val="00950805"/>
    <w:rsid w:val="00950E36"/>
    <w:rsid w:val="00953BED"/>
    <w:rsid w:val="00954276"/>
    <w:rsid w:val="00954480"/>
    <w:rsid w:val="0095477E"/>
    <w:rsid w:val="0095485E"/>
    <w:rsid w:val="00955039"/>
    <w:rsid w:val="00955201"/>
    <w:rsid w:val="00955CAE"/>
    <w:rsid w:val="00956B8D"/>
    <w:rsid w:val="009602BB"/>
    <w:rsid w:val="0096102C"/>
    <w:rsid w:val="0096195B"/>
    <w:rsid w:val="00961A36"/>
    <w:rsid w:val="00961A7F"/>
    <w:rsid w:val="009621C7"/>
    <w:rsid w:val="00963CA3"/>
    <w:rsid w:val="00966491"/>
    <w:rsid w:val="0096675F"/>
    <w:rsid w:val="009704F7"/>
    <w:rsid w:val="00971475"/>
    <w:rsid w:val="00971990"/>
    <w:rsid w:val="00972E90"/>
    <w:rsid w:val="00973499"/>
    <w:rsid w:val="009737F5"/>
    <w:rsid w:val="00973DAC"/>
    <w:rsid w:val="00974AE9"/>
    <w:rsid w:val="009754B3"/>
    <w:rsid w:val="0097559B"/>
    <w:rsid w:val="009759AC"/>
    <w:rsid w:val="00976BD6"/>
    <w:rsid w:val="009778D8"/>
    <w:rsid w:val="00980F0D"/>
    <w:rsid w:val="009813AB"/>
    <w:rsid w:val="00981477"/>
    <w:rsid w:val="009815D2"/>
    <w:rsid w:val="00982D2E"/>
    <w:rsid w:val="00982E85"/>
    <w:rsid w:val="00983863"/>
    <w:rsid w:val="00983D4A"/>
    <w:rsid w:val="0098446F"/>
    <w:rsid w:val="00984CEF"/>
    <w:rsid w:val="00984F56"/>
    <w:rsid w:val="00985C50"/>
    <w:rsid w:val="00985E8A"/>
    <w:rsid w:val="00985EC4"/>
    <w:rsid w:val="009865AB"/>
    <w:rsid w:val="00986A1A"/>
    <w:rsid w:val="00986A34"/>
    <w:rsid w:val="00986F00"/>
    <w:rsid w:val="0099003A"/>
    <w:rsid w:val="00990C5A"/>
    <w:rsid w:val="00992AB8"/>
    <w:rsid w:val="0099363E"/>
    <w:rsid w:val="00993702"/>
    <w:rsid w:val="00994A58"/>
    <w:rsid w:val="009958B7"/>
    <w:rsid w:val="009961EC"/>
    <w:rsid w:val="00996297"/>
    <w:rsid w:val="00997672"/>
    <w:rsid w:val="009A10E9"/>
    <w:rsid w:val="009A165E"/>
    <w:rsid w:val="009A19C4"/>
    <w:rsid w:val="009A1B4A"/>
    <w:rsid w:val="009A1CAA"/>
    <w:rsid w:val="009A1D39"/>
    <w:rsid w:val="009A22A8"/>
    <w:rsid w:val="009A32FF"/>
    <w:rsid w:val="009A4E51"/>
    <w:rsid w:val="009A4FBF"/>
    <w:rsid w:val="009A522F"/>
    <w:rsid w:val="009A5B69"/>
    <w:rsid w:val="009A5FD5"/>
    <w:rsid w:val="009A63AA"/>
    <w:rsid w:val="009A66C7"/>
    <w:rsid w:val="009A66ED"/>
    <w:rsid w:val="009A7251"/>
    <w:rsid w:val="009A74B1"/>
    <w:rsid w:val="009A7BD8"/>
    <w:rsid w:val="009B1DAC"/>
    <w:rsid w:val="009B472B"/>
    <w:rsid w:val="009B4EF0"/>
    <w:rsid w:val="009B50FB"/>
    <w:rsid w:val="009B52A2"/>
    <w:rsid w:val="009B596E"/>
    <w:rsid w:val="009B6398"/>
    <w:rsid w:val="009B6DC5"/>
    <w:rsid w:val="009B6FAF"/>
    <w:rsid w:val="009C0BC1"/>
    <w:rsid w:val="009C0D82"/>
    <w:rsid w:val="009C122B"/>
    <w:rsid w:val="009C19E0"/>
    <w:rsid w:val="009C28C0"/>
    <w:rsid w:val="009C4746"/>
    <w:rsid w:val="009C4B15"/>
    <w:rsid w:val="009C4F96"/>
    <w:rsid w:val="009C6BAE"/>
    <w:rsid w:val="009C7D3F"/>
    <w:rsid w:val="009D17A3"/>
    <w:rsid w:val="009D19E9"/>
    <w:rsid w:val="009D1B2E"/>
    <w:rsid w:val="009D1B7A"/>
    <w:rsid w:val="009D388D"/>
    <w:rsid w:val="009D3C18"/>
    <w:rsid w:val="009D4095"/>
    <w:rsid w:val="009D48B4"/>
    <w:rsid w:val="009D5903"/>
    <w:rsid w:val="009D6B8A"/>
    <w:rsid w:val="009D7B57"/>
    <w:rsid w:val="009D7F8E"/>
    <w:rsid w:val="009E0810"/>
    <w:rsid w:val="009E0D0F"/>
    <w:rsid w:val="009E1023"/>
    <w:rsid w:val="009E10AB"/>
    <w:rsid w:val="009E5B87"/>
    <w:rsid w:val="009E5CE2"/>
    <w:rsid w:val="009E67C1"/>
    <w:rsid w:val="009F0463"/>
    <w:rsid w:val="009F0737"/>
    <w:rsid w:val="009F24C4"/>
    <w:rsid w:val="009F26BA"/>
    <w:rsid w:val="009F3A96"/>
    <w:rsid w:val="009F3DFB"/>
    <w:rsid w:val="009F4438"/>
    <w:rsid w:val="009F49DF"/>
    <w:rsid w:val="009F4B2A"/>
    <w:rsid w:val="009F5396"/>
    <w:rsid w:val="009F5986"/>
    <w:rsid w:val="009F60E4"/>
    <w:rsid w:val="009F6C1A"/>
    <w:rsid w:val="00A026F8"/>
    <w:rsid w:val="00A0297F"/>
    <w:rsid w:val="00A03009"/>
    <w:rsid w:val="00A04CF5"/>
    <w:rsid w:val="00A04DB6"/>
    <w:rsid w:val="00A0503A"/>
    <w:rsid w:val="00A06689"/>
    <w:rsid w:val="00A06F32"/>
    <w:rsid w:val="00A07BAC"/>
    <w:rsid w:val="00A10094"/>
    <w:rsid w:val="00A121F2"/>
    <w:rsid w:val="00A14AD2"/>
    <w:rsid w:val="00A15298"/>
    <w:rsid w:val="00A1631B"/>
    <w:rsid w:val="00A16E09"/>
    <w:rsid w:val="00A17000"/>
    <w:rsid w:val="00A1754C"/>
    <w:rsid w:val="00A17635"/>
    <w:rsid w:val="00A178AA"/>
    <w:rsid w:val="00A17CFF"/>
    <w:rsid w:val="00A21078"/>
    <w:rsid w:val="00A213BC"/>
    <w:rsid w:val="00A2232E"/>
    <w:rsid w:val="00A22AC6"/>
    <w:rsid w:val="00A22E86"/>
    <w:rsid w:val="00A23623"/>
    <w:rsid w:val="00A238B0"/>
    <w:rsid w:val="00A242A3"/>
    <w:rsid w:val="00A24375"/>
    <w:rsid w:val="00A25677"/>
    <w:rsid w:val="00A25806"/>
    <w:rsid w:val="00A25BBD"/>
    <w:rsid w:val="00A269A7"/>
    <w:rsid w:val="00A27B56"/>
    <w:rsid w:val="00A32664"/>
    <w:rsid w:val="00A3331E"/>
    <w:rsid w:val="00A33BE3"/>
    <w:rsid w:val="00A3465E"/>
    <w:rsid w:val="00A34986"/>
    <w:rsid w:val="00A35D9E"/>
    <w:rsid w:val="00A36D26"/>
    <w:rsid w:val="00A37245"/>
    <w:rsid w:val="00A406F1"/>
    <w:rsid w:val="00A40866"/>
    <w:rsid w:val="00A42607"/>
    <w:rsid w:val="00A43055"/>
    <w:rsid w:val="00A43961"/>
    <w:rsid w:val="00A447EC"/>
    <w:rsid w:val="00A461AC"/>
    <w:rsid w:val="00A46878"/>
    <w:rsid w:val="00A508F4"/>
    <w:rsid w:val="00A50E75"/>
    <w:rsid w:val="00A51133"/>
    <w:rsid w:val="00A5238E"/>
    <w:rsid w:val="00A5245E"/>
    <w:rsid w:val="00A52504"/>
    <w:rsid w:val="00A529A6"/>
    <w:rsid w:val="00A52AC1"/>
    <w:rsid w:val="00A5304B"/>
    <w:rsid w:val="00A53B59"/>
    <w:rsid w:val="00A55400"/>
    <w:rsid w:val="00A56833"/>
    <w:rsid w:val="00A57457"/>
    <w:rsid w:val="00A60217"/>
    <w:rsid w:val="00A609B3"/>
    <w:rsid w:val="00A6163C"/>
    <w:rsid w:val="00A620B9"/>
    <w:rsid w:val="00A6254F"/>
    <w:rsid w:val="00A63B71"/>
    <w:rsid w:val="00A63FBF"/>
    <w:rsid w:val="00A65414"/>
    <w:rsid w:val="00A657BF"/>
    <w:rsid w:val="00A65D12"/>
    <w:rsid w:val="00A67280"/>
    <w:rsid w:val="00A6762A"/>
    <w:rsid w:val="00A678F1"/>
    <w:rsid w:val="00A67DBB"/>
    <w:rsid w:val="00A7036E"/>
    <w:rsid w:val="00A70504"/>
    <w:rsid w:val="00A70B77"/>
    <w:rsid w:val="00A723AD"/>
    <w:rsid w:val="00A72DAF"/>
    <w:rsid w:val="00A737F2"/>
    <w:rsid w:val="00A73E07"/>
    <w:rsid w:val="00A74078"/>
    <w:rsid w:val="00A740D7"/>
    <w:rsid w:val="00A74AA5"/>
    <w:rsid w:val="00A75686"/>
    <w:rsid w:val="00A7588C"/>
    <w:rsid w:val="00A75F2E"/>
    <w:rsid w:val="00A76963"/>
    <w:rsid w:val="00A76DD1"/>
    <w:rsid w:val="00A77B12"/>
    <w:rsid w:val="00A80132"/>
    <w:rsid w:val="00A814ED"/>
    <w:rsid w:val="00A82BB2"/>
    <w:rsid w:val="00A83AA1"/>
    <w:rsid w:val="00A84E1E"/>
    <w:rsid w:val="00A84EAA"/>
    <w:rsid w:val="00A86418"/>
    <w:rsid w:val="00A866E1"/>
    <w:rsid w:val="00A86FED"/>
    <w:rsid w:val="00A87AD2"/>
    <w:rsid w:val="00A90D09"/>
    <w:rsid w:val="00A91679"/>
    <w:rsid w:val="00A91AEB"/>
    <w:rsid w:val="00A92815"/>
    <w:rsid w:val="00A92B0A"/>
    <w:rsid w:val="00A933D2"/>
    <w:rsid w:val="00A94543"/>
    <w:rsid w:val="00A945E7"/>
    <w:rsid w:val="00A951B7"/>
    <w:rsid w:val="00A95AD8"/>
    <w:rsid w:val="00A965A0"/>
    <w:rsid w:val="00A974A4"/>
    <w:rsid w:val="00A97E53"/>
    <w:rsid w:val="00AA11B3"/>
    <w:rsid w:val="00AA2B10"/>
    <w:rsid w:val="00AA2B1C"/>
    <w:rsid w:val="00AA3BF4"/>
    <w:rsid w:val="00AA46EC"/>
    <w:rsid w:val="00AA4F24"/>
    <w:rsid w:val="00AA50C6"/>
    <w:rsid w:val="00AA6659"/>
    <w:rsid w:val="00AA6970"/>
    <w:rsid w:val="00AB06B3"/>
    <w:rsid w:val="00AB0AFE"/>
    <w:rsid w:val="00AB275A"/>
    <w:rsid w:val="00AB3536"/>
    <w:rsid w:val="00AB3C4D"/>
    <w:rsid w:val="00AB42BC"/>
    <w:rsid w:val="00AB4571"/>
    <w:rsid w:val="00AB4CBC"/>
    <w:rsid w:val="00AB4DDF"/>
    <w:rsid w:val="00AB51AD"/>
    <w:rsid w:val="00AB56EB"/>
    <w:rsid w:val="00AB5CFA"/>
    <w:rsid w:val="00AB6314"/>
    <w:rsid w:val="00AB7550"/>
    <w:rsid w:val="00AB76B3"/>
    <w:rsid w:val="00AB77D6"/>
    <w:rsid w:val="00AC010E"/>
    <w:rsid w:val="00AC0DBF"/>
    <w:rsid w:val="00AC2A4F"/>
    <w:rsid w:val="00AC3396"/>
    <w:rsid w:val="00AC471B"/>
    <w:rsid w:val="00AC4DCE"/>
    <w:rsid w:val="00AC5C20"/>
    <w:rsid w:val="00AC7105"/>
    <w:rsid w:val="00AD125A"/>
    <w:rsid w:val="00AD1A7B"/>
    <w:rsid w:val="00AD1AC4"/>
    <w:rsid w:val="00AD23A6"/>
    <w:rsid w:val="00AD77B9"/>
    <w:rsid w:val="00AE344C"/>
    <w:rsid w:val="00AE355D"/>
    <w:rsid w:val="00AE36C5"/>
    <w:rsid w:val="00AE36EC"/>
    <w:rsid w:val="00AE3A35"/>
    <w:rsid w:val="00AE6280"/>
    <w:rsid w:val="00AE793A"/>
    <w:rsid w:val="00AE7EAB"/>
    <w:rsid w:val="00AF011F"/>
    <w:rsid w:val="00AF09C7"/>
    <w:rsid w:val="00AF0F7C"/>
    <w:rsid w:val="00AF21B6"/>
    <w:rsid w:val="00AF30E9"/>
    <w:rsid w:val="00AF3C4C"/>
    <w:rsid w:val="00AF45C3"/>
    <w:rsid w:val="00AF4839"/>
    <w:rsid w:val="00AF4A90"/>
    <w:rsid w:val="00AF6316"/>
    <w:rsid w:val="00AF716A"/>
    <w:rsid w:val="00AF754F"/>
    <w:rsid w:val="00AF784F"/>
    <w:rsid w:val="00AF7C11"/>
    <w:rsid w:val="00B018E2"/>
    <w:rsid w:val="00B01C71"/>
    <w:rsid w:val="00B0367D"/>
    <w:rsid w:val="00B03EBA"/>
    <w:rsid w:val="00B04D65"/>
    <w:rsid w:val="00B04F29"/>
    <w:rsid w:val="00B05111"/>
    <w:rsid w:val="00B057AE"/>
    <w:rsid w:val="00B05EA2"/>
    <w:rsid w:val="00B06034"/>
    <w:rsid w:val="00B06904"/>
    <w:rsid w:val="00B06A1C"/>
    <w:rsid w:val="00B06B79"/>
    <w:rsid w:val="00B07134"/>
    <w:rsid w:val="00B0756B"/>
    <w:rsid w:val="00B07CBA"/>
    <w:rsid w:val="00B10E59"/>
    <w:rsid w:val="00B11441"/>
    <w:rsid w:val="00B11D17"/>
    <w:rsid w:val="00B13710"/>
    <w:rsid w:val="00B13D35"/>
    <w:rsid w:val="00B13DC9"/>
    <w:rsid w:val="00B13E80"/>
    <w:rsid w:val="00B13F5A"/>
    <w:rsid w:val="00B14EA4"/>
    <w:rsid w:val="00B160A0"/>
    <w:rsid w:val="00B168D9"/>
    <w:rsid w:val="00B20473"/>
    <w:rsid w:val="00B21CC7"/>
    <w:rsid w:val="00B21CF3"/>
    <w:rsid w:val="00B2250B"/>
    <w:rsid w:val="00B227E0"/>
    <w:rsid w:val="00B22AAF"/>
    <w:rsid w:val="00B24DD4"/>
    <w:rsid w:val="00B24F0F"/>
    <w:rsid w:val="00B25471"/>
    <w:rsid w:val="00B2699F"/>
    <w:rsid w:val="00B27896"/>
    <w:rsid w:val="00B27D11"/>
    <w:rsid w:val="00B30875"/>
    <w:rsid w:val="00B311A7"/>
    <w:rsid w:val="00B33161"/>
    <w:rsid w:val="00B3379E"/>
    <w:rsid w:val="00B33825"/>
    <w:rsid w:val="00B34571"/>
    <w:rsid w:val="00B34631"/>
    <w:rsid w:val="00B34712"/>
    <w:rsid w:val="00B34C7F"/>
    <w:rsid w:val="00B3513B"/>
    <w:rsid w:val="00B3532A"/>
    <w:rsid w:val="00B37BE5"/>
    <w:rsid w:val="00B37FDB"/>
    <w:rsid w:val="00B40152"/>
    <w:rsid w:val="00B4091E"/>
    <w:rsid w:val="00B40B66"/>
    <w:rsid w:val="00B40D6A"/>
    <w:rsid w:val="00B4127C"/>
    <w:rsid w:val="00B41340"/>
    <w:rsid w:val="00B41F5C"/>
    <w:rsid w:val="00B4276C"/>
    <w:rsid w:val="00B428C0"/>
    <w:rsid w:val="00B429DC"/>
    <w:rsid w:val="00B42E19"/>
    <w:rsid w:val="00B438C9"/>
    <w:rsid w:val="00B44FAB"/>
    <w:rsid w:val="00B473CA"/>
    <w:rsid w:val="00B473D2"/>
    <w:rsid w:val="00B47651"/>
    <w:rsid w:val="00B47F98"/>
    <w:rsid w:val="00B501C3"/>
    <w:rsid w:val="00B5039A"/>
    <w:rsid w:val="00B50DA1"/>
    <w:rsid w:val="00B511D3"/>
    <w:rsid w:val="00B51C70"/>
    <w:rsid w:val="00B52254"/>
    <w:rsid w:val="00B52DB4"/>
    <w:rsid w:val="00B533EC"/>
    <w:rsid w:val="00B54070"/>
    <w:rsid w:val="00B54E84"/>
    <w:rsid w:val="00B55F35"/>
    <w:rsid w:val="00B56685"/>
    <w:rsid w:val="00B60081"/>
    <w:rsid w:val="00B600E1"/>
    <w:rsid w:val="00B60F91"/>
    <w:rsid w:val="00B621B6"/>
    <w:rsid w:val="00B62474"/>
    <w:rsid w:val="00B630A2"/>
    <w:rsid w:val="00B63400"/>
    <w:rsid w:val="00B639E7"/>
    <w:rsid w:val="00B642E3"/>
    <w:rsid w:val="00B64D37"/>
    <w:rsid w:val="00B64EB6"/>
    <w:rsid w:val="00B65540"/>
    <w:rsid w:val="00B66AF1"/>
    <w:rsid w:val="00B66B22"/>
    <w:rsid w:val="00B679E0"/>
    <w:rsid w:val="00B7019B"/>
    <w:rsid w:val="00B70767"/>
    <w:rsid w:val="00B716FE"/>
    <w:rsid w:val="00B72181"/>
    <w:rsid w:val="00B72437"/>
    <w:rsid w:val="00B7272D"/>
    <w:rsid w:val="00B72A42"/>
    <w:rsid w:val="00B72CE0"/>
    <w:rsid w:val="00B73800"/>
    <w:rsid w:val="00B739BA"/>
    <w:rsid w:val="00B741E1"/>
    <w:rsid w:val="00B74319"/>
    <w:rsid w:val="00B75358"/>
    <w:rsid w:val="00B76410"/>
    <w:rsid w:val="00B76AC1"/>
    <w:rsid w:val="00B76D63"/>
    <w:rsid w:val="00B80950"/>
    <w:rsid w:val="00B824E3"/>
    <w:rsid w:val="00B83935"/>
    <w:rsid w:val="00B83A32"/>
    <w:rsid w:val="00B83D53"/>
    <w:rsid w:val="00B845CB"/>
    <w:rsid w:val="00B84DD5"/>
    <w:rsid w:val="00B85673"/>
    <w:rsid w:val="00B85794"/>
    <w:rsid w:val="00B85C5F"/>
    <w:rsid w:val="00B85D21"/>
    <w:rsid w:val="00B86BF2"/>
    <w:rsid w:val="00B877DC"/>
    <w:rsid w:val="00B877F6"/>
    <w:rsid w:val="00B8784F"/>
    <w:rsid w:val="00B8796F"/>
    <w:rsid w:val="00B904F9"/>
    <w:rsid w:val="00B90AC5"/>
    <w:rsid w:val="00B9150E"/>
    <w:rsid w:val="00B91EDD"/>
    <w:rsid w:val="00B922B2"/>
    <w:rsid w:val="00B92A49"/>
    <w:rsid w:val="00B93D40"/>
    <w:rsid w:val="00B93E77"/>
    <w:rsid w:val="00B9459C"/>
    <w:rsid w:val="00B94BCD"/>
    <w:rsid w:val="00B950E4"/>
    <w:rsid w:val="00B96343"/>
    <w:rsid w:val="00B963F8"/>
    <w:rsid w:val="00B97540"/>
    <w:rsid w:val="00B976C6"/>
    <w:rsid w:val="00B979FE"/>
    <w:rsid w:val="00B97F10"/>
    <w:rsid w:val="00BA1194"/>
    <w:rsid w:val="00BA1389"/>
    <w:rsid w:val="00BA16DC"/>
    <w:rsid w:val="00BA1992"/>
    <w:rsid w:val="00BA26EE"/>
    <w:rsid w:val="00BA2D81"/>
    <w:rsid w:val="00BA382A"/>
    <w:rsid w:val="00BA5D5E"/>
    <w:rsid w:val="00BA657C"/>
    <w:rsid w:val="00BA6842"/>
    <w:rsid w:val="00BA7791"/>
    <w:rsid w:val="00BB0545"/>
    <w:rsid w:val="00BB1B8B"/>
    <w:rsid w:val="00BB2129"/>
    <w:rsid w:val="00BB2E63"/>
    <w:rsid w:val="00BB3088"/>
    <w:rsid w:val="00BB464A"/>
    <w:rsid w:val="00BB5A91"/>
    <w:rsid w:val="00BB5C1B"/>
    <w:rsid w:val="00BB64E3"/>
    <w:rsid w:val="00BB6AB6"/>
    <w:rsid w:val="00BC0581"/>
    <w:rsid w:val="00BC1A12"/>
    <w:rsid w:val="00BC398A"/>
    <w:rsid w:val="00BC3E4D"/>
    <w:rsid w:val="00BC40F4"/>
    <w:rsid w:val="00BC41AA"/>
    <w:rsid w:val="00BC46D6"/>
    <w:rsid w:val="00BC5079"/>
    <w:rsid w:val="00BC62E3"/>
    <w:rsid w:val="00BC6F9C"/>
    <w:rsid w:val="00BD0759"/>
    <w:rsid w:val="00BD08CE"/>
    <w:rsid w:val="00BD12E6"/>
    <w:rsid w:val="00BD1CB9"/>
    <w:rsid w:val="00BD371B"/>
    <w:rsid w:val="00BD3D7E"/>
    <w:rsid w:val="00BD4AC0"/>
    <w:rsid w:val="00BD4B47"/>
    <w:rsid w:val="00BD4DA3"/>
    <w:rsid w:val="00BD5C54"/>
    <w:rsid w:val="00BD6792"/>
    <w:rsid w:val="00BD6C5C"/>
    <w:rsid w:val="00BE00C8"/>
    <w:rsid w:val="00BE0CCB"/>
    <w:rsid w:val="00BE1762"/>
    <w:rsid w:val="00BE2DAC"/>
    <w:rsid w:val="00BE38BD"/>
    <w:rsid w:val="00BE3E04"/>
    <w:rsid w:val="00BE50CF"/>
    <w:rsid w:val="00BE5228"/>
    <w:rsid w:val="00BE553F"/>
    <w:rsid w:val="00BE5EAE"/>
    <w:rsid w:val="00BE62D9"/>
    <w:rsid w:val="00BE63E7"/>
    <w:rsid w:val="00BE6BB3"/>
    <w:rsid w:val="00BF0A52"/>
    <w:rsid w:val="00BF0FF7"/>
    <w:rsid w:val="00BF2A60"/>
    <w:rsid w:val="00BF2CCC"/>
    <w:rsid w:val="00BF3462"/>
    <w:rsid w:val="00BF3565"/>
    <w:rsid w:val="00BF3C5B"/>
    <w:rsid w:val="00BF3E4C"/>
    <w:rsid w:val="00BF3FFE"/>
    <w:rsid w:val="00BF40DD"/>
    <w:rsid w:val="00BF5C0A"/>
    <w:rsid w:val="00BF63E8"/>
    <w:rsid w:val="00BF6E59"/>
    <w:rsid w:val="00BF7197"/>
    <w:rsid w:val="00BF73FC"/>
    <w:rsid w:val="00BF774F"/>
    <w:rsid w:val="00BF79BA"/>
    <w:rsid w:val="00BF7B56"/>
    <w:rsid w:val="00BF7CA5"/>
    <w:rsid w:val="00C001CB"/>
    <w:rsid w:val="00C00207"/>
    <w:rsid w:val="00C00923"/>
    <w:rsid w:val="00C02ECB"/>
    <w:rsid w:val="00C03136"/>
    <w:rsid w:val="00C04CA4"/>
    <w:rsid w:val="00C057F1"/>
    <w:rsid w:val="00C06961"/>
    <w:rsid w:val="00C06BF2"/>
    <w:rsid w:val="00C0783F"/>
    <w:rsid w:val="00C07BAB"/>
    <w:rsid w:val="00C1166D"/>
    <w:rsid w:val="00C116D7"/>
    <w:rsid w:val="00C12602"/>
    <w:rsid w:val="00C130C4"/>
    <w:rsid w:val="00C13175"/>
    <w:rsid w:val="00C131FE"/>
    <w:rsid w:val="00C13FF0"/>
    <w:rsid w:val="00C14A35"/>
    <w:rsid w:val="00C14A9A"/>
    <w:rsid w:val="00C15519"/>
    <w:rsid w:val="00C17835"/>
    <w:rsid w:val="00C17C65"/>
    <w:rsid w:val="00C2028A"/>
    <w:rsid w:val="00C219C9"/>
    <w:rsid w:val="00C21EB2"/>
    <w:rsid w:val="00C21F9A"/>
    <w:rsid w:val="00C221D1"/>
    <w:rsid w:val="00C23224"/>
    <w:rsid w:val="00C23757"/>
    <w:rsid w:val="00C237E6"/>
    <w:rsid w:val="00C23A7C"/>
    <w:rsid w:val="00C247C4"/>
    <w:rsid w:val="00C26516"/>
    <w:rsid w:val="00C27019"/>
    <w:rsid w:val="00C30785"/>
    <w:rsid w:val="00C31E8E"/>
    <w:rsid w:val="00C3295A"/>
    <w:rsid w:val="00C32D9B"/>
    <w:rsid w:val="00C32FF8"/>
    <w:rsid w:val="00C33B82"/>
    <w:rsid w:val="00C33D55"/>
    <w:rsid w:val="00C350CB"/>
    <w:rsid w:val="00C35518"/>
    <w:rsid w:val="00C36AE4"/>
    <w:rsid w:val="00C408D7"/>
    <w:rsid w:val="00C40D92"/>
    <w:rsid w:val="00C41BFF"/>
    <w:rsid w:val="00C41CF8"/>
    <w:rsid w:val="00C42A2A"/>
    <w:rsid w:val="00C43909"/>
    <w:rsid w:val="00C439F8"/>
    <w:rsid w:val="00C43D59"/>
    <w:rsid w:val="00C44259"/>
    <w:rsid w:val="00C4425E"/>
    <w:rsid w:val="00C443E7"/>
    <w:rsid w:val="00C44A28"/>
    <w:rsid w:val="00C4538B"/>
    <w:rsid w:val="00C4545A"/>
    <w:rsid w:val="00C45E84"/>
    <w:rsid w:val="00C463F4"/>
    <w:rsid w:val="00C46430"/>
    <w:rsid w:val="00C51736"/>
    <w:rsid w:val="00C5200C"/>
    <w:rsid w:val="00C53155"/>
    <w:rsid w:val="00C534C4"/>
    <w:rsid w:val="00C53705"/>
    <w:rsid w:val="00C538FB"/>
    <w:rsid w:val="00C539FC"/>
    <w:rsid w:val="00C5503C"/>
    <w:rsid w:val="00C5693B"/>
    <w:rsid w:val="00C56B4F"/>
    <w:rsid w:val="00C572B4"/>
    <w:rsid w:val="00C60390"/>
    <w:rsid w:val="00C60601"/>
    <w:rsid w:val="00C60930"/>
    <w:rsid w:val="00C60F14"/>
    <w:rsid w:val="00C614F4"/>
    <w:rsid w:val="00C61B13"/>
    <w:rsid w:val="00C61B49"/>
    <w:rsid w:val="00C6247E"/>
    <w:rsid w:val="00C62700"/>
    <w:rsid w:val="00C627DE"/>
    <w:rsid w:val="00C62C02"/>
    <w:rsid w:val="00C62E18"/>
    <w:rsid w:val="00C62EE9"/>
    <w:rsid w:val="00C6330B"/>
    <w:rsid w:val="00C64BDC"/>
    <w:rsid w:val="00C64C22"/>
    <w:rsid w:val="00C65AA5"/>
    <w:rsid w:val="00C65AC0"/>
    <w:rsid w:val="00C67A59"/>
    <w:rsid w:val="00C712CA"/>
    <w:rsid w:val="00C7189B"/>
    <w:rsid w:val="00C72712"/>
    <w:rsid w:val="00C72768"/>
    <w:rsid w:val="00C73214"/>
    <w:rsid w:val="00C73BBB"/>
    <w:rsid w:val="00C73F68"/>
    <w:rsid w:val="00C75F9E"/>
    <w:rsid w:val="00C76E53"/>
    <w:rsid w:val="00C77167"/>
    <w:rsid w:val="00C7723E"/>
    <w:rsid w:val="00C77537"/>
    <w:rsid w:val="00C77829"/>
    <w:rsid w:val="00C81ADF"/>
    <w:rsid w:val="00C81BBD"/>
    <w:rsid w:val="00C81FB6"/>
    <w:rsid w:val="00C82178"/>
    <w:rsid w:val="00C82308"/>
    <w:rsid w:val="00C83BEE"/>
    <w:rsid w:val="00C84204"/>
    <w:rsid w:val="00C849BF"/>
    <w:rsid w:val="00C84F7C"/>
    <w:rsid w:val="00C85F46"/>
    <w:rsid w:val="00C85F68"/>
    <w:rsid w:val="00C86647"/>
    <w:rsid w:val="00C87C37"/>
    <w:rsid w:val="00C906A8"/>
    <w:rsid w:val="00C9081C"/>
    <w:rsid w:val="00C91293"/>
    <w:rsid w:val="00C913F9"/>
    <w:rsid w:val="00C9157D"/>
    <w:rsid w:val="00C920CB"/>
    <w:rsid w:val="00C924CA"/>
    <w:rsid w:val="00C933D5"/>
    <w:rsid w:val="00C946D9"/>
    <w:rsid w:val="00C9490C"/>
    <w:rsid w:val="00C94AEA"/>
    <w:rsid w:val="00C94C9E"/>
    <w:rsid w:val="00C94FF7"/>
    <w:rsid w:val="00C95CB0"/>
    <w:rsid w:val="00C95DBB"/>
    <w:rsid w:val="00C97777"/>
    <w:rsid w:val="00C97F61"/>
    <w:rsid w:val="00CA0088"/>
    <w:rsid w:val="00CA312C"/>
    <w:rsid w:val="00CA33A5"/>
    <w:rsid w:val="00CA3B30"/>
    <w:rsid w:val="00CA5F59"/>
    <w:rsid w:val="00CA631C"/>
    <w:rsid w:val="00CA6C37"/>
    <w:rsid w:val="00CA77EE"/>
    <w:rsid w:val="00CB0517"/>
    <w:rsid w:val="00CB1F8F"/>
    <w:rsid w:val="00CB26B3"/>
    <w:rsid w:val="00CB2D83"/>
    <w:rsid w:val="00CB3070"/>
    <w:rsid w:val="00CB4921"/>
    <w:rsid w:val="00CB538E"/>
    <w:rsid w:val="00CB5A4B"/>
    <w:rsid w:val="00CB5EEC"/>
    <w:rsid w:val="00CC00E2"/>
    <w:rsid w:val="00CC0157"/>
    <w:rsid w:val="00CC09CB"/>
    <w:rsid w:val="00CC6A24"/>
    <w:rsid w:val="00CC72B4"/>
    <w:rsid w:val="00CC748D"/>
    <w:rsid w:val="00CC79E8"/>
    <w:rsid w:val="00CD061F"/>
    <w:rsid w:val="00CD0696"/>
    <w:rsid w:val="00CD193B"/>
    <w:rsid w:val="00CD1943"/>
    <w:rsid w:val="00CD3BC1"/>
    <w:rsid w:val="00CD4236"/>
    <w:rsid w:val="00CD5512"/>
    <w:rsid w:val="00CD6CB6"/>
    <w:rsid w:val="00CE0269"/>
    <w:rsid w:val="00CE05C0"/>
    <w:rsid w:val="00CE3096"/>
    <w:rsid w:val="00CE325B"/>
    <w:rsid w:val="00CE38A4"/>
    <w:rsid w:val="00CE3A01"/>
    <w:rsid w:val="00CE3E3F"/>
    <w:rsid w:val="00CE3F03"/>
    <w:rsid w:val="00CE46F2"/>
    <w:rsid w:val="00CE517D"/>
    <w:rsid w:val="00CE534F"/>
    <w:rsid w:val="00CE5B05"/>
    <w:rsid w:val="00CE5C11"/>
    <w:rsid w:val="00CE5EEB"/>
    <w:rsid w:val="00CE64F4"/>
    <w:rsid w:val="00CF0256"/>
    <w:rsid w:val="00CF182A"/>
    <w:rsid w:val="00CF1878"/>
    <w:rsid w:val="00CF197D"/>
    <w:rsid w:val="00CF1A82"/>
    <w:rsid w:val="00CF1FC1"/>
    <w:rsid w:val="00CF2E80"/>
    <w:rsid w:val="00CF4967"/>
    <w:rsid w:val="00CF51F8"/>
    <w:rsid w:val="00CF5909"/>
    <w:rsid w:val="00CF5AC7"/>
    <w:rsid w:val="00CF5F8B"/>
    <w:rsid w:val="00CF641D"/>
    <w:rsid w:val="00CF7322"/>
    <w:rsid w:val="00CF7439"/>
    <w:rsid w:val="00D00518"/>
    <w:rsid w:val="00D006E8"/>
    <w:rsid w:val="00D00E89"/>
    <w:rsid w:val="00D015E3"/>
    <w:rsid w:val="00D01F7F"/>
    <w:rsid w:val="00D02F71"/>
    <w:rsid w:val="00D0335F"/>
    <w:rsid w:val="00D03715"/>
    <w:rsid w:val="00D03818"/>
    <w:rsid w:val="00D03C33"/>
    <w:rsid w:val="00D048BE"/>
    <w:rsid w:val="00D04D73"/>
    <w:rsid w:val="00D04F5A"/>
    <w:rsid w:val="00D05787"/>
    <w:rsid w:val="00D05C92"/>
    <w:rsid w:val="00D06228"/>
    <w:rsid w:val="00D07841"/>
    <w:rsid w:val="00D10431"/>
    <w:rsid w:val="00D10B4C"/>
    <w:rsid w:val="00D11148"/>
    <w:rsid w:val="00D11A53"/>
    <w:rsid w:val="00D13184"/>
    <w:rsid w:val="00D1441C"/>
    <w:rsid w:val="00D1478D"/>
    <w:rsid w:val="00D15636"/>
    <w:rsid w:val="00D161B3"/>
    <w:rsid w:val="00D161CD"/>
    <w:rsid w:val="00D16508"/>
    <w:rsid w:val="00D16E3E"/>
    <w:rsid w:val="00D17B4E"/>
    <w:rsid w:val="00D202C8"/>
    <w:rsid w:val="00D20592"/>
    <w:rsid w:val="00D20983"/>
    <w:rsid w:val="00D21136"/>
    <w:rsid w:val="00D216F6"/>
    <w:rsid w:val="00D21ABD"/>
    <w:rsid w:val="00D21EC2"/>
    <w:rsid w:val="00D21ED9"/>
    <w:rsid w:val="00D22C54"/>
    <w:rsid w:val="00D2455C"/>
    <w:rsid w:val="00D257A8"/>
    <w:rsid w:val="00D300C8"/>
    <w:rsid w:val="00D30A7C"/>
    <w:rsid w:val="00D30B71"/>
    <w:rsid w:val="00D30F95"/>
    <w:rsid w:val="00D313D3"/>
    <w:rsid w:val="00D317EF"/>
    <w:rsid w:val="00D31AC9"/>
    <w:rsid w:val="00D31D28"/>
    <w:rsid w:val="00D31D9B"/>
    <w:rsid w:val="00D31E9D"/>
    <w:rsid w:val="00D32479"/>
    <w:rsid w:val="00D32FF7"/>
    <w:rsid w:val="00D33303"/>
    <w:rsid w:val="00D333C3"/>
    <w:rsid w:val="00D33C62"/>
    <w:rsid w:val="00D346D3"/>
    <w:rsid w:val="00D34F43"/>
    <w:rsid w:val="00D35082"/>
    <w:rsid w:val="00D354AB"/>
    <w:rsid w:val="00D357CD"/>
    <w:rsid w:val="00D35BF3"/>
    <w:rsid w:val="00D366CF"/>
    <w:rsid w:val="00D37EB1"/>
    <w:rsid w:val="00D400DD"/>
    <w:rsid w:val="00D406D8"/>
    <w:rsid w:val="00D4071B"/>
    <w:rsid w:val="00D41E03"/>
    <w:rsid w:val="00D4219C"/>
    <w:rsid w:val="00D4318F"/>
    <w:rsid w:val="00D4586C"/>
    <w:rsid w:val="00D45F16"/>
    <w:rsid w:val="00D461C0"/>
    <w:rsid w:val="00D46A5F"/>
    <w:rsid w:val="00D46E3E"/>
    <w:rsid w:val="00D479B5"/>
    <w:rsid w:val="00D51B89"/>
    <w:rsid w:val="00D5267F"/>
    <w:rsid w:val="00D5368E"/>
    <w:rsid w:val="00D545A3"/>
    <w:rsid w:val="00D5481B"/>
    <w:rsid w:val="00D558A5"/>
    <w:rsid w:val="00D5595D"/>
    <w:rsid w:val="00D5663B"/>
    <w:rsid w:val="00D60432"/>
    <w:rsid w:val="00D61F89"/>
    <w:rsid w:val="00D621B0"/>
    <w:rsid w:val="00D629D2"/>
    <w:rsid w:val="00D64F2E"/>
    <w:rsid w:val="00D65071"/>
    <w:rsid w:val="00D65F75"/>
    <w:rsid w:val="00D662FF"/>
    <w:rsid w:val="00D671F2"/>
    <w:rsid w:val="00D676C9"/>
    <w:rsid w:val="00D67D54"/>
    <w:rsid w:val="00D71D7A"/>
    <w:rsid w:val="00D72091"/>
    <w:rsid w:val="00D7210A"/>
    <w:rsid w:val="00D72BF3"/>
    <w:rsid w:val="00D73856"/>
    <w:rsid w:val="00D73B10"/>
    <w:rsid w:val="00D73E47"/>
    <w:rsid w:val="00D740DF"/>
    <w:rsid w:val="00D74217"/>
    <w:rsid w:val="00D74AE7"/>
    <w:rsid w:val="00D76307"/>
    <w:rsid w:val="00D76539"/>
    <w:rsid w:val="00D76FB7"/>
    <w:rsid w:val="00D77124"/>
    <w:rsid w:val="00D80187"/>
    <w:rsid w:val="00D80928"/>
    <w:rsid w:val="00D80E26"/>
    <w:rsid w:val="00D81552"/>
    <w:rsid w:val="00D818B5"/>
    <w:rsid w:val="00D818D6"/>
    <w:rsid w:val="00D8277E"/>
    <w:rsid w:val="00D82A40"/>
    <w:rsid w:val="00D830E6"/>
    <w:rsid w:val="00D837AB"/>
    <w:rsid w:val="00D83DB3"/>
    <w:rsid w:val="00D8421E"/>
    <w:rsid w:val="00D84D71"/>
    <w:rsid w:val="00D85B00"/>
    <w:rsid w:val="00D875FF"/>
    <w:rsid w:val="00D87F58"/>
    <w:rsid w:val="00D90088"/>
    <w:rsid w:val="00D90DC8"/>
    <w:rsid w:val="00D9131A"/>
    <w:rsid w:val="00D92305"/>
    <w:rsid w:val="00D9244E"/>
    <w:rsid w:val="00D9246F"/>
    <w:rsid w:val="00D9316C"/>
    <w:rsid w:val="00D93449"/>
    <w:rsid w:val="00D94F14"/>
    <w:rsid w:val="00D955BE"/>
    <w:rsid w:val="00D95766"/>
    <w:rsid w:val="00D966A8"/>
    <w:rsid w:val="00D9681B"/>
    <w:rsid w:val="00D97982"/>
    <w:rsid w:val="00DA04D0"/>
    <w:rsid w:val="00DA0942"/>
    <w:rsid w:val="00DA1D68"/>
    <w:rsid w:val="00DA28ED"/>
    <w:rsid w:val="00DA49FD"/>
    <w:rsid w:val="00DA4AEA"/>
    <w:rsid w:val="00DA6448"/>
    <w:rsid w:val="00DA6BD6"/>
    <w:rsid w:val="00DA6E14"/>
    <w:rsid w:val="00DA6E5A"/>
    <w:rsid w:val="00DA776D"/>
    <w:rsid w:val="00DB147C"/>
    <w:rsid w:val="00DB39FE"/>
    <w:rsid w:val="00DB3C09"/>
    <w:rsid w:val="00DB4B2D"/>
    <w:rsid w:val="00DB552E"/>
    <w:rsid w:val="00DB5694"/>
    <w:rsid w:val="00DB672E"/>
    <w:rsid w:val="00DB69A0"/>
    <w:rsid w:val="00DB7392"/>
    <w:rsid w:val="00DB7903"/>
    <w:rsid w:val="00DB7BFF"/>
    <w:rsid w:val="00DB7D71"/>
    <w:rsid w:val="00DC2572"/>
    <w:rsid w:val="00DC29EB"/>
    <w:rsid w:val="00DC3375"/>
    <w:rsid w:val="00DC3AF4"/>
    <w:rsid w:val="00DC4AB9"/>
    <w:rsid w:val="00DC5530"/>
    <w:rsid w:val="00DC76A3"/>
    <w:rsid w:val="00DC78A8"/>
    <w:rsid w:val="00DD015C"/>
    <w:rsid w:val="00DD1B22"/>
    <w:rsid w:val="00DD208A"/>
    <w:rsid w:val="00DD20B8"/>
    <w:rsid w:val="00DD2803"/>
    <w:rsid w:val="00DD28E5"/>
    <w:rsid w:val="00DD3A46"/>
    <w:rsid w:val="00DD407D"/>
    <w:rsid w:val="00DD4D31"/>
    <w:rsid w:val="00DD5C90"/>
    <w:rsid w:val="00DD631A"/>
    <w:rsid w:val="00DD6D98"/>
    <w:rsid w:val="00DE11D3"/>
    <w:rsid w:val="00DE1688"/>
    <w:rsid w:val="00DE3385"/>
    <w:rsid w:val="00DE3425"/>
    <w:rsid w:val="00DE4589"/>
    <w:rsid w:val="00DE4672"/>
    <w:rsid w:val="00DE4A83"/>
    <w:rsid w:val="00DE4DAC"/>
    <w:rsid w:val="00DE58A0"/>
    <w:rsid w:val="00DE6456"/>
    <w:rsid w:val="00DE6732"/>
    <w:rsid w:val="00DE6ACF"/>
    <w:rsid w:val="00DF114E"/>
    <w:rsid w:val="00DF1B8D"/>
    <w:rsid w:val="00DF3399"/>
    <w:rsid w:val="00DF47A0"/>
    <w:rsid w:val="00DF48C3"/>
    <w:rsid w:val="00DF4D3B"/>
    <w:rsid w:val="00DF4E4D"/>
    <w:rsid w:val="00DF513E"/>
    <w:rsid w:val="00DF5C53"/>
    <w:rsid w:val="00DF5D23"/>
    <w:rsid w:val="00E0105D"/>
    <w:rsid w:val="00E01200"/>
    <w:rsid w:val="00E0165D"/>
    <w:rsid w:val="00E01EEA"/>
    <w:rsid w:val="00E02582"/>
    <w:rsid w:val="00E02AE8"/>
    <w:rsid w:val="00E02E2A"/>
    <w:rsid w:val="00E0404A"/>
    <w:rsid w:val="00E04987"/>
    <w:rsid w:val="00E05723"/>
    <w:rsid w:val="00E05B53"/>
    <w:rsid w:val="00E0770D"/>
    <w:rsid w:val="00E11353"/>
    <w:rsid w:val="00E1163E"/>
    <w:rsid w:val="00E126C3"/>
    <w:rsid w:val="00E13CD6"/>
    <w:rsid w:val="00E14578"/>
    <w:rsid w:val="00E15A70"/>
    <w:rsid w:val="00E167AC"/>
    <w:rsid w:val="00E17434"/>
    <w:rsid w:val="00E17CB1"/>
    <w:rsid w:val="00E2022B"/>
    <w:rsid w:val="00E20EDA"/>
    <w:rsid w:val="00E21BE5"/>
    <w:rsid w:val="00E21E87"/>
    <w:rsid w:val="00E22708"/>
    <w:rsid w:val="00E22AC2"/>
    <w:rsid w:val="00E25E2C"/>
    <w:rsid w:val="00E26555"/>
    <w:rsid w:val="00E27887"/>
    <w:rsid w:val="00E30177"/>
    <w:rsid w:val="00E30E19"/>
    <w:rsid w:val="00E31121"/>
    <w:rsid w:val="00E319ED"/>
    <w:rsid w:val="00E31A86"/>
    <w:rsid w:val="00E31DDF"/>
    <w:rsid w:val="00E31E2C"/>
    <w:rsid w:val="00E32887"/>
    <w:rsid w:val="00E35719"/>
    <w:rsid w:val="00E3576B"/>
    <w:rsid w:val="00E36B9A"/>
    <w:rsid w:val="00E37174"/>
    <w:rsid w:val="00E376B9"/>
    <w:rsid w:val="00E40E76"/>
    <w:rsid w:val="00E41712"/>
    <w:rsid w:val="00E41B0A"/>
    <w:rsid w:val="00E4265C"/>
    <w:rsid w:val="00E43509"/>
    <w:rsid w:val="00E44759"/>
    <w:rsid w:val="00E46058"/>
    <w:rsid w:val="00E47561"/>
    <w:rsid w:val="00E51A2C"/>
    <w:rsid w:val="00E51EFC"/>
    <w:rsid w:val="00E5296F"/>
    <w:rsid w:val="00E5345B"/>
    <w:rsid w:val="00E537CE"/>
    <w:rsid w:val="00E539B1"/>
    <w:rsid w:val="00E53CAB"/>
    <w:rsid w:val="00E53CC9"/>
    <w:rsid w:val="00E54F4A"/>
    <w:rsid w:val="00E55450"/>
    <w:rsid w:val="00E5572D"/>
    <w:rsid w:val="00E56144"/>
    <w:rsid w:val="00E57358"/>
    <w:rsid w:val="00E57D45"/>
    <w:rsid w:val="00E60188"/>
    <w:rsid w:val="00E60697"/>
    <w:rsid w:val="00E61917"/>
    <w:rsid w:val="00E61D7B"/>
    <w:rsid w:val="00E61F01"/>
    <w:rsid w:val="00E63BD8"/>
    <w:rsid w:val="00E65283"/>
    <w:rsid w:val="00E65AA3"/>
    <w:rsid w:val="00E65C09"/>
    <w:rsid w:val="00E661DE"/>
    <w:rsid w:val="00E66502"/>
    <w:rsid w:val="00E66FED"/>
    <w:rsid w:val="00E67EEC"/>
    <w:rsid w:val="00E70639"/>
    <w:rsid w:val="00E72C0C"/>
    <w:rsid w:val="00E739A4"/>
    <w:rsid w:val="00E74EBB"/>
    <w:rsid w:val="00E7564A"/>
    <w:rsid w:val="00E75C88"/>
    <w:rsid w:val="00E75FDA"/>
    <w:rsid w:val="00E76282"/>
    <w:rsid w:val="00E775A8"/>
    <w:rsid w:val="00E77A78"/>
    <w:rsid w:val="00E80211"/>
    <w:rsid w:val="00E8140C"/>
    <w:rsid w:val="00E819B6"/>
    <w:rsid w:val="00E82624"/>
    <w:rsid w:val="00E82DBF"/>
    <w:rsid w:val="00E83250"/>
    <w:rsid w:val="00E835A5"/>
    <w:rsid w:val="00E8360F"/>
    <w:rsid w:val="00E84EDC"/>
    <w:rsid w:val="00E85B42"/>
    <w:rsid w:val="00E867B6"/>
    <w:rsid w:val="00E871C9"/>
    <w:rsid w:val="00E87A44"/>
    <w:rsid w:val="00E919EE"/>
    <w:rsid w:val="00E930EE"/>
    <w:rsid w:val="00E9426E"/>
    <w:rsid w:val="00E94580"/>
    <w:rsid w:val="00E955D9"/>
    <w:rsid w:val="00E95706"/>
    <w:rsid w:val="00E95921"/>
    <w:rsid w:val="00E965FF"/>
    <w:rsid w:val="00E968EF"/>
    <w:rsid w:val="00EA05D5"/>
    <w:rsid w:val="00EA1F6B"/>
    <w:rsid w:val="00EA24DF"/>
    <w:rsid w:val="00EA2C32"/>
    <w:rsid w:val="00EA2CF9"/>
    <w:rsid w:val="00EA3A0A"/>
    <w:rsid w:val="00EA47A6"/>
    <w:rsid w:val="00EA4997"/>
    <w:rsid w:val="00EA4EE6"/>
    <w:rsid w:val="00EA537E"/>
    <w:rsid w:val="00EA56E2"/>
    <w:rsid w:val="00EA5987"/>
    <w:rsid w:val="00EA5A9D"/>
    <w:rsid w:val="00EA6AEB"/>
    <w:rsid w:val="00EA6B8B"/>
    <w:rsid w:val="00EA7016"/>
    <w:rsid w:val="00EB0D03"/>
    <w:rsid w:val="00EB146D"/>
    <w:rsid w:val="00EB19A7"/>
    <w:rsid w:val="00EB1C0C"/>
    <w:rsid w:val="00EB1D6C"/>
    <w:rsid w:val="00EB1E50"/>
    <w:rsid w:val="00EB2246"/>
    <w:rsid w:val="00EB2B55"/>
    <w:rsid w:val="00EB4085"/>
    <w:rsid w:val="00EB57BF"/>
    <w:rsid w:val="00EB5FE8"/>
    <w:rsid w:val="00EB6A10"/>
    <w:rsid w:val="00EB6BBF"/>
    <w:rsid w:val="00EB6EB0"/>
    <w:rsid w:val="00EB75A2"/>
    <w:rsid w:val="00EC079E"/>
    <w:rsid w:val="00EC0EAC"/>
    <w:rsid w:val="00EC3C7B"/>
    <w:rsid w:val="00EC440B"/>
    <w:rsid w:val="00EC4437"/>
    <w:rsid w:val="00EC4DD3"/>
    <w:rsid w:val="00EC4F64"/>
    <w:rsid w:val="00EC544F"/>
    <w:rsid w:val="00EC5C77"/>
    <w:rsid w:val="00EC64BA"/>
    <w:rsid w:val="00EC7346"/>
    <w:rsid w:val="00EC7B53"/>
    <w:rsid w:val="00ED08B1"/>
    <w:rsid w:val="00ED1D82"/>
    <w:rsid w:val="00ED2B0D"/>
    <w:rsid w:val="00ED33A3"/>
    <w:rsid w:val="00ED4303"/>
    <w:rsid w:val="00ED52A5"/>
    <w:rsid w:val="00ED5518"/>
    <w:rsid w:val="00ED6786"/>
    <w:rsid w:val="00ED69E7"/>
    <w:rsid w:val="00ED75CF"/>
    <w:rsid w:val="00ED7A47"/>
    <w:rsid w:val="00EE1A51"/>
    <w:rsid w:val="00EE2966"/>
    <w:rsid w:val="00EE35A1"/>
    <w:rsid w:val="00EE580E"/>
    <w:rsid w:val="00EE6035"/>
    <w:rsid w:val="00EE60B6"/>
    <w:rsid w:val="00EE6B11"/>
    <w:rsid w:val="00EE6CA6"/>
    <w:rsid w:val="00EE6ECC"/>
    <w:rsid w:val="00EE7019"/>
    <w:rsid w:val="00EE70F5"/>
    <w:rsid w:val="00EE7A08"/>
    <w:rsid w:val="00EE7B88"/>
    <w:rsid w:val="00EF01F3"/>
    <w:rsid w:val="00EF0228"/>
    <w:rsid w:val="00EF0642"/>
    <w:rsid w:val="00EF079F"/>
    <w:rsid w:val="00EF0AC5"/>
    <w:rsid w:val="00EF0E89"/>
    <w:rsid w:val="00EF1135"/>
    <w:rsid w:val="00EF1338"/>
    <w:rsid w:val="00EF1880"/>
    <w:rsid w:val="00EF2067"/>
    <w:rsid w:val="00EF2E6F"/>
    <w:rsid w:val="00EF2F6F"/>
    <w:rsid w:val="00EF3472"/>
    <w:rsid w:val="00EF42B1"/>
    <w:rsid w:val="00EF49B5"/>
    <w:rsid w:val="00EF4A7D"/>
    <w:rsid w:val="00EF4E7F"/>
    <w:rsid w:val="00EF689A"/>
    <w:rsid w:val="00EF7874"/>
    <w:rsid w:val="00F0031D"/>
    <w:rsid w:val="00F00E08"/>
    <w:rsid w:val="00F032C8"/>
    <w:rsid w:val="00F037AC"/>
    <w:rsid w:val="00F047F1"/>
    <w:rsid w:val="00F04925"/>
    <w:rsid w:val="00F04FDA"/>
    <w:rsid w:val="00F05661"/>
    <w:rsid w:val="00F070DD"/>
    <w:rsid w:val="00F07587"/>
    <w:rsid w:val="00F07A1F"/>
    <w:rsid w:val="00F10167"/>
    <w:rsid w:val="00F10AC6"/>
    <w:rsid w:val="00F10D4C"/>
    <w:rsid w:val="00F12072"/>
    <w:rsid w:val="00F12507"/>
    <w:rsid w:val="00F12AEE"/>
    <w:rsid w:val="00F1576E"/>
    <w:rsid w:val="00F15EA0"/>
    <w:rsid w:val="00F167AE"/>
    <w:rsid w:val="00F173DA"/>
    <w:rsid w:val="00F17CAE"/>
    <w:rsid w:val="00F20547"/>
    <w:rsid w:val="00F22208"/>
    <w:rsid w:val="00F22351"/>
    <w:rsid w:val="00F22517"/>
    <w:rsid w:val="00F22D31"/>
    <w:rsid w:val="00F22F48"/>
    <w:rsid w:val="00F25CA9"/>
    <w:rsid w:val="00F25E47"/>
    <w:rsid w:val="00F273A6"/>
    <w:rsid w:val="00F27BDC"/>
    <w:rsid w:val="00F30919"/>
    <w:rsid w:val="00F30E2A"/>
    <w:rsid w:val="00F31DC3"/>
    <w:rsid w:val="00F3267E"/>
    <w:rsid w:val="00F32FC4"/>
    <w:rsid w:val="00F362BC"/>
    <w:rsid w:val="00F36C5A"/>
    <w:rsid w:val="00F371BC"/>
    <w:rsid w:val="00F37C6D"/>
    <w:rsid w:val="00F4001E"/>
    <w:rsid w:val="00F40DB6"/>
    <w:rsid w:val="00F41DD8"/>
    <w:rsid w:val="00F42233"/>
    <w:rsid w:val="00F42733"/>
    <w:rsid w:val="00F43322"/>
    <w:rsid w:val="00F4356A"/>
    <w:rsid w:val="00F43C3C"/>
    <w:rsid w:val="00F43D14"/>
    <w:rsid w:val="00F44074"/>
    <w:rsid w:val="00F44403"/>
    <w:rsid w:val="00F44AE6"/>
    <w:rsid w:val="00F46072"/>
    <w:rsid w:val="00F461E6"/>
    <w:rsid w:val="00F46611"/>
    <w:rsid w:val="00F47027"/>
    <w:rsid w:val="00F4747D"/>
    <w:rsid w:val="00F475D4"/>
    <w:rsid w:val="00F4778B"/>
    <w:rsid w:val="00F479AC"/>
    <w:rsid w:val="00F51F12"/>
    <w:rsid w:val="00F52B18"/>
    <w:rsid w:val="00F53AEB"/>
    <w:rsid w:val="00F540B7"/>
    <w:rsid w:val="00F54480"/>
    <w:rsid w:val="00F54BA0"/>
    <w:rsid w:val="00F55B80"/>
    <w:rsid w:val="00F55F9E"/>
    <w:rsid w:val="00F572A5"/>
    <w:rsid w:val="00F572D9"/>
    <w:rsid w:val="00F57CDF"/>
    <w:rsid w:val="00F604E0"/>
    <w:rsid w:val="00F61ADD"/>
    <w:rsid w:val="00F633B5"/>
    <w:rsid w:val="00F634F8"/>
    <w:rsid w:val="00F66A17"/>
    <w:rsid w:val="00F66AA9"/>
    <w:rsid w:val="00F670A0"/>
    <w:rsid w:val="00F679AC"/>
    <w:rsid w:val="00F67D86"/>
    <w:rsid w:val="00F708E0"/>
    <w:rsid w:val="00F710AB"/>
    <w:rsid w:val="00F720E1"/>
    <w:rsid w:val="00F72245"/>
    <w:rsid w:val="00F72EA1"/>
    <w:rsid w:val="00F73C07"/>
    <w:rsid w:val="00F746D1"/>
    <w:rsid w:val="00F74A62"/>
    <w:rsid w:val="00F74A69"/>
    <w:rsid w:val="00F7504D"/>
    <w:rsid w:val="00F751B9"/>
    <w:rsid w:val="00F756EC"/>
    <w:rsid w:val="00F76117"/>
    <w:rsid w:val="00F76656"/>
    <w:rsid w:val="00F7738F"/>
    <w:rsid w:val="00F779AC"/>
    <w:rsid w:val="00F80A15"/>
    <w:rsid w:val="00F80EEF"/>
    <w:rsid w:val="00F815B3"/>
    <w:rsid w:val="00F81C91"/>
    <w:rsid w:val="00F82200"/>
    <w:rsid w:val="00F82295"/>
    <w:rsid w:val="00F8263B"/>
    <w:rsid w:val="00F83EB0"/>
    <w:rsid w:val="00F84501"/>
    <w:rsid w:val="00F8467F"/>
    <w:rsid w:val="00F84A83"/>
    <w:rsid w:val="00F84DEB"/>
    <w:rsid w:val="00F850C5"/>
    <w:rsid w:val="00F85413"/>
    <w:rsid w:val="00F859EA"/>
    <w:rsid w:val="00F86612"/>
    <w:rsid w:val="00F86A61"/>
    <w:rsid w:val="00F874C0"/>
    <w:rsid w:val="00F87741"/>
    <w:rsid w:val="00F87F0F"/>
    <w:rsid w:val="00F91374"/>
    <w:rsid w:val="00F915D8"/>
    <w:rsid w:val="00F93AE8"/>
    <w:rsid w:val="00F93D8D"/>
    <w:rsid w:val="00F94D9D"/>
    <w:rsid w:val="00F96608"/>
    <w:rsid w:val="00F96843"/>
    <w:rsid w:val="00F97139"/>
    <w:rsid w:val="00FA0C79"/>
    <w:rsid w:val="00FA14AF"/>
    <w:rsid w:val="00FA2A6D"/>
    <w:rsid w:val="00FA2F92"/>
    <w:rsid w:val="00FA420B"/>
    <w:rsid w:val="00FA4526"/>
    <w:rsid w:val="00FA4912"/>
    <w:rsid w:val="00FA55AE"/>
    <w:rsid w:val="00FA662B"/>
    <w:rsid w:val="00FA74E5"/>
    <w:rsid w:val="00FA76F5"/>
    <w:rsid w:val="00FB0BDB"/>
    <w:rsid w:val="00FB18A1"/>
    <w:rsid w:val="00FB520F"/>
    <w:rsid w:val="00FB534F"/>
    <w:rsid w:val="00FB6C99"/>
    <w:rsid w:val="00FB7FDE"/>
    <w:rsid w:val="00FC024F"/>
    <w:rsid w:val="00FC0AAD"/>
    <w:rsid w:val="00FC1026"/>
    <w:rsid w:val="00FC125A"/>
    <w:rsid w:val="00FC1F5A"/>
    <w:rsid w:val="00FC22C3"/>
    <w:rsid w:val="00FC27F2"/>
    <w:rsid w:val="00FC55D8"/>
    <w:rsid w:val="00FC636A"/>
    <w:rsid w:val="00FC7EA7"/>
    <w:rsid w:val="00FD0367"/>
    <w:rsid w:val="00FD1445"/>
    <w:rsid w:val="00FD2F6C"/>
    <w:rsid w:val="00FD5089"/>
    <w:rsid w:val="00FD6D01"/>
    <w:rsid w:val="00FD6E80"/>
    <w:rsid w:val="00FD7F0F"/>
    <w:rsid w:val="00FD7FB9"/>
    <w:rsid w:val="00FE0353"/>
    <w:rsid w:val="00FE0CB7"/>
    <w:rsid w:val="00FE170F"/>
    <w:rsid w:val="00FE2F2C"/>
    <w:rsid w:val="00FE3055"/>
    <w:rsid w:val="00FE32EB"/>
    <w:rsid w:val="00FE3B21"/>
    <w:rsid w:val="00FE56D3"/>
    <w:rsid w:val="00FE62E2"/>
    <w:rsid w:val="00FF038F"/>
    <w:rsid w:val="00FF1A23"/>
    <w:rsid w:val="00FF326A"/>
    <w:rsid w:val="00FF3A14"/>
    <w:rsid w:val="00FF3B92"/>
    <w:rsid w:val="00FF568C"/>
    <w:rsid w:val="00FF599D"/>
    <w:rsid w:val="00FF5E09"/>
    <w:rsid w:val="00FF68DE"/>
    <w:rsid w:val="00FF6D73"/>
    <w:rsid w:val="00FF70E5"/>
    <w:rsid w:val="01040330"/>
    <w:rsid w:val="010B56DA"/>
    <w:rsid w:val="0116783D"/>
    <w:rsid w:val="019D02D0"/>
    <w:rsid w:val="01E6B6D4"/>
    <w:rsid w:val="023757DA"/>
    <w:rsid w:val="02BC8F10"/>
    <w:rsid w:val="0345B155"/>
    <w:rsid w:val="0383A3F8"/>
    <w:rsid w:val="03DF063D"/>
    <w:rsid w:val="0418C854"/>
    <w:rsid w:val="0436272C"/>
    <w:rsid w:val="043F1DC7"/>
    <w:rsid w:val="04820E87"/>
    <w:rsid w:val="04C2FAB2"/>
    <w:rsid w:val="052C90B0"/>
    <w:rsid w:val="063AF20F"/>
    <w:rsid w:val="06C6BD70"/>
    <w:rsid w:val="06D10BA2"/>
    <w:rsid w:val="06E5A6F3"/>
    <w:rsid w:val="070233E7"/>
    <w:rsid w:val="0735B19B"/>
    <w:rsid w:val="07C14DF4"/>
    <w:rsid w:val="0837EDD9"/>
    <w:rsid w:val="08B3A4AD"/>
    <w:rsid w:val="093A33A3"/>
    <w:rsid w:val="099DF64D"/>
    <w:rsid w:val="09A31B1B"/>
    <w:rsid w:val="09BD4161"/>
    <w:rsid w:val="09C88CE0"/>
    <w:rsid w:val="09F9A992"/>
    <w:rsid w:val="0A74BE96"/>
    <w:rsid w:val="0AA40A48"/>
    <w:rsid w:val="0AB73DFC"/>
    <w:rsid w:val="0B2C8FEA"/>
    <w:rsid w:val="0B2F84EB"/>
    <w:rsid w:val="0B61B760"/>
    <w:rsid w:val="0B73C2FB"/>
    <w:rsid w:val="0B780F4A"/>
    <w:rsid w:val="0BA28476"/>
    <w:rsid w:val="0BE69C4F"/>
    <w:rsid w:val="0C8411E7"/>
    <w:rsid w:val="0CC111B3"/>
    <w:rsid w:val="0CC7E749"/>
    <w:rsid w:val="0CC959B3"/>
    <w:rsid w:val="0D0E5F1C"/>
    <w:rsid w:val="0D45A768"/>
    <w:rsid w:val="0DB360D7"/>
    <w:rsid w:val="0E1EA88C"/>
    <w:rsid w:val="0EC468F9"/>
    <w:rsid w:val="0EC871A2"/>
    <w:rsid w:val="0EDF1FD5"/>
    <w:rsid w:val="0F7D3CE7"/>
    <w:rsid w:val="0F89A053"/>
    <w:rsid w:val="0F9EF4EE"/>
    <w:rsid w:val="1012A83D"/>
    <w:rsid w:val="106B7451"/>
    <w:rsid w:val="10BCAA6B"/>
    <w:rsid w:val="10FA3F8E"/>
    <w:rsid w:val="1105964F"/>
    <w:rsid w:val="111CC58B"/>
    <w:rsid w:val="11217D2C"/>
    <w:rsid w:val="1136FA6E"/>
    <w:rsid w:val="114794E5"/>
    <w:rsid w:val="118A2F84"/>
    <w:rsid w:val="11B64769"/>
    <w:rsid w:val="11E0FAC4"/>
    <w:rsid w:val="11EDA89D"/>
    <w:rsid w:val="12327CC7"/>
    <w:rsid w:val="124EA877"/>
    <w:rsid w:val="127F0215"/>
    <w:rsid w:val="12C17291"/>
    <w:rsid w:val="12CA5615"/>
    <w:rsid w:val="12D14264"/>
    <w:rsid w:val="12D7E3CC"/>
    <w:rsid w:val="1331A909"/>
    <w:rsid w:val="13D8FA03"/>
    <w:rsid w:val="13E0308A"/>
    <w:rsid w:val="14204837"/>
    <w:rsid w:val="1447A8BA"/>
    <w:rsid w:val="14BA1E78"/>
    <w:rsid w:val="14C1AA79"/>
    <w:rsid w:val="14FE3E28"/>
    <w:rsid w:val="1520B531"/>
    <w:rsid w:val="15227621"/>
    <w:rsid w:val="15CB8B14"/>
    <w:rsid w:val="162C728C"/>
    <w:rsid w:val="1663032F"/>
    <w:rsid w:val="167FC5CC"/>
    <w:rsid w:val="16D78EA7"/>
    <w:rsid w:val="16D7E129"/>
    <w:rsid w:val="172F2CC6"/>
    <w:rsid w:val="173AA109"/>
    <w:rsid w:val="17756C96"/>
    <w:rsid w:val="17D5DFE9"/>
    <w:rsid w:val="17D6EDBA"/>
    <w:rsid w:val="17D8C9AE"/>
    <w:rsid w:val="17EF8DB0"/>
    <w:rsid w:val="1823ADC4"/>
    <w:rsid w:val="189644F0"/>
    <w:rsid w:val="18B5D84F"/>
    <w:rsid w:val="191BFEC3"/>
    <w:rsid w:val="193FD7C5"/>
    <w:rsid w:val="196C4167"/>
    <w:rsid w:val="19B950C7"/>
    <w:rsid w:val="1A5FCC51"/>
    <w:rsid w:val="1A65384C"/>
    <w:rsid w:val="1A78862E"/>
    <w:rsid w:val="1B219D4F"/>
    <w:rsid w:val="1B3A68A1"/>
    <w:rsid w:val="1B53E3F3"/>
    <w:rsid w:val="1B902F6F"/>
    <w:rsid w:val="1BB82BCF"/>
    <w:rsid w:val="1C0D3055"/>
    <w:rsid w:val="1C8C87AA"/>
    <w:rsid w:val="1CF75263"/>
    <w:rsid w:val="1D9A182C"/>
    <w:rsid w:val="1D9C0E07"/>
    <w:rsid w:val="1DCA7FCF"/>
    <w:rsid w:val="1DD85180"/>
    <w:rsid w:val="1E0DF626"/>
    <w:rsid w:val="1E2E130C"/>
    <w:rsid w:val="1EB80C2D"/>
    <w:rsid w:val="1F32D98C"/>
    <w:rsid w:val="1F89E532"/>
    <w:rsid w:val="1F9E5244"/>
    <w:rsid w:val="20029757"/>
    <w:rsid w:val="203FD1C1"/>
    <w:rsid w:val="20BEF263"/>
    <w:rsid w:val="20C381B1"/>
    <w:rsid w:val="20C7059D"/>
    <w:rsid w:val="20E6AE4E"/>
    <w:rsid w:val="215B7D86"/>
    <w:rsid w:val="22108EE1"/>
    <w:rsid w:val="224F32D1"/>
    <w:rsid w:val="22639F6E"/>
    <w:rsid w:val="2292D23D"/>
    <w:rsid w:val="22FB0DC6"/>
    <w:rsid w:val="230EA651"/>
    <w:rsid w:val="231BF0AC"/>
    <w:rsid w:val="23857947"/>
    <w:rsid w:val="238C141D"/>
    <w:rsid w:val="23F2266F"/>
    <w:rsid w:val="241AB645"/>
    <w:rsid w:val="245DF402"/>
    <w:rsid w:val="25064BCA"/>
    <w:rsid w:val="25594E07"/>
    <w:rsid w:val="25FE73F4"/>
    <w:rsid w:val="262ABDB4"/>
    <w:rsid w:val="263C4187"/>
    <w:rsid w:val="2650917E"/>
    <w:rsid w:val="265C8928"/>
    <w:rsid w:val="2674FEC8"/>
    <w:rsid w:val="267905BA"/>
    <w:rsid w:val="26827879"/>
    <w:rsid w:val="26ADF6D7"/>
    <w:rsid w:val="26B4B62A"/>
    <w:rsid w:val="26CE2AA5"/>
    <w:rsid w:val="27551476"/>
    <w:rsid w:val="27BE00D5"/>
    <w:rsid w:val="28151BCE"/>
    <w:rsid w:val="28F524CA"/>
    <w:rsid w:val="2942FDE8"/>
    <w:rsid w:val="2B1B4246"/>
    <w:rsid w:val="2BA00A8F"/>
    <w:rsid w:val="2BC05629"/>
    <w:rsid w:val="2BEA2C21"/>
    <w:rsid w:val="2C2F115E"/>
    <w:rsid w:val="2C502A63"/>
    <w:rsid w:val="2C71C392"/>
    <w:rsid w:val="2CD87FC4"/>
    <w:rsid w:val="2D79EC0B"/>
    <w:rsid w:val="2E2B6888"/>
    <w:rsid w:val="2E497D80"/>
    <w:rsid w:val="2E9E22C9"/>
    <w:rsid w:val="2EA8ABD5"/>
    <w:rsid w:val="2F68E6DD"/>
    <w:rsid w:val="2F91F93E"/>
    <w:rsid w:val="2FF6D31F"/>
    <w:rsid w:val="3040CB69"/>
    <w:rsid w:val="30C0EC69"/>
    <w:rsid w:val="31B45F88"/>
    <w:rsid w:val="3202FF82"/>
    <w:rsid w:val="3207A2B1"/>
    <w:rsid w:val="322861B3"/>
    <w:rsid w:val="323556DF"/>
    <w:rsid w:val="3246D169"/>
    <w:rsid w:val="325A37EE"/>
    <w:rsid w:val="3297197A"/>
    <w:rsid w:val="32AF7060"/>
    <w:rsid w:val="32B60645"/>
    <w:rsid w:val="32DC84C0"/>
    <w:rsid w:val="330244BD"/>
    <w:rsid w:val="3356E4D1"/>
    <w:rsid w:val="343167AF"/>
    <w:rsid w:val="3435687E"/>
    <w:rsid w:val="35073B2D"/>
    <w:rsid w:val="35862248"/>
    <w:rsid w:val="35DE1A1A"/>
    <w:rsid w:val="35E031C9"/>
    <w:rsid w:val="36168A75"/>
    <w:rsid w:val="36243264"/>
    <w:rsid w:val="36714CDF"/>
    <w:rsid w:val="367555D1"/>
    <w:rsid w:val="36DC5DB1"/>
    <w:rsid w:val="380DCCA0"/>
    <w:rsid w:val="38397B6A"/>
    <w:rsid w:val="3872A91A"/>
    <w:rsid w:val="398F0460"/>
    <w:rsid w:val="39A5D356"/>
    <w:rsid w:val="39E6A302"/>
    <w:rsid w:val="39FE1C2E"/>
    <w:rsid w:val="3A6F34A4"/>
    <w:rsid w:val="3A85F717"/>
    <w:rsid w:val="3A9658F0"/>
    <w:rsid w:val="3B99A204"/>
    <w:rsid w:val="3BA63F42"/>
    <w:rsid w:val="3BAEB625"/>
    <w:rsid w:val="3BDE05F4"/>
    <w:rsid w:val="3C1505E0"/>
    <w:rsid w:val="3C2C6BF2"/>
    <w:rsid w:val="3C756B8A"/>
    <w:rsid w:val="3CAAF9F1"/>
    <w:rsid w:val="3D0B2C42"/>
    <w:rsid w:val="3D951898"/>
    <w:rsid w:val="3D9FA116"/>
    <w:rsid w:val="3DB97B07"/>
    <w:rsid w:val="3E22486A"/>
    <w:rsid w:val="3E7BDEC7"/>
    <w:rsid w:val="3EE86BCB"/>
    <w:rsid w:val="3EF8EE67"/>
    <w:rsid w:val="3FA47F40"/>
    <w:rsid w:val="401C2798"/>
    <w:rsid w:val="40516608"/>
    <w:rsid w:val="40598564"/>
    <w:rsid w:val="40A54581"/>
    <w:rsid w:val="40ED0FF3"/>
    <w:rsid w:val="4111F9C3"/>
    <w:rsid w:val="41517737"/>
    <w:rsid w:val="41EB8B44"/>
    <w:rsid w:val="41F7A0E4"/>
    <w:rsid w:val="422D3788"/>
    <w:rsid w:val="42B54FAA"/>
    <w:rsid w:val="42D5D017"/>
    <w:rsid w:val="4324A137"/>
    <w:rsid w:val="434043A5"/>
    <w:rsid w:val="43C53C4D"/>
    <w:rsid w:val="43FE2269"/>
    <w:rsid w:val="443A25BA"/>
    <w:rsid w:val="447CA27F"/>
    <w:rsid w:val="44CAE96F"/>
    <w:rsid w:val="453917AB"/>
    <w:rsid w:val="45786984"/>
    <w:rsid w:val="458F587B"/>
    <w:rsid w:val="459C22F1"/>
    <w:rsid w:val="45BFE823"/>
    <w:rsid w:val="45DE5B2D"/>
    <w:rsid w:val="4634AA1C"/>
    <w:rsid w:val="46C49D20"/>
    <w:rsid w:val="46EC5A73"/>
    <w:rsid w:val="46FCD019"/>
    <w:rsid w:val="47706934"/>
    <w:rsid w:val="47BF1316"/>
    <w:rsid w:val="47CE021B"/>
    <w:rsid w:val="47F58D3C"/>
    <w:rsid w:val="481BC715"/>
    <w:rsid w:val="486CE2FB"/>
    <w:rsid w:val="49B3678A"/>
    <w:rsid w:val="4A400C5C"/>
    <w:rsid w:val="4A68336E"/>
    <w:rsid w:val="4A6FFEDA"/>
    <w:rsid w:val="4A75C0B2"/>
    <w:rsid w:val="4AA323D6"/>
    <w:rsid w:val="4AE2F3E3"/>
    <w:rsid w:val="4B083293"/>
    <w:rsid w:val="4B27D3A9"/>
    <w:rsid w:val="4B834C6D"/>
    <w:rsid w:val="4BEC58DE"/>
    <w:rsid w:val="4C004BA4"/>
    <w:rsid w:val="4C301645"/>
    <w:rsid w:val="4CF30784"/>
    <w:rsid w:val="4D604130"/>
    <w:rsid w:val="4DADF8EC"/>
    <w:rsid w:val="4DB04907"/>
    <w:rsid w:val="4DF83105"/>
    <w:rsid w:val="4F11248A"/>
    <w:rsid w:val="4FD59203"/>
    <w:rsid w:val="4FFC5814"/>
    <w:rsid w:val="4FFE0455"/>
    <w:rsid w:val="500463E4"/>
    <w:rsid w:val="500E4E23"/>
    <w:rsid w:val="507667C4"/>
    <w:rsid w:val="50DDA0AE"/>
    <w:rsid w:val="50EFE836"/>
    <w:rsid w:val="5115CD9F"/>
    <w:rsid w:val="51337A42"/>
    <w:rsid w:val="515081D6"/>
    <w:rsid w:val="516EA6C9"/>
    <w:rsid w:val="51A3E686"/>
    <w:rsid w:val="51C459D8"/>
    <w:rsid w:val="520272C6"/>
    <w:rsid w:val="522D2429"/>
    <w:rsid w:val="53611E91"/>
    <w:rsid w:val="53B65A57"/>
    <w:rsid w:val="5437400B"/>
    <w:rsid w:val="54541DB6"/>
    <w:rsid w:val="54E899B6"/>
    <w:rsid w:val="54F0E688"/>
    <w:rsid w:val="5502EC71"/>
    <w:rsid w:val="5511899E"/>
    <w:rsid w:val="551FF59D"/>
    <w:rsid w:val="55BCF0B5"/>
    <w:rsid w:val="55C93876"/>
    <w:rsid w:val="56691777"/>
    <w:rsid w:val="56861406"/>
    <w:rsid w:val="56882D07"/>
    <w:rsid w:val="56A646FD"/>
    <w:rsid w:val="56DF6363"/>
    <w:rsid w:val="57A2249D"/>
    <w:rsid w:val="582B2776"/>
    <w:rsid w:val="587509D6"/>
    <w:rsid w:val="5878860B"/>
    <w:rsid w:val="588FB9A8"/>
    <w:rsid w:val="58B63C78"/>
    <w:rsid w:val="5910EB27"/>
    <w:rsid w:val="593DEE34"/>
    <w:rsid w:val="595ED5BB"/>
    <w:rsid w:val="59AAD138"/>
    <w:rsid w:val="59BA9C4F"/>
    <w:rsid w:val="59D8EB86"/>
    <w:rsid w:val="59FF7656"/>
    <w:rsid w:val="5A3A78B2"/>
    <w:rsid w:val="5A526D33"/>
    <w:rsid w:val="5A802685"/>
    <w:rsid w:val="5A9E2B22"/>
    <w:rsid w:val="5ACD0483"/>
    <w:rsid w:val="5AE956C4"/>
    <w:rsid w:val="5B15ACAE"/>
    <w:rsid w:val="5B1D0854"/>
    <w:rsid w:val="5B896C14"/>
    <w:rsid w:val="5C887D98"/>
    <w:rsid w:val="5C9B9079"/>
    <w:rsid w:val="5CA4D750"/>
    <w:rsid w:val="5CAE8B3D"/>
    <w:rsid w:val="5CBAE8CA"/>
    <w:rsid w:val="5CCABD27"/>
    <w:rsid w:val="5CEBA869"/>
    <w:rsid w:val="5D959C55"/>
    <w:rsid w:val="5D97ED9A"/>
    <w:rsid w:val="5DAF2ECC"/>
    <w:rsid w:val="5DF9F1CF"/>
    <w:rsid w:val="5E473CCA"/>
    <w:rsid w:val="5E86F2B5"/>
    <w:rsid w:val="5EB4C313"/>
    <w:rsid w:val="5ED3E367"/>
    <w:rsid w:val="5F0E06D7"/>
    <w:rsid w:val="5F32A119"/>
    <w:rsid w:val="601B2E95"/>
    <w:rsid w:val="6055C62E"/>
    <w:rsid w:val="605A28CB"/>
    <w:rsid w:val="609108D4"/>
    <w:rsid w:val="60BCDC32"/>
    <w:rsid w:val="60CE30FD"/>
    <w:rsid w:val="60FBB2E0"/>
    <w:rsid w:val="6103570E"/>
    <w:rsid w:val="614E842C"/>
    <w:rsid w:val="61569F0F"/>
    <w:rsid w:val="619960D3"/>
    <w:rsid w:val="637C6842"/>
    <w:rsid w:val="6384E541"/>
    <w:rsid w:val="639C3AFE"/>
    <w:rsid w:val="63C4CCB4"/>
    <w:rsid w:val="63F2FAD2"/>
    <w:rsid w:val="64580A8A"/>
    <w:rsid w:val="64752363"/>
    <w:rsid w:val="64C87D1D"/>
    <w:rsid w:val="64CB4EAE"/>
    <w:rsid w:val="6583CDA5"/>
    <w:rsid w:val="660066BA"/>
    <w:rsid w:val="6632BC6E"/>
    <w:rsid w:val="667BF053"/>
    <w:rsid w:val="66D694DD"/>
    <w:rsid w:val="674F648A"/>
    <w:rsid w:val="678C1E22"/>
    <w:rsid w:val="679135DA"/>
    <w:rsid w:val="679A7B21"/>
    <w:rsid w:val="67FD52EE"/>
    <w:rsid w:val="68BB9E8F"/>
    <w:rsid w:val="68F9AD3B"/>
    <w:rsid w:val="69909F40"/>
    <w:rsid w:val="6A0A2E9C"/>
    <w:rsid w:val="6A1C759E"/>
    <w:rsid w:val="6B08FE1A"/>
    <w:rsid w:val="6B0E7229"/>
    <w:rsid w:val="6B1D4B03"/>
    <w:rsid w:val="6CDD4A84"/>
    <w:rsid w:val="6CDE16CF"/>
    <w:rsid w:val="6CEC9E30"/>
    <w:rsid w:val="6D17DFF9"/>
    <w:rsid w:val="6D30A62B"/>
    <w:rsid w:val="6D5150BC"/>
    <w:rsid w:val="6D8D7381"/>
    <w:rsid w:val="6D9872DD"/>
    <w:rsid w:val="6DD7339A"/>
    <w:rsid w:val="6E008484"/>
    <w:rsid w:val="6E25D56C"/>
    <w:rsid w:val="6E5E1E9D"/>
    <w:rsid w:val="6E6AAF2F"/>
    <w:rsid w:val="6EEC4048"/>
    <w:rsid w:val="6F1CEE45"/>
    <w:rsid w:val="6F40DE77"/>
    <w:rsid w:val="6F92BB05"/>
    <w:rsid w:val="6F93B01F"/>
    <w:rsid w:val="6FF59406"/>
    <w:rsid w:val="7017A541"/>
    <w:rsid w:val="70364DBA"/>
    <w:rsid w:val="7079166D"/>
    <w:rsid w:val="70884567"/>
    <w:rsid w:val="70989143"/>
    <w:rsid w:val="70C4DAA7"/>
    <w:rsid w:val="7148DAB3"/>
    <w:rsid w:val="716E976E"/>
    <w:rsid w:val="71B46145"/>
    <w:rsid w:val="722E7376"/>
    <w:rsid w:val="72586353"/>
    <w:rsid w:val="726EBEB1"/>
    <w:rsid w:val="72A9DB6F"/>
    <w:rsid w:val="72E8D57B"/>
    <w:rsid w:val="7325567D"/>
    <w:rsid w:val="741D1BFA"/>
    <w:rsid w:val="743027D1"/>
    <w:rsid w:val="745C2934"/>
    <w:rsid w:val="748398A4"/>
    <w:rsid w:val="7503BF96"/>
    <w:rsid w:val="750EFBDF"/>
    <w:rsid w:val="75514255"/>
    <w:rsid w:val="757325A3"/>
    <w:rsid w:val="75DA7DA7"/>
    <w:rsid w:val="7670A459"/>
    <w:rsid w:val="76AE7C96"/>
    <w:rsid w:val="76F9D74B"/>
    <w:rsid w:val="77100EC9"/>
    <w:rsid w:val="77917BC6"/>
    <w:rsid w:val="77DC5E30"/>
    <w:rsid w:val="77F8CE1B"/>
    <w:rsid w:val="7818B50E"/>
    <w:rsid w:val="783B7A18"/>
    <w:rsid w:val="786607C7"/>
    <w:rsid w:val="78937E3D"/>
    <w:rsid w:val="78A5DED6"/>
    <w:rsid w:val="78EA9CED"/>
    <w:rsid w:val="797B97DD"/>
    <w:rsid w:val="79CB5409"/>
    <w:rsid w:val="7A32E7E4"/>
    <w:rsid w:val="7A68CF0B"/>
    <w:rsid w:val="7A69D5C2"/>
    <w:rsid w:val="7B2FD0EA"/>
    <w:rsid w:val="7B627FD0"/>
    <w:rsid w:val="7B6EFD0F"/>
    <w:rsid w:val="7CFA3D8F"/>
    <w:rsid w:val="7D280C3D"/>
    <w:rsid w:val="7D782F2C"/>
    <w:rsid w:val="7E0FB5DA"/>
    <w:rsid w:val="7EF81CA7"/>
    <w:rsid w:val="7F3EA8A6"/>
    <w:rsid w:val="7F50FEA0"/>
    <w:rsid w:val="7F8AB0C4"/>
    <w:rsid w:val="7FA775D8"/>
    <w:rsid w:val="7FF69A0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90E5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194"/>
    <w:pPr>
      <w:spacing w:before="240" w:after="240"/>
    </w:pPr>
    <w:rPr>
      <w:sz w:val="22"/>
    </w:rPr>
  </w:style>
  <w:style w:type="paragraph" w:styleId="Heading1">
    <w:name w:val="heading 1"/>
    <w:basedOn w:val="Normal"/>
    <w:next w:val="Normal"/>
    <w:link w:val="Heading1Char"/>
    <w:uiPriority w:val="9"/>
    <w:qFormat/>
    <w:rsid w:val="006907BE"/>
    <w:pPr>
      <w:keepNext/>
      <w:keepLines/>
      <w:numPr>
        <w:numId w:val="1"/>
      </w:numPr>
      <w:outlineLvl w:val="0"/>
    </w:pPr>
    <w:rPr>
      <w:rFonts w:eastAsiaTheme="majorEastAsia" w:cstheme="majorBidi"/>
      <w:b/>
      <w:bCs/>
      <w:color w:val="2F5496" w:themeColor="accent1" w:themeShade="BF"/>
      <w:sz w:val="24"/>
      <w:szCs w:val="28"/>
      <w:lang w:val="en-US"/>
    </w:rPr>
  </w:style>
  <w:style w:type="paragraph" w:styleId="Heading2">
    <w:name w:val="heading 2"/>
    <w:basedOn w:val="Normal"/>
    <w:next w:val="Normal"/>
    <w:link w:val="Heading2Char"/>
    <w:uiPriority w:val="9"/>
    <w:unhideWhenUsed/>
    <w:qFormat/>
    <w:rsid w:val="006907BE"/>
    <w:pPr>
      <w:keepNext/>
      <w:keepLines/>
      <w:numPr>
        <w:ilvl w:val="1"/>
        <w:numId w:val="1"/>
      </w:numPr>
      <w:ind w:left="720"/>
      <w:outlineLvl w:val="1"/>
    </w:pPr>
    <w:rPr>
      <w:rFonts w:eastAsiaTheme="majorEastAsia" w:cstheme="majorBidi"/>
      <w:b/>
      <w:bCs/>
      <w:color w:val="4472C4" w:themeColor="accent1"/>
      <w:szCs w:val="26"/>
      <w:lang w:val="en-US"/>
    </w:rPr>
  </w:style>
  <w:style w:type="paragraph" w:styleId="Heading3">
    <w:name w:val="heading 3"/>
    <w:basedOn w:val="Normal"/>
    <w:next w:val="Normal"/>
    <w:link w:val="Heading3Char"/>
    <w:uiPriority w:val="9"/>
    <w:unhideWhenUsed/>
    <w:qFormat/>
    <w:rsid w:val="006907BE"/>
    <w:pPr>
      <w:keepNext/>
      <w:keepLines/>
      <w:numPr>
        <w:ilvl w:val="2"/>
        <w:numId w:val="1"/>
      </w:numPr>
      <w:ind w:left="720"/>
      <w:outlineLvl w:val="2"/>
    </w:pPr>
    <w:rPr>
      <w:rFonts w:eastAsiaTheme="majorEastAsia" w:cstheme="majorBidi"/>
      <w:color w:val="2F5496" w:themeColor="accent1" w:themeShade="BF"/>
    </w:rPr>
  </w:style>
  <w:style w:type="paragraph" w:styleId="Heading4">
    <w:name w:val="heading 4"/>
    <w:basedOn w:val="Normal"/>
    <w:next w:val="Normal"/>
    <w:link w:val="Heading4Char"/>
    <w:uiPriority w:val="9"/>
    <w:unhideWhenUsed/>
    <w:qFormat/>
    <w:rsid w:val="00AF0F7C"/>
    <w:pPr>
      <w:keepNext/>
      <w:keepLines/>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F0F7C"/>
    <w:pPr>
      <w:keepNext/>
      <w:keepLines/>
      <w:spacing w:before="4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0F7C"/>
    <w:pPr>
      <w:keepNext/>
      <w:keepLines/>
      <w:spacing w:before="40" w:after="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7BE"/>
    <w:rPr>
      <w:rFonts w:eastAsiaTheme="majorEastAsia" w:cstheme="majorBidi"/>
      <w:b/>
      <w:bCs/>
      <w:color w:val="2F5496" w:themeColor="accent1" w:themeShade="BF"/>
      <w:szCs w:val="28"/>
      <w:lang w:val="en-US"/>
    </w:rPr>
  </w:style>
  <w:style w:type="character" w:customStyle="1" w:styleId="Heading2Char">
    <w:name w:val="Heading 2 Char"/>
    <w:basedOn w:val="DefaultParagraphFont"/>
    <w:link w:val="Heading2"/>
    <w:uiPriority w:val="9"/>
    <w:rsid w:val="006907BE"/>
    <w:rPr>
      <w:rFonts w:eastAsiaTheme="majorEastAsia" w:cstheme="majorBidi"/>
      <w:b/>
      <w:bCs/>
      <w:color w:val="4472C4" w:themeColor="accent1"/>
      <w:sz w:val="22"/>
      <w:szCs w:val="26"/>
      <w:lang w:val="en-US"/>
    </w:rPr>
  </w:style>
  <w:style w:type="character" w:customStyle="1" w:styleId="Heading3Char">
    <w:name w:val="Heading 3 Char"/>
    <w:basedOn w:val="DefaultParagraphFont"/>
    <w:link w:val="Heading3"/>
    <w:uiPriority w:val="9"/>
    <w:rsid w:val="006907BE"/>
    <w:rPr>
      <w:rFonts w:eastAsiaTheme="majorEastAsia" w:cstheme="majorBidi"/>
      <w:color w:val="2F5496" w:themeColor="accent1" w:themeShade="BF"/>
      <w:sz w:val="22"/>
    </w:rPr>
  </w:style>
  <w:style w:type="character" w:customStyle="1" w:styleId="Heading4Char">
    <w:name w:val="Heading 4 Char"/>
    <w:basedOn w:val="DefaultParagraphFont"/>
    <w:link w:val="Heading4"/>
    <w:uiPriority w:val="9"/>
    <w:rsid w:val="00AF0F7C"/>
    <w:rPr>
      <w:rFonts w:ascii="Arial" w:eastAsiaTheme="majorEastAsia" w:hAnsi="Arial" w:cstheme="majorBidi"/>
      <w:i/>
      <w:iCs/>
      <w:color w:val="2F5496" w:themeColor="accent1" w:themeShade="BF"/>
      <w:sz w:val="22"/>
    </w:rPr>
  </w:style>
  <w:style w:type="character" w:customStyle="1" w:styleId="Heading5Char">
    <w:name w:val="Heading 5 Char"/>
    <w:basedOn w:val="DefaultParagraphFont"/>
    <w:link w:val="Heading5"/>
    <w:uiPriority w:val="9"/>
    <w:rsid w:val="00AF0F7C"/>
    <w:rPr>
      <w:rFonts w:ascii="Arial" w:eastAsiaTheme="majorEastAsia" w:hAnsi="Arial" w:cstheme="majorBidi"/>
      <w:color w:val="2F5496" w:themeColor="accent1" w:themeShade="BF"/>
      <w:sz w:val="22"/>
    </w:rPr>
  </w:style>
  <w:style w:type="paragraph" w:styleId="Header">
    <w:name w:val="header"/>
    <w:basedOn w:val="Normal"/>
    <w:link w:val="HeaderChar"/>
    <w:uiPriority w:val="99"/>
    <w:unhideWhenUsed/>
    <w:rsid w:val="00B976C6"/>
    <w:pPr>
      <w:tabs>
        <w:tab w:val="center" w:pos="4680"/>
        <w:tab w:val="right" w:pos="9360"/>
      </w:tabs>
    </w:pPr>
  </w:style>
  <w:style w:type="character" w:customStyle="1" w:styleId="HeaderChar">
    <w:name w:val="Header Char"/>
    <w:basedOn w:val="DefaultParagraphFont"/>
    <w:link w:val="Header"/>
    <w:uiPriority w:val="99"/>
    <w:rsid w:val="00B976C6"/>
  </w:style>
  <w:style w:type="paragraph" w:styleId="Footer">
    <w:name w:val="footer"/>
    <w:aliases w:val="|| Footer"/>
    <w:basedOn w:val="Normal"/>
    <w:link w:val="FooterChar"/>
    <w:uiPriority w:val="99"/>
    <w:unhideWhenUsed/>
    <w:rsid w:val="00B976C6"/>
    <w:pPr>
      <w:tabs>
        <w:tab w:val="center" w:pos="4680"/>
        <w:tab w:val="right" w:pos="9360"/>
      </w:tabs>
    </w:pPr>
  </w:style>
  <w:style w:type="character" w:customStyle="1" w:styleId="FooterChar">
    <w:name w:val="Footer Char"/>
    <w:aliases w:val="|| Footer Char"/>
    <w:basedOn w:val="DefaultParagraphFont"/>
    <w:link w:val="Footer"/>
    <w:uiPriority w:val="99"/>
    <w:rsid w:val="00B976C6"/>
  </w:style>
  <w:style w:type="paragraph" w:styleId="Title">
    <w:name w:val="Title"/>
    <w:basedOn w:val="Normal"/>
    <w:next w:val="Normal"/>
    <w:link w:val="TitleChar"/>
    <w:uiPriority w:val="10"/>
    <w:qFormat/>
    <w:rsid w:val="00AF0F7C"/>
    <w:pPr>
      <w:spacing w:before="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F0F7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250490"/>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250490"/>
    <w:rPr>
      <w:rFonts w:eastAsiaTheme="minorEastAsia"/>
      <w:color w:val="5A5A5A" w:themeColor="text1" w:themeTint="A5"/>
      <w:spacing w:val="15"/>
      <w:sz w:val="22"/>
      <w:szCs w:val="22"/>
    </w:rPr>
  </w:style>
  <w:style w:type="paragraph" w:styleId="TOC1">
    <w:name w:val="toc 1"/>
    <w:basedOn w:val="Normal"/>
    <w:next w:val="Normal"/>
    <w:autoRedefine/>
    <w:uiPriority w:val="39"/>
    <w:unhideWhenUsed/>
    <w:rsid w:val="00C906A8"/>
    <w:pPr>
      <w:tabs>
        <w:tab w:val="left" w:pos="720"/>
        <w:tab w:val="right" w:leader="dot" w:pos="9735"/>
      </w:tabs>
      <w:spacing w:before="120" w:after="0"/>
    </w:pPr>
    <w:rPr>
      <w:rFonts w:cstheme="minorHAnsi"/>
      <w:b/>
      <w:bCs/>
      <w:iCs/>
    </w:rPr>
  </w:style>
  <w:style w:type="paragraph" w:styleId="TOC2">
    <w:name w:val="toc 2"/>
    <w:basedOn w:val="Normal"/>
    <w:next w:val="Normal"/>
    <w:autoRedefine/>
    <w:uiPriority w:val="39"/>
    <w:unhideWhenUsed/>
    <w:rsid w:val="009260B2"/>
    <w:pPr>
      <w:spacing w:before="120" w:after="0"/>
      <w:ind w:left="720"/>
    </w:pPr>
    <w:rPr>
      <w:rFonts w:cstheme="minorHAnsi"/>
      <w:bCs/>
      <w:szCs w:val="22"/>
    </w:rPr>
  </w:style>
  <w:style w:type="character" w:styleId="Hyperlink">
    <w:name w:val="Hyperlink"/>
    <w:basedOn w:val="DefaultParagraphFont"/>
    <w:uiPriority w:val="99"/>
    <w:unhideWhenUsed/>
    <w:rsid w:val="00250490"/>
    <w:rPr>
      <w:color w:val="0563C1" w:themeColor="hyperlink"/>
      <w:u w:val="single"/>
    </w:rPr>
  </w:style>
  <w:style w:type="paragraph" w:customStyle="1" w:styleId="AppendixHeading">
    <w:name w:val="Appendix Heading"/>
    <w:basedOn w:val="Heading1"/>
    <w:next w:val="Normal"/>
    <w:qFormat/>
    <w:rsid w:val="006907BE"/>
    <w:pPr>
      <w:numPr>
        <w:numId w:val="2"/>
      </w:numPr>
    </w:pPr>
  </w:style>
  <w:style w:type="paragraph" w:styleId="ListParagraph">
    <w:name w:val="List Paragraph"/>
    <w:aliases w:val="Report Sub-Paragraph,Numbered Paragraph,Main numbered paragraph,List Paragraph1,List Paragraph11,Bullet1,L,CV text,Table text,F5 List Paragraph,Dot pt,List Paragraph111,Medium Grid 1 - Accent 21,List Paragraph2,Bulleted Para,FooterText"/>
    <w:basedOn w:val="Normal"/>
    <w:link w:val="ListParagraphChar"/>
    <w:uiPriority w:val="34"/>
    <w:qFormat/>
    <w:rsid w:val="004B1251"/>
    <w:pPr>
      <w:numPr>
        <w:numId w:val="4"/>
      </w:numPr>
      <w:spacing w:before="40" w:after="40"/>
    </w:pPr>
    <w:rPr>
      <w:lang w:val="en-US"/>
    </w:rPr>
  </w:style>
  <w:style w:type="paragraph" w:styleId="EndnoteText">
    <w:name w:val="endnote text"/>
    <w:basedOn w:val="Normal"/>
    <w:link w:val="EndnoteTextChar"/>
    <w:uiPriority w:val="99"/>
    <w:semiHidden/>
    <w:unhideWhenUsed/>
    <w:rsid w:val="00832B23"/>
    <w:pPr>
      <w:spacing w:before="0" w:after="0"/>
    </w:pPr>
    <w:rPr>
      <w:rFonts w:eastAsiaTheme="minorEastAsia"/>
      <w:sz w:val="20"/>
      <w:szCs w:val="20"/>
      <w:lang w:val="en-GB" w:eastAsia="zh-CN"/>
    </w:rPr>
  </w:style>
  <w:style w:type="character" w:customStyle="1" w:styleId="EndnoteTextChar">
    <w:name w:val="Endnote Text Char"/>
    <w:basedOn w:val="DefaultParagraphFont"/>
    <w:link w:val="EndnoteText"/>
    <w:uiPriority w:val="99"/>
    <w:semiHidden/>
    <w:rsid w:val="00832B23"/>
    <w:rPr>
      <w:rFonts w:eastAsiaTheme="minorEastAsia"/>
      <w:sz w:val="20"/>
      <w:szCs w:val="20"/>
      <w:lang w:val="en-GB" w:eastAsia="zh-CN"/>
    </w:rPr>
  </w:style>
  <w:style w:type="character" w:styleId="EndnoteReference">
    <w:name w:val="endnote reference"/>
    <w:basedOn w:val="DefaultParagraphFont"/>
    <w:uiPriority w:val="99"/>
    <w:semiHidden/>
    <w:unhideWhenUsed/>
    <w:rsid w:val="00832B23"/>
    <w:rPr>
      <w:vertAlign w:val="superscript"/>
    </w:rPr>
  </w:style>
  <w:style w:type="paragraph" w:customStyle="1" w:styleId="Heading2Nonumbering">
    <w:name w:val="Heading 2 (No numbering)"/>
    <w:basedOn w:val="Heading3"/>
    <w:next w:val="Normal"/>
    <w:rsid w:val="004A3808"/>
    <w:pPr>
      <w:numPr>
        <w:ilvl w:val="0"/>
        <w:numId w:val="0"/>
      </w:numPr>
      <w:ind w:left="720" w:hanging="720"/>
    </w:pPr>
  </w:style>
  <w:style w:type="table" w:styleId="GridTable1Light-Accent1">
    <w:name w:val="Grid Table 1 Light Accent 1"/>
    <w:basedOn w:val="TableNormal"/>
    <w:uiPriority w:val="46"/>
    <w:rsid w:val="008612EC"/>
    <w:rPr>
      <w:rFonts w:eastAsiaTheme="minorEastAsia"/>
      <w:sz w:val="22"/>
      <w:szCs w:val="22"/>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ndnoteText1">
    <w:name w:val="Endnote Text1"/>
    <w:basedOn w:val="EndnoteText"/>
    <w:rsid w:val="009A74B1"/>
    <w:rPr>
      <w:rFonts w:cstheme="majorHAnsi"/>
      <w:sz w:val="18"/>
      <w:szCs w:val="12"/>
    </w:rPr>
  </w:style>
  <w:style w:type="character" w:styleId="CommentReference">
    <w:name w:val="annotation reference"/>
    <w:basedOn w:val="DefaultParagraphFont"/>
    <w:uiPriority w:val="99"/>
    <w:unhideWhenUsed/>
    <w:rsid w:val="007D2DB3"/>
    <w:rPr>
      <w:sz w:val="16"/>
      <w:szCs w:val="16"/>
    </w:rPr>
  </w:style>
  <w:style w:type="paragraph" w:styleId="CommentText">
    <w:name w:val="annotation text"/>
    <w:basedOn w:val="Normal"/>
    <w:link w:val="CommentTextChar"/>
    <w:uiPriority w:val="99"/>
    <w:unhideWhenUsed/>
    <w:qFormat/>
    <w:rsid w:val="007D2DB3"/>
    <w:pPr>
      <w:spacing w:before="0" w:after="160"/>
    </w:pPr>
    <w:rPr>
      <w:rFonts w:eastAsiaTheme="minorEastAsia"/>
      <w:sz w:val="20"/>
      <w:szCs w:val="20"/>
      <w:lang w:val="en-GB" w:eastAsia="zh-CN"/>
    </w:rPr>
  </w:style>
  <w:style w:type="character" w:customStyle="1" w:styleId="CommentTextChar">
    <w:name w:val="Comment Text Char"/>
    <w:basedOn w:val="DefaultParagraphFont"/>
    <w:link w:val="CommentText"/>
    <w:uiPriority w:val="99"/>
    <w:rsid w:val="007D2DB3"/>
    <w:rPr>
      <w:rFonts w:eastAsiaTheme="minorEastAsia"/>
      <w:sz w:val="20"/>
      <w:szCs w:val="20"/>
      <w:lang w:val="en-GB" w:eastAsia="zh-CN"/>
    </w:rPr>
  </w:style>
  <w:style w:type="paragraph" w:styleId="BalloonText">
    <w:name w:val="Balloon Text"/>
    <w:basedOn w:val="Normal"/>
    <w:link w:val="BalloonTextChar"/>
    <w:uiPriority w:val="99"/>
    <w:semiHidden/>
    <w:unhideWhenUsed/>
    <w:rsid w:val="007D2DB3"/>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2DB3"/>
    <w:rPr>
      <w:rFonts w:ascii="Times New Roman" w:hAnsi="Times New Roman" w:cs="Times New Roman"/>
      <w:sz w:val="18"/>
      <w:szCs w:val="18"/>
    </w:rPr>
  </w:style>
  <w:style w:type="table" w:styleId="TableGrid">
    <w:name w:val="Table Grid"/>
    <w:basedOn w:val="TableNormal"/>
    <w:uiPriority w:val="39"/>
    <w:rsid w:val="007D2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0781"/>
    <w:pPr>
      <w:keepNext/>
      <w:spacing w:before="120" w:after="120"/>
      <w:jc w:val="center"/>
    </w:pPr>
    <w:rPr>
      <w:b/>
      <w:iCs/>
      <w:color w:val="000000" w:themeColor="text1"/>
      <w:szCs w:val="18"/>
    </w:rPr>
  </w:style>
  <w:style w:type="character" w:customStyle="1" w:styleId="UnresolvedMention1">
    <w:name w:val="Unresolved Mention1"/>
    <w:basedOn w:val="DefaultParagraphFont"/>
    <w:uiPriority w:val="99"/>
    <w:semiHidden/>
    <w:unhideWhenUsed/>
    <w:rsid w:val="00CF5F8B"/>
    <w:rPr>
      <w:color w:val="808080"/>
      <w:shd w:val="clear" w:color="auto" w:fill="E6E6E6"/>
    </w:rPr>
  </w:style>
  <w:style w:type="character" w:styleId="FollowedHyperlink">
    <w:name w:val="FollowedHyperlink"/>
    <w:basedOn w:val="DefaultParagraphFont"/>
    <w:uiPriority w:val="99"/>
    <w:semiHidden/>
    <w:unhideWhenUsed/>
    <w:rsid w:val="00CF5F8B"/>
    <w:rPr>
      <w:color w:val="954F72" w:themeColor="followedHyperlink"/>
      <w:u w:val="single"/>
    </w:rPr>
  </w:style>
  <w:style w:type="paragraph" w:styleId="NoSpacing">
    <w:name w:val="No Spacing"/>
    <w:link w:val="NoSpacingChar"/>
    <w:uiPriority w:val="1"/>
    <w:qFormat/>
    <w:rsid w:val="00BA1194"/>
    <w:rPr>
      <w:rFonts w:eastAsiaTheme="minorEastAsia"/>
      <w:sz w:val="22"/>
      <w:szCs w:val="22"/>
      <w:lang w:val="en-GB" w:eastAsia="zh-CN"/>
    </w:rPr>
  </w:style>
  <w:style w:type="paragraph" w:styleId="TOCHeading">
    <w:name w:val="TOC Heading"/>
    <w:basedOn w:val="Heading1"/>
    <w:next w:val="Normal"/>
    <w:uiPriority w:val="39"/>
    <w:unhideWhenUsed/>
    <w:qFormat/>
    <w:rsid w:val="00AF0F7C"/>
    <w:pPr>
      <w:numPr>
        <w:numId w:val="0"/>
      </w:numPr>
      <w:spacing w:before="480" w:after="0" w:line="276" w:lineRule="auto"/>
      <w:outlineLvl w:val="9"/>
    </w:pPr>
  </w:style>
  <w:style w:type="paragraph" w:styleId="TOC3">
    <w:name w:val="toc 3"/>
    <w:basedOn w:val="Normal"/>
    <w:next w:val="Normal"/>
    <w:autoRedefine/>
    <w:uiPriority w:val="39"/>
    <w:unhideWhenUsed/>
    <w:rsid w:val="007752B7"/>
    <w:pPr>
      <w:spacing w:before="0" w:after="0"/>
    </w:pPr>
    <w:rPr>
      <w:rFonts w:asciiTheme="majorHAnsi" w:hAnsiTheme="majorHAnsi" w:cstheme="minorHAnsi"/>
      <w:sz w:val="20"/>
      <w:szCs w:val="20"/>
    </w:rPr>
  </w:style>
  <w:style w:type="paragraph" w:styleId="TOC4">
    <w:name w:val="toc 4"/>
    <w:basedOn w:val="Normal"/>
    <w:next w:val="Normal"/>
    <w:autoRedefine/>
    <w:uiPriority w:val="39"/>
    <w:semiHidden/>
    <w:unhideWhenUsed/>
    <w:rsid w:val="002E5C9A"/>
    <w:pPr>
      <w:spacing w:before="0" w:after="0"/>
      <w:ind w:left="660"/>
    </w:pPr>
    <w:rPr>
      <w:rFonts w:cstheme="minorHAnsi"/>
      <w:sz w:val="20"/>
      <w:szCs w:val="20"/>
    </w:rPr>
  </w:style>
  <w:style w:type="paragraph" w:styleId="TOC5">
    <w:name w:val="toc 5"/>
    <w:basedOn w:val="Normal"/>
    <w:next w:val="Normal"/>
    <w:autoRedefine/>
    <w:uiPriority w:val="39"/>
    <w:semiHidden/>
    <w:unhideWhenUsed/>
    <w:rsid w:val="002E5C9A"/>
    <w:pPr>
      <w:spacing w:before="0" w:after="0"/>
      <w:ind w:left="880"/>
    </w:pPr>
    <w:rPr>
      <w:rFonts w:cstheme="minorHAnsi"/>
      <w:sz w:val="20"/>
      <w:szCs w:val="20"/>
    </w:rPr>
  </w:style>
  <w:style w:type="paragraph" w:styleId="TOC6">
    <w:name w:val="toc 6"/>
    <w:basedOn w:val="Normal"/>
    <w:next w:val="Normal"/>
    <w:autoRedefine/>
    <w:uiPriority w:val="39"/>
    <w:semiHidden/>
    <w:unhideWhenUsed/>
    <w:rsid w:val="002E5C9A"/>
    <w:pPr>
      <w:spacing w:before="0" w:after="0"/>
      <w:ind w:left="1100"/>
    </w:pPr>
    <w:rPr>
      <w:rFonts w:cstheme="minorHAnsi"/>
      <w:sz w:val="20"/>
      <w:szCs w:val="20"/>
    </w:rPr>
  </w:style>
  <w:style w:type="paragraph" w:styleId="TOC7">
    <w:name w:val="toc 7"/>
    <w:basedOn w:val="Normal"/>
    <w:next w:val="Normal"/>
    <w:autoRedefine/>
    <w:uiPriority w:val="39"/>
    <w:semiHidden/>
    <w:unhideWhenUsed/>
    <w:rsid w:val="002E5C9A"/>
    <w:pPr>
      <w:spacing w:before="0" w:after="0"/>
      <w:ind w:left="1320"/>
    </w:pPr>
    <w:rPr>
      <w:rFonts w:cstheme="minorHAnsi"/>
      <w:sz w:val="20"/>
      <w:szCs w:val="20"/>
    </w:rPr>
  </w:style>
  <w:style w:type="paragraph" w:styleId="TOC8">
    <w:name w:val="toc 8"/>
    <w:basedOn w:val="Normal"/>
    <w:next w:val="Normal"/>
    <w:autoRedefine/>
    <w:uiPriority w:val="39"/>
    <w:semiHidden/>
    <w:unhideWhenUsed/>
    <w:rsid w:val="002E5C9A"/>
    <w:pPr>
      <w:spacing w:before="0" w:after="0"/>
      <w:ind w:left="1540"/>
    </w:pPr>
    <w:rPr>
      <w:rFonts w:cstheme="minorHAnsi"/>
      <w:sz w:val="20"/>
      <w:szCs w:val="20"/>
    </w:rPr>
  </w:style>
  <w:style w:type="paragraph" w:styleId="TOC9">
    <w:name w:val="toc 9"/>
    <w:basedOn w:val="Normal"/>
    <w:next w:val="Normal"/>
    <w:autoRedefine/>
    <w:uiPriority w:val="39"/>
    <w:semiHidden/>
    <w:unhideWhenUsed/>
    <w:rsid w:val="002E5C9A"/>
    <w:pPr>
      <w:spacing w:before="0" w:after="0"/>
      <w:ind w:left="1760"/>
    </w:pPr>
    <w:rPr>
      <w:rFonts w:cstheme="minorHAnsi"/>
      <w:sz w:val="20"/>
      <w:szCs w:val="20"/>
    </w:rPr>
  </w:style>
  <w:style w:type="paragraph" w:styleId="FootnoteText">
    <w:name w:val="footnote text"/>
    <w:aliases w:val="Footnote Text Char Char Char12,Footnote Text Char1 Char Char Char Char12,Footnote Text Char1 Char Char Char12,ALTS FOOTNOTE3,Footnote Text Char13 Char,Footnote Text Char13,fn,footnote text,Footnotes,Footnote ak,Footnotetext,Char6,Style 12"/>
    <w:basedOn w:val="Normal"/>
    <w:link w:val="FootnoteTextChar"/>
    <w:uiPriority w:val="99"/>
    <w:unhideWhenUsed/>
    <w:qFormat/>
    <w:rsid w:val="00892038"/>
    <w:pPr>
      <w:spacing w:before="0" w:after="0"/>
    </w:pPr>
    <w:rPr>
      <w:sz w:val="20"/>
      <w:szCs w:val="20"/>
      <w:lang w:val="en-US"/>
    </w:rPr>
  </w:style>
  <w:style w:type="character" w:customStyle="1" w:styleId="FootnoteTextChar">
    <w:name w:val="Footnote Text Char"/>
    <w:aliases w:val="Footnote Text Char Char Char12 Char,Footnote Text Char1 Char Char Char Char12 Char,Footnote Text Char1 Char Char Char12 Char,ALTS FOOTNOTE3 Char,Footnote Text Char13 Char Char,Footnote Text Char13 Char1,fn Char,footnote text Char"/>
    <w:basedOn w:val="DefaultParagraphFont"/>
    <w:link w:val="FootnoteText"/>
    <w:uiPriority w:val="99"/>
    <w:rsid w:val="00892038"/>
    <w:rPr>
      <w:sz w:val="20"/>
      <w:szCs w:val="20"/>
      <w:lang w:val="en-US"/>
    </w:rPr>
  </w:style>
  <w:style w:type="character" w:styleId="FootnoteReference">
    <w:name w:val="footnote reference"/>
    <w:aliases w:val="Style 5,Ref,de nota al pie,註腳內容,de nota al pie + (Asian) MS Mincho,11 pt,Footnote Reference1,Ref1,de nota al pie1,Style 10,Style 56,Style 32,Thesis Footnote Reference,JFR-Fußnotenzeichen,*Footnote Reference,Fußnotenzeichen_neu,fr"/>
    <w:basedOn w:val="DefaultParagraphFont"/>
    <w:uiPriority w:val="99"/>
    <w:unhideWhenUsed/>
    <w:rsid w:val="00892038"/>
    <w:rPr>
      <w:vertAlign w:val="superscript"/>
    </w:rPr>
  </w:style>
  <w:style w:type="paragraph" w:customStyle="1" w:styleId="ColorfulList-Accent11">
    <w:name w:val="Colorful List - Accent 11"/>
    <w:basedOn w:val="Normal"/>
    <w:uiPriority w:val="34"/>
    <w:qFormat/>
    <w:rsid w:val="0095485E"/>
    <w:pPr>
      <w:numPr>
        <w:numId w:val="3"/>
      </w:numPr>
      <w:spacing w:before="200" w:after="200"/>
      <w:ind w:left="547"/>
    </w:pPr>
    <w:rPr>
      <w:rFonts w:ascii="Calibri Light" w:eastAsia="Garamond" w:hAnsi="Calibri Light" w:cs="Times New Roman"/>
      <w:sz w:val="20"/>
      <w:szCs w:val="22"/>
      <w:lang w:val="x-none" w:eastAsia="x-none"/>
    </w:rPr>
  </w:style>
  <w:style w:type="character" w:customStyle="1" w:styleId="ListParagraphChar">
    <w:name w:val="List Paragraph Char"/>
    <w:aliases w:val="Report Sub-Paragraph Char,Numbered Paragraph Char,Main numbered paragraph Char,List Paragraph1 Char,List Paragraph11 Char,Bullet1 Char,L Char,CV text Char,Table text Char,F5 List Paragraph Char,Dot pt Char,List Paragraph111 Char"/>
    <w:basedOn w:val="DefaultParagraphFont"/>
    <w:link w:val="ListParagraph"/>
    <w:uiPriority w:val="34"/>
    <w:qFormat/>
    <w:locked/>
    <w:rsid w:val="004B1251"/>
    <w:rPr>
      <w:sz w:val="22"/>
      <w:lang w:val="en-US"/>
    </w:rPr>
  </w:style>
  <w:style w:type="character" w:customStyle="1" w:styleId="NoSpacingChar">
    <w:name w:val="No Spacing Char"/>
    <w:basedOn w:val="DefaultParagraphFont"/>
    <w:link w:val="NoSpacing"/>
    <w:uiPriority w:val="1"/>
    <w:rsid w:val="00BA1194"/>
    <w:rPr>
      <w:rFonts w:eastAsiaTheme="minorEastAsia"/>
      <w:sz w:val="22"/>
      <w:szCs w:val="22"/>
      <w:lang w:val="en-GB" w:eastAsia="zh-CN"/>
    </w:rPr>
  </w:style>
  <w:style w:type="paragraph" w:styleId="NormalWeb">
    <w:name w:val="Normal (Web)"/>
    <w:basedOn w:val="Normal"/>
    <w:uiPriority w:val="99"/>
    <w:unhideWhenUsed/>
    <w:rsid w:val="0096102C"/>
    <w:rPr>
      <w:rFonts w:ascii="Times New Roman" w:hAnsi="Times New Roman" w:cs="Times New Roman"/>
      <w:sz w:val="24"/>
    </w:rPr>
  </w:style>
  <w:style w:type="paragraph" w:customStyle="1" w:styleId="ListParagraphNoSpacing">
    <w:name w:val="ListParagraph No Spacing"/>
    <w:basedOn w:val="ListParagraph"/>
    <w:qFormat/>
    <w:rsid w:val="00BA1194"/>
    <w:pPr>
      <w:numPr>
        <w:numId w:val="7"/>
      </w:numPr>
    </w:pPr>
  </w:style>
  <w:style w:type="character" w:customStyle="1" w:styleId="apple-converted-space">
    <w:name w:val="apple-converted-space"/>
    <w:basedOn w:val="DefaultParagraphFont"/>
    <w:rsid w:val="001E501F"/>
  </w:style>
  <w:style w:type="paragraph" w:customStyle="1" w:styleId="NumBullet">
    <w:name w:val="Num Bullet"/>
    <w:rsid w:val="007D52FC"/>
    <w:pPr>
      <w:numPr>
        <w:numId w:val="5"/>
      </w:numPr>
      <w:spacing w:after="40"/>
      <w:ind w:left="504" w:hanging="288"/>
    </w:pPr>
    <w:rPr>
      <w:color w:val="44546A" w:themeColor="text2"/>
      <w:sz w:val="22"/>
      <w:szCs w:val="22"/>
      <w:lang w:val="en-US"/>
    </w:rPr>
  </w:style>
  <w:style w:type="paragraph" w:styleId="BodyTextIndent">
    <w:name w:val="Body Text Indent"/>
    <w:basedOn w:val="Normal"/>
    <w:link w:val="BodyTextIndentChar"/>
    <w:uiPriority w:val="99"/>
    <w:unhideWhenUsed/>
    <w:rsid w:val="006A5E39"/>
    <w:pPr>
      <w:spacing w:before="0" w:after="120"/>
      <w:ind w:left="360"/>
    </w:pPr>
    <w:rPr>
      <w:rFonts w:eastAsia="Calibri" w:cs="Times New Roman"/>
      <w:sz w:val="24"/>
      <w:lang w:val="en-US"/>
    </w:rPr>
  </w:style>
  <w:style w:type="character" w:customStyle="1" w:styleId="BodyTextIndentChar">
    <w:name w:val="Body Text Indent Char"/>
    <w:basedOn w:val="DefaultParagraphFont"/>
    <w:link w:val="BodyTextIndent"/>
    <w:uiPriority w:val="99"/>
    <w:rsid w:val="006A5E39"/>
    <w:rPr>
      <w:rFonts w:ascii="Arial" w:eastAsia="Calibri" w:hAnsi="Arial" w:cs="Times New Roman"/>
      <w:lang w:val="en-US"/>
    </w:rPr>
  </w:style>
  <w:style w:type="paragraph" w:customStyle="1" w:styleId="Tablelist">
    <w:name w:val="Table list"/>
    <w:basedOn w:val="ListParagraph"/>
    <w:qFormat/>
    <w:rsid w:val="00E37174"/>
    <w:pPr>
      <w:numPr>
        <w:numId w:val="6"/>
      </w:numPr>
      <w:ind w:left="357" w:hanging="357"/>
    </w:pPr>
  </w:style>
  <w:style w:type="paragraph" w:styleId="CommentSubject">
    <w:name w:val="annotation subject"/>
    <w:basedOn w:val="CommentText"/>
    <w:next w:val="CommentText"/>
    <w:link w:val="CommentSubjectChar"/>
    <w:uiPriority w:val="99"/>
    <w:semiHidden/>
    <w:unhideWhenUsed/>
    <w:rsid w:val="00E37174"/>
    <w:pPr>
      <w:spacing w:before="240" w:after="240"/>
    </w:pPr>
    <w:rPr>
      <w:rFonts w:eastAsiaTheme="minorHAnsi"/>
      <w:b/>
      <w:bCs/>
      <w:lang w:val="en-SG" w:eastAsia="en-US"/>
    </w:rPr>
  </w:style>
  <w:style w:type="character" w:customStyle="1" w:styleId="CommentSubjectChar">
    <w:name w:val="Comment Subject Char"/>
    <w:basedOn w:val="CommentTextChar"/>
    <w:link w:val="CommentSubject"/>
    <w:uiPriority w:val="99"/>
    <w:semiHidden/>
    <w:rsid w:val="00E37174"/>
    <w:rPr>
      <w:rFonts w:eastAsiaTheme="minorEastAsia"/>
      <w:b/>
      <w:bCs/>
      <w:sz w:val="20"/>
      <w:szCs w:val="20"/>
      <w:lang w:val="en-GB" w:eastAsia="zh-CN"/>
    </w:rPr>
  </w:style>
  <w:style w:type="paragraph" w:styleId="BodyText0">
    <w:name w:val="Body Text"/>
    <w:basedOn w:val="Normal"/>
    <w:link w:val="BodyTextChar"/>
    <w:uiPriority w:val="99"/>
    <w:semiHidden/>
    <w:unhideWhenUsed/>
    <w:rsid w:val="00947632"/>
    <w:pPr>
      <w:spacing w:after="120"/>
    </w:pPr>
  </w:style>
  <w:style w:type="character" w:customStyle="1" w:styleId="BodyTextChar">
    <w:name w:val="Body Text Char"/>
    <w:basedOn w:val="DefaultParagraphFont"/>
    <w:link w:val="BodyText0"/>
    <w:uiPriority w:val="99"/>
    <w:semiHidden/>
    <w:rsid w:val="00947632"/>
    <w:rPr>
      <w:sz w:val="22"/>
    </w:rPr>
  </w:style>
  <w:style w:type="paragraph" w:styleId="BodyText3">
    <w:name w:val="Body Text 3"/>
    <w:basedOn w:val="Normal"/>
    <w:link w:val="BodyText3Char"/>
    <w:uiPriority w:val="99"/>
    <w:semiHidden/>
    <w:unhideWhenUsed/>
    <w:rsid w:val="00963CA3"/>
    <w:pPr>
      <w:spacing w:after="120"/>
    </w:pPr>
    <w:rPr>
      <w:rFonts w:ascii="Trebuchet MS" w:hAnsi="Trebuchet MS"/>
      <w:sz w:val="16"/>
      <w:szCs w:val="16"/>
    </w:rPr>
  </w:style>
  <w:style w:type="character" w:customStyle="1" w:styleId="BodyText3Char">
    <w:name w:val="Body Text 3 Char"/>
    <w:basedOn w:val="DefaultParagraphFont"/>
    <w:link w:val="BodyText3"/>
    <w:uiPriority w:val="99"/>
    <w:semiHidden/>
    <w:rsid w:val="00963CA3"/>
    <w:rPr>
      <w:rFonts w:ascii="Trebuchet MS" w:hAnsi="Trebuchet MS"/>
      <w:sz w:val="16"/>
      <w:szCs w:val="16"/>
    </w:rPr>
  </w:style>
  <w:style w:type="character" w:customStyle="1" w:styleId="UnresolvedMention10">
    <w:name w:val="Unresolved Mention10"/>
    <w:basedOn w:val="DefaultParagraphFont"/>
    <w:uiPriority w:val="99"/>
    <w:semiHidden/>
    <w:unhideWhenUsed/>
    <w:rsid w:val="00963CA3"/>
    <w:rPr>
      <w:color w:val="808080"/>
      <w:shd w:val="clear" w:color="auto" w:fill="E6E6E6"/>
    </w:rPr>
  </w:style>
  <w:style w:type="character" w:styleId="PageNumber">
    <w:name w:val="page number"/>
    <w:basedOn w:val="DefaultParagraphFont"/>
    <w:uiPriority w:val="99"/>
    <w:semiHidden/>
    <w:unhideWhenUsed/>
    <w:rsid w:val="00963CA3"/>
  </w:style>
  <w:style w:type="paragraph" w:customStyle="1" w:styleId="Default">
    <w:name w:val="Default"/>
    <w:rsid w:val="00963CA3"/>
    <w:pPr>
      <w:autoSpaceDE w:val="0"/>
      <w:autoSpaceDN w:val="0"/>
      <w:adjustRightInd w:val="0"/>
    </w:pPr>
    <w:rPr>
      <w:rFonts w:ascii="Calibri" w:hAnsi="Calibri" w:cs="Calibri"/>
      <w:color w:val="000000"/>
      <w:lang w:val="en-US"/>
    </w:rPr>
  </w:style>
  <w:style w:type="paragraph" w:customStyle="1" w:styleId="msonormal0">
    <w:name w:val="msonormal"/>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67">
    <w:name w:val="xl67"/>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68">
    <w:name w:val="xl68"/>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69">
    <w:name w:val="xl69"/>
    <w:basedOn w:val="Normal"/>
    <w:rsid w:val="00963CA3"/>
    <w:pPr>
      <w:pBdr>
        <w:top w:val="single" w:sz="8" w:space="0" w:color="2B0C56"/>
        <w:left w:val="single" w:sz="8"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70">
    <w:name w:val="xl70"/>
    <w:basedOn w:val="Normal"/>
    <w:rsid w:val="00963CA3"/>
    <w:pPr>
      <w:pBdr>
        <w:top w:val="single" w:sz="8"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71">
    <w:name w:val="xl71"/>
    <w:basedOn w:val="Normal"/>
    <w:rsid w:val="00963CA3"/>
    <w:pPr>
      <w:pBdr>
        <w:top w:val="single" w:sz="8" w:space="0" w:color="2B0C56"/>
      </w:pBdr>
      <w:spacing w:before="100" w:beforeAutospacing="1" w:after="100" w:afterAutospacing="1"/>
    </w:pPr>
    <w:rPr>
      <w:rFonts w:ascii="Times New Roman" w:eastAsia="Times New Roman" w:hAnsi="Times New Roman" w:cs="Times New Roman"/>
      <w:sz w:val="24"/>
    </w:rPr>
  </w:style>
  <w:style w:type="paragraph" w:customStyle="1" w:styleId="xl72">
    <w:name w:val="xl72"/>
    <w:basedOn w:val="Normal"/>
    <w:rsid w:val="00963CA3"/>
    <w:pPr>
      <w:pBdr>
        <w:top w:val="single" w:sz="8" w:space="0" w:color="2B0C56"/>
      </w:pBdr>
      <w:spacing w:before="100" w:beforeAutospacing="1" w:after="100" w:afterAutospacing="1"/>
    </w:pPr>
    <w:rPr>
      <w:rFonts w:ascii="Times New Roman" w:eastAsia="Times New Roman" w:hAnsi="Times New Roman" w:cs="Times New Roman"/>
      <w:sz w:val="24"/>
    </w:rPr>
  </w:style>
  <w:style w:type="paragraph" w:customStyle="1" w:styleId="xl73">
    <w:name w:val="xl73"/>
    <w:basedOn w:val="Normal"/>
    <w:rsid w:val="00963CA3"/>
    <w:pPr>
      <w:pBdr>
        <w:top w:val="single" w:sz="8"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74">
    <w:name w:val="xl74"/>
    <w:basedOn w:val="Normal"/>
    <w:rsid w:val="00963CA3"/>
    <w:pPr>
      <w:pBdr>
        <w:left w:val="single" w:sz="8"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75">
    <w:name w:val="xl75"/>
    <w:basedOn w:val="Normal"/>
    <w:rsid w:val="00963CA3"/>
    <w:pPr>
      <w:spacing w:before="100" w:beforeAutospacing="1" w:after="100" w:afterAutospacing="1"/>
      <w:jc w:val="center"/>
    </w:pPr>
    <w:rPr>
      <w:rFonts w:ascii="Times New Roman" w:eastAsia="Times New Roman" w:hAnsi="Times New Roman" w:cs="Times New Roman"/>
      <w:b/>
      <w:bCs/>
      <w:sz w:val="24"/>
    </w:rPr>
  </w:style>
  <w:style w:type="paragraph" w:customStyle="1" w:styleId="xl76">
    <w:name w:val="xl76"/>
    <w:basedOn w:val="Normal"/>
    <w:rsid w:val="00963CA3"/>
    <w:pPr>
      <w:spacing w:before="100" w:beforeAutospacing="1" w:after="100" w:afterAutospacing="1"/>
    </w:pPr>
    <w:rPr>
      <w:rFonts w:ascii="Times New Roman" w:eastAsia="Times New Roman" w:hAnsi="Times New Roman" w:cs="Times New Roman"/>
      <w:b/>
      <w:bCs/>
      <w:sz w:val="24"/>
    </w:rPr>
  </w:style>
  <w:style w:type="paragraph" w:customStyle="1" w:styleId="xl77">
    <w:name w:val="xl77"/>
    <w:basedOn w:val="Normal"/>
    <w:rsid w:val="00963CA3"/>
    <w:pPr>
      <w:spacing w:before="100" w:beforeAutospacing="1" w:after="100" w:afterAutospacing="1"/>
    </w:pPr>
    <w:rPr>
      <w:rFonts w:ascii="Times New Roman" w:eastAsia="Times New Roman" w:hAnsi="Times New Roman" w:cs="Times New Roman"/>
      <w:b/>
      <w:bCs/>
      <w:sz w:val="24"/>
    </w:rPr>
  </w:style>
  <w:style w:type="paragraph" w:customStyle="1" w:styleId="xl78">
    <w:name w:val="xl78"/>
    <w:basedOn w:val="Normal"/>
    <w:rsid w:val="00963CA3"/>
    <w:pPr>
      <w:pBdr>
        <w:left w:val="dashed" w:sz="4" w:space="0" w:color="2B0C56"/>
        <w:bottom w:val="single" w:sz="4" w:space="0" w:color="2B0C56"/>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79">
    <w:name w:val="xl79"/>
    <w:basedOn w:val="Normal"/>
    <w:rsid w:val="00963CA3"/>
    <w:pPr>
      <w:pBdr>
        <w:left w:val="dashed" w:sz="4" w:space="0" w:color="2B0C56"/>
        <w:bottom w:val="single"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0">
    <w:name w:val="xl80"/>
    <w:basedOn w:val="Normal"/>
    <w:rsid w:val="00963CA3"/>
    <w:pPr>
      <w:pBdr>
        <w:top w:val="single" w:sz="4" w:space="0" w:color="2B0C56"/>
        <w:left w:val="single" w:sz="4" w:space="0" w:color="2B0C56"/>
        <w:bottom w:val="single"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1">
    <w:name w:val="xl81"/>
    <w:basedOn w:val="Normal"/>
    <w:rsid w:val="00963CA3"/>
    <w:pPr>
      <w:pBdr>
        <w:top w:val="single" w:sz="4" w:space="0" w:color="2B0C56"/>
        <w:left w:val="dotted" w:sz="4" w:space="0" w:color="2B0C56"/>
        <w:bottom w:val="single"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2">
    <w:name w:val="xl82"/>
    <w:basedOn w:val="Normal"/>
    <w:rsid w:val="00963CA3"/>
    <w:pPr>
      <w:pBdr>
        <w:top w:val="single" w:sz="8" w:space="0" w:color="auto"/>
        <w:left w:val="dotted" w:sz="4" w:space="0" w:color="2B0C56"/>
        <w:bottom w:val="single" w:sz="4" w:space="0" w:color="2B0C56"/>
        <w:right w:val="single"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3">
    <w:name w:val="xl83"/>
    <w:basedOn w:val="Normal"/>
    <w:rsid w:val="00963CA3"/>
    <w:pPr>
      <w:pBdr>
        <w:top w:val="single" w:sz="8" w:space="0" w:color="auto"/>
        <w:left w:val="single" w:sz="4" w:space="0" w:color="2B0C56"/>
        <w:bottom w:val="single"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4">
    <w:name w:val="xl84"/>
    <w:basedOn w:val="Normal"/>
    <w:rsid w:val="00963CA3"/>
    <w:pPr>
      <w:pBdr>
        <w:top w:val="single" w:sz="4" w:space="0" w:color="2B0C56"/>
        <w:left w:val="dotted" w:sz="4" w:space="0" w:color="2B0C56"/>
        <w:bottom w:val="single" w:sz="4" w:space="0" w:color="2B0C56"/>
        <w:right w:val="single"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5">
    <w:name w:val="xl85"/>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6">
    <w:name w:val="xl86"/>
    <w:basedOn w:val="Normal"/>
    <w:rsid w:val="00963CA3"/>
    <w:pPr>
      <w:pBdr>
        <w:lef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7">
    <w:name w:val="xl87"/>
    <w:basedOn w:val="Normal"/>
    <w:rsid w:val="00963CA3"/>
    <w:pPr>
      <w:pBdr>
        <w:left w:val="single"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8">
    <w:name w:val="xl88"/>
    <w:basedOn w:val="Normal"/>
    <w:rsid w:val="00963CA3"/>
    <w:pPr>
      <w:pBdr>
        <w:left w:val="dotted"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89">
    <w:name w:val="xl89"/>
    <w:basedOn w:val="Normal"/>
    <w:rsid w:val="00963CA3"/>
    <w:pPr>
      <w:pBdr>
        <w:left w:val="dotted" w:sz="4" w:space="0" w:color="2B0C56"/>
        <w:right w:val="single"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90">
    <w:name w:val="xl90"/>
    <w:basedOn w:val="Normal"/>
    <w:rsid w:val="00963CA3"/>
    <w:pPr>
      <w:pBdr>
        <w:left w:val="single" w:sz="8"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91">
    <w:name w:val="xl91"/>
    <w:basedOn w:val="Normal"/>
    <w:rsid w:val="00963CA3"/>
    <w:pPr>
      <w:pBdr>
        <w:left w:val="dotted" w:sz="4" w:space="0" w:color="2B0C56"/>
        <w:right w:val="single" w:sz="8"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92">
    <w:name w:val="xl92"/>
    <w:basedOn w:val="Normal"/>
    <w:rsid w:val="00963CA3"/>
    <w:pPr>
      <w:spacing w:before="100" w:beforeAutospacing="1" w:after="100" w:afterAutospacing="1"/>
      <w:jc w:val="center"/>
    </w:pPr>
    <w:rPr>
      <w:rFonts w:ascii="Times New Roman" w:eastAsia="Times New Roman" w:hAnsi="Times New Roman" w:cs="Times New Roman"/>
      <w:b/>
      <w:bCs/>
      <w:sz w:val="24"/>
    </w:rPr>
  </w:style>
  <w:style w:type="paragraph" w:customStyle="1" w:styleId="xl93">
    <w:name w:val="xl93"/>
    <w:basedOn w:val="Normal"/>
    <w:rsid w:val="00963CA3"/>
    <w:pPr>
      <w:spacing w:before="100" w:beforeAutospacing="1" w:after="100" w:afterAutospacing="1"/>
      <w:jc w:val="center"/>
    </w:pPr>
    <w:rPr>
      <w:rFonts w:ascii="Times New Roman" w:eastAsia="Times New Roman" w:hAnsi="Times New Roman" w:cs="Times New Roman"/>
      <w:sz w:val="24"/>
    </w:rPr>
  </w:style>
  <w:style w:type="paragraph" w:customStyle="1" w:styleId="xl94">
    <w:name w:val="xl94"/>
    <w:basedOn w:val="Normal"/>
    <w:rsid w:val="00963CA3"/>
    <w:pPr>
      <w:pBdr>
        <w:left w:val="dashed" w:sz="4" w:space="0" w:color="2B0C56"/>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95">
    <w:name w:val="xl95"/>
    <w:basedOn w:val="Normal"/>
    <w:rsid w:val="00963CA3"/>
    <w:pPr>
      <w:pBdr>
        <w:lef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96">
    <w:name w:val="xl96"/>
    <w:basedOn w:val="Normal"/>
    <w:rsid w:val="00963CA3"/>
    <w:pPr>
      <w:pBdr>
        <w:left w:val="single"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97">
    <w:name w:val="xl97"/>
    <w:basedOn w:val="Normal"/>
    <w:rsid w:val="00963CA3"/>
    <w:pPr>
      <w:pBdr>
        <w:left w:val="dotted"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98">
    <w:name w:val="xl98"/>
    <w:basedOn w:val="Normal"/>
    <w:rsid w:val="00963CA3"/>
    <w:pPr>
      <w:pBdr>
        <w:left w:val="dotted" w:sz="4" w:space="0" w:color="2B0C56"/>
        <w:right w:val="single" w:sz="4" w:space="0" w:color="2B0C56"/>
      </w:pBdr>
      <w:spacing w:before="100" w:beforeAutospacing="1" w:after="100" w:afterAutospacing="1"/>
    </w:pPr>
    <w:rPr>
      <w:rFonts w:ascii="Times New Roman" w:eastAsia="Times New Roman" w:hAnsi="Times New Roman" w:cs="Times New Roman"/>
      <w:sz w:val="24"/>
    </w:rPr>
  </w:style>
  <w:style w:type="paragraph" w:customStyle="1" w:styleId="xl99">
    <w:name w:val="xl99"/>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00">
    <w:name w:val="xl100"/>
    <w:basedOn w:val="Normal"/>
    <w:rsid w:val="00963CA3"/>
    <w:pPr>
      <w:pBdr>
        <w:left w:val="dotted" w:sz="4" w:space="0" w:color="2B0C56"/>
        <w:right w:val="single" w:sz="8" w:space="0" w:color="2B0C56"/>
      </w:pBdr>
      <w:spacing w:before="100" w:beforeAutospacing="1" w:after="100" w:afterAutospacing="1"/>
    </w:pPr>
    <w:rPr>
      <w:rFonts w:ascii="Times New Roman" w:eastAsia="Times New Roman" w:hAnsi="Times New Roman" w:cs="Times New Roman"/>
      <w:sz w:val="24"/>
    </w:rPr>
  </w:style>
  <w:style w:type="paragraph" w:customStyle="1" w:styleId="xl101">
    <w:name w:val="xl101"/>
    <w:basedOn w:val="Normal"/>
    <w:rsid w:val="00963CA3"/>
    <w:pPr>
      <w:spacing w:before="100" w:beforeAutospacing="1" w:after="100" w:afterAutospacing="1"/>
    </w:pPr>
    <w:rPr>
      <w:rFonts w:ascii="Times New Roman" w:eastAsia="Times New Roman" w:hAnsi="Times New Roman" w:cs="Times New Roman"/>
      <w:b/>
      <w:bCs/>
      <w:sz w:val="24"/>
    </w:rPr>
  </w:style>
  <w:style w:type="paragraph" w:customStyle="1" w:styleId="xl102">
    <w:name w:val="xl102"/>
    <w:basedOn w:val="Normal"/>
    <w:rsid w:val="00963CA3"/>
    <w:pPr>
      <w:spacing w:before="100" w:beforeAutospacing="1" w:after="100" w:afterAutospacing="1"/>
    </w:pPr>
    <w:rPr>
      <w:rFonts w:ascii="Times New Roman" w:eastAsia="Times New Roman" w:hAnsi="Times New Roman" w:cs="Times New Roman"/>
      <w:b/>
      <w:bCs/>
      <w:sz w:val="24"/>
      <w:u w:val="single"/>
    </w:rPr>
  </w:style>
  <w:style w:type="paragraph" w:customStyle="1" w:styleId="xl103">
    <w:name w:val="xl103"/>
    <w:basedOn w:val="Normal"/>
    <w:rsid w:val="00963CA3"/>
    <w:pPr>
      <w:pBdr>
        <w:left w:val="dashed" w:sz="4" w:space="0" w:color="2B0C56"/>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04">
    <w:name w:val="xl104"/>
    <w:basedOn w:val="Normal"/>
    <w:rsid w:val="00963CA3"/>
    <w:pPr>
      <w:pBdr>
        <w:left w:val="dotted"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05">
    <w:name w:val="xl105"/>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06">
    <w:name w:val="xl106"/>
    <w:basedOn w:val="Normal"/>
    <w:rsid w:val="00963CA3"/>
    <w:pPr>
      <w:pBdr>
        <w:left w:val="dashed" w:sz="4" w:space="0" w:color="2B0C56"/>
        <w:bottom w:val="single" w:sz="4" w:space="0" w:color="2B0C56"/>
      </w:pBdr>
      <w:spacing w:before="100" w:beforeAutospacing="1" w:after="100" w:afterAutospacing="1"/>
    </w:pPr>
    <w:rPr>
      <w:rFonts w:ascii="Times New Roman" w:eastAsia="Times New Roman" w:hAnsi="Times New Roman" w:cs="Times New Roman"/>
      <w:sz w:val="24"/>
    </w:rPr>
  </w:style>
  <w:style w:type="paragraph" w:customStyle="1" w:styleId="xl107">
    <w:name w:val="xl107"/>
    <w:basedOn w:val="Normal"/>
    <w:rsid w:val="00963CA3"/>
    <w:pPr>
      <w:pBdr>
        <w:left w:val="single"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08">
    <w:name w:val="xl108"/>
    <w:basedOn w:val="Normal"/>
    <w:rsid w:val="00963CA3"/>
    <w:pPr>
      <w:pBdr>
        <w:left w:val="dotted" w:sz="4" w:space="0" w:color="2B0C56"/>
        <w:bottom w:val="single" w:sz="4" w:space="0" w:color="2B0C56"/>
        <w:right w:val="single" w:sz="4" w:space="0" w:color="2B0C56"/>
      </w:pBdr>
      <w:spacing w:before="100" w:beforeAutospacing="1" w:after="100" w:afterAutospacing="1"/>
    </w:pPr>
    <w:rPr>
      <w:rFonts w:ascii="Times New Roman" w:eastAsia="Times New Roman" w:hAnsi="Times New Roman" w:cs="Times New Roman"/>
      <w:sz w:val="24"/>
    </w:rPr>
  </w:style>
  <w:style w:type="paragraph" w:customStyle="1" w:styleId="xl109">
    <w:name w:val="xl109"/>
    <w:basedOn w:val="Normal"/>
    <w:rsid w:val="00963CA3"/>
    <w:pPr>
      <w:pBdr>
        <w:left w:val="dotted" w:sz="4" w:space="0" w:color="2B0C56"/>
        <w:bottom w:val="single" w:sz="4" w:space="0" w:color="2B0C56"/>
        <w:right w:val="single" w:sz="8" w:space="0" w:color="2B0C56"/>
      </w:pBdr>
      <w:spacing w:before="100" w:beforeAutospacing="1" w:after="100" w:afterAutospacing="1"/>
    </w:pPr>
    <w:rPr>
      <w:rFonts w:ascii="Times New Roman" w:eastAsia="Times New Roman" w:hAnsi="Times New Roman" w:cs="Times New Roman"/>
      <w:sz w:val="24"/>
    </w:rPr>
  </w:style>
  <w:style w:type="paragraph" w:customStyle="1" w:styleId="xl110">
    <w:name w:val="xl110"/>
    <w:basedOn w:val="Normal"/>
    <w:rsid w:val="00963CA3"/>
    <w:pPr>
      <w:spacing w:before="100" w:beforeAutospacing="1" w:after="100" w:afterAutospacing="1"/>
    </w:pPr>
    <w:rPr>
      <w:rFonts w:ascii="Times New Roman" w:eastAsia="Times New Roman" w:hAnsi="Times New Roman" w:cs="Times New Roman"/>
      <w:b/>
      <w:bCs/>
      <w:i/>
      <w:iCs/>
      <w:sz w:val="24"/>
    </w:rPr>
  </w:style>
  <w:style w:type="paragraph" w:customStyle="1" w:styleId="xl111">
    <w:name w:val="xl111"/>
    <w:basedOn w:val="Normal"/>
    <w:rsid w:val="00963CA3"/>
    <w:pPr>
      <w:pBdr>
        <w:left w:val="single" w:sz="8" w:space="0" w:color="2B0C56"/>
      </w:pBdr>
      <w:spacing w:before="100" w:beforeAutospacing="1" w:after="100" w:afterAutospacing="1"/>
      <w:jc w:val="center"/>
    </w:pPr>
    <w:rPr>
      <w:rFonts w:ascii="Times New Roman" w:eastAsia="Times New Roman" w:hAnsi="Times New Roman" w:cs="Times New Roman"/>
      <w:b/>
      <w:bCs/>
      <w:i/>
      <w:iCs/>
      <w:sz w:val="24"/>
    </w:rPr>
  </w:style>
  <w:style w:type="paragraph" w:customStyle="1" w:styleId="xl112">
    <w:name w:val="xl112"/>
    <w:basedOn w:val="Normal"/>
    <w:rsid w:val="00963CA3"/>
    <w:pPr>
      <w:spacing w:before="100" w:beforeAutospacing="1" w:after="100" w:afterAutospacing="1"/>
      <w:jc w:val="center"/>
    </w:pPr>
    <w:rPr>
      <w:rFonts w:ascii="Times New Roman" w:eastAsia="Times New Roman" w:hAnsi="Times New Roman" w:cs="Times New Roman"/>
      <w:b/>
      <w:bCs/>
      <w:i/>
      <w:iCs/>
      <w:sz w:val="24"/>
    </w:rPr>
  </w:style>
  <w:style w:type="paragraph" w:customStyle="1" w:styleId="xl113">
    <w:name w:val="xl113"/>
    <w:basedOn w:val="Normal"/>
    <w:rsid w:val="00963CA3"/>
    <w:pPr>
      <w:spacing w:before="100" w:beforeAutospacing="1" w:after="100" w:afterAutospacing="1"/>
    </w:pPr>
    <w:rPr>
      <w:rFonts w:ascii="Times New Roman" w:eastAsia="Times New Roman" w:hAnsi="Times New Roman" w:cs="Times New Roman"/>
      <w:b/>
      <w:bCs/>
      <w:i/>
      <w:iCs/>
      <w:sz w:val="24"/>
    </w:rPr>
  </w:style>
  <w:style w:type="paragraph" w:customStyle="1" w:styleId="xl114">
    <w:name w:val="xl114"/>
    <w:basedOn w:val="Normal"/>
    <w:rsid w:val="00963CA3"/>
    <w:pPr>
      <w:spacing w:before="100" w:beforeAutospacing="1" w:after="100" w:afterAutospacing="1"/>
      <w:jc w:val="center"/>
    </w:pPr>
    <w:rPr>
      <w:rFonts w:ascii="Times New Roman" w:eastAsia="Times New Roman" w:hAnsi="Times New Roman" w:cs="Times New Roman"/>
      <w:b/>
      <w:bCs/>
      <w:i/>
      <w:iCs/>
      <w:sz w:val="24"/>
    </w:rPr>
  </w:style>
  <w:style w:type="paragraph" w:customStyle="1" w:styleId="xl115">
    <w:name w:val="xl115"/>
    <w:basedOn w:val="Normal"/>
    <w:rsid w:val="00963CA3"/>
    <w:pPr>
      <w:pBdr>
        <w:left w:val="dashed" w:sz="4" w:space="0" w:color="2B0C56"/>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16">
    <w:name w:val="xl116"/>
    <w:basedOn w:val="Normal"/>
    <w:rsid w:val="00963CA3"/>
    <w:pPr>
      <w:pBdr>
        <w:lef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17">
    <w:name w:val="xl117"/>
    <w:basedOn w:val="Normal"/>
    <w:rsid w:val="00963CA3"/>
    <w:pPr>
      <w:pBdr>
        <w:left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18">
    <w:name w:val="xl118"/>
    <w:basedOn w:val="Normal"/>
    <w:rsid w:val="00963CA3"/>
    <w:pPr>
      <w:pBdr>
        <w:left w:val="dotted"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19">
    <w:name w:val="xl119"/>
    <w:basedOn w:val="Normal"/>
    <w:rsid w:val="00963CA3"/>
    <w:pPr>
      <w:pBdr>
        <w:left w:val="dotted" w:sz="4" w:space="0" w:color="2B0C56"/>
        <w:right w:val="single"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20">
    <w:name w:val="xl120"/>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21">
    <w:name w:val="xl121"/>
    <w:basedOn w:val="Normal"/>
    <w:rsid w:val="00963CA3"/>
    <w:pPr>
      <w:pBdr>
        <w:left w:val="dotted" w:sz="4" w:space="0" w:color="2B0C56"/>
        <w:right w:val="single" w:sz="8"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22">
    <w:name w:val="xl122"/>
    <w:basedOn w:val="Normal"/>
    <w:rsid w:val="00963CA3"/>
    <w:pPr>
      <w:spacing w:before="100" w:beforeAutospacing="1" w:after="100" w:afterAutospacing="1"/>
    </w:pPr>
    <w:rPr>
      <w:rFonts w:ascii="Times New Roman" w:eastAsia="Times New Roman" w:hAnsi="Times New Roman" w:cs="Times New Roman"/>
      <w:b/>
      <w:bCs/>
      <w:i/>
      <w:iCs/>
      <w:sz w:val="24"/>
    </w:rPr>
  </w:style>
  <w:style w:type="paragraph" w:customStyle="1" w:styleId="xl123">
    <w:name w:val="xl123"/>
    <w:basedOn w:val="Normal"/>
    <w:rsid w:val="00963CA3"/>
    <w:pPr>
      <w:spacing w:before="100" w:beforeAutospacing="1" w:after="100" w:afterAutospacing="1"/>
    </w:pPr>
    <w:rPr>
      <w:rFonts w:ascii="Times New Roman" w:eastAsia="Times New Roman" w:hAnsi="Times New Roman" w:cs="Times New Roman"/>
      <w:b/>
      <w:bCs/>
      <w:i/>
      <w:iCs/>
      <w:sz w:val="24"/>
    </w:rPr>
  </w:style>
  <w:style w:type="paragraph" w:customStyle="1" w:styleId="xl124">
    <w:name w:val="xl124"/>
    <w:basedOn w:val="Normal"/>
    <w:rsid w:val="00963CA3"/>
    <w:pPr>
      <w:pBdr>
        <w:left w:val="dashed" w:sz="4" w:space="0" w:color="2B0C56"/>
        <w:bottom w:val="single" w:sz="4" w:space="0" w:color="2B0C56"/>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25">
    <w:name w:val="xl125"/>
    <w:basedOn w:val="Normal"/>
    <w:rsid w:val="00963CA3"/>
    <w:pPr>
      <w:pBdr>
        <w:left w:val="dotted"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26">
    <w:name w:val="xl126"/>
    <w:basedOn w:val="Normal"/>
    <w:rsid w:val="00963CA3"/>
    <w:pPr>
      <w:pBdr>
        <w:left w:val="single" w:sz="8"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27">
    <w:name w:val="xl127"/>
    <w:basedOn w:val="Normal"/>
    <w:rsid w:val="00963CA3"/>
    <w:pPr>
      <w:pBdr>
        <w:left w:val="dashed" w:sz="4" w:space="0" w:color="2B0C56"/>
        <w:bottom w:val="single" w:sz="4" w:space="0" w:color="2B0C56"/>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28">
    <w:name w:val="xl128"/>
    <w:basedOn w:val="Normal"/>
    <w:rsid w:val="00963CA3"/>
    <w:pPr>
      <w:pBdr>
        <w:left w:val="dashed" w:sz="4" w:space="0" w:color="2B0C56"/>
        <w:bottom w:val="single"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29">
    <w:name w:val="xl129"/>
    <w:basedOn w:val="Normal"/>
    <w:rsid w:val="00963CA3"/>
    <w:pPr>
      <w:pBdr>
        <w:left w:val="single"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30">
    <w:name w:val="xl130"/>
    <w:basedOn w:val="Normal"/>
    <w:rsid w:val="00963CA3"/>
    <w:pPr>
      <w:pBdr>
        <w:left w:val="dotted"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31">
    <w:name w:val="xl131"/>
    <w:basedOn w:val="Normal"/>
    <w:rsid w:val="00963CA3"/>
    <w:pPr>
      <w:pBdr>
        <w:left w:val="dotted" w:sz="4" w:space="0" w:color="2B0C56"/>
        <w:bottom w:val="single" w:sz="4" w:space="0" w:color="2B0C56"/>
        <w:right w:val="single"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32">
    <w:name w:val="xl132"/>
    <w:basedOn w:val="Normal"/>
    <w:rsid w:val="00963CA3"/>
    <w:pPr>
      <w:pBdr>
        <w:left w:val="single" w:sz="8"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33">
    <w:name w:val="xl133"/>
    <w:basedOn w:val="Normal"/>
    <w:rsid w:val="00963CA3"/>
    <w:pPr>
      <w:pBdr>
        <w:left w:val="dotted" w:sz="4" w:space="0" w:color="2B0C56"/>
        <w:bottom w:val="single" w:sz="4" w:space="0" w:color="2B0C56"/>
        <w:right w:val="single" w:sz="8"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34">
    <w:name w:val="xl134"/>
    <w:basedOn w:val="Normal"/>
    <w:rsid w:val="00963CA3"/>
    <w:pPr>
      <w:pBdr>
        <w:top w:val="single" w:sz="4" w:space="0" w:color="2B0C56"/>
        <w:left w:val="dashed" w:sz="4" w:space="0" w:color="2B0C56"/>
        <w:bottom w:val="single"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35">
    <w:name w:val="xl135"/>
    <w:basedOn w:val="Normal"/>
    <w:rsid w:val="00963CA3"/>
    <w:pPr>
      <w:pBdr>
        <w:top w:val="single" w:sz="4" w:space="0" w:color="2B0C56"/>
        <w:left w:val="single"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36">
    <w:name w:val="xl136"/>
    <w:basedOn w:val="Normal"/>
    <w:rsid w:val="00963CA3"/>
    <w:pPr>
      <w:pBdr>
        <w:left w:val="single" w:sz="8"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37">
    <w:name w:val="xl137"/>
    <w:basedOn w:val="Normal"/>
    <w:rsid w:val="00963CA3"/>
    <w:pPr>
      <w:pBdr>
        <w:top w:val="single" w:sz="4" w:space="0" w:color="auto"/>
        <w:left w:val="dashed" w:sz="4" w:space="0" w:color="2B0C56"/>
        <w:bottom w:val="single" w:sz="4" w:space="0" w:color="auto"/>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38">
    <w:name w:val="xl138"/>
    <w:basedOn w:val="Normal"/>
    <w:rsid w:val="00963CA3"/>
    <w:pPr>
      <w:pBdr>
        <w:top w:val="single" w:sz="4" w:space="0" w:color="auto"/>
        <w:left w:val="dashed" w:sz="4" w:space="0" w:color="2B0C56"/>
        <w:bottom w:val="single" w:sz="4" w:space="0" w:color="auto"/>
      </w:pBdr>
      <w:spacing w:before="100" w:beforeAutospacing="1" w:after="100" w:afterAutospacing="1"/>
      <w:jc w:val="center"/>
    </w:pPr>
    <w:rPr>
      <w:rFonts w:ascii="Times New Roman" w:eastAsia="Times New Roman" w:hAnsi="Times New Roman" w:cs="Times New Roman"/>
      <w:b/>
      <w:bCs/>
      <w:sz w:val="24"/>
    </w:rPr>
  </w:style>
  <w:style w:type="paragraph" w:customStyle="1" w:styleId="xl139">
    <w:name w:val="xl139"/>
    <w:basedOn w:val="Normal"/>
    <w:rsid w:val="00963CA3"/>
    <w:pPr>
      <w:pBdr>
        <w:top w:val="single" w:sz="4" w:space="0" w:color="auto"/>
        <w:left w:val="single" w:sz="4" w:space="0" w:color="2B0C56"/>
        <w:bottom w:val="single" w:sz="4" w:space="0" w:color="auto"/>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40">
    <w:name w:val="xl140"/>
    <w:basedOn w:val="Normal"/>
    <w:rsid w:val="00963CA3"/>
    <w:pPr>
      <w:pBdr>
        <w:top w:val="single" w:sz="4" w:space="0" w:color="auto"/>
        <w:left w:val="dotted" w:sz="4" w:space="0" w:color="2B0C56"/>
        <w:bottom w:val="single" w:sz="4" w:space="0" w:color="auto"/>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41">
    <w:name w:val="xl141"/>
    <w:basedOn w:val="Normal"/>
    <w:rsid w:val="00963CA3"/>
    <w:pPr>
      <w:pBdr>
        <w:top w:val="single" w:sz="4" w:space="0" w:color="auto"/>
        <w:left w:val="dotted" w:sz="4" w:space="0" w:color="2B0C56"/>
        <w:bottom w:val="single" w:sz="4" w:space="0" w:color="auto"/>
        <w:right w:val="single"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42">
    <w:name w:val="xl142"/>
    <w:basedOn w:val="Normal"/>
    <w:rsid w:val="00963CA3"/>
    <w:pPr>
      <w:pBdr>
        <w:top w:val="single" w:sz="4" w:space="0" w:color="auto"/>
        <w:left w:val="single" w:sz="8" w:space="0" w:color="2B0C56"/>
        <w:bottom w:val="single" w:sz="4" w:space="0" w:color="auto"/>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43">
    <w:name w:val="xl143"/>
    <w:basedOn w:val="Normal"/>
    <w:rsid w:val="00963CA3"/>
    <w:pPr>
      <w:pBdr>
        <w:top w:val="single" w:sz="4" w:space="0" w:color="auto"/>
        <w:left w:val="dotted" w:sz="4" w:space="0" w:color="2B0C56"/>
        <w:bottom w:val="single" w:sz="4" w:space="0" w:color="auto"/>
        <w:right w:val="single" w:sz="8"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44">
    <w:name w:val="xl144"/>
    <w:basedOn w:val="Normal"/>
    <w:rsid w:val="00963CA3"/>
    <w:pPr>
      <w:pBdr>
        <w:left w:val="single" w:sz="8"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45">
    <w:name w:val="xl145"/>
    <w:basedOn w:val="Normal"/>
    <w:rsid w:val="00963CA3"/>
    <w:pPr>
      <w:spacing w:before="100" w:beforeAutospacing="1" w:after="100" w:afterAutospacing="1"/>
      <w:jc w:val="center"/>
    </w:pPr>
    <w:rPr>
      <w:rFonts w:ascii="Times New Roman" w:eastAsia="Times New Roman" w:hAnsi="Times New Roman" w:cs="Times New Roman"/>
      <w:sz w:val="24"/>
    </w:rPr>
  </w:style>
  <w:style w:type="paragraph" w:customStyle="1" w:styleId="xl146">
    <w:name w:val="xl146"/>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147">
    <w:name w:val="xl147"/>
    <w:basedOn w:val="Normal"/>
    <w:rsid w:val="00963CA3"/>
    <w:pPr>
      <w:pBdr>
        <w:left w:val="dashed" w:sz="4" w:space="0" w:color="2B0C56"/>
        <w:bottom w:val="single" w:sz="4" w:space="0" w:color="auto"/>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48">
    <w:name w:val="xl148"/>
    <w:basedOn w:val="Normal"/>
    <w:rsid w:val="00963CA3"/>
    <w:pPr>
      <w:pBdr>
        <w:left w:val="dashed" w:sz="4" w:space="0" w:color="2B0C56"/>
        <w:bottom w:val="single" w:sz="4" w:space="0" w:color="auto"/>
      </w:pBdr>
      <w:spacing w:before="100" w:beforeAutospacing="1" w:after="100" w:afterAutospacing="1"/>
    </w:pPr>
    <w:rPr>
      <w:rFonts w:ascii="Times New Roman" w:eastAsia="Times New Roman" w:hAnsi="Times New Roman" w:cs="Times New Roman"/>
      <w:sz w:val="24"/>
    </w:rPr>
  </w:style>
  <w:style w:type="paragraph" w:customStyle="1" w:styleId="xl149">
    <w:name w:val="xl149"/>
    <w:basedOn w:val="Normal"/>
    <w:rsid w:val="00963CA3"/>
    <w:pPr>
      <w:pBdr>
        <w:left w:val="single" w:sz="4"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50">
    <w:name w:val="xl150"/>
    <w:basedOn w:val="Normal"/>
    <w:rsid w:val="00963CA3"/>
    <w:pPr>
      <w:pBdr>
        <w:left w:val="dotted" w:sz="4"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51">
    <w:name w:val="xl151"/>
    <w:basedOn w:val="Normal"/>
    <w:rsid w:val="00963CA3"/>
    <w:pPr>
      <w:pBdr>
        <w:left w:val="dotted" w:sz="4" w:space="0" w:color="2B0C56"/>
        <w:bottom w:val="single" w:sz="4" w:space="0" w:color="auto"/>
        <w:right w:val="single" w:sz="4" w:space="0" w:color="2B0C56"/>
      </w:pBdr>
      <w:spacing w:before="100" w:beforeAutospacing="1" w:after="100" w:afterAutospacing="1"/>
    </w:pPr>
    <w:rPr>
      <w:rFonts w:ascii="Times New Roman" w:eastAsia="Times New Roman" w:hAnsi="Times New Roman" w:cs="Times New Roman"/>
      <w:sz w:val="24"/>
    </w:rPr>
  </w:style>
  <w:style w:type="paragraph" w:customStyle="1" w:styleId="xl152">
    <w:name w:val="xl152"/>
    <w:basedOn w:val="Normal"/>
    <w:rsid w:val="00963CA3"/>
    <w:pPr>
      <w:pBdr>
        <w:left w:val="single" w:sz="8"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53">
    <w:name w:val="xl153"/>
    <w:basedOn w:val="Normal"/>
    <w:rsid w:val="00963CA3"/>
    <w:pPr>
      <w:pBdr>
        <w:left w:val="dotted" w:sz="4" w:space="0" w:color="2B0C56"/>
        <w:bottom w:val="single" w:sz="4" w:space="0" w:color="auto"/>
        <w:right w:val="single" w:sz="8" w:space="0" w:color="2B0C56"/>
      </w:pBdr>
      <w:spacing w:before="100" w:beforeAutospacing="1" w:after="100" w:afterAutospacing="1"/>
    </w:pPr>
    <w:rPr>
      <w:rFonts w:ascii="Times New Roman" w:eastAsia="Times New Roman" w:hAnsi="Times New Roman" w:cs="Times New Roman"/>
      <w:sz w:val="24"/>
    </w:rPr>
  </w:style>
  <w:style w:type="paragraph" w:customStyle="1" w:styleId="xl154">
    <w:name w:val="xl154"/>
    <w:basedOn w:val="Normal"/>
    <w:rsid w:val="00963CA3"/>
    <w:pPr>
      <w:pBdr>
        <w:left w:val="dashed" w:sz="4" w:space="0" w:color="2B0C56"/>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55">
    <w:name w:val="xl155"/>
    <w:basedOn w:val="Normal"/>
    <w:rsid w:val="00963CA3"/>
    <w:pPr>
      <w:pBdr>
        <w:left w:val="dotted"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56">
    <w:name w:val="xl156"/>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57">
    <w:name w:val="xl157"/>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58">
    <w:name w:val="xl158"/>
    <w:basedOn w:val="Normal"/>
    <w:rsid w:val="00963CA3"/>
    <w:pPr>
      <w:pBdr>
        <w:top w:val="single" w:sz="4" w:space="0" w:color="auto"/>
        <w:left w:val="dashed" w:sz="4" w:space="0" w:color="2B0C56"/>
        <w:bottom w:val="single" w:sz="4" w:space="0" w:color="auto"/>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59">
    <w:name w:val="xl159"/>
    <w:basedOn w:val="Normal"/>
    <w:rsid w:val="00963CA3"/>
    <w:pPr>
      <w:pBdr>
        <w:top w:val="single" w:sz="4" w:space="0" w:color="auto"/>
        <w:left w:val="dashed" w:sz="4" w:space="0" w:color="2B0C56"/>
        <w:bottom w:val="single" w:sz="4" w:space="0" w:color="auto"/>
      </w:pBdr>
      <w:spacing w:before="100" w:beforeAutospacing="1" w:after="100" w:afterAutospacing="1"/>
    </w:pPr>
    <w:rPr>
      <w:rFonts w:ascii="Times New Roman" w:eastAsia="Times New Roman" w:hAnsi="Times New Roman" w:cs="Times New Roman"/>
      <w:b/>
      <w:bCs/>
      <w:sz w:val="24"/>
    </w:rPr>
  </w:style>
  <w:style w:type="paragraph" w:customStyle="1" w:styleId="xl160">
    <w:name w:val="xl160"/>
    <w:basedOn w:val="Normal"/>
    <w:rsid w:val="00963CA3"/>
    <w:pPr>
      <w:pBdr>
        <w:top w:val="single" w:sz="4" w:space="0" w:color="auto"/>
        <w:left w:val="single" w:sz="4"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1">
    <w:name w:val="xl161"/>
    <w:basedOn w:val="Normal"/>
    <w:rsid w:val="00963CA3"/>
    <w:pPr>
      <w:pBdr>
        <w:top w:val="single" w:sz="4" w:space="0" w:color="auto"/>
        <w:left w:val="dotted" w:sz="4"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2">
    <w:name w:val="xl162"/>
    <w:basedOn w:val="Normal"/>
    <w:rsid w:val="00963CA3"/>
    <w:pPr>
      <w:pBdr>
        <w:top w:val="single" w:sz="4" w:space="0" w:color="auto"/>
        <w:left w:val="single" w:sz="8"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3">
    <w:name w:val="xl163"/>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164">
    <w:name w:val="xl164"/>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65">
    <w:name w:val="xl165"/>
    <w:basedOn w:val="Normal"/>
    <w:rsid w:val="00963CA3"/>
    <w:pPr>
      <w:pBdr>
        <w:left w:val="dotted" w:sz="4" w:space="0" w:color="2B0C56"/>
        <w:right w:val="single" w:sz="8"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6">
    <w:name w:val="xl166"/>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67">
    <w:name w:val="xl167"/>
    <w:basedOn w:val="Normal"/>
    <w:rsid w:val="00963CA3"/>
    <w:pPr>
      <w:pBdr>
        <w:top w:val="single" w:sz="4" w:space="0" w:color="auto"/>
        <w:left w:val="dotted" w:sz="4" w:space="0" w:color="2B0C56"/>
        <w:bottom w:val="single" w:sz="4" w:space="0" w:color="auto"/>
        <w:right w:val="single" w:sz="8"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8">
    <w:name w:val="xl168"/>
    <w:basedOn w:val="Normal"/>
    <w:rsid w:val="00963CA3"/>
    <w:pPr>
      <w:pBdr>
        <w:top w:val="single" w:sz="4" w:space="0" w:color="auto"/>
        <w:left w:val="dashed" w:sz="4" w:space="0" w:color="2B0C56"/>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69">
    <w:name w:val="xl169"/>
    <w:basedOn w:val="Normal"/>
    <w:rsid w:val="00963CA3"/>
    <w:pPr>
      <w:pBdr>
        <w:top w:val="single" w:sz="4" w:space="0" w:color="auto"/>
        <w:lef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0">
    <w:name w:val="xl170"/>
    <w:basedOn w:val="Normal"/>
    <w:rsid w:val="00963CA3"/>
    <w:pPr>
      <w:pBdr>
        <w:top w:val="single" w:sz="4" w:space="0" w:color="auto"/>
        <w:left w:val="single"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1">
    <w:name w:val="xl171"/>
    <w:basedOn w:val="Normal"/>
    <w:rsid w:val="00963CA3"/>
    <w:pPr>
      <w:pBdr>
        <w:top w:val="single" w:sz="4" w:space="0" w:color="auto"/>
        <w:left w:val="dotted"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2">
    <w:name w:val="xl172"/>
    <w:basedOn w:val="Normal"/>
    <w:rsid w:val="00963CA3"/>
    <w:pPr>
      <w:pBdr>
        <w:top w:val="single" w:sz="4" w:space="0" w:color="auto"/>
        <w:left w:val="dotted" w:sz="4" w:space="0" w:color="2B0C56"/>
        <w:right w:val="single"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3">
    <w:name w:val="xl173"/>
    <w:basedOn w:val="Normal"/>
    <w:rsid w:val="00963CA3"/>
    <w:pPr>
      <w:pBdr>
        <w:top w:val="single" w:sz="4" w:space="0" w:color="auto"/>
        <w:left w:val="single" w:sz="8"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4">
    <w:name w:val="xl174"/>
    <w:basedOn w:val="Normal"/>
    <w:rsid w:val="00963CA3"/>
    <w:pPr>
      <w:pBdr>
        <w:top w:val="single" w:sz="4" w:space="0" w:color="auto"/>
        <w:left w:val="dotted" w:sz="4" w:space="0" w:color="2B0C56"/>
        <w:right w:val="single" w:sz="8"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5">
    <w:name w:val="xl175"/>
    <w:basedOn w:val="Normal"/>
    <w:rsid w:val="00963CA3"/>
    <w:pPr>
      <w:pBdr>
        <w:left w:val="dashed" w:sz="4" w:space="0" w:color="2B0C56"/>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6">
    <w:name w:val="xl176"/>
    <w:basedOn w:val="Normal"/>
    <w:rsid w:val="00963CA3"/>
    <w:pPr>
      <w:pBdr>
        <w:lef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7">
    <w:name w:val="xl177"/>
    <w:basedOn w:val="Normal"/>
    <w:rsid w:val="00963CA3"/>
    <w:pPr>
      <w:pBdr>
        <w:left w:val="single"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8">
    <w:name w:val="xl178"/>
    <w:basedOn w:val="Normal"/>
    <w:rsid w:val="00963CA3"/>
    <w:pPr>
      <w:pBdr>
        <w:left w:val="dotted"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79">
    <w:name w:val="xl179"/>
    <w:basedOn w:val="Normal"/>
    <w:rsid w:val="00963CA3"/>
    <w:pPr>
      <w:pBdr>
        <w:left w:val="dotted" w:sz="4" w:space="0" w:color="2B0C56"/>
        <w:right w:val="single"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80">
    <w:name w:val="xl180"/>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81">
    <w:name w:val="xl181"/>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82">
    <w:name w:val="xl182"/>
    <w:basedOn w:val="Normal"/>
    <w:rsid w:val="00963CA3"/>
    <w:pPr>
      <w:pBdr>
        <w:left w:val="dotted" w:sz="4" w:space="0" w:color="2B0C56"/>
        <w:right w:val="dott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183">
    <w:name w:val="xl183"/>
    <w:basedOn w:val="Normal"/>
    <w:rsid w:val="00963CA3"/>
    <w:pPr>
      <w:pBdr>
        <w:left w:val="dashed" w:sz="4" w:space="0" w:color="2B0C56"/>
        <w:bottom w:val="single" w:sz="4" w:space="0" w:color="2B0C56"/>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84">
    <w:name w:val="xl184"/>
    <w:basedOn w:val="Normal"/>
    <w:rsid w:val="00963CA3"/>
    <w:pPr>
      <w:pBdr>
        <w:left w:val="dotted"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85">
    <w:name w:val="xl185"/>
    <w:basedOn w:val="Normal"/>
    <w:rsid w:val="00963CA3"/>
    <w:pPr>
      <w:pBdr>
        <w:left w:val="single" w:sz="8"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86">
    <w:name w:val="xl186"/>
    <w:basedOn w:val="Normal"/>
    <w:rsid w:val="00963CA3"/>
    <w:pPr>
      <w:pBdr>
        <w:top w:val="single" w:sz="4" w:space="0" w:color="2B0C56"/>
        <w:left w:val="dashed" w:sz="4" w:space="0" w:color="2B0C56"/>
        <w:bottom w:val="single" w:sz="4" w:space="0" w:color="2B0C56"/>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87">
    <w:name w:val="xl187"/>
    <w:basedOn w:val="Normal"/>
    <w:rsid w:val="00963CA3"/>
    <w:pPr>
      <w:pBdr>
        <w:top w:val="single" w:sz="4" w:space="0" w:color="2B0C56"/>
        <w:left w:val="dotted" w:sz="4"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88">
    <w:name w:val="xl188"/>
    <w:basedOn w:val="Normal"/>
    <w:rsid w:val="00963CA3"/>
    <w:pPr>
      <w:pBdr>
        <w:top w:val="single" w:sz="4" w:space="0" w:color="2B0C56"/>
        <w:left w:val="single" w:sz="8" w:space="0" w:color="2B0C56"/>
        <w:bottom w:val="single" w:sz="4"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89">
    <w:name w:val="xl189"/>
    <w:basedOn w:val="Normal"/>
    <w:rsid w:val="00963CA3"/>
    <w:pPr>
      <w:spacing w:before="100" w:beforeAutospacing="1" w:after="100" w:afterAutospacing="1"/>
      <w:jc w:val="center"/>
    </w:pPr>
    <w:rPr>
      <w:rFonts w:ascii="Times New Roman" w:eastAsia="Times New Roman" w:hAnsi="Times New Roman" w:cs="Times New Roman"/>
      <w:sz w:val="24"/>
    </w:rPr>
  </w:style>
  <w:style w:type="paragraph" w:customStyle="1" w:styleId="xl190">
    <w:name w:val="xl190"/>
    <w:basedOn w:val="Normal"/>
    <w:rsid w:val="00963CA3"/>
    <w:pPr>
      <w:spacing w:before="100" w:beforeAutospacing="1" w:after="100" w:afterAutospacing="1"/>
      <w:jc w:val="center"/>
    </w:pPr>
    <w:rPr>
      <w:rFonts w:ascii="Times New Roman" w:eastAsia="Times New Roman" w:hAnsi="Times New Roman" w:cs="Times New Roman"/>
      <w:sz w:val="24"/>
    </w:rPr>
  </w:style>
  <w:style w:type="paragraph" w:customStyle="1" w:styleId="xl191">
    <w:name w:val="xl191"/>
    <w:basedOn w:val="Normal"/>
    <w:rsid w:val="00963CA3"/>
    <w:pPr>
      <w:pBdr>
        <w:bottom w:val="single" w:sz="4" w:space="0" w:color="2B0C56"/>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92">
    <w:name w:val="xl192"/>
    <w:basedOn w:val="Normal"/>
    <w:rsid w:val="00963CA3"/>
    <w:pPr>
      <w:pBdr>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193">
    <w:name w:val="xl193"/>
    <w:basedOn w:val="Normal"/>
    <w:rsid w:val="00963CA3"/>
    <w:pPr>
      <w:pBdr>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94">
    <w:name w:val="xl194"/>
    <w:basedOn w:val="Normal"/>
    <w:rsid w:val="00963CA3"/>
    <w:pPr>
      <w:pBdr>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95">
    <w:name w:val="xl195"/>
    <w:basedOn w:val="Normal"/>
    <w:rsid w:val="00963CA3"/>
    <w:pPr>
      <w:pBdr>
        <w:bottom w:val="single" w:sz="4" w:space="0" w:color="2B0C56"/>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196">
    <w:name w:val="xl196"/>
    <w:basedOn w:val="Normal"/>
    <w:rsid w:val="00963CA3"/>
    <w:pPr>
      <w:pBdr>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97">
    <w:name w:val="xl197"/>
    <w:basedOn w:val="Normal"/>
    <w:rsid w:val="00963CA3"/>
    <w:pPr>
      <w:pBdr>
        <w:bottom w:val="single" w:sz="4" w:space="0" w:color="2B0C56"/>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198">
    <w:name w:val="xl198"/>
    <w:basedOn w:val="Normal"/>
    <w:rsid w:val="00963CA3"/>
    <w:pPr>
      <w:pBdr>
        <w:top w:val="single" w:sz="4" w:space="0" w:color="2B0C56"/>
        <w:bottom w:val="single" w:sz="4" w:space="0" w:color="2B0C56"/>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199">
    <w:name w:val="xl199"/>
    <w:basedOn w:val="Normal"/>
    <w:rsid w:val="00963CA3"/>
    <w:pPr>
      <w:pBdr>
        <w:top w:val="single" w:sz="4" w:space="0" w:color="auto"/>
        <w:bottom w:val="single" w:sz="4" w:space="0" w:color="auto"/>
        <w:right w:val="dash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200">
    <w:name w:val="xl200"/>
    <w:basedOn w:val="Normal"/>
    <w:rsid w:val="00963CA3"/>
    <w:pPr>
      <w:pBdr>
        <w:bottom w:val="single" w:sz="4" w:space="0" w:color="auto"/>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201">
    <w:name w:val="xl201"/>
    <w:basedOn w:val="Normal"/>
    <w:rsid w:val="00963CA3"/>
    <w:pPr>
      <w:pBdr>
        <w:top w:val="single" w:sz="4" w:space="0" w:color="auto"/>
        <w:bottom w:val="single" w:sz="4" w:space="0" w:color="auto"/>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202">
    <w:name w:val="xl202"/>
    <w:basedOn w:val="Normal"/>
    <w:rsid w:val="00963CA3"/>
    <w:pPr>
      <w:pBdr>
        <w:top w:val="single" w:sz="4" w:space="0" w:color="auto"/>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203">
    <w:name w:val="xl203"/>
    <w:basedOn w:val="Normal"/>
    <w:rsid w:val="00963CA3"/>
    <w:pPr>
      <w:pBdr>
        <w:right w:val="dash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204">
    <w:name w:val="xl204"/>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rPr>
  </w:style>
  <w:style w:type="paragraph" w:customStyle="1" w:styleId="xl205">
    <w:name w:val="xl205"/>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rPr>
  </w:style>
  <w:style w:type="paragraph" w:customStyle="1" w:styleId="xl206">
    <w:name w:val="xl206"/>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i/>
      <w:iCs/>
      <w:sz w:val="24"/>
    </w:rPr>
  </w:style>
  <w:style w:type="paragraph" w:customStyle="1" w:styleId="xl207">
    <w:name w:val="xl207"/>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rPr>
  </w:style>
  <w:style w:type="paragraph" w:customStyle="1" w:styleId="xl208">
    <w:name w:val="xl208"/>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rPr>
  </w:style>
  <w:style w:type="paragraph" w:customStyle="1" w:styleId="xl209">
    <w:name w:val="xl209"/>
    <w:basedOn w:val="Normal"/>
    <w:rsid w:val="00963CA3"/>
    <w:pPr>
      <w:pBdr>
        <w:left w:val="single" w:sz="8" w:space="0" w:color="auto"/>
        <w:bottom w:val="single" w:sz="4" w:space="0" w:color="2B0C56"/>
        <w:right w:val="single" w:sz="8" w:space="0" w:color="auto"/>
      </w:pBdr>
      <w:spacing w:before="100" w:beforeAutospacing="1" w:after="100" w:afterAutospacing="1"/>
    </w:pPr>
    <w:rPr>
      <w:rFonts w:ascii="Times New Roman" w:eastAsia="Times New Roman" w:hAnsi="Times New Roman" w:cs="Times New Roman"/>
      <w:sz w:val="24"/>
    </w:rPr>
  </w:style>
  <w:style w:type="paragraph" w:customStyle="1" w:styleId="xl210">
    <w:name w:val="xl210"/>
    <w:basedOn w:val="Normal"/>
    <w:rsid w:val="00963CA3"/>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rPr>
  </w:style>
  <w:style w:type="paragraph" w:customStyle="1" w:styleId="xl211">
    <w:name w:val="xl211"/>
    <w:basedOn w:val="Normal"/>
    <w:rsid w:val="00963CA3"/>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rPr>
  </w:style>
  <w:style w:type="paragraph" w:customStyle="1" w:styleId="xl212">
    <w:name w:val="xl212"/>
    <w:basedOn w:val="Normal"/>
    <w:rsid w:val="00963CA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24"/>
    </w:rPr>
  </w:style>
  <w:style w:type="paragraph" w:customStyle="1" w:styleId="xl213">
    <w:name w:val="xl213"/>
    <w:basedOn w:val="Normal"/>
    <w:rsid w:val="00963CA3"/>
    <w:pPr>
      <w:pBdr>
        <w:top w:val="single" w:sz="4" w:space="0" w:color="auto"/>
        <w:left w:val="single" w:sz="8" w:space="0" w:color="2B0C56"/>
        <w:bottom w:val="single" w:sz="4" w:space="0" w:color="auto"/>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14">
    <w:name w:val="xl214"/>
    <w:basedOn w:val="Normal"/>
    <w:rsid w:val="00963CA3"/>
    <w:pPr>
      <w:pBdr>
        <w:top w:val="single" w:sz="4" w:space="0" w:color="auto"/>
        <w:bottom w:val="single" w:sz="4" w:space="0" w:color="auto"/>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15">
    <w:name w:val="xl215"/>
    <w:basedOn w:val="Normal"/>
    <w:rsid w:val="00963CA3"/>
    <w:pPr>
      <w:pBdr>
        <w:top w:val="single" w:sz="4" w:space="0" w:color="auto"/>
        <w:bottom w:val="single" w:sz="4" w:space="0" w:color="auto"/>
      </w:pBdr>
      <w:shd w:val="clear" w:color="000000" w:fill="C99700"/>
      <w:spacing w:before="100" w:beforeAutospacing="1" w:after="100" w:afterAutospacing="1"/>
      <w:jc w:val="center"/>
    </w:pPr>
    <w:rPr>
      <w:rFonts w:ascii="Times New Roman" w:eastAsia="Times New Roman" w:hAnsi="Times New Roman" w:cs="Times New Roman"/>
      <w:b/>
      <w:bCs/>
      <w:sz w:val="24"/>
    </w:rPr>
  </w:style>
  <w:style w:type="paragraph" w:customStyle="1" w:styleId="xl216">
    <w:name w:val="xl216"/>
    <w:basedOn w:val="Normal"/>
    <w:rsid w:val="00963CA3"/>
    <w:pPr>
      <w:pBdr>
        <w:top w:val="single" w:sz="4" w:space="0" w:color="auto"/>
        <w:bottom w:val="single" w:sz="4" w:space="0" w:color="auto"/>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17">
    <w:name w:val="xl217"/>
    <w:basedOn w:val="Normal"/>
    <w:rsid w:val="00963CA3"/>
    <w:pPr>
      <w:pBdr>
        <w:top w:val="single" w:sz="4" w:space="0" w:color="auto"/>
        <w:bottom w:val="single" w:sz="4" w:space="0" w:color="auto"/>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18">
    <w:name w:val="xl218"/>
    <w:basedOn w:val="Normal"/>
    <w:rsid w:val="00963CA3"/>
    <w:pPr>
      <w:pBdr>
        <w:top w:val="single" w:sz="4" w:space="0" w:color="auto"/>
        <w:bottom w:val="single" w:sz="4" w:space="0" w:color="auto"/>
      </w:pBdr>
      <w:shd w:val="clear" w:color="000000" w:fill="C99700"/>
      <w:spacing w:before="100" w:beforeAutospacing="1" w:after="100" w:afterAutospacing="1"/>
      <w:jc w:val="center"/>
    </w:pPr>
    <w:rPr>
      <w:rFonts w:ascii="Times New Roman" w:eastAsia="Times New Roman" w:hAnsi="Times New Roman" w:cs="Times New Roman"/>
      <w:b/>
      <w:bCs/>
      <w:sz w:val="24"/>
    </w:rPr>
  </w:style>
  <w:style w:type="paragraph" w:customStyle="1" w:styleId="xl219">
    <w:name w:val="xl219"/>
    <w:basedOn w:val="Normal"/>
    <w:rsid w:val="00963CA3"/>
    <w:pPr>
      <w:pBdr>
        <w:top w:val="single" w:sz="4" w:space="0" w:color="auto"/>
        <w:left w:val="single" w:sz="8" w:space="0" w:color="auto"/>
        <w:bottom w:val="single" w:sz="4" w:space="0" w:color="auto"/>
        <w:right w:val="single" w:sz="8" w:space="0" w:color="auto"/>
      </w:pBdr>
      <w:shd w:val="clear" w:color="000000" w:fill="C99700"/>
      <w:spacing w:before="100" w:beforeAutospacing="1" w:after="100" w:afterAutospacing="1"/>
      <w:jc w:val="center"/>
    </w:pPr>
    <w:rPr>
      <w:rFonts w:ascii="Times New Roman" w:eastAsia="Times New Roman" w:hAnsi="Times New Roman" w:cs="Times New Roman"/>
      <w:b/>
      <w:bCs/>
      <w:sz w:val="24"/>
    </w:rPr>
  </w:style>
  <w:style w:type="paragraph" w:customStyle="1" w:styleId="xl220">
    <w:name w:val="xl220"/>
    <w:basedOn w:val="Normal"/>
    <w:rsid w:val="00963CA3"/>
    <w:pPr>
      <w:pBdr>
        <w:top w:val="single" w:sz="4" w:space="0" w:color="auto"/>
        <w:bottom w:val="single" w:sz="4" w:space="0" w:color="auto"/>
        <w:right w:val="dashed" w:sz="4"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1">
    <w:name w:val="xl221"/>
    <w:basedOn w:val="Normal"/>
    <w:rsid w:val="00963CA3"/>
    <w:pPr>
      <w:pBdr>
        <w:top w:val="single" w:sz="4" w:space="0" w:color="auto"/>
        <w:left w:val="dashed" w:sz="4" w:space="0" w:color="2B0C56"/>
        <w:bottom w:val="single" w:sz="4" w:space="0" w:color="auto"/>
        <w:right w:val="dashed" w:sz="4"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2">
    <w:name w:val="xl222"/>
    <w:basedOn w:val="Normal"/>
    <w:rsid w:val="00963CA3"/>
    <w:pPr>
      <w:pBdr>
        <w:top w:val="single" w:sz="4" w:space="0" w:color="auto"/>
        <w:left w:val="dashed" w:sz="4" w:space="0" w:color="2B0C56"/>
        <w:bottom w:val="single" w:sz="4" w:space="0" w:color="auto"/>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3">
    <w:name w:val="xl223"/>
    <w:basedOn w:val="Normal"/>
    <w:rsid w:val="00963CA3"/>
    <w:pPr>
      <w:pBdr>
        <w:top w:val="single" w:sz="4" w:space="0" w:color="auto"/>
        <w:left w:val="single" w:sz="4" w:space="0" w:color="2B0C56"/>
        <w:bottom w:val="single" w:sz="4" w:space="0" w:color="auto"/>
        <w:right w:val="dotted" w:sz="4"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4">
    <w:name w:val="xl224"/>
    <w:basedOn w:val="Normal"/>
    <w:rsid w:val="00963CA3"/>
    <w:pPr>
      <w:pBdr>
        <w:top w:val="single" w:sz="4" w:space="0" w:color="auto"/>
        <w:left w:val="dotted" w:sz="4" w:space="0" w:color="2B0C56"/>
        <w:bottom w:val="single" w:sz="4" w:space="0" w:color="auto"/>
        <w:right w:val="dotted" w:sz="4"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5">
    <w:name w:val="xl225"/>
    <w:basedOn w:val="Normal"/>
    <w:rsid w:val="00963CA3"/>
    <w:pPr>
      <w:pBdr>
        <w:top w:val="single" w:sz="4" w:space="0" w:color="auto"/>
        <w:left w:val="single" w:sz="8" w:space="0" w:color="2B0C56"/>
        <w:bottom w:val="single" w:sz="4" w:space="0" w:color="auto"/>
        <w:right w:val="dotted" w:sz="4"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6">
    <w:name w:val="xl226"/>
    <w:basedOn w:val="Normal"/>
    <w:rsid w:val="00963CA3"/>
    <w:pPr>
      <w:pBdr>
        <w:top w:val="single" w:sz="4" w:space="0" w:color="auto"/>
        <w:left w:val="dotted" w:sz="4" w:space="0" w:color="2B0C56"/>
        <w:bottom w:val="single" w:sz="4" w:space="0" w:color="auto"/>
        <w:right w:val="single" w:sz="8" w:space="0" w:color="2B0C56"/>
      </w:pBdr>
      <w:shd w:val="clear" w:color="000000" w:fill="C99700"/>
      <w:spacing w:before="100" w:beforeAutospacing="1" w:after="100" w:afterAutospacing="1"/>
    </w:pPr>
    <w:rPr>
      <w:rFonts w:ascii="Times New Roman" w:eastAsia="Times New Roman" w:hAnsi="Times New Roman" w:cs="Times New Roman"/>
      <w:b/>
      <w:bCs/>
      <w:sz w:val="24"/>
    </w:rPr>
  </w:style>
  <w:style w:type="paragraph" w:customStyle="1" w:styleId="xl227">
    <w:name w:val="xl227"/>
    <w:basedOn w:val="Normal"/>
    <w:rsid w:val="00963CA3"/>
    <w:pPr>
      <w:pBdr>
        <w:left w:val="single" w:sz="8" w:space="0" w:color="2B0C56"/>
        <w:bottom w:val="single" w:sz="4" w:space="0" w:color="2B0C56"/>
        <w:right w:val="dotted" w:sz="4"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228">
    <w:name w:val="xl228"/>
    <w:basedOn w:val="Normal"/>
    <w:rsid w:val="00963CA3"/>
    <w:pPr>
      <w:pBdr>
        <w:left w:val="dotted" w:sz="4" w:space="0" w:color="2B0C56"/>
        <w:bottom w:val="single" w:sz="4" w:space="0" w:color="2B0C56"/>
        <w:right w:val="single" w:sz="8" w:space="0" w:color="2B0C56"/>
      </w:pBdr>
      <w:spacing w:before="100" w:beforeAutospacing="1" w:after="100" w:afterAutospacing="1"/>
      <w:jc w:val="center"/>
    </w:pPr>
    <w:rPr>
      <w:rFonts w:ascii="Times New Roman" w:eastAsia="Times New Roman" w:hAnsi="Times New Roman" w:cs="Times New Roman"/>
      <w:b/>
      <w:bCs/>
      <w:sz w:val="24"/>
    </w:rPr>
  </w:style>
  <w:style w:type="paragraph" w:customStyle="1" w:styleId="xl229">
    <w:name w:val="xl229"/>
    <w:basedOn w:val="Normal"/>
    <w:rsid w:val="00963CA3"/>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textAlignment w:val="center"/>
    </w:pPr>
    <w:rPr>
      <w:rFonts w:ascii="Times New Roman" w:eastAsia="Times New Roman" w:hAnsi="Times New Roman" w:cs="Times New Roman"/>
      <w:b/>
      <w:bCs/>
      <w:color w:val="FFFFFF"/>
      <w:sz w:val="24"/>
    </w:rPr>
  </w:style>
  <w:style w:type="paragraph" w:customStyle="1" w:styleId="xl230">
    <w:name w:val="xl230"/>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231">
    <w:name w:val="xl231"/>
    <w:basedOn w:val="Normal"/>
    <w:rsid w:val="00963CA3"/>
    <w:pPr>
      <w:spacing w:before="100" w:beforeAutospacing="1" w:after="100" w:afterAutospacing="1"/>
    </w:pPr>
    <w:rPr>
      <w:rFonts w:ascii="Times New Roman" w:eastAsia="Times New Roman" w:hAnsi="Times New Roman" w:cs="Times New Roman"/>
      <w:sz w:val="24"/>
    </w:rPr>
  </w:style>
  <w:style w:type="paragraph" w:customStyle="1" w:styleId="xl232">
    <w:name w:val="xl232"/>
    <w:basedOn w:val="Normal"/>
    <w:rsid w:val="00963CA3"/>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rPr>
  </w:style>
  <w:style w:type="paragraph" w:customStyle="1" w:styleId="xl233">
    <w:name w:val="xl233"/>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234">
    <w:name w:val="xl234"/>
    <w:basedOn w:val="Normal"/>
    <w:rsid w:val="00963CA3"/>
    <w:pPr>
      <w:spacing w:before="100" w:beforeAutospacing="1" w:after="100" w:afterAutospacing="1"/>
    </w:pPr>
    <w:rPr>
      <w:rFonts w:ascii="Times New Roman" w:eastAsia="Times New Roman" w:hAnsi="Times New Roman" w:cs="Times New Roman"/>
      <w:i/>
      <w:iCs/>
      <w:sz w:val="24"/>
    </w:rPr>
  </w:style>
  <w:style w:type="paragraph" w:customStyle="1" w:styleId="xl235">
    <w:name w:val="xl235"/>
    <w:basedOn w:val="Normal"/>
    <w:rsid w:val="00963CA3"/>
    <w:pPr>
      <w:pBdr>
        <w:top w:val="single" w:sz="4" w:space="0" w:color="auto"/>
        <w:bottom w:val="single" w:sz="4" w:space="0" w:color="auto"/>
        <w:right w:val="dashed" w:sz="4" w:space="0" w:color="2B0C56"/>
      </w:pBdr>
      <w:spacing w:before="100" w:beforeAutospacing="1" w:after="100" w:afterAutospacing="1"/>
    </w:pPr>
    <w:rPr>
      <w:rFonts w:ascii="Times New Roman" w:eastAsia="Times New Roman" w:hAnsi="Times New Roman" w:cs="Times New Roman"/>
      <w:sz w:val="24"/>
    </w:rPr>
  </w:style>
  <w:style w:type="paragraph" w:customStyle="1" w:styleId="xl236">
    <w:name w:val="xl236"/>
    <w:basedOn w:val="Normal"/>
    <w:rsid w:val="00963CA3"/>
    <w:pPr>
      <w:pBdr>
        <w:top w:val="single" w:sz="4" w:space="0" w:color="auto"/>
        <w:left w:val="dashed" w:sz="4" w:space="0" w:color="2B0C56"/>
        <w:bottom w:val="single" w:sz="4" w:space="0" w:color="auto"/>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37">
    <w:name w:val="xl237"/>
    <w:basedOn w:val="Normal"/>
    <w:rsid w:val="00963CA3"/>
    <w:pPr>
      <w:pBdr>
        <w:top w:val="single" w:sz="4" w:space="0" w:color="auto"/>
        <w:left w:val="dashed" w:sz="4" w:space="0" w:color="2B0C56"/>
        <w:bottom w:val="single" w:sz="4" w:space="0" w:color="auto"/>
      </w:pBdr>
      <w:spacing w:before="100" w:beforeAutospacing="1" w:after="100" w:afterAutospacing="1"/>
    </w:pPr>
    <w:rPr>
      <w:rFonts w:ascii="Times New Roman" w:eastAsia="Times New Roman" w:hAnsi="Times New Roman" w:cs="Times New Roman"/>
      <w:b/>
      <w:bCs/>
      <w:i/>
      <w:iCs/>
      <w:sz w:val="24"/>
    </w:rPr>
  </w:style>
  <w:style w:type="paragraph" w:customStyle="1" w:styleId="xl238">
    <w:name w:val="xl238"/>
    <w:basedOn w:val="Normal"/>
    <w:rsid w:val="00963CA3"/>
    <w:pPr>
      <w:pBdr>
        <w:top w:val="single" w:sz="4" w:space="0" w:color="auto"/>
        <w:left w:val="single" w:sz="8" w:space="0" w:color="2B0C56"/>
        <w:bottom w:val="single" w:sz="4" w:space="0" w:color="auto"/>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239">
    <w:name w:val="xl239"/>
    <w:basedOn w:val="Normal"/>
    <w:rsid w:val="00963CA3"/>
    <w:pPr>
      <w:pBdr>
        <w:left w:val="single" w:sz="8" w:space="0" w:color="2B0C56"/>
        <w:right w:val="dotted" w:sz="4" w:space="0" w:color="2B0C56"/>
      </w:pBdr>
      <w:spacing w:before="100" w:beforeAutospacing="1" w:after="100" w:afterAutospacing="1"/>
    </w:pPr>
    <w:rPr>
      <w:rFonts w:ascii="Times New Roman" w:eastAsia="Times New Roman" w:hAnsi="Times New Roman" w:cs="Times New Roman"/>
      <w:b/>
      <w:bCs/>
      <w:sz w:val="24"/>
    </w:rPr>
  </w:style>
  <w:style w:type="paragraph" w:customStyle="1" w:styleId="xl240">
    <w:name w:val="xl240"/>
    <w:basedOn w:val="Normal"/>
    <w:rsid w:val="00963CA3"/>
    <w:pPr>
      <w:pBdr>
        <w:top w:val="single" w:sz="4" w:space="0" w:color="auto"/>
        <w:left w:val="single" w:sz="8" w:space="0" w:color="auto"/>
        <w:righ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1">
    <w:name w:val="xl241"/>
    <w:basedOn w:val="Normal"/>
    <w:rsid w:val="00963CA3"/>
    <w:pPr>
      <w:pBdr>
        <w:top w:val="single" w:sz="4" w:space="0" w:color="auto"/>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242">
    <w:name w:val="xl242"/>
    <w:basedOn w:val="Normal"/>
    <w:rsid w:val="00963CA3"/>
    <w:pPr>
      <w:pBdr>
        <w:top w:val="single" w:sz="4" w:space="0" w:color="auto"/>
        <w:left w:val="dash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3">
    <w:name w:val="xl243"/>
    <w:basedOn w:val="Normal"/>
    <w:rsid w:val="00963CA3"/>
    <w:pPr>
      <w:pBdr>
        <w:top w:val="single" w:sz="4" w:space="0" w:color="auto"/>
        <w:left w:val="single"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4">
    <w:name w:val="xl244"/>
    <w:basedOn w:val="Normal"/>
    <w:rsid w:val="00963CA3"/>
    <w:pPr>
      <w:pBdr>
        <w:top w:val="single" w:sz="4" w:space="0" w:color="auto"/>
        <w:left w:val="dotted" w:sz="4"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5">
    <w:name w:val="xl245"/>
    <w:basedOn w:val="Normal"/>
    <w:rsid w:val="00963CA3"/>
    <w:pPr>
      <w:pBdr>
        <w:top w:val="single" w:sz="4" w:space="0" w:color="auto"/>
        <w:left w:val="dotted" w:sz="4" w:space="0" w:color="2B0C56"/>
        <w:right w:val="single"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6">
    <w:name w:val="xl246"/>
    <w:basedOn w:val="Normal"/>
    <w:rsid w:val="00963CA3"/>
    <w:pPr>
      <w:pBdr>
        <w:top w:val="single" w:sz="4" w:space="0" w:color="auto"/>
        <w:left w:val="single" w:sz="8" w:space="0" w:color="2B0C56"/>
        <w:right w:val="dotted" w:sz="4"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7">
    <w:name w:val="xl247"/>
    <w:basedOn w:val="Normal"/>
    <w:rsid w:val="00963CA3"/>
    <w:pPr>
      <w:pBdr>
        <w:top w:val="single" w:sz="4" w:space="0" w:color="auto"/>
        <w:left w:val="dotted" w:sz="4" w:space="0" w:color="2B0C56"/>
        <w:right w:val="single" w:sz="8" w:space="0" w:color="2B0C56"/>
      </w:pBdr>
      <w:spacing w:before="100" w:beforeAutospacing="1" w:after="100" w:afterAutospacing="1"/>
    </w:pPr>
    <w:rPr>
      <w:rFonts w:ascii="Times New Roman" w:eastAsia="Times New Roman" w:hAnsi="Times New Roman" w:cs="Times New Roman"/>
      <w:b/>
      <w:bCs/>
      <w:i/>
      <w:iCs/>
      <w:sz w:val="24"/>
    </w:rPr>
  </w:style>
  <w:style w:type="paragraph" w:customStyle="1" w:styleId="xl248">
    <w:name w:val="xl248"/>
    <w:basedOn w:val="Normal"/>
    <w:rsid w:val="00963CA3"/>
    <w:pPr>
      <w:pBdr>
        <w:left w:val="dashed" w:sz="4" w:space="0" w:color="2B0C56"/>
        <w:right w:val="dashed" w:sz="4" w:space="0" w:color="2B0C56"/>
      </w:pBdr>
      <w:spacing w:before="100" w:beforeAutospacing="1" w:after="100" w:afterAutospacing="1"/>
      <w:jc w:val="center"/>
    </w:pPr>
    <w:rPr>
      <w:rFonts w:ascii="Times New Roman" w:eastAsia="Times New Roman" w:hAnsi="Times New Roman" w:cs="Times New Roman"/>
      <w:sz w:val="24"/>
    </w:rPr>
  </w:style>
  <w:style w:type="paragraph" w:customStyle="1" w:styleId="xl249">
    <w:name w:val="xl249"/>
    <w:basedOn w:val="Normal"/>
    <w:rsid w:val="00963CA3"/>
    <w:pPr>
      <w:spacing w:before="100" w:beforeAutospacing="1" w:after="100" w:afterAutospacing="1"/>
      <w:ind w:firstLineChars="200" w:firstLine="200"/>
    </w:pPr>
    <w:rPr>
      <w:rFonts w:ascii="Times New Roman" w:eastAsia="Times New Roman" w:hAnsi="Times New Roman" w:cs="Times New Roman"/>
      <w:i/>
      <w:iCs/>
      <w:sz w:val="24"/>
    </w:rPr>
  </w:style>
  <w:style w:type="paragraph" w:customStyle="1" w:styleId="xl250">
    <w:name w:val="xl250"/>
    <w:basedOn w:val="Normal"/>
    <w:rsid w:val="00963CA3"/>
    <w:pPr>
      <w:pBdr>
        <w:top w:val="single" w:sz="8" w:space="0" w:color="2B0C56"/>
        <w:left w:val="single" w:sz="8" w:space="0" w:color="auto"/>
        <w:bottom w:val="single" w:sz="8" w:space="0" w:color="auto"/>
        <w:right w:val="dotted" w:sz="4" w:space="0" w:color="2B0C56"/>
      </w:pBdr>
      <w:shd w:val="clear" w:color="000000" w:fill="0070C0"/>
      <w:spacing w:before="100" w:beforeAutospacing="1" w:after="100" w:afterAutospacing="1"/>
      <w:jc w:val="center"/>
    </w:pPr>
    <w:rPr>
      <w:rFonts w:ascii="Times New Roman" w:eastAsia="Times New Roman" w:hAnsi="Times New Roman" w:cs="Times New Roman"/>
      <w:b/>
      <w:bCs/>
      <w:color w:val="FFFFFF"/>
      <w:sz w:val="24"/>
    </w:rPr>
  </w:style>
  <w:style w:type="paragraph" w:customStyle="1" w:styleId="xl251">
    <w:name w:val="xl251"/>
    <w:basedOn w:val="Normal"/>
    <w:rsid w:val="00963CA3"/>
    <w:pPr>
      <w:pBdr>
        <w:top w:val="single" w:sz="8" w:space="0" w:color="2B0C56"/>
        <w:left w:val="dotted" w:sz="4" w:space="0" w:color="2B0C56"/>
        <w:bottom w:val="single" w:sz="8" w:space="0" w:color="auto"/>
        <w:right w:val="single" w:sz="8" w:space="0" w:color="2B0C56"/>
      </w:pBdr>
      <w:shd w:val="clear" w:color="000000" w:fill="0070C0"/>
      <w:spacing w:before="100" w:beforeAutospacing="1" w:after="100" w:afterAutospacing="1"/>
      <w:jc w:val="center"/>
    </w:pPr>
    <w:rPr>
      <w:rFonts w:ascii="Times New Roman" w:eastAsia="Times New Roman" w:hAnsi="Times New Roman" w:cs="Times New Roman"/>
      <w:b/>
      <w:bCs/>
      <w:color w:val="FFFFFF"/>
      <w:sz w:val="24"/>
    </w:rPr>
  </w:style>
  <w:style w:type="paragraph" w:customStyle="1" w:styleId="xl252">
    <w:name w:val="xl252"/>
    <w:basedOn w:val="Normal"/>
    <w:rsid w:val="00963CA3"/>
    <w:pPr>
      <w:pBdr>
        <w:top w:val="single" w:sz="8" w:space="0" w:color="auto"/>
        <w:bottom w:val="single" w:sz="8"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24"/>
    </w:rPr>
  </w:style>
  <w:style w:type="paragraph" w:customStyle="1" w:styleId="xl253">
    <w:name w:val="xl253"/>
    <w:basedOn w:val="Normal"/>
    <w:rsid w:val="00963CA3"/>
    <w:pPr>
      <w:pBdr>
        <w:top w:val="single" w:sz="8" w:space="0" w:color="auto"/>
        <w:bottom w:val="single" w:sz="8" w:space="0" w:color="auto"/>
        <w:right w:val="single" w:sz="8"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24"/>
    </w:rPr>
  </w:style>
  <w:style w:type="paragraph" w:customStyle="1" w:styleId="xl254">
    <w:name w:val="xl254"/>
    <w:basedOn w:val="Normal"/>
    <w:rsid w:val="00963CA3"/>
    <w:pPr>
      <w:pBdr>
        <w:top w:val="single" w:sz="8" w:space="0" w:color="auto"/>
        <w:left w:val="single" w:sz="8" w:space="0" w:color="auto"/>
        <w:bottom w:val="single" w:sz="8" w:space="0" w:color="auto"/>
        <w:right w:val="single" w:sz="4" w:space="0" w:color="2B0C56"/>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24"/>
    </w:rPr>
  </w:style>
  <w:style w:type="paragraph" w:customStyle="1" w:styleId="xl255">
    <w:name w:val="xl255"/>
    <w:basedOn w:val="Normal"/>
    <w:rsid w:val="00963CA3"/>
    <w:pPr>
      <w:pBdr>
        <w:top w:val="single" w:sz="8" w:space="0" w:color="auto"/>
        <w:left w:val="single" w:sz="4" w:space="0" w:color="2B0C56"/>
        <w:bottom w:val="single" w:sz="8" w:space="0" w:color="auto"/>
        <w:right w:val="single" w:sz="4" w:space="0" w:color="2B0C56"/>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24"/>
    </w:rPr>
  </w:style>
  <w:style w:type="paragraph" w:customStyle="1" w:styleId="xl256">
    <w:name w:val="xl256"/>
    <w:basedOn w:val="Normal"/>
    <w:rsid w:val="00963CA3"/>
    <w:pPr>
      <w:pBdr>
        <w:top w:val="single" w:sz="8" w:space="0" w:color="auto"/>
        <w:left w:val="single" w:sz="4" w:space="0" w:color="2B0C56"/>
        <w:bottom w:val="single" w:sz="8" w:space="0" w:color="auto"/>
        <w:right w:val="single" w:sz="8"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24"/>
    </w:rPr>
  </w:style>
  <w:style w:type="paragraph" w:customStyle="1" w:styleId="xl257">
    <w:name w:val="xl257"/>
    <w:basedOn w:val="Normal"/>
    <w:rsid w:val="00963CA3"/>
    <w:pPr>
      <w:spacing w:before="100" w:beforeAutospacing="1" w:after="100" w:afterAutospacing="1"/>
      <w:ind w:firstLineChars="200" w:firstLine="200"/>
    </w:pPr>
    <w:rPr>
      <w:rFonts w:ascii="Times New Roman" w:eastAsia="Times New Roman" w:hAnsi="Times New Roman" w:cs="Times New Roman"/>
      <w:sz w:val="24"/>
    </w:rPr>
  </w:style>
  <w:style w:type="paragraph" w:styleId="Revision">
    <w:name w:val="Revision"/>
    <w:hidden/>
    <w:uiPriority w:val="99"/>
    <w:semiHidden/>
    <w:rsid w:val="00963CA3"/>
    <w:rPr>
      <w:rFonts w:ascii="Trebuchet MS" w:hAnsi="Trebuchet MS"/>
      <w:sz w:val="20"/>
    </w:rPr>
  </w:style>
  <w:style w:type="character" w:customStyle="1" w:styleId="lt-line-clampline">
    <w:name w:val="lt-line-clamp__line"/>
    <w:basedOn w:val="DefaultParagraphFont"/>
    <w:rsid w:val="00C7723E"/>
  </w:style>
  <w:style w:type="paragraph" w:customStyle="1" w:styleId="BodyText">
    <w:name w:val="BodyText"/>
    <w:basedOn w:val="NoSpacing"/>
    <w:autoRedefine/>
    <w:rsid w:val="0096195B"/>
    <w:pPr>
      <w:numPr>
        <w:numId w:val="8"/>
      </w:numPr>
    </w:pPr>
    <w:rPr>
      <w:rFonts w:asciiTheme="majorHAnsi" w:hAnsiTheme="majorHAnsi" w:cstheme="majorHAnsi"/>
      <w:sz w:val="21"/>
      <w:szCs w:val="21"/>
      <w:lang w:eastAsia="ja-JP"/>
    </w:rPr>
  </w:style>
  <w:style w:type="table" w:customStyle="1" w:styleId="TableGrid1">
    <w:name w:val="Table Grid1"/>
    <w:basedOn w:val="TableNormal"/>
    <w:next w:val="TableGrid"/>
    <w:uiPriority w:val="39"/>
    <w:rsid w:val="00ED75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ED75CF"/>
    <w:rPr>
      <w:color w:val="2B579A"/>
      <w:shd w:val="clear" w:color="auto" w:fill="E6E6E6"/>
    </w:rPr>
  </w:style>
  <w:style w:type="character" w:customStyle="1" w:styleId="UnresolvedMention">
    <w:name w:val="Unresolved Mention"/>
    <w:basedOn w:val="DefaultParagraphFont"/>
    <w:uiPriority w:val="99"/>
    <w:unhideWhenUsed/>
    <w:rsid w:val="00054AAE"/>
    <w:rPr>
      <w:color w:val="605E5C"/>
      <w:shd w:val="clear" w:color="auto" w:fill="E1DFDD"/>
    </w:rPr>
  </w:style>
  <w:style w:type="character" w:customStyle="1" w:styleId="Mention">
    <w:name w:val="Mention"/>
    <w:basedOn w:val="DefaultParagraphFont"/>
    <w:uiPriority w:val="99"/>
    <w:unhideWhenUsed/>
    <w:rsid w:val="00054AAE"/>
    <w:rPr>
      <w:color w:val="2B579A"/>
      <w:shd w:val="clear" w:color="auto" w:fill="E1DFDD"/>
    </w:rPr>
  </w:style>
  <w:style w:type="character" w:customStyle="1" w:styleId="UnresolvedMention100">
    <w:name w:val="Unresolved Mention100"/>
    <w:basedOn w:val="DefaultParagraphFont"/>
    <w:uiPriority w:val="99"/>
    <w:semiHidden/>
    <w:unhideWhenUsed/>
    <w:rsid w:val="00F12072"/>
    <w:rPr>
      <w:color w:val="808080"/>
      <w:shd w:val="clear" w:color="auto" w:fill="E6E6E6"/>
    </w:rPr>
  </w:style>
  <w:style w:type="character" w:customStyle="1" w:styleId="UnresolvedMention1000">
    <w:name w:val="Unresolved Mention1000"/>
    <w:basedOn w:val="DefaultParagraphFont"/>
    <w:uiPriority w:val="99"/>
    <w:semiHidden/>
    <w:unhideWhenUsed/>
    <w:rsid w:val="00E82DBF"/>
    <w:rPr>
      <w:color w:val="808080"/>
      <w:shd w:val="clear" w:color="auto" w:fill="E6E6E6"/>
    </w:rPr>
  </w:style>
  <w:style w:type="character" w:customStyle="1" w:styleId="UnresolvedMention10000">
    <w:name w:val="Unresolved Mention10000"/>
    <w:basedOn w:val="DefaultParagraphFont"/>
    <w:uiPriority w:val="99"/>
    <w:semiHidden/>
    <w:unhideWhenUsed/>
    <w:rsid w:val="00384500"/>
    <w:rPr>
      <w:color w:val="808080"/>
      <w:shd w:val="clear" w:color="auto" w:fill="E6E6E6"/>
    </w:rPr>
  </w:style>
  <w:style w:type="character" w:customStyle="1" w:styleId="Heading6Char">
    <w:name w:val="Heading 6 Char"/>
    <w:basedOn w:val="DefaultParagraphFont"/>
    <w:link w:val="Heading6"/>
    <w:uiPriority w:val="9"/>
    <w:semiHidden/>
    <w:rsid w:val="00AF0F7C"/>
    <w:rPr>
      <w:rFonts w:ascii="Arial" w:eastAsiaTheme="majorEastAsia" w:hAnsi="Arial" w:cstheme="majorBidi"/>
      <w:color w:val="1F3763" w:themeColor="accent1" w:themeShade="7F"/>
      <w:sz w:val="22"/>
    </w:rPr>
  </w:style>
  <w:style w:type="table" w:customStyle="1" w:styleId="TableGrid2">
    <w:name w:val="Table Grid2"/>
    <w:basedOn w:val="TableNormal"/>
    <w:next w:val="TableGrid"/>
    <w:uiPriority w:val="39"/>
    <w:rsid w:val="00F85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run">
    <w:name w:val="textrun"/>
    <w:basedOn w:val="DefaultParagraphFont"/>
    <w:rsid w:val="00C42A2A"/>
  </w:style>
  <w:style w:type="character" w:customStyle="1" w:styleId="normaltextrun">
    <w:name w:val="normaltextrun"/>
    <w:basedOn w:val="DefaultParagraphFont"/>
    <w:rsid w:val="00C42A2A"/>
  </w:style>
  <w:style w:type="table" w:customStyle="1" w:styleId="TableGrid4">
    <w:name w:val="Table Grid4"/>
    <w:basedOn w:val="TableNormal"/>
    <w:next w:val="TableGrid"/>
    <w:uiPriority w:val="39"/>
    <w:rsid w:val="00C42A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2A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C42A2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C42A2A"/>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2">
    <w:name w:val="Unresolved Mention2"/>
    <w:basedOn w:val="DefaultParagraphFont"/>
    <w:uiPriority w:val="99"/>
    <w:unhideWhenUsed/>
    <w:rsid w:val="00C42A2A"/>
    <w:rPr>
      <w:color w:val="605E5C"/>
      <w:shd w:val="clear" w:color="auto" w:fill="E1DFDD"/>
    </w:rPr>
  </w:style>
  <w:style w:type="table" w:customStyle="1" w:styleId="GridTable4-Accent11">
    <w:name w:val="Grid Table 4 - Accent 11"/>
    <w:basedOn w:val="TableNormal"/>
    <w:uiPriority w:val="49"/>
    <w:rsid w:val="00C42A2A"/>
    <w:rPr>
      <w:sz w:val="22"/>
      <w:szCs w:val="22"/>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C42A2A"/>
    <w:pPr>
      <w:spacing w:before="0" w:after="0"/>
    </w:pPr>
    <w:rPr>
      <w:rFonts w:ascii="Calibri" w:eastAsiaTheme="minorEastAsia" w:hAnsi="Calibri" w:cs="Calibri"/>
      <w:szCs w:val="22"/>
      <w:lang w:eastAsia="zh-CN"/>
    </w:rPr>
  </w:style>
  <w:style w:type="character" w:customStyle="1" w:styleId="e24kjd">
    <w:name w:val="e24kjd"/>
    <w:basedOn w:val="DefaultParagraphFont"/>
    <w:rsid w:val="00C42A2A"/>
  </w:style>
  <w:style w:type="character" w:customStyle="1" w:styleId="sub-heading">
    <w:name w:val="sub-heading"/>
    <w:basedOn w:val="DefaultParagraphFont"/>
    <w:rsid w:val="00C42A2A"/>
  </w:style>
  <w:style w:type="character" w:customStyle="1" w:styleId="darkgray">
    <w:name w:val="darkgray"/>
    <w:basedOn w:val="DefaultParagraphFont"/>
    <w:rsid w:val="00C42A2A"/>
  </w:style>
  <w:style w:type="table" w:customStyle="1" w:styleId="GridTable4-Accent210">
    <w:name w:val="Grid Table 4 - Accent 210"/>
    <w:basedOn w:val="TableNormal"/>
    <w:next w:val="GridTable4-Accent21"/>
    <w:uiPriority w:val="49"/>
    <w:rsid w:val="00C42A2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yperlink1">
    <w:name w:val="Hyperlink1"/>
    <w:basedOn w:val="DefaultParagraphFont"/>
    <w:uiPriority w:val="99"/>
    <w:unhideWhenUsed/>
    <w:rsid w:val="00C42A2A"/>
    <w:rPr>
      <w:color w:val="0563C1"/>
      <w:u w:val="single"/>
    </w:rPr>
  </w:style>
  <w:style w:type="table" w:customStyle="1" w:styleId="GridTable4-Accent110">
    <w:name w:val="Grid Table 4 - Accent 110"/>
    <w:basedOn w:val="TableNormal"/>
    <w:next w:val="GridTable4-Accent11"/>
    <w:uiPriority w:val="49"/>
    <w:rsid w:val="00C42A2A"/>
    <w:rPr>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Spacing1">
    <w:name w:val="No Spacing1"/>
    <w:next w:val="NoSpacing"/>
    <w:uiPriority w:val="1"/>
    <w:qFormat/>
    <w:rsid w:val="00C42A2A"/>
    <w:rPr>
      <w:rFonts w:eastAsia="MS Mincho"/>
      <w:sz w:val="22"/>
      <w:szCs w:val="22"/>
      <w:lang w:val="en-GB" w:eastAsia="zh-CN"/>
    </w:rPr>
  </w:style>
  <w:style w:type="paragraph" w:customStyle="1" w:styleId="paragraph">
    <w:name w:val="paragraph"/>
    <w:basedOn w:val="Normal"/>
    <w:rsid w:val="00C42A2A"/>
    <w:pPr>
      <w:spacing w:before="100" w:beforeAutospacing="1" w:after="100" w:afterAutospacing="1"/>
    </w:pPr>
    <w:rPr>
      <w:rFonts w:ascii="Times New Roman" w:eastAsia="Times New Roman" w:hAnsi="Times New Roman" w:cs="Times New Roman"/>
      <w:sz w:val="24"/>
      <w:lang w:val="en-US" w:eastAsia="zh-TW"/>
    </w:rPr>
  </w:style>
  <w:style w:type="character" w:customStyle="1" w:styleId="eop">
    <w:name w:val="eop"/>
    <w:basedOn w:val="DefaultParagraphFont"/>
    <w:rsid w:val="00C42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7687">
      <w:bodyDiv w:val="1"/>
      <w:marLeft w:val="0"/>
      <w:marRight w:val="0"/>
      <w:marTop w:val="0"/>
      <w:marBottom w:val="0"/>
      <w:divBdr>
        <w:top w:val="none" w:sz="0" w:space="0" w:color="auto"/>
        <w:left w:val="none" w:sz="0" w:space="0" w:color="auto"/>
        <w:bottom w:val="none" w:sz="0" w:space="0" w:color="auto"/>
        <w:right w:val="none" w:sz="0" w:space="0" w:color="auto"/>
      </w:divBdr>
    </w:div>
    <w:div w:id="28802307">
      <w:bodyDiv w:val="1"/>
      <w:marLeft w:val="0"/>
      <w:marRight w:val="0"/>
      <w:marTop w:val="0"/>
      <w:marBottom w:val="0"/>
      <w:divBdr>
        <w:top w:val="none" w:sz="0" w:space="0" w:color="auto"/>
        <w:left w:val="none" w:sz="0" w:space="0" w:color="auto"/>
        <w:bottom w:val="none" w:sz="0" w:space="0" w:color="auto"/>
        <w:right w:val="none" w:sz="0" w:space="0" w:color="auto"/>
      </w:divBdr>
    </w:div>
    <w:div w:id="43334442">
      <w:bodyDiv w:val="1"/>
      <w:marLeft w:val="0"/>
      <w:marRight w:val="0"/>
      <w:marTop w:val="0"/>
      <w:marBottom w:val="0"/>
      <w:divBdr>
        <w:top w:val="none" w:sz="0" w:space="0" w:color="auto"/>
        <w:left w:val="none" w:sz="0" w:space="0" w:color="auto"/>
        <w:bottom w:val="none" w:sz="0" w:space="0" w:color="auto"/>
        <w:right w:val="none" w:sz="0" w:space="0" w:color="auto"/>
      </w:divBdr>
    </w:div>
    <w:div w:id="49765789">
      <w:bodyDiv w:val="1"/>
      <w:marLeft w:val="0"/>
      <w:marRight w:val="0"/>
      <w:marTop w:val="0"/>
      <w:marBottom w:val="0"/>
      <w:divBdr>
        <w:top w:val="none" w:sz="0" w:space="0" w:color="auto"/>
        <w:left w:val="none" w:sz="0" w:space="0" w:color="auto"/>
        <w:bottom w:val="none" w:sz="0" w:space="0" w:color="auto"/>
        <w:right w:val="none" w:sz="0" w:space="0" w:color="auto"/>
      </w:divBdr>
    </w:div>
    <w:div w:id="57671684">
      <w:bodyDiv w:val="1"/>
      <w:marLeft w:val="0"/>
      <w:marRight w:val="0"/>
      <w:marTop w:val="0"/>
      <w:marBottom w:val="0"/>
      <w:divBdr>
        <w:top w:val="none" w:sz="0" w:space="0" w:color="auto"/>
        <w:left w:val="none" w:sz="0" w:space="0" w:color="auto"/>
        <w:bottom w:val="none" w:sz="0" w:space="0" w:color="auto"/>
        <w:right w:val="none" w:sz="0" w:space="0" w:color="auto"/>
      </w:divBdr>
    </w:div>
    <w:div w:id="58138295">
      <w:bodyDiv w:val="1"/>
      <w:marLeft w:val="0"/>
      <w:marRight w:val="0"/>
      <w:marTop w:val="0"/>
      <w:marBottom w:val="0"/>
      <w:divBdr>
        <w:top w:val="none" w:sz="0" w:space="0" w:color="auto"/>
        <w:left w:val="none" w:sz="0" w:space="0" w:color="auto"/>
        <w:bottom w:val="none" w:sz="0" w:space="0" w:color="auto"/>
        <w:right w:val="none" w:sz="0" w:space="0" w:color="auto"/>
      </w:divBdr>
    </w:div>
    <w:div w:id="60449939">
      <w:bodyDiv w:val="1"/>
      <w:marLeft w:val="0"/>
      <w:marRight w:val="0"/>
      <w:marTop w:val="0"/>
      <w:marBottom w:val="0"/>
      <w:divBdr>
        <w:top w:val="none" w:sz="0" w:space="0" w:color="auto"/>
        <w:left w:val="none" w:sz="0" w:space="0" w:color="auto"/>
        <w:bottom w:val="none" w:sz="0" w:space="0" w:color="auto"/>
        <w:right w:val="none" w:sz="0" w:space="0" w:color="auto"/>
      </w:divBdr>
    </w:div>
    <w:div w:id="63143458">
      <w:bodyDiv w:val="1"/>
      <w:marLeft w:val="0"/>
      <w:marRight w:val="0"/>
      <w:marTop w:val="0"/>
      <w:marBottom w:val="0"/>
      <w:divBdr>
        <w:top w:val="none" w:sz="0" w:space="0" w:color="auto"/>
        <w:left w:val="none" w:sz="0" w:space="0" w:color="auto"/>
        <w:bottom w:val="none" w:sz="0" w:space="0" w:color="auto"/>
        <w:right w:val="none" w:sz="0" w:space="0" w:color="auto"/>
      </w:divBdr>
    </w:div>
    <w:div w:id="78527158">
      <w:bodyDiv w:val="1"/>
      <w:marLeft w:val="0"/>
      <w:marRight w:val="0"/>
      <w:marTop w:val="0"/>
      <w:marBottom w:val="0"/>
      <w:divBdr>
        <w:top w:val="none" w:sz="0" w:space="0" w:color="auto"/>
        <w:left w:val="none" w:sz="0" w:space="0" w:color="auto"/>
        <w:bottom w:val="none" w:sz="0" w:space="0" w:color="auto"/>
        <w:right w:val="none" w:sz="0" w:space="0" w:color="auto"/>
      </w:divBdr>
    </w:div>
    <w:div w:id="113403886">
      <w:bodyDiv w:val="1"/>
      <w:marLeft w:val="0"/>
      <w:marRight w:val="0"/>
      <w:marTop w:val="0"/>
      <w:marBottom w:val="0"/>
      <w:divBdr>
        <w:top w:val="none" w:sz="0" w:space="0" w:color="auto"/>
        <w:left w:val="none" w:sz="0" w:space="0" w:color="auto"/>
        <w:bottom w:val="none" w:sz="0" w:space="0" w:color="auto"/>
        <w:right w:val="none" w:sz="0" w:space="0" w:color="auto"/>
      </w:divBdr>
    </w:div>
    <w:div w:id="134884198">
      <w:bodyDiv w:val="1"/>
      <w:marLeft w:val="0"/>
      <w:marRight w:val="0"/>
      <w:marTop w:val="0"/>
      <w:marBottom w:val="0"/>
      <w:divBdr>
        <w:top w:val="none" w:sz="0" w:space="0" w:color="auto"/>
        <w:left w:val="none" w:sz="0" w:space="0" w:color="auto"/>
        <w:bottom w:val="none" w:sz="0" w:space="0" w:color="auto"/>
        <w:right w:val="none" w:sz="0" w:space="0" w:color="auto"/>
      </w:divBdr>
    </w:div>
    <w:div w:id="163016791">
      <w:bodyDiv w:val="1"/>
      <w:marLeft w:val="0"/>
      <w:marRight w:val="0"/>
      <w:marTop w:val="0"/>
      <w:marBottom w:val="0"/>
      <w:divBdr>
        <w:top w:val="none" w:sz="0" w:space="0" w:color="auto"/>
        <w:left w:val="none" w:sz="0" w:space="0" w:color="auto"/>
        <w:bottom w:val="none" w:sz="0" w:space="0" w:color="auto"/>
        <w:right w:val="none" w:sz="0" w:space="0" w:color="auto"/>
      </w:divBdr>
      <w:divsChild>
        <w:div w:id="1332296962">
          <w:marLeft w:val="0"/>
          <w:marRight w:val="0"/>
          <w:marTop w:val="0"/>
          <w:marBottom w:val="0"/>
          <w:divBdr>
            <w:top w:val="none" w:sz="0" w:space="0" w:color="auto"/>
            <w:left w:val="none" w:sz="0" w:space="0" w:color="auto"/>
            <w:bottom w:val="none" w:sz="0" w:space="0" w:color="auto"/>
            <w:right w:val="none" w:sz="0" w:space="0" w:color="auto"/>
          </w:divBdr>
          <w:divsChild>
            <w:div w:id="1051685174">
              <w:marLeft w:val="0"/>
              <w:marRight w:val="0"/>
              <w:marTop w:val="0"/>
              <w:marBottom w:val="0"/>
              <w:divBdr>
                <w:top w:val="none" w:sz="0" w:space="0" w:color="auto"/>
                <w:left w:val="none" w:sz="0" w:space="0" w:color="auto"/>
                <w:bottom w:val="none" w:sz="0" w:space="0" w:color="auto"/>
                <w:right w:val="none" w:sz="0" w:space="0" w:color="auto"/>
              </w:divBdr>
              <w:divsChild>
                <w:div w:id="1624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568">
      <w:bodyDiv w:val="1"/>
      <w:marLeft w:val="0"/>
      <w:marRight w:val="0"/>
      <w:marTop w:val="0"/>
      <w:marBottom w:val="0"/>
      <w:divBdr>
        <w:top w:val="none" w:sz="0" w:space="0" w:color="auto"/>
        <w:left w:val="none" w:sz="0" w:space="0" w:color="auto"/>
        <w:bottom w:val="none" w:sz="0" w:space="0" w:color="auto"/>
        <w:right w:val="none" w:sz="0" w:space="0" w:color="auto"/>
      </w:divBdr>
    </w:div>
    <w:div w:id="220364322">
      <w:bodyDiv w:val="1"/>
      <w:marLeft w:val="0"/>
      <w:marRight w:val="0"/>
      <w:marTop w:val="0"/>
      <w:marBottom w:val="0"/>
      <w:divBdr>
        <w:top w:val="none" w:sz="0" w:space="0" w:color="auto"/>
        <w:left w:val="none" w:sz="0" w:space="0" w:color="auto"/>
        <w:bottom w:val="none" w:sz="0" w:space="0" w:color="auto"/>
        <w:right w:val="none" w:sz="0" w:space="0" w:color="auto"/>
      </w:divBdr>
    </w:div>
    <w:div w:id="234169632">
      <w:bodyDiv w:val="1"/>
      <w:marLeft w:val="0"/>
      <w:marRight w:val="0"/>
      <w:marTop w:val="0"/>
      <w:marBottom w:val="0"/>
      <w:divBdr>
        <w:top w:val="none" w:sz="0" w:space="0" w:color="auto"/>
        <w:left w:val="none" w:sz="0" w:space="0" w:color="auto"/>
        <w:bottom w:val="none" w:sz="0" w:space="0" w:color="auto"/>
        <w:right w:val="none" w:sz="0" w:space="0" w:color="auto"/>
      </w:divBdr>
    </w:div>
    <w:div w:id="256059780">
      <w:bodyDiv w:val="1"/>
      <w:marLeft w:val="0"/>
      <w:marRight w:val="0"/>
      <w:marTop w:val="0"/>
      <w:marBottom w:val="0"/>
      <w:divBdr>
        <w:top w:val="none" w:sz="0" w:space="0" w:color="auto"/>
        <w:left w:val="none" w:sz="0" w:space="0" w:color="auto"/>
        <w:bottom w:val="none" w:sz="0" w:space="0" w:color="auto"/>
        <w:right w:val="none" w:sz="0" w:space="0" w:color="auto"/>
      </w:divBdr>
    </w:div>
    <w:div w:id="265624275">
      <w:bodyDiv w:val="1"/>
      <w:marLeft w:val="0"/>
      <w:marRight w:val="0"/>
      <w:marTop w:val="0"/>
      <w:marBottom w:val="0"/>
      <w:divBdr>
        <w:top w:val="none" w:sz="0" w:space="0" w:color="auto"/>
        <w:left w:val="none" w:sz="0" w:space="0" w:color="auto"/>
        <w:bottom w:val="none" w:sz="0" w:space="0" w:color="auto"/>
        <w:right w:val="none" w:sz="0" w:space="0" w:color="auto"/>
      </w:divBdr>
    </w:div>
    <w:div w:id="354036520">
      <w:bodyDiv w:val="1"/>
      <w:marLeft w:val="0"/>
      <w:marRight w:val="0"/>
      <w:marTop w:val="0"/>
      <w:marBottom w:val="0"/>
      <w:divBdr>
        <w:top w:val="none" w:sz="0" w:space="0" w:color="auto"/>
        <w:left w:val="none" w:sz="0" w:space="0" w:color="auto"/>
        <w:bottom w:val="none" w:sz="0" w:space="0" w:color="auto"/>
        <w:right w:val="none" w:sz="0" w:space="0" w:color="auto"/>
      </w:divBdr>
    </w:div>
    <w:div w:id="406196675">
      <w:bodyDiv w:val="1"/>
      <w:marLeft w:val="0"/>
      <w:marRight w:val="0"/>
      <w:marTop w:val="0"/>
      <w:marBottom w:val="0"/>
      <w:divBdr>
        <w:top w:val="none" w:sz="0" w:space="0" w:color="auto"/>
        <w:left w:val="none" w:sz="0" w:space="0" w:color="auto"/>
        <w:bottom w:val="none" w:sz="0" w:space="0" w:color="auto"/>
        <w:right w:val="none" w:sz="0" w:space="0" w:color="auto"/>
      </w:divBdr>
    </w:div>
    <w:div w:id="426578955">
      <w:bodyDiv w:val="1"/>
      <w:marLeft w:val="0"/>
      <w:marRight w:val="0"/>
      <w:marTop w:val="0"/>
      <w:marBottom w:val="0"/>
      <w:divBdr>
        <w:top w:val="none" w:sz="0" w:space="0" w:color="auto"/>
        <w:left w:val="none" w:sz="0" w:space="0" w:color="auto"/>
        <w:bottom w:val="none" w:sz="0" w:space="0" w:color="auto"/>
        <w:right w:val="none" w:sz="0" w:space="0" w:color="auto"/>
      </w:divBdr>
    </w:div>
    <w:div w:id="431245412">
      <w:bodyDiv w:val="1"/>
      <w:marLeft w:val="0"/>
      <w:marRight w:val="0"/>
      <w:marTop w:val="0"/>
      <w:marBottom w:val="0"/>
      <w:divBdr>
        <w:top w:val="none" w:sz="0" w:space="0" w:color="auto"/>
        <w:left w:val="none" w:sz="0" w:space="0" w:color="auto"/>
        <w:bottom w:val="none" w:sz="0" w:space="0" w:color="auto"/>
        <w:right w:val="none" w:sz="0" w:space="0" w:color="auto"/>
      </w:divBdr>
    </w:div>
    <w:div w:id="463472880">
      <w:bodyDiv w:val="1"/>
      <w:marLeft w:val="0"/>
      <w:marRight w:val="0"/>
      <w:marTop w:val="0"/>
      <w:marBottom w:val="0"/>
      <w:divBdr>
        <w:top w:val="none" w:sz="0" w:space="0" w:color="auto"/>
        <w:left w:val="none" w:sz="0" w:space="0" w:color="auto"/>
        <w:bottom w:val="none" w:sz="0" w:space="0" w:color="auto"/>
        <w:right w:val="none" w:sz="0" w:space="0" w:color="auto"/>
      </w:divBdr>
    </w:div>
    <w:div w:id="465243748">
      <w:bodyDiv w:val="1"/>
      <w:marLeft w:val="0"/>
      <w:marRight w:val="0"/>
      <w:marTop w:val="0"/>
      <w:marBottom w:val="0"/>
      <w:divBdr>
        <w:top w:val="none" w:sz="0" w:space="0" w:color="auto"/>
        <w:left w:val="none" w:sz="0" w:space="0" w:color="auto"/>
        <w:bottom w:val="none" w:sz="0" w:space="0" w:color="auto"/>
        <w:right w:val="none" w:sz="0" w:space="0" w:color="auto"/>
      </w:divBdr>
    </w:div>
    <w:div w:id="478958546">
      <w:bodyDiv w:val="1"/>
      <w:marLeft w:val="0"/>
      <w:marRight w:val="0"/>
      <w:marTop w:val="0"/>
      <w:marBottom w:val="0"/>
      <w:divBdr>
        <w:top w:val="none" w:sz="0" w:space="0" w:color="auto"/>
        <w:left w:val="none" w:sz="0" w:space="0" w:color="auto"/>
        <w:bottom w:val="none" w:sz="0" w:space="0" w:color="auto"/>
        <w:right w:val="none" w:sz="0" w:space="0" w:color="auto"/>
      </w:divBdr>
    </w:div>
    <w:div w:id="491335663">
      <w:bodyDiv w:val="1"/>
      <w:marLeft w:val="0"/>
      <w:marRight w:val="0"/>
      <w:marTop w:val="0"/>
      <w:marBottom w:val="0"/>
      <w:divBdr>
        <w:top w:val="none" w:sz="0" w:space="0" w:color="auto"/>
        <w:left w:val="none" w:sz="0" w:space="0" w:color="auto"/>
        <w:bottom w:val="none" w:sz="0" w:space="0" w:color="auto"/>
        <w:right w:val="none" w:sz="0" w:space="0" w:color="auto"/>
      </w:divBdr>
    </w:div>
    <w:div w:id="498233301">
      <w:bodyDiv w:val="1"/>
      <w:marLeft w:val="0"/>
      <w:marRight w:val="0"/>
      <w:marTop w:val="0"/>
      <w:marBottom w:val="0"/>
      <w:divBdr>
        <w:top w:val="none" w:sz="0" w:space="0" w:color="auto"/>
        <w:left w:val="none" w:sz="0" w:space="0" w:color="auto"/>
        <w:bottom w:val="none" w:sz="0" w:space="0" w:color="auto"/>
        <w:right w:val="none" w:sz="0" w:space="0" w:color="auto"/>
      </w:divBdr>
    </w:div>
    <w:div w:id="524100016">
      <w:bodyDiv w:val="1"/>
      <w:marLeft w:val="0"/>
      <w:marRight w:val="0"/>
      <w:marTop w:val="0"/>
      <w:marBottom w:val="0"/>
      <w:divBdr>
        <w:top w:val="none" w:sz="0" w:space="0" w:color="auto"/>
        <w:left w:val="none" w:sz="0" w:space="0" w:color="auto"/>
        <w:bottom w:val="none" w:sz="0" w:space="0" w:color="auto"/>
        <w:right w:val="none" w:sz="0" w:space="0" w:color="auto"/>
      </w:divBdr>
    </w:div>
    <w:div w:id="528372084">
      <w:bodyDiv w:val="1"/>
      <w:marLeft w:val="0"/>
      <w:marRight w:val="0"/>
      <w:marTop w:val="0"/>
      <w:marBottom w:val="0"/>
      <w:divBdr>
        <w:top w:val="none" w:sz="0" w:space="0" w:color="auto"/>
        <w:left w:val="none" w:sz="0" w:space="0" w:color="auto"/>
        <w:bottom w:val="none" w:sz="0" w:space="0" w:color="auto"/>
        <w:right w:val="none" w:sz="0" w:space="0" w:color="auto"/>
      </w:divBdr>
    </w:div>
    <w:div w:id="541483608">
      <w:bodyDiv w:val="1"/>
      <w:marLeft w:val="0"/>
      <w:marRight w:val="0"/>
      <w:marTop w:val="0"/>
      <w:marBottom w:val="0"/>
      <w:divBdr>
        <w:top w:val="none" w:sz="0" w:space="0" w:color="auto"/>
        <w:left w:val="none" w:sz="0" w:space="0" w:color="auto"/>
        <w:bottom w:val="none" w:sz="0" w:space="0" w:color="auto"/>
        <w:right w:val="none" w:sz="0" w:space="0" w:color="auto"/>
      </w:divBdr>
    </w:div>
    <w:div w:id="543441564">
      <w:bodyDiv w:val="1"/>
      <w:marLeft w:val="0"/>
      <w:marRight w:val="0"/>
      <w:marTop w:val="0"/>
      <w:marBottom w:val="0"/>
      <w:divBdr>
        <w:top w:val="none" w:sz="0" w:space="0" w:color="auto"/>
        <w:left w:val="none" w:sz="0" w:space="0" w:color="auto"/>
        <w:bottom w:val="none" w:sz="0" w:space="0" w:color="auto"/>
        <w:right w:val="none" w:sz="0" w:space="0" w:color="auto"/>
      </w:divBdr>
    </w:div>
    <w:div w:id="546340696">
      <w:bodyDiv w:val="1"/>
      <w:marLeft w:val="0"/>
      <w:marRight w:val="0"/>
      <w:marTop w:val="0"/>
      <w:marBottom w:val="0"/>
      <w:divBdr>
        <w:top w:val="none" w:sz="0" w:space="0" w:color="auto"/>
        <w:left w:val="none" w:sz="0" w:space="0" w:color="auto"/>
        <w:bottom w:val="none" w:sz="0" w:space="0" w:color="auto"/>
        <w:right w:val="none" w:sz="0" w:space="0" w:color="auto"/>
      </w:divBdr>
    </w:div>
    <w:div w:id="567036474">
      <w:bodyDiv w:val="1"/>
      <w:marLeft w:val="0"/>
      <w:marRight w:val="0"/>
      <w:marTop w:val="0"/>
      <w:marBottom w:val="0"/>
      <w:divBdr>
        <w:top w:val="none" w:sz="0" w:space="0" w:color="auto"/>
        <w:left w:val="none" w:sz="0" w:space="0" w:color="auto"/>
        <w:bottom w:val="none" w:sz="0" w:space="0" w:color="auto"/>
        <w:right w:val="none" w:sz="0" w:space="0" w:color="auto"/>
      </w:divBdr>
    </w:div>
    <w:div w:id="583343518">
      <w:bodyDiv w:val="1"/>
      <w:marLeft w:val="0"/>
      <w:marRight w:val="0"/>
      <w:marTop w:val="0"/>
      <w:marBottom w:val="0"/>
      <w:divBdr>
        <w:top w:val="none" w:sz="0" w:space="0" w:color="auto"/>
        <w:left w:val="none" w:sz="0" w:space="0" w:color="auto"/>
        <w:bottom w:val="none" w:sz="0" w:space="0" w:color="auto"/>
        <w:right w:val="none" w:sz="0" w:space="0" w:color="auto"/>
      </w:divBdr>
    </w:div>
    <w:div w:id="588585453">
      <w:bodyDiv w:val="1"/>
      <w:marLeft w:val="0"/>
      <w:marRight w:val="0"/>
      <w:marTop w:val="0"/>
      <w:marBottom w:val="0"/>
      <w:divBdr>
        <w:top w:val="none" w:sz="0" w:space="0" w:color="auto"/>
        <w:left w:val="none" w:sz="0" w:space="0" w:color="auto"/>
        <w:bottom w:val="none" w:sz="0" w:space="0" w:color="auto"/>
        <w:right w:val="none" w:sz="0" w:space="0" w:color="auto"/>
      </w:divBdr>
    </w:div>
    <w:div w:id="612320769">
      <w:bodyDiv w:val="1"/>
      <w:marLeft w:val="0"/>
      <w:marRight w:val="0"/>
      <w:marTop w:val="0"/>
      <w:marBottom w:val="0"/>
      <w:divBdr>
        <w:top w:val="none" w:sz="0" w:space="0" w:color="auto"/>
        <w:left w:val="none" w:sz="0" w:space="0" w:color="auto"/>
        <w:bottom w:val="none" w:sz="0" w:space="0" w:color="auto"/>
        <w:right w:val="none" w:sz="0" w:space="0" w:color="auto"/>
      </w:divBdr>
    </w:div>
    <w:div w:id="620838732">
      <w:bodyDiv w:val="1"/>
      <w:marLeft w:val="0"/>
      <w:marRight w:val="0"/>
      <w:marTop w:val="0"/>
      <w:marBottom w:val="0"/>
      <w:divBdr>
        <w:top w:val="none" w:sz="0" w:space="0" w:color="auto"/>
        <w:left w:val="none" w:sz="0" w:space="0" w:color="auto"/>
        <w:bottom w:val="none" w:sz="0" w:space="0" w:color="auto"/>
        <w:right w:val="none" w:sz="0" w:space="0" w:color="auto"/>
      </w:divBdr>
    </w:div>
    <w:div w:id="633289861">
      <w:bodyDiv w:val="1"/>
      <w:marLeft w:val="0"/>
      <w:marRight w:val="0"/>
      <w:marTop w:val="0"/>
      <w:marBottom w:val="0"/>
      <w:divBdr>
        <w:top w:val="none" w:sz="0" w:space="0" w:color="auto"/>
        <w:left w:val="none" w:sz="0" w:space="0" w:color="auto"/>
        <w:bottom w:val="none" w:sz="0" w:space="0" w:color="auto"/>
        <w:right w:val="none" w:sz="0" w:space="0" w:color="auto"/>
      </w:divBdr>
    </w:div>
    <w:div w:id="636565196">
      <w:bodyDiv w:val="1"/>
      <w:marLeft w:val="0"/>
      <w:marRight w:val="0"/>
      <w:marTop w:val="0"/>
      <w:marBottom w:val="0"/>
      <w:divBdr>
        <w:top w:val="none" w:sz="0" w:space="0" w:color="auto"/>
        <w:left w:val="none" w:sz="0" w:space="0" w:color="auto"/>
        <w:bottom w:val="none" w:sz="0" w:space="0" w:color="auto"/>
        <w:right w:val="none" w:sz="0" w:space="0" w:color="auto"/>
      </w:divBdr>
    </w:div>
    <w:div w:id="676928354">
      <w:bodyDiv w:val="1"/>
      <w:marLeft w:val="0"/>
      <w:marRight w:val="0"/>
      <w:marTop w:val="0"/>
      <w:marBottom w:val="0"/>
      <w:divBdr>
        <w:top w:val="none" w:sz="0" w:space="0" w:color="auto"/>
        <w:left w:val="none" w:sz="0" w:space="0" w:color="auto"/>
        <w:bottom w:val="none" w:sz="0" w:space="0" w:color="auto"/>
        <w:right w:val="none" w:sz="0" w:space="0" w:color="auto"/>
      </w:divBdr>
    </w:div>
    <w:div w:id="678702227">
      <w:bodyDiv w:val="1"/>
      <w:marLeft w:val="0"/>
      <w:marRight w:val="0"/>
      <w:marTop w:val="0"/>
      <w:marBottom w:val="0"/>
      <w:divBdr>
        <w:top w:val="none" w:sz="0" w:space="0" w:color="auto"/>
        <w:left w:val="none" w:sz="0" w:space="0" w:color="auto"/>
        <w:bottom w:val="none" w:sz="0" w:space="0" w:color="auto"/>
        <w:right w:val="none" w:sz="0" w:space="0" w:color="auto"/>
      </w:divBdr>
    </w:div>
    <w:div w:id="709305616">
      <w:bodyDiv w:val="1"/>
      <w:marLeft w:val="0"/>
      <w:marRight w:val="0"/>
      <w:marTop w:val="0"/>
      <w:marBottom w:val="0"/>
      <w:divBdr>
        <w:top w:val="none" w:sz="0" w:space="0" w:color="auto"/>
        <w:left w:val="none" w:sz="0" w:space="0" w:color="auto"/>
        <w:bottom w:val="none" w:sz="0" w:space="0" w:color="auto"/>
        <w:right w:val="none" w:sz="0" w:space="0" w:color="auto"/>
      </w:divBdr>
    </w:div>
    <w:div w:id="720641969">
      <w:bodyDiv w:val="1"/>
      <w:marLeft w:val="0"/>
      <w:marRight w:val="0"/>
      <w:marTop w:val="0"/>
      <w:marBottom w:val="0"/>
      <w:divBdr>
        <w:top w:val="none" w:sz="0" w:space="0" w:color="auto"/>
        <w:left w:val="none" w:sz="0" w:space="0" w:color="auto"/>
        <w:bottom w:val="none" w:sz="0" w:space="0" w:color="auto"/>
        <w:right w:val="none" w:sz="0" w:space="0" w:color="auto"/>
      </w:divBdr>
    </w:div>
    <w:div w:id="766509594">
      <w:bodyDiv w:val="1"/>
      <w:marLeft w:val="0"/>
      <w:marRight w:val="0"/>
      <w:marTop w:val="0"/>
      <w:marBottom w:val="0"/>
      <w:divBdr>
        <w:top w:val="none" w:sz="0" w:space="0" w:color="auto"/>
        <w:left w:val="none" w:sz="0" w:space="0" w:color="auto"/>
        <w:bottom w:val="none" w:sz="0" w:space="0" w:color="auto"/>
        <w:right w:val="none" w:sz="0" w:space="0" w:color="auto"/>
      </w:divBdr>
    </w:div>
    <w:div w:id="772283444">
      <w:bodyDiv w:val="1"/>
      <w:marLeft w:val="0"/>
      <w:marRight w:val="0"/>
      <w:marTop w:val="0"/>
      <w:marBottom w:val="0"/>
      <w:divBdr>
        <w:top w:val="none" w:sz="0" w:space="0" w:color="auto"/>
        <w:left w:val="none" w:sz="0" w:space="0" w:color="auto"/>
        <w:bottom w:val="none" w:sz="0" w:space="0" w:color="auto"/>
        <w:right w:val="none" w:sz="0" w:space="0" w:color="auto"/>
      </w:divBdr>
    </w:div>
    <w:div w:id="776024552">
      <w:bodyDiv w:val="1"/>
      <w:marLeft w:val="0"/>
      <w:marRight w:val="0"/>
      <w:marTop w:val="0"/>
      <w:marBottom w:val="0"/>
      <w:divBdr>
        <w:top w:val="none" w:sz="0" w:space="0" w:color="auto"/>
        <w:left w:val="none" w:sz="0" w:space="0" w:color="auto"/>
        <w:bottom w:val="none" w:sz="0" w:space="0" w:color="auto"/>
        <w:right w:val="none" w:sz="0" w:space="0" w:color="auto"/>
      </w:divBdr>
    </w:div>
    <w:div w:id="779760927">
      <w:bodyDiv w:val="1"/>
      <w:marLeft w:val="0"/>
      <w:marRight w:val="0"/>
      <w:marTop w:val="0"/>
      <w:marBottom w:val="0"/>
      <w:divBdr>
        <w:top w:val="none" w:sz="0" w:space="0" w:color="auto"/>
        <w:left w:val="none" w:sz="0" w:space="0" w:color="auto"/>
        <w:bottom w:val="none" w:sz="0" w:space="0" w:color="auto"/>
        <w:right w:val="none" w:sz="0" w:space="0" w:color="auto"/>
      </w:divBdr>
    </w:div>
    <w:div w:id="786313689">
      <w:bodyDiv w:val="1"/>
      <w:marLeft w:val="0"/>
      <w:marRight w:val="0"/>
      <w:marTop w:val="0"/>
      <w:marBottom w:val="0"/>
      <w:divBdr>
        <w:top w:val="none" w:sz="0" w:space="0" w:color="auto"/>
        <w:left w:val="none" w:sz="0" w:space="0" w:color="auto"/>
        <w:bottom w:val="none" w:sz="0" w:space="0" w:color="auto"/>
        <w:right w:val="none" w:sz="0" w:space="0" w:color="auto"/>
      </w:divBdr>
    </w:div>
    <w:div w:id="796221208">
      <w:bodyDiv w:val="1"/>
      <w:marLeft w:val="0"/>
      <w:marRight w:val="0"/>
      <w:marTop w:val="0"/>
      <w:marBottom w:val="0"/>
      <w:divBdr>
        <w:top w:val="none" w:sz="0" w:space="0" w:color="auto"/>
        <w:left w:val="none" w:sz="0" w:space="0" w:color="auto"/>
        <w:bottom w:val="none" w:sz="0" w:space="0" w:color="auto"/>
        <w:right w:val="none" w:sz="0" w:space="0" w:color="auto"/>
      </w:divBdr>
    </w:div>
    <w:div w:id="810754545">
      <w:bodyDiv w:val="1"/>
      <w:marLeft w:val="0"/>
      <w:marRight w:val="0"/>
      <w:marTop w:val="0"/>
      <w:marBottom w:val="0"/>
      <w:divBdr>
        <w:top w:val="none" w:sz="0" w:space="0" w:color="auto"/>
        <w:left w:val="none" w:sz="0" w:space="0" w:color="auto"/>
        <w:bottom w:val="none" w:sz="0" w:space="0" w:color="auto"/>
        <w:right w:val="none" w:sz="0" w:space="0" w:color="auto"/>
      </w:divBdr>
    </w:div>
    <w:div w:id="910583858">
      <w:bodyDiv w:val="1"/>
      <w:marLeft w:val="0"/>
      <w:marRight w:val="0"/>
      <w:marTop w:val="0"/>
      <w:marBottom w:val="0"/>
      <w:divBdr>
        <w:top w:val="none" w:sz="0" w:space="0" w:color="auto"/>
        <w:left w:val="none" w:sz="0" w:space="0" w:color="auto"/>
        <w:bottom w:val="none" w:sz="0" w:space="0" w:color="auto"/>
        <w:right w:val="none" w:sz="0" w:space="0" w:color="auto"/>
      </w:divBdr>
    </w:div>
    <w:div w:id="911281818">
      <w:bodyDiv w:val="1"/>
      <w:marLeft w:val="0"/>
      <w:marRight w:val="0"/>
      <w:marTop w:val="0"/>
      <w:marBottom w:val="0"/>
      <w:divBdr>
        <w:top w:val="none" w:sz="0" w:space="0" w:color="auto"/>
        <w:left w:val="none" w:sz="0" w:space="0" w:color="auto"/>
        <w:bottom w:val="none" w:sz="0" w:space="0" w:color="auto"/>
        <w:right w:val="none" w:sz="0" w:space="0" w:color="auto"/>
      </w:divBdr>
    </w:div>
    <w:div w:id="943463610">
      <w:bodyDiv w:val="1"/>
      <w:marLeft w:val="0"/>
      <w:marRight w:val="0"/>
      <w:marTop w:val="0"/>
      <w:marBottom w:val="0"/>
      <w:divBdr>
        <w:top w:val="none" w:sz="0" w:space="0" w:color="auto"/>
        <w:left w:val="none" w:sz="0" w:space="0" w:color="auto"/>
        <w:bottom w:val="none" w:sz="0" w:space="0" w:color="auto"/>
        <w:right w:val="none" w:sz="0" w:space="0" w:color="auto"/>
      </w:divBdr>
    </w:div>
    <w:div w:id="950403643">
      <w:bodyDiv w:val="1"/>
      <w:marLeft w:val="0"/>
      <w:marRight w:val="0"/>
      <w:marTop w:val="0"/>
      <w:marBottom w:val="0"/>
      <w:divBdr>
        <w:top w:val="none" w:sz="0" w:space="0" w:color="auto"/>
        <w:left w:val="none" w:sz="0" w:space="0" w:color="auto"/>
        <w:bottom w:val="none" w:sz="0" w:space="0" w:color="auto"/>
        <w:right w:val="none" w:sz="0" w:space="0" w:color="auto"/>
      </w:divBdr>
    </w:div>
    <w:div w:id="958343225">
      <w:bodyDiv w:val="1"/>
      <w:marLeft w:val="0"/>
      <w:marRight w:val="0"/>
      <w:marTop w:val="0"/>
      <w:marBottom w:val="0"/>
      <w:divBdr>
        <w:top w:val="none" w:sz="0" w:space="0" w:color="auto"/>
        <w:left w:val="none" w:sz="0" w:space="0" w:color="auto"/>
        <w:bottom w:val="none" w:sz="0" w:space="0" w:color="auto"/>
        <w:right w:val="none" w:sz="0" w:space="0" w:color="auto"/>
      </w:divBdr>
    </w:div>
    <w:div w:id="973876394">
      <w:bodyDiv w:val="1"/>
      <w:marLeft w:val="0"/>
      <w:marRight w:val="0"/>
      <w:marTop w:val="0"/>
      <w:marBottom w:val="0"/>
      <w:divBdr>
        <w:top w:val="none" w:sz="0" w:space="0" w:color="auto"/>
        <w:left w:val="none" w:sz="0" w:space="0" w:color="auto"/>
        <w:bottom w:val="none" w:sz="0" w:space="0" w:color="auto"/>
        <w:right w:val="none" w:sz="0" w:space="0" w:color="auto"/>
      </w:divBdr>
    </w:div>
    <w:div w:id="983853729">
      <w:bodyDiv w:val="1"/>
      <w:marLeft w:val="0"/>
      <w:marRight w:val="0"/>
      <w:marTop w:val="0"/>
      <w:marBottom w:val="0"/>
      <w:divBdr>
        <w:top w:val="none" w:sz="0" w:space="0" w:color="auto"/>
        <w:left w:val="none" w:sz="0" w:space="0" w:color="auto"/>
        <w:bottom w:val="none" w:sz="0" w:space="0" w:color="auto"/>
        <w:right w:val="none" w:sz="0" w:space="0" w:color="auto"/>
      </w:divBdr>
    </w:div>
    <w:div w:id="987129132">
      <w:bodyDiv w:val="1"/>
      <w:marLeft w:val="0"/>
      <w:marRight w:val="0"/>
      <w:marTop w:val="0"/>
      <w:marBottom w:val="0"/>
      <w:divBdr>
        <w:top w:val="none" w:sz="0" w:space="0" w:color="auto"/>
        <w:left w:val="none" w:sz="0" w:space="0" w:color="auto"/>
        <w:bottom w:val="none" w:sz="0" w:space="0" w:color="auto"/>
        <w:right w:val="none" w:sz="0" w:space="0" w:color="auto"/>
      </w:divBdr>
    </w:div>
    <w:div w:id="987244053">
      <w:bodyDiv w:val="1"/>
      <w:marLeft w:val="0"/>
      <w:marRight w:val="0"/>
      <w:marTop w:val="0"/>
      <w:marBottom w:val="0"/>
      <w:divBdr>
        <w:top w:val="none" w:sz="0" w:space="0" w:color="auto"/>
        <w:left w:val="none" w:sz="0" w:space="0" w:color="auto"/>
        <w:bottom w:val="none" w:sz="0" w:space="0" w:color="auto"/>
        <w:right w:val="none" w:sz="0" w:space="0" w:color="auto"/>
      </w:divBdr>
    </w:div>
    <w:div w:id="1003707828">
      <w:bodyDiv w:val="1"/>
      <w:marLeft w:val="0"/>
      <w:marRight w:val="0"/>
      <w:marTop w:val="0"/>
      <w:marBottom w:val="0"/>
      <w:divBdr>
        <w:top w:val="none" w:sz="0" w:space="0" w:color="auto"/>
        <w:left w:val="none" w:sz="0" w:space="0" w:color="auto"/>
        <w:bottom w:val="none" w:sz="0" w:space="0" w:color="auto"/>
        <w:right w:val="none" w:sz="0" w:space="0" w:color="auto"/>
      </w:divBdr>
    </w:div>
    <w:div w:id="1013141752">
      <w:bodyDiv w:val="1"/>
      <w:marLeft w:val="0"/>
      <w:marRight w:val="0"/>
      <w:marTop w:val="0"/>
      <w:marBottom w:val="0"/>
      <w:divBdr>
        <w:top w:val="none" w:sz="0" w:space="0" w:color="auto"/>
        <w:left w:val="none" w:sz="0" w:space="0" w:color="auto"/>
        <w:bottom w:val="none" w:sz="0" w:space="0" w:color="auto"/>
        <w:right w:val="none" w:sz="0" w:space="0" w:color="auto"/>
      </w:divBdr>
    </w:div>
    <w:div w:id="1050572518">
      <w:bodyDiv w:val="1"/>
      <w:marLeft w:val="0"/>
      <w:marRight w:val="0"/>
      <w:marTop w:val="0"/>
      <w:marBottom w:val="0"/>
      <w:divBdr>
        <w:top w:val="none" w:sz="0" w:space="0" w:color="auto"/>
        <w:left w:val="none" w:sz="0" w:space="0" w:color="auto"/>
        <w:bottom w:val="none" w:sz="0" w:space="0" w:color="auto"/>
        <w:right w:val="none" w:sz="0" w:space="0" w:color="auto"/>
      </w:divBdr>
    </w:div>
    <w:div w:id="1107892621">
      <w:bodyDiv w:val="1"/>
      <w:marLeft w:val="0"/>
      <w:marRight w:val="0"/>
      <w:marTop w:val="0"/>
      <w:marBottom w:val="0"/>
      <w:divBdr>
        <w:top w:val="none" w:sz="0" w:space="0" w:color="auto"/>
        <w:left w:val="none" w:sz="0" w:space="0" w:color="auto"/>
        <w:bottom w:val="none" w:sz="0" w:space="0" w:color="auto"/>
        <w:right w:val="none" w:sz="0" w:space="0" w:color="auto"/>
      </w:divBdr>
    </w:div>
    <w:div w:id="1117603990">
      <w:bodyDiv w:val="1"/>
      <w:marLeft w:val="0"/>
      <w:marRight w:val="0"/>
      <w:marTop w:val="0"/>
      <w:marBottom w:val="0"/>
      <w:divBdr>
        <w:top w:val="none" w:sz="0" w:space="0" w:color="auto"/>
        <w:left w:val="none" w:sz="0" w:space="0" w:color="auto"/>
        <w:bottom w:val="none" w:sz="0" w:space="0" w:color="auto"/>
        <w:right w:val="none" w:sz="0" w:space="0" w:color="auto"/>
      </w:divBdr>
      <w:divsChild>
        <w:div w:id="934751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5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5341">
      <w:bodyDiv w:val="1"/>
      <w:marLeft w:val="0"/>
      <w:marRight w:val="0"/>
      <w:marTop w:val="0"/>
      <w:marBottom w:val="0"/>
      <w:divBdr>
        <w:top w:val="none" w:sz="0" w:space="0" w:color="auto"/>
        <w:left w:val="none" w:sz="0" w:space="0" w:color="auto"/>
        <w:bottom w:val="none" w:sz="0" w:space="0" w:color="auto"/>
        <w:right w:val="none" w:sz="0" w:space="0" w:color="auto"/>
      </w:divBdr>
    </w:div>
    <w:div w:id="1251155745">
      <w:bodyDiv w:val="1"/>
      <w:marLeft w:val="0"/>
      <w:marRight w:val="0"/>
      <w:marTop w:val="0"/>
      <w:marBottom w:val="0"/>
      <w:divBdr>
        <w:top w:val="none" w:sz="0" w:space="0" w:color="auto"/>
        <w:left w:val="none" w:sz="0" w:space="0" w:color="auto"/>
        <w:bottom w:val="none" w:sz="0" w:space="0" w:color="auto"/>
        <w:right w:val="none" w:sz="0" w:space="0" w:color="auto"/>
      </w:divBdr>
    </w:div>
    <w:div w:id="1261067659">
      <w:bodyDiv w:val="1"/>
      <w:marLeft w:val="0"/>
      <w:marRight w:val="0"/>
      <w:marTop w:val="0"/>
      <w:marBottom w:val="0"/>
      <w:divBdr>
        <w:top w:val="none" w:sz="0" w:space="0" w:color="auto"/>
        <w:left w:val="none" w:sz="0" w:space="0" w:color="auto"/>
        <w:bottom w:val="none" w:sz="0" w:space="0" w:color="auto"/>
        <w:right w:val="none" w:sz="0" w:space="0" w:color="auto"/>
      </w:divBdr>
    </w:div>
    <w:div w:id="1272779152">
      <w:bodyDiv w:val="1"/>
      <w:marLeft w:val="0"/>
      <w:marRight w:val="0"/>
      <w:marTop w:val="0"/>
      <w:marBottom w:val="0"/>
      <w:divBdr>
        <w:top w:val="none" w:sz="0" w:space="0" w:color="auto"/>
        <w:left w:val="none" w:sz="0" w:space="0" w:color="auto"/>
        <w:bottom w:val="none" w:sz="0" w:space="0" w:color="auto"/>
        <w:right w:val="none" w:sz="0" w:space="0" w:color="auto"/>
      </w:divBdr>
    </w:div>
    <w:div w:id="1274291924">
      <w:bodyDiv w:val="1"/>
      <w:marLeft w:val="0"/>
      <w:marRight w:val="0"/>
      <w:marTop w:val="0"/>
      <w:marBottom w:val="0"/>
      <w:divBdr>
        <w:top w:val="none" w:sz="0" w:space="0" w:color="auto"/>
        <w:left w:val="none" w:sz="0" w:space="0" w:color="auto"/>
        <w:bottom w:val="none" w:sz="0" w:space="0" w:color="auto"/>
        <w:right w:val="none" w:sz="0" w:space="0" w:color="auto"/>
      </w:divBdr>
    </w:div>
    <w:div w:id="1277757195">
      <w:bodyDiv w:val="1"/>
      <w:marLeft w:val="0"/>
      <w:marRight w:val="0"/>
      <w:marTop w:val="0"/>
      <w:marBottom w:val="0"/>
      <w:divBdr>
        <w:top w:val="none" w:sz="0" w:space="0" w:color="auto"/>
        <w:left w:val="none" w:sz="0" w:space="0" w:color="auto"/>
        <w:bottom w:val="none" w:sz="0" w:space="0" w:color="auto"/>
        <w:right w:val="none" w:sz="0" w:space="0" w:color="auto"/>
      </w:divBdr>
    </w:div>
    <w:div w:id="1296183199">
      <w:bodyDiv w:val="1"/>
      <w:marLeft w:val="0"/>
      <w:marRight w:val="0"/>
      <w:marTop w:val="0"/>
      <w:marBottom w:val="0"/>
      <w:divBdr>
        <w:top w:val="none" w:sz="0" w:space="0" w:color="auto"/>
        <w:left w:val="none" w:sz="0" w:space="0" w:color="auto"/>
        <w:bottom w:val="none" w:sz="0" w:space="0" w:color="auto"/>
        <w:right w:val="none" w:sz="0" w:space="0" w:color="auto"/>
      </w:divBdr>
    </w:div>
    <w:div w:id="1298141919">
      <w:bodyDiv w:val="1"/>
      <w:marLeft w:val="0"/>
      <w:marRight w:val="0"/>
      <w:marTop w:val="0"/>
      <w:marBottom w:val="0"/>
      <w:divBdr>
        <w:top w:val="none" w:sz="0" w:space="0" w:color="auto"/>
        <w:left w:val="none" w:sz="0" w:space="0" w:color="auto"/>
        <w:bottom w:val="none" w:sz="0" w:space="0" w:color="auto"/>
        <w:right w:val="none" w:sz="0" w:space="0" w:color="auto"/>
      </w:divBdr>
    </w:div>
    <w:div w:id="1303384236">
      <w:bodyDiv w:val="1"/>
      <w:marLeft w:val="0"/>
      <w:marRight w:val="0"/>
      <w:marTop w:val="0"/>
      <w:marBottom w:val="0"/>
      <w:divBdr>
        <w:top w:val="none" w:sz="0" w:space="0" w:color="auto"/>
        <w:left w:val="none" w:sz="0" w:space="0" w:color="auto"/>
        <w:bottom w:val="none" w:sz="0" w:space="0" w:color="auto"/>
        <w:right w:val="none" w:sz="0" w:space="0" w:color="auto"/>
      </w:divBdr>
    </w:div>
    <w:div w:id="1306084437">
      <w:bodyDiv w:val="1"/>
      <w:marLeft w:val="0"/>
      <w:marRight w:val="0"/>
      <w:marTop w:val="0"/>
      <w:marBottom w:val="0"/>
      <w:divBdr>
        <w:top w:val="none" w:sz="0" w:space="0" w:color="auto"/>
        <w:left w:val="none" w:sz="0" w:space="0" w:color="auto"/>
        <w:bottom w:val="none" w:sz="0" w:space="0" w:color="auto"/>
        <w:right w:val="none" w:sz="0" w:space="0" w:color="auto"/>
      </w:divBdr>
    </w:div>
    <w:div w:id="1306354551">
      <w:bodyDiv w:val="1"/>
      <w:marLeft w:val="0"/>
      <w:marRight w:val="0"/>
      <w:marTop w:val="0"/>
      <w:marBottom w:val="0"/>
      <w:divBdr>
        <w:top w:val="none" w:sz="0" w:space="0" w:color="auto"/>
        <w:left w:val="none" w:sz="0" w:space="0" w:color="auto"/>
        <w:bottom w:val="none" w:sz="0" w:space="0" w:color="auto"/>
        <w:right w:val="none" w:sz="0" w:space="0" w:color="auto"/>
      </w:divBdr>
    </w:div>
    <w:div w:id="1317151163">
      <w:bodyDiv w:val="1"/>
      <w:marLeft w:val="0"/>
      <w:marRight w:val="0"/>
      <w:marTop w:val="0"/>
      <w:marBottom w:val="0"/>
      <w:divBdr>
        <w:top w:val="none" w:sz="0" w:space="0" w:color="auto"/>
        <w:left w:val="none" w:sz="0" w:space="0" w:color="auto"/>
        <w:bottom w:val="none" w:sz="0" w:space="0" w:color="auto"/>
        <w:right w:val="none" w:sz="0" w:space="0" w:color="auto"/>
      </w:divBdr>
    </w:div>
    <w:div w:id="1329751694">
      <w:bodyDiv w:val="1"/>
      <w:marLeft w:val="0"/>
      <w:marRight w:val="0"/>
      <w:marTop w:val="0"/>
      <w:marBottom w:val="0"/>
      <w:divBdr>
        <w:top w:val="none" w:sz="0" w:space="0" w:color="auto"/>
        <w:left w:val="none" w:sz="0" w:space="0" w:color="auto"/>
        <w:bottom w:val="none" w:sz="0" w:space="0" w:color="auto"/>
        <w:right w:val="none" w:sz="0" w:space="0" w:color="auto"/>
      </w:divBdr>
    </w:div>
    <w:div w:id="1330408554">
      <w:bodyDiv w:val="1"/>
      <w:marLeft w:val="0"/>
      <w:marRight w:val="0"/>
      <w:marTop w:val="0"/>
      <w:marBottom w:val="0"/>
      <w:divBdr>
        <w:top w:val="none" w:sz="0" w:space="0" w:color="auto"/>
        <w:left w:val="none" w:sz="0" w:space="0" w:color="auto"/>
        <w:bottom w:val="none" w:sz="0" w:space="0" w:color="auto"/>
        <w:right w:val="none" w:sz="0" w:space="0" w:color="auto"/>
      </w:divBdr>
    </w:div>
    <w:div w:id="1358118615">
      <w:bodyDiv w:val="1"/>
      <w:marLeft w:val="0"/>
      <w:marRight w:val="0"/>
      <w:marTop w:val="0"/>
      <w:marBottom w:val="0"/>
      <w:divBdr>
        <w:top w:val="none" w:sz="0" w:space="0" w:color="auto"/>
        <w:left w:val="none" w:sz="0" w:space="0" w:color="auto"/>
        <w:bottom w:val="none" w:sz="0" w:space="0" w:color="auto"/>
        <w:right w:val="none" w:sz="0" w:space="0" w:color="auto"/>
      </w:divBdr>
    </w:div>
    <w:div w:id="1379234913">
      <w:bodyDiv w:val="1"/>
      <w:marLeft w:val="0"/>
      <w:marRight w:val="0"/>
      <w:marTop w:val="0"/>
      <w:marBottom w:val="0"/>
      <w:divBdr>
        <w:top w:val="none" w:sz="0" w:space="0" w:color="auto"/>
        <w:left w:val="none" w:sz="0" w:space="0" w:color="auto"/>
        <w:bottom w:val="none" w:sz="0" w:space="0" w:color="auto"/>
        <w:right w:val="none" w:sz="0" w:space="0" w:color="auto"/>
      </w:divBdr>
    </w:div>
    <w:div w:id="1415710539">
      <w:bodyDiv w:val="1"/>
      <w:marLeft w:val="0"/>
      <w:marRight w:val="0"/>
      <w:marTop w:val="0"/>
      <w:marBottom w:val="0"/>
      <w:divBdr>
        <w:top w:val="none" w:sz="0" w:space="0" w:color="auto"/>
        <w:left w:val="none" w:sz="0" w:space="0" w:color="auto"/>
        <w:bottom w:val="none" w:sz="0" w:space="0" w:color="auto"/>
        <w:right w:val="none" w:sz="0" w:space="0" w:color="auto"/>
      </w:divBdr>
      <w:divsChild>
        <w:div w:id="120075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5347">
      <w:bodyDiv w:val="1"/>
      <w:marLeft w:val="0"/>
      <w:marRight w:val="0"/>
      <w:marTop w:val="0"/>
      <w:marBottom w:val="0"/>
      <w:divBdr>
        <w:top w:val="none" w:sz="0" w:space="0" w:color="auto"/>
        <w:left w:val="none" w:sz="0" w:space="0" w:color="auto"/>
        <w:bottom w:val="none" w:sz="0" w:space="0" w:color="auto"/>
        <w:right w:val="none" w:sz="0" w:space="0" w:color="auto"/>
      </w:divBdr>
    </w:div>
    <w:div w:id="1445417288">
      <w:bodyDiv w:val="1"/>
      <w:marLeft w:val="0"/>
      <w:marRight w:val="0"/>
      <w:marTop w:val="0"/>
      <w:marBottom w:val="0"/>
      <w:divBdr>
        <w:top w:val="none" w:sz="0" w:space="0" w:color="auto"/>
        <w:left w:val="none" w:sz="0" w:space="0" w:color="auto"/>
        <w:bottom w:val="none" w:sz="0" w:space="0" w:color="auto"/>
        <w:right w:val="none" w:sz="0" w:space="0" w:color="auto"/>
      </w:divBdr>
    </w:div>
    <w:div w:id="1473132234">
      <w:bodyDiv w:val="1"/>
      <w:marLeft w:val="0"/>
      <w:marRight w:val="0"/>
      <w:marTop w:val="0"/>
      <w:marBottom w:val="0"/>
      <w:divBdr>
        <w:top w:val="none" w:sz="0" w:space="0" w:color="auto"/>
        <w:left w:val="none" w:sz="0" w:space="0" w:color="auto"/>
        <w:bottom w:val="none" w:sz="0" w:space="0" w:color="auto"/>
        <w:right w:val="none" w:sz="0" w:space="0" w:color="auto"/>
      </w:divBdr>
      <w:divsChild>
        <w:div w:id="957419710">
          <w:marLeft w:val="0"/>
          <w:marRight w:val="0"/>
          <w:marTop w:val="0"/>
          <w:marBottom w:val="0"/>
          <w:divBdr>
            <w:top w:val="none" w:sz="0" w:space="0" w:color="auto"/>
            <w:left w:val="none" w:sz="0" w:space="0" w:color="auto"/>
            <w:bottom w:val="none" w:sz="0" w:space="0" w:color="auto"/>
            <w:right w:val="none" w:sz="0" w:space="0" w:color="auto"/>
          </w:divBdr>
          <w:divsChild>
            <w:div w:id="681934101">
              <w:marLeft w:val="0"/>
              <w:marRight w:val="0"/>
              <w:marTop w:val="0"/>
              <w:marBottom w:val="0"/>
              <w:divBdr>
                <w:top w:val="none" w:sz="0" w:space="0" w:color="auto"/>
                <w:left w:val="none" w:sz="0" w:space="0" w:color="auto"/>
                <w:bottom w:val="none" w:sz="0" w:space="0" w:color="auto"/>
                <w:right w:val="none" w:sz="0" w:space="0" w:color="auto"/>
              </w:divBdr>
              <w:divsChild>
                <w:div w:id="7169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4350">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593585499">
      <w:bodyDiv w:val="1"/>
      <w:marLeft w:val="0"/>
      <w:marRight w:val="0"/>
      <w:marTop w:val="0"/>
      <w:marBottom w:val="0"/>
      <w:divBdr>
        <w:top w:val="none" w:sz="0" w:space="0" w:color="auto"/>
        <w:left w:val="none" w:sz="0" w:space="0" w:color="auto"/>
        <w:bottom w:val="none" w:sz="0" w:space="0" w:color="auto"/>
        <w:right w:val="none" w:sz="0" w:space="0" w:color="auto"/>
      </w:divBdr>
    </w:div>
    <w:div w:id="1604724138">
      <w:bodyDiv w:val="1"/>
      <w:marLeft w:val="0"/>
      <w:marRight w:val="0"/>
      <w:marTop w:val="0"/>
      <w:marBottom w:val="0"/>
      <w:divBdr>
        <w:top w:val="none" w:sz="0" w:space="0" w:color="auto"/>
        <w:left w:val="none" w:sz="0" w:space="0" w:color="auto"/>
        <w:bottom w:val="none" w:sz="0" w:space="0" w:color="auto"/>
        <w:right w:val="none" w:sz="0" w:space="0" w:color="auto"/>
      </w:divBdr>
    </w:div>
    <w:div w:id="1626807375">
      <w:bodyDiv w:val="1"/>
      <w:marLeft w:val="0"/>
      <w:marRight w:val="0"/>
      <w:marTop w:val="0"/>
      <w:marBottom w:val="0"/>
      <w:divBdr>
        <w:top w:val="none" w:sz="0" w:space="0" w:color="auto"/>
        <w:left w:val="none" w:sz="0" w:space="0" w:color="auto"/>
        <w:bottom w:val="none" w:sz="0" w:space="0" w:color="auto"/>
        <w:right w:val="none" w:sz="0" w:space="0" w:color="auto"/>
      </w:divBdr>
      <w:divsChild>
        <w:div w:id="1254128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2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3356">
      <w:bodyDiv w:val="1"/>
      <w:marLeft w:val="0"/>
      <w:marRight w:val="0"/>
      <w:marTop w:val="0"/>
      <w:marBottom w:val="0"/>
      <w:divBdr>
        <w:top w:val="none" w:sz="0" w:space="0" w:color="auto"/>
        <w:left w:val="none" w:sz="0" w:space="0" w:color="auto"/>
        <w:bottom w:val="none" w:sz="0" w:space="0" w:color="auto"/>
        <w:right w:val="none" w:sz="0" w:space="0" w:color="auto"/>
      </w:divBdr>
    </w:div>
    <w:div w:id="1643390338">
      <w:bodyDiv w:val="1"/>
      <w:marLeft w:val="0"/>
      <w:marRight w:val="0"/>
      <w:marTop w:val="0"/>
      <w:marBottom w:val="0"/>
      <w:divBdr>
        <w:top w:val="none" w:sz="0" w:space="0" w:color="auto"/>
        <w:left w:val="none" w:sz="0" w:space="0" w:color="auto"/>
        <w:bottom w:val="none" w:sz="0" w:space="0" w:color="auto"/>
        <w:right w:val="none" w:sz="0" w:space="0" w:color="auto"/>
      </w:divBdr>
    </w:div>
    <w:div w:id="1645159913">
      <w:bodyDiv w:val="1"/>
      <w:marLeft w:val="0"/>
      <w:marRight w:val="0"/>
      <w:marTop w:val="0"/>
      <w:marBottom w:val="0"/>
      <w:divBdr>
        <w:top w:val="none" w:sz="0" w:space="0" w:color="auto"/>
        <w:left w:val="none" w:sz="0" w:space="0" w:color="auto"/>
        <w:bottom w:val="none" w:sz="0" w:space="0" w:color="auto"/>
        <w:right w:val="none" w:sz="0" w:space="0" w:color="auto"/>
      </w:divBdr>
    </w:div>
    <w:div w:id="1666323125">
      <w:bodyDiv w:val="1"/>
      <w:marLeft w:val="0"/>
      <w:marRight w:val="0"/>
      <w:marTop w:val="0"/>
      <w:marBottom w:val="0"/>
      <w:divBdr>
        <w:top w:val="none" w:sz="0" w:space="0" w:color="auto"/>
        <w:left w:val="none" w:sz="0" w:space="0" w:color="auto"/>
        <w:bottom w:val="none" w:sz="0" w:space="0" w:color="auto"/>
        <w:right w:val="none" w:sz="0" w:space="0" w:color="auto"/>
      </w:divBdr>
    </w:div>
    <w:div w:id="1723671949">
      <w:bodyDiv w:val="1"/>
      <w:marLeft w:val="0"/>
      <w:marRight w:val="0"/>
      <w:marTop w:val="0"/>
      <w:marBottom w:val="0"/>
      <w:divBdr>
        <w:top w:val="none" w:sz="0" w:space="0" w:color="auto"/>
        <w:left w:val="none" w:sz="0" w:space="0" w:color="auto"/>
        <w:bottom w:val="none" w:sz="0" w:space="0" w:color="auto"/>
        <w:right w:val="none" w:sz="0" w:space="0" w:color="auto"/>
      </w:divBdr>
    </w:div>
    <w:div w:id="1723943439">
      <w:bodyDiv w:val="1"/>
      <w:marLeft w:val="0"/>
      <w:marRight w:val="0"/>
      <w:marTop w:val="0"/>
      <w:marBottom w:val="0"/>
      <w:divBdr>
        <w:top w:val="none" w:sz="0" w:space="0" w:color="auto"/>
        <w:left w:val="none" w:sz="0" w:space="0" w:color="auto"/>
        <w:bottom w:val="none" w:sz="0" w:space="0" w:color="auto"/>
        <w:right w:val="none" w:sz="0" w:space="0" w:color="auto"/>
      </w:divBdr>
      <w:divsChild>
        <w:div w:id="1447116460">
          <w:marLeft w:val="0"/>
          <w:marRight w:val="0"/>
          <w:marTop w:val="0"/>
          <w:marBottom w:val="0"/>
          <w:divBdr>
            <w:top w:val="none" w:sz="0" w:space="0" w:color="auto"/>
            <w:left w:val="none" w:sz="0" w:space="0" w:color="auto"/>
            <w:bottom w:val="none" w:sz="0" w:space="0" w:color="auto"/>
            <w:right w:val="none" w:sz="0" w:space="0" w:color="auto"/>
          </w:divBdr>
          <w:divsChild>
            <w:div w:id="1330450382">
              <w:marLeft w:val="0"/>
              <w:marRight w:val="0"/>
              <w:marTop w:val="0"/>
              <w:marBottom w:val="0"/>
              <w:divBdr>
                <w:top w:val="none" w:sz="0" w:space="0" w:color="auto"/>
                <w:left w:val="none" w:sz="0" w:space="0" w:color="auto"/>
                <w:bottom w:val="none" w:sz="0" w:space="0" w:color="auto"/>
                <w:right w:val="none" w:sz="0" w:space="0" w:color="auto"/>
              </w:divBdr>
              <w:divsChild>
                <w:div w:id="578633748">
                  <w:marLeft w:val="0"/>
                  <w:marRight w:val="0"/>
                  <w:marTop w:val="0"/>
                  <w:marBottom w:val="0"/>
                  <w:divBdr>
                    <w:top w:val="none" w:sz="0" w:space="0" w:color="auto"/>
                    <w:left w:val="none" w:sz="0" w:space="0" w:color="auto"/>
                    <w:bottom w:val="none" w:sz="0" w:space="0" w:color="auto"/>
                    <w:right w:val="none" w:sz="0" w:space="0" w:color="auto"/>
                  </w:divBdr>
                  <w:divsChild>
                    <w:div w:id="3330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10">
      <w:bodyDiv w:val="1"/>
      <w:marLeft w:val="0"/>
      <w:marRight w:val="0"/>
      <w:marTop w:val="0"/>
      <w:marBottom w:val="0"/>
      <w:divBdr>
        <w:top w:val="none" w:sz="0" w:space="0" w:color="auto"/>
        <w:left w:val="none" w:sz="0" w:space="0" w:color="auto"/>
        <w:bottom w:val="none" w:sz="0" w:space="0" w:color="auto"/>
        <w:right w:val="none" w:sz="0" w:space="0" w:color="auto"/>
      </w:divBdr>
    </w:div>
    <w:div w:id="1764106840">
      <w:bodyDiv w:val="1"/>
      <w:marLeft w:val="0"/>
      <w:marRight w:val="0"/>
      <w:marTop w:val="0"/>
      <w:marBottom w:val="0"/>
      <w:divBdr>
        <w:top w:val="none" w:sz="0" w:space="0" w:color="auto"/>
        <w:left w:val="none" w:sz="0" w:space="0" w:color="auto"/>
        <w:bottom w:val="none" w:sz="0" w:space="0" w:color="auto"/>
        <w:right w:val="none" w:sz="0" w:space="0" w:color="auto"/>
      </w:divBdr>
    </w:div>
    <w:div w:id="1775788538">
      <w:bodyDiv w:val="1"/>
      <w:marLeft w:val="0"/>
      <w:marRight w:val="0"/>
      <w:marTop w:val="0"/>
      <w:marBottom w:val="0"/>
      <w:divBdr>
        <w:top w:val="none" w:sz="0" w:space="0" w:color="auto"/>
        <w:left w:val="none" w:sz="0" w:space="0" w:color="auto"/>
        <w:bottom w:val="none" w:sz="0" w:space="0" w:color="auto"/>
        <w:right w:val="none" w:sz="0" w:space="0" w:color="auto"/>
      </w:divBdr>
    </w:div>
    <w:div w:id="1800880348">
      <w:bodyDiv w:val="1"/>
      <w:marLeft w:val="0"/>
      <w:marRight w:val="0"/>
      <w:marTop w:val="0"/>
      <w:marBottom w:val="0"/>
      <w:divBdr>
        <w:top w:val="none" w:sz="0" w:space="0" w:color="auto"/>
        <w:left w:val="none" w:sz="0" w:space="0" w:color="auto"/>
        <w:bottom w:val="none" w:sz="0" w:space="0" w:color="auto"/>
        <w:right w:val="none" w:sz="0" w:space="0" w:color="auto"/>
      </w:divBdr>
    </w:div>
    <w:div w:id="1861893309">
      <w:bodyDiv w:val="1"/>
      <w:marLeft w:val="0"/>
      <w:marRight w:val="0"/>
      <w:marTop w:val="0"/>
      <w:marBottom w:val="0"/>
      <w:divBdr>
        <w:top w:val="none" w:sz="0" w:space="0" w:color="auto"/>
        <w:left w:val="none" w:sz="0" w:space="0" w:color="auto"/>
        <w:bottom w:val="none" w:sz="0" w:space="0" w:color="auto"/>
        <w:right w:val="none" w:sz="0" w:space="0" w:color="auto"/>
      </w:divBdr>
    </w:div>
    <w:div w:id="1896696208">
      <w:bodyDiv w:val="1"/>
      <w:marLeft w:val="0"/>
      <w:marRight w:val="0"/>
      <w:marTop w:val="0"/>
      <w:marBottom w:val="0"/>
      <w:divBdr>
        <w:top w:val="none" w:sz="0" w:space="0" w:color="auto"/>
        <w:left w:val="none" w:sz="0" w:space="0" w:color="auto"/>
        <w:bottom w:val="none" w:sz="0" w:space="0" w:color="auto"/>
        <w:right w:val="none" w:sz="0" w:space="0" w:color="auto"/>
      </w:divBdr>
    </w:div>
    <w:div w:id="1899315269">
      <w:bodyDiv w:val="1"/>
      <w:marLeft w:val="0"/>
      <w:marRight w:val="0"/>
      <w:marTop w:val="0"/>
      <w:marBottom w:val="0"/>
      <w:divBdr>
        <w:top w:val="none" w:sz="0" w:space="0" w:color="auto"/>
        <w:left w:val="none" w:sz="0" w:space="0" w:color="auto"/>
        <w:bottom w:val="none" w:sz="0" w:space="0" w:color="auto"/>
        <w:right w:val="none" w:sz="0" w:space="0" w:color="auto"/>
      </w:divBdr>
    </w:div>
    <w:div w:id="1900437549">
      <w:bodyDiv w:val="1"/>
      <w:marLeft w:val="0"/>
      <w:marRight w:val="0"/>
      <w:marTop w:val="0"/>
      <w:marBottom w:val="0"/>
      <w:divBdr>
        <w:top w:val="none" w:sz="0" w:space="0" w:color="auto"/>
        <w:left w:val="none" w:sz="0" w:space="0" w:color="auto"/>
        <w:bottom w:val="none" w:sz="0" w:space="0" w:color="auto"/>
        <w:right w:val="none" w:sz="0" w:space="0" w:color="auto"/>
      </w:divBdr>
    </w:div>
    <w:div w:id="1956398595">
      <w:bodyDiv w:val="1"/>
      <w:marLeft w:val="0"/>
      <w:marRight w:val="0"/>
      <w:marTop w:val="0"/>
      <w:marBottom w:val="0"/>
      <w:divBdr>
        <w:top w:val="none" w:sz="0" w:space="0" w:color="auto"/>
        <w:left w:val="none" w:sz="0" w:space="0" w:color="auto"/>
        <w:bottom w:val="none" w:sz="0" w:space="0" w:color="auto"/>
        <w:right w:val="none" w:sz="0" w:space="0" w:color="auto"/>
      </w:divBdr>
    </w:div>
    <w:div w:id="1961036884">
      <w:bodyDiv w:val="1"/>
      <w:marLeft w:val="0"/>
      <w:marRight w:val="0"/>
      <w:marTop w:val="0"/>
      <w:marBottom w:val="0"/>
      <w:divBdr>
        <w:top w:val="none" w:sz="0" w:space="0" w:color="auto"/>
        <w:left w:val="none" w:sz="0" w:space="0" w:color="auto"/>
        <w:bottom w:val="none" w:sz="0" w:space="0" w:color="auto"/>
        <w:right w:val="none" w:sz="0" w:space="0" w:color="auto"/>
      </w:divBdr>
    </w:div>
    <w:div w:id="1976911897">
      <w:bodyDiv w:val="1"/>
      <w:marLeft w:val="0"/>
      <w:marRight w:val="0"/>
      <w:marTop w:val="0"/>
      <w:marBottom w:val="0"/>
      <w:divBdr>
        <w:top w:val="none" w:sz="0" w:space="0" w:color="auto"/>
        <w:left w:val="none" w:sz="0" w:space="0" w:color="auto"/>
        <w:bottom w:val="none" w:sz="0" w:space="0" w:color="auto"/>
        <w:right w:val="none" w:sz="0" w:space="0" w:color="auto"/>
      </w:divBdr>
    </w:div>
    <w:div w:id="1985350063">
      <w:bodyDiv w:val="1"/>
      <w:marLeft w:val="0"/>
      <w:marRight w:val="0"/>
      <w:marTop w:val="0"/>
      <w:marBottom w:val="0"/>
      <w:divBdr>
        <w:top w:val="none" w:sz="0" w:space="0" w:color="auto"/>
        <w:left w:val="none" w:sz="0" w:space="0" w:color="auto"/>
        <w:bottom w:val="none" w:sz="0" w:space="0" w:color="auto"/>
        <w:right w:val="none" w:sz="0" w:space="0" w:color="auto"/>
      </w:divBdr>
    </w:div>
    <w:div w:id="1988050402">
      <w:bodyDiv w:val="1"/>
      <w:marLeft w:val="0"/>
      <w:marRight w:val="0"/>
      <w:marTop w:val="0"/>
      <w:marBottom w:val="0"/>
      <w:divBdr>
        <w:top w:val="none" w:sz="0" w:space="0" w:color="auto"/>
        <w:left w:val="none" w:sz="0" w:space="0" w:color="auto"/>
        <w:bottom w:val="none" w:sz="0" w:space="0" w:color="auto"/>
        <w:right w:val="none" w:sz="0" w:space="0" w:color="auto"/>
      </w:divBdr>
    </w:div>
    <w:div w:id="2014336897">
      <w:bodyDiv w:val="1"/>
      <w:marLeft w:val="0"/>
      <w:marRight w:val="0"/>
      <w:marTop w:val="0"/>
      <w:marBottom w:val="0"/>
      <w:divBdr>
        <w:top w:val="none" w:sz="0" w:space="0" w:color="auto"/>
        <w:left w:val="none" w:sz="0" w:space="0" w:color="auto"/>
        <w:bottom w:val="none" w:sz="0" w:space="0" w:color="auto"/>
        <w:right w:val="none" w:sz="0" w:space="0" w:color="auto"/>
      </w:divBdr>
    </w:div>
    <w:div w:id="2058426728">
      <w:bodyDiv w:val="1"/>
      <w:marLeft w:val="0"/>
      <w:marRight w:val="0"/>
      <w:marTop w:val="0"/>
      <w:marBottom w:val="0"/>
      <w:divBdr>
        <w:top w:val="none" w:sz="0" w:space="0" w:color="auto"/>
        <w:left w:val="none" w:sz="0" w:space="0" w:color="auto"/>
        <w:bottom w:val="none" w:sz="0" w:space="0" w:color="auto"/>
        <w:right w:val="none" w:sz="0" w:space="0" w:color="auto"/>
      </w:divBdr>
    </w:div>
    <w:div w:id="2071343717">
      <w:bodyDiv w:val="1"/>
      <w:marLeft w:val="0"/>
      <w:marRight w:val="0"/>
      <w:marTop w:val="0"/>
      <w:marBottom w:val="0"/>
      <w:divBdr>
        <w:top w:val="none" w:sz="0" w:space="0" w:color="auto"/>
        <w:left w:val="none" w:sz="0" w:space="0" w:color="auto"/>
        <w:bottom w:val="none" w:sz="0" w:space="0" w:color="auto"/>
        <w:right w:val="none" w:sz="0" w:space="0" w:color="auto"/>
      </w:divBdr>
      <w:divsChild>
        <w:div w:id="1357542181">
          <w:marLeft w:val="0"/>
          <w:marRight w:val="0"/>
          <w:marTop w:val="0"/>
          <w:marBottom w:val="0"/>
          <w:divBdr>
            <w:top w:val="none" w:sz="0" w:space="0" w:color="auto"/>
            <w:left w:val="none" w:sz="0" w:space="0" w:color="auto"/>
            <w:bottom w:val="none" w:sz="0" w:space="0" w:color="auto"/>
            <w:right w:val="none" w:sz="0" w:space="0" w:color="auto"/>
          </w:divBdr>
          <w:divsChild>
            <w:div w:id="1244608975">
              <w:marLeft w:val="0"/>
              <w:marRight w:val="0"/>
              <w:marTop w:val="0"/>
              <w:marBottom w:val="0"/>
              <w:divBdr>
                <w:top w:val="none" w:sz="0" w:space="0" w:color="auto"/>
                <w:left w:val="none" w:sz="0" w:space="0" w:color="auto"/>
                <w:bottom w:val="none" w:sz="0" w:space="0" w:color="auto"/>
                <w:right w:val="none" w:sz="0" w:space="0" w:color="auto"/>
              </w:divBdr>
              <w:divsChild>
                <w:div w:id="168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4105">
      <w:bodyDiv w:val="1"/>
      <w:marLeft w:val="0"/>
      <w:marRight w:val="0"/>
      <w:marTop w:val="0"/>
      <w:marBottom w:val="0"/>
      <w:divBdr>
        <w:top w:val="none" w:sz="0" w:space="0" w:color="auto"/>
        <w:left w:val="none" w:sz="0" w:space="0" w:color="auto"/>
        <w:bottom w:val="none" w:sz="0" w:space="0" w:color="auto"/>
        <w:right w:val="none" w:sz="0" w:space="0" w:color="auto"/>
      </w:divBdr>
      <w:divsChild>
        <w:div w:id="550338078">
          <w:marLeft w:val="0"/>
          <w:marRight w:val="0"/>
          <w:marTop w:val="0"/>
          <w:marBottom w:val="0"/>
          <w:divBdr>
            <w:top w:val="none" w:sz="0" w:space="0" w:color="auto"/>
            <w:left w:val="none" w:sz="0" w:space="0" w:color="auto"/>
            <w:bottom w:val="none" w:sz="0" w:space="0" w:color="auto"/>
            <w:right w:val="none" w:sz="0" w:space="0" w:color="auto"/>
          </w:divBdr>
          <w:divsChild>
            <w:div w:id="2076509068">
              <w:marLeft w:val="0"/>
              <w:marRight w:val="0"/>
              <w:marTop w:val="0"/>
              <w:marBottom w:val="0"/>
              <w:divBdr>
                <w:top w:val="none" w:sz="0" w:space="0" w:color="auto"/>
                <w:left w:val="none" w:sz="0" w:space="0" w:color="auto"/>
                <w:bottom w:val="none" w:sz="0" w:space="0" w:color="auto"/>
                <w:right w:val="none" w:sz="0" w:space="0" w:color="auto"/>
              </w:divBdr>
              <w:divsChild>
                <w:div w:id="9097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5707">
      <w:bodyDiv w:val="1"/>
      <w:marLeft w:val="0"/>
      <w:marRight w:val="0"/>
      <w:marTop w:val="0"/>
      <w:marBottom w:val="0"/>
      <w:divBdr>
        <w:top w:val="none" w:sz="0" w:space="0" w:color="auto"/>
        <w:left w:val="none" w:sz="0" w:space="0" w:color="auto"/>
        <w:bottom w:val="none" w:sz="0" w:space="0" w:color="auto"/>
        <w:right w:val="none" w:sz="0" w:space="0" w:color="auto"/>
      </w:divBdr>
    </w:div>
    <w:div w:id="2087797426">
      <w:bodyDiv w:val="1"/>
      <w:marLeft w:val="0"/>
      <w:marRight w:val="0"/>
      <w:marTop w:val="0"/>
      <w:marBottom w:val="0"/>
      <w:divBdr>
        <w:top w:val="none" w:sz="0" w:space="0" w:color="auto"/>
        <w:left w:val="none" w:sz="0" w:space="0" w:color="auto"/>
        <w:bottom w:val="none" w:sz="0" w:space="0" w:color="auto"/>
        <w:right w:val="none" w:sz="0" w:space="0" w:color="auto"/>
      </w:divBdr>
    </w:div>
    <w:div w:id="2100519112">
      <w:bodyDiv w:val="1"/>
      <w:marLeft w:val="0"/>
      <w:marRight w:val="0"/>
      <w:marTop w:val="0"/>
      <w:marBottom w:val="0"/>
      <w:divBdr>
        <w:top w:val="none" w:sz="0" w:space="0" w:color="auto"/>
        <w:left w:val="none" w:sz="0" w:space="0" w:color="auto"/>
        <w:bottom w:val="none" w:sz="0" w:space="0" w:color="auto"/>
        <w:right w:val="none" w:sz="0" w:space="0" w:color="auto"/>
      </w:divBdr>
    </w:div>
    <w:div w:id="2113083412">
      <w:bodyDiv w:val="1"/>
      <w:marLeft w:val="0"/>
      <w:marRight w:val="0"/>
      <w:marTop w:val="0"/>
      <w:marBottom w:val="0"/>
      <w:divBdr>
        <w:top w:val="none" w:sz="0" w:space="0" w:color="auto"/>
        <w:left w:val="none" w:sz="0" w:space="0" w:color="auto"/>
        <w:bottom w:val="none" w:sz="0" w:space="0" w:color="auto"/>
        <w:right w:val="none" w:sz="0" w:space="0" w:color="auto"/>
      </w:divBdr>
    </w:div>
    <w:div w:id="2119638180">
      <w:bodyDiv w:val="1"/>
      <w:marLeft w:val="0"/>
      <w:marRight w:val="0"/>
      <w:marTop w:val="0"/>
      <w:marBottom w:val="0"/>
      <w:divBdr>
        <w:top w:val="none" w:sz="0" w:space="0" w:color="auto"/>
        <w:left w:val="none" w:sz="0" w:space="0" w:color="auto"/>
        <w:bottom w:val="none" w:sz="0" w:space="0" w:color="auto"/>
        <w:right w:val="none" w:sz="0" w:space="0" w:color="auto"/>
      </w:divBdr>
    </w:div>
    <w:div w:id="2120682446">
      <w:bodyDiv w:val="1"/>
      <w:marLeft w:val="0"/>
      <w:marRight w:val="0"/>
      <w:marTop w:val="0"/>
      <w:marBottom w:val="0"/>
      <w:divBdr>
        <w:top w:val="none" w:sz="0" w:space="0" w:color="auto"/>
        <w:left w:val="none" w:sz="0" w:space="0" w:color="auto"/>
        <w:bottom w:val="none" w:sz="0" w:space="0" w:color="auto"/>
        <w:right w:val="none" w:sz="0" w:space="0" w:color="auto"/>
      </w:divBdr>
    </w:div>
    <w:div w:id="212993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3.tiff"/><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tiff"/></Relationships>
</file>

<file path=word/_rels/endnotes.xml.rels><?xml version="1.0" encoding="UTF-8" standalone="yes"?>
<Relationships xmlns="http://schemas.openxmlformats.org/package/2006/relationships"><Relationship Id="rId13" Type="http://schemas.openxmlformats.org/officeDocument/2006/relationships/hyperlink" Target="https://www.statista.com/outlook/202/107/digital-music/australia" TargetMode="External"/><Relationship Id="rId18" Type="http://schemas.openxmlformats.org/officeDocument/2006/relationships/hyperlink" Target="https://www.statista.com/outlook/243/124/ecommerce/singapore" TargetMode="External"/><Relationship Id="rId26" Type="http://schemas.openxmlformats.org/officeDocument/2006/relationships/hyperlink" Target="https://www.statista.com/statistics/500410/online-travel-sales-australia/" TargetMode="External"/><Relationship Id="rId39" Type="http://schemas.openxmlformats.org/officeDocument/2006/relationships/hyperlink" Target="https://www.enterprisesg.gov.sg/industries/type/electronics/industry-profile" TargetMode="External"/><Relationship Id="rId21" Type="http://schemas.openxmlformats.org/officeDocument/2006/relationships/hyperlink" Target="https://www.bain.com/globalassets/noindex/2019/bain-report-fulfilling-its-promise.pdf" TargetMode="External"/><Relationship Id="rId34" Type="http://schemas.openxmlformats.org/officeDocument/2006/relationships/hyperlink" Target="https://www.businesswire.com/news/home/20190731005745/en/Australias-4Bn-Online-Education-Market-2018-Projected" TargetMode="External"/><Relationship Id="rId42" Type="http://schemas.openxmlformats.org/officeDocument/2006/relationships/hyperlink" Target="https://www.statista.com/outlook/611000/107/it-equipment/australia" TargetMode="External"/><Relationship Id="rId47" Type="http://schemas.openxmlformats.org/officeDocument/2006/relationships/hyperlink" Target="https://www.mckinsey.com/business-functions/mckinsey-digital/our-insights/digital-identification-a-key-to-inclusive-growth" TargetMode="External"/><Relationship Id="rId50" Type="http://schemas.openxmlformats.org/officeDocument/2006/relationships/hyperlink" Target="https://amfg.ai/2019/11/20/am-around-the-world-how-mature-is-3d-printing-in-the-asia-pacific-region/" TargetMode="External"/><Relationship Id="rId55" Type="http://schemas.openxmlformats.org/officeDocument/2006/relationships/hyperlink" Target="https://www.austrade.gov.au/ArticleDocuments/1358/Australian_Disruptive_Technologies-Industry-Capability-Report.pdf.aspx" TargetMode="External"/><Relationship Id="rId7" Type="http://schemas.openxmlformats.org/officeDocument/2006/relationships/hyperlink" Target="https://www.statista.com/outlook/203/107/video-games/australia" TargetMode="External"/><Relationship Id="rId12" Type="http://schemas.openxmlformats.org/officeDocument/2006/relationships/hyperlink" Target="https://www.statista.com/outlook/204/124/epublishing/singapore" TargetMode="External"/><Relationship Id="rId17" Type="http://schemas.openxmlformats.org/officeDocument/2006/relationships/hyperlink" Target="https://www.statista.com/outlook/243/107/ecommerce/australia" TargetMode="External"/><Relationship Id="rId25" Type="http://schemas.openxmlformats.org/officeDocument/2006/relationships/hyperlink" Target="https://www.bain.com/globalassets/noindex/2019/google_temasek_bain_e_conomy_sea_2019_report.pdf" TargetMode="External"/><Relationship Id="rId33" Type="http://schemas.openxmlformats.org/officeDocument/2006/relationships/hyperlink" Target="https://www.singaporemedtech.com/articles/industry-articles/riding-the-medtech-wave" TargetMode="External"/><Relationship Id="rId38" Type="http://schemas.openxmlformats.org/officeDocument/2006/relationships/hyperlink" Target="https://www.graincentral.com/ag-tech/how-well-placed-is-australia-for-the-digital-revolution-in-agriculture/" TargetMode="External"/><Relationship Id="rId46" Type="http://schemas.openxmlformats.org/officeDocument/2006/relationships/hyperlink" Target="https://www.mckinsey.com/business-functions/mckinsey-digital/our-insights/digital-identification-a-key-to-inclusive-growth" TargetMode="External"/><Relationship Id="rId2" Type="http://schemas.openxmlformats.org/officeDocument/2006/relationships/hyperlink" Target="https://www.ofx.com/en-sg/forex-news/historical-exchange-rates/yearly-average-rates/" TargetMode="External"/><Relationship Id="rId16" Type="http://schemas.openxmlformats.org/officeDocument/2006/relationships/hyperlink" Target="https://www.marketing-interactive.com/singapore-media-and-entertainment-spend-to-see-3-5-growth-in-next-5-years/" TargetMode="External"/><Relationship Id="rId20" Type="http://schemas.openxmlformats.org/officeDocument/2006/relationships/hyperlink" Target="https://www.statista.com/outlook/368/124/ride-hailing/singapore" TargetMode="External"/><Relationship Id="rId29" Type="http://schemas.openxmlformats.org/officeDocument/2006/relationships/hyperlink" Target="https://www.statista.com/outlook/261/124/eservices/singapore" TargetMode="External"/><Relationship Id="rId41" Type="http://schemas.openxmlformats.org/officeDocument/2006/relationships/hyperlink" Target="https://www.marketresearch.com/MarketLine-v3883/Hardware-Singapore-12763549/" TargetMode="External"/><Relationship Id="rId54" Type="http://schemas.openxmlformats.org/officeDocument/2006/relationships/hyperlink" Target="https://www.austrade.gov.au/international/invest/investor-updates/2019/artificial-intelligence-expert-selects-sydney-for-asia-pacific-launch-pad" TargetMode="External"/><Relationship Id="rId1" Type="http://schemas.openxmlformats.org/officeDocument/2006/relationships/hyperlink" Target="https://www.macrotrends.net/2551/australian-us-dollar-exchange-rate-historical-chart" TargetMode="External"/><Relationship Id="rId6" Type="http://schemas.openxmlformats.org/officeDocument/2006/relationships/hyperlink" Target="https://www.slideshare.net/FrostandSullivan/the-australia-videoconferencing-market" TargetMode="External"/><Relationship Id="rId11" Type="http://schemas.openxmlformats.org/officeDocument/2006/relationships/hyperlink" Target="https://www.statista.com/outlook/204/107/epublishing/australia" TargetMode="External"/><Relationship Id="rId24" Type="http://schemas.openxmlformats.org/officeDocument/2006/relationships/hyperlink" Target="https://www.statista.com/statistics/500410/online-travel-sales-australia/" TargetMode="External"/><Relationship Id="rId32" Type="http://schemas.openxmlformats.org/officeDocument/2006/relationships/hyperlink" Target="https://www.singaporemedtech.com/articles/industry-articles/riding-the-medtech-wave" TargetMode="External"/><Relationship Id="rId37" Type="http://schemas.openxmlformats.org/officeDocument/2006/relationships/hyperlink" Target="https://www.graincentral.com/ag-tech/how-well-placed-is-australia-for-the-digital-revolution-in-agriculture/" TargetMode="External"/><Relationship Id="rId40" Type="http://schemas.openxmlformats.org/officeDocument/2006/relationships/hyperlink" Target="https://www.mckinsey.com/~/media/McKinsey/Featured%20Insights/Employment%20and%20Growth/Connecting%20talent%20with%20opportunity%20in%20the%20digital%20age/MGI%20Online%20talent_A_Labor_Market_That_Works_Executive_%20summary_June%202015.ashx" TargetMode="External"/><Relationship Id="rId45" Type="http://schemas.openxmlformats.org/officeDocument/2006/relationships/hyperlink" Target="https://www.austcyber.com/tools-and-resources/sector-competitiveness-plan-2017" TargetMode="External"/><Relationship Id="rId53" Type="http://schemas.openxmlformats.org/officeDocument/2006/relationships/hyperlink" Target="https://www.austrade.gov.au/international/invest/investor-updates/2019/artificial-intelligence-expert-selects-sydney-for-asia-pacific-launch-pad" TargetMode="External"/><Relationship Id="rId58" Type="http://schemas.openxmlformats.org/officeDocument/2006/relationships/hyperlink" Target="https://www.edb.gov.sg/en/news-and-events/insights/innovation/singapore-s-big-ambitions-for-big-data-in-2019.html" TargetMode="External"/><Relationship Id="rId5" Type="http://schemas.openxmlformats.org/officeDocument/2006/relationships/hyperlink" Target="https://www.bcg.com/publications/2019/economic-impact-public-cloud-apac/australia.aspx" TargetMode="External"/><Relationship Id="rId15" Type="http://schemas.openxmlformats.org/officeDocument/2006/relationships/hyperlink" Target="https://www.adnews.com.au/news/australia-s-online-advertising-growth-is-slowing" TargetMode="External"/><Relationship Id="rId23" Type="http://schemas.openxmlformats.org/officeDocument/2006/relationships/hyperlink" Target="https://www.statista.com/statistics/883034/australia-alternative-finance-market-size/" TargetMode="External"/><Relationship Id="rId28" Type="http://schemas.openxmlformats.org/officeDocument/2006/relationships/hyperlink" Target="https://www.statista.com/outlook/261/107/eservices/australia" TargetMode="External"/><Relationship Id="rId36" Type="http://schemas.openxmlformats.org/officeDocument/2006/relationships/hyperlink" Target="https://www.enterprisesg.gov.sg/industries/type/energy-chemicals/industry-profile" TargetMode="External"/><Relationship Id="rId49" Type="http://schemas.openxmlformats.org/officeDocument/2006/relationships/hyperlink" Target="https://info.digitalrealty.com/XmE0NzZ0N000Jd0qm001Yj0" TargetMode="External"/><Relationship Id="rId57" Type="http://schemas.openxmlformats.org/officeDocument/2006/relationships/hyperlink" Target="https://www.austrade.gov.au/ArticleDocuments/1358/Australian_Disruptive_Technologies-Industry-Capability-Report.pdf.aspx" TargetMode="External"/><Relationship Id="rId10" Type="http://schemas.openxmlformats.org/officeDocument/2006/relationships/hyperlink" Target="https://www.statista.com/outlook/201/124/video-on-demand/singapore" TargetMode="External"/><Relationship Id="rId19" Type="http://schemas.openxmlformats.org/officeDocument/2006/relationships/hyperlink" Target="https://www.statista.com/outlook/368/107/ride-hailing/australia" TargetMode="External"/><Relationship Id="rId31" Type="http://schemas.openxmlformats.org/officeDocument/2006/relationships/hyperlink" Target="https://www.austrade.gov.au/ArticleDocuments/2814/Medical-Devices-and-Diagnostics-Industry-Capability-Report.pdf.aspx" TargetMode="External"/><Relationship Id="rId44" Type="http://schemas.openxmlformats.org/officeDocument/2006/relationships/hyperlink" Target="https://www.mci.gov.sg/~/media/mcicorp/images/budget%20workplan/cos%202018/factsheets/factsheet%20-%20innovation%20cybersecurity%20ecosystem%20at%20block%2071.pdf?la=en" TargetMode="External"/><Relationship Id="rId52" Type="http://schemas.openxmlformats.org/officeDocument/2006/relationships/hyperlink" Target="https://www.zdnet.com/article/ericsson-5g-will-improve-australian-telco-revenue-by-almost-50-percent/" TargetMode="External"/><Relationship Id="rId4" Type="http://schemas.openxmlformats.org/officeDocument/2006/relationships/hyperlink" Target="https://www.imda.gov.sg/-/media/Imda/Files/Infocomm-Media-Landscape/Research-and-Statistics/Survey-Report/II2019-Public-Report.pdf" TargetMode="External"/><Relationship Id="rId9" Type="http://schemas.openxmlformats.org/officeDocument/2006/relationships/hyperlink" Target="https://www.statista.com/outlook/201/107/video-on-demand/australia" TargetMode="External"/><Relationship Id="rId14" Type="http://schemas.openxmlformats.org/officeDocument/2006/relationships/hyperlink" Target="https://www.statista.com/outlook/202/124/digital-music/singapore" TargetMode="External"/><Relationship Id="rId22" Type="http://schemas.openxmlformats.org/officeDocument/2006/relationships/hyperlink" Target="https://futurefive.com.au/story/growth-of-digital-payments-set-to-cost-australian-banks-us-3-billion" TargetMode="External"/><Relationship Id="rId27" Type="http://schemas.openxmlformats.org/officeDocument/2006/relationships/hyperlink" Target="https://www.bain.com/globalassets/noindex/2019/google_temasek_bain_e_conomy_sea_2019_report.pdf" TargetMode="External"/><Relationship Id="rId30" Type="http://schemas.openxmlformats.org/officeDocument/2006/relationships/hyperlink" Target="https://www.mckinsey.com/industries/pharmaceuticals-and-medical-products/our-insights/the-rise-and-rise-of-medtech-in-asia" TargetMode="External"/><Relationship Id="rId35" Type="http://schemas.openxmlformats.org/officeDocument/2006/relationships/hyperlink" Target="https://www.mckinsey.com/featured-insights/asia-pacific/digital-australia-seizing-opportunity-from-the-fourth-industrial-revolution" TargetMode="External"/><Relationship Id="rId43" Type="http://schemas.openxmlformats.org/officeDocument/2006/relationships/hyperlink" Target="https://www.austcyber.com/tools-and-resources/sector-competitiveness-plan-2017" TargetMode="External"/><Relationship Id="rId48" Type="http://schemas.openxmlformats.org/officeDocument/2006/relationships/hyperlink" Target="https://www.techsciresearch.com/report/australia-internet-of-things-iot-market/1393.html" TargetMode="External"/><Relationship Id="rId56" Type="http://schemas.openxmlformats.org/officeDocument/2006/relationships/hyperlink" Target="https://www.edb.gov.sg/en/news-and-events/insights/innovation/singapore-s-big-ambitions-for-big-data-in-2019.html" TargetMode="External"/><Relationship Id="rId8" Type="http://schemas.openxmlformats.org/officeDocument/2006/relationships/hyperlink" Target="https://www.statista.com/outlook/203/124/video-games/singapore" TargetMode="External"/><Relationship Id="rId51" Type="http://schemas.openxmlformats.org/officeDocument/2006/relationships/hyperlink" Target="https://amfg.ai/2019/11/20/am-around-the-world-how-mature-is-3d-printing-in-the-asia-pacific-region/" TargetMode="External"/><Relationship Id="rId3" Type="http://schemas.openxmlformats.org/officeDocument/2006/relationships/hyperlink" Target="https://www.arnnet.com.au/article/660273/australia-it-spending-reach-94b-2019/"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standards.ieee.org/project/2418_1.html" TargetMode="External"/><Relationship Id="rId117" Type="http://schemas.openxmlformats.org/officeDocument/2006/relationships/hyperlink" Target="https://www.iso.org/sites/worldsmartcity/" TargetMode="External"/><Relationship Id="rId21" Type="http://schemas.openxmlformats.org/officeDocument/2006/relationships/hyperlink" Target="https://treasury.gov.au/consultation/e-invoicing" TargetMode="External"/><Relationship Id="rId42" Type="http://schemas.openxmlformats.org/officeDocument/2006/relationships/hyperlink" Target="https://www.singstat.gov.sg/modules/infographics/singapore-international-trade" TargetMode="External"/><Relationship Id="rId47" Type="http://schemas.openxmlformats.org/officeDocument/2006/relationships/hyperlink" Target="https://news.microsoft.com/en-sg/2018/02/21/digital-transformation-contribute-us10-billion-singapore-gdp-2021/" TargetMode="External"/><Relationship Id="rId63" Type="http://schemas.openxmlformats.org/officeDocument/2006/relationships/hyperlink" Target="https://www.macrotrends.net/2551/australian-us-dollar-exchange-rate-historical-chart" TargetMode="External"/><Relationship Id="rId68" Type="http://schemas.openxmlformats.org/officeDocument/2006/relationships/hyperlink" Target="https://info.digitalrealty.com/XmE0NzZ0N000Jd0qm001Yj0" TargetMode="External"/><Relationship Id="rId84" Type="http://schemas.openxmlformats.org/officeDocument/2006/relationships/hyperlink" Target="https://www.pm.gov.au/media/joint-statement-prime-ministers-rt-hon-jacinda-ardern-and-hon-scott-morrison-mp" TargetMode="External"/><Relationship Id="rId89" Type="http://schemas.openxmlformats.org/officeDocument/2006/relationships/hyperlink" Target="https://www.mas.gov.sg/~/media/MAS/News%20and%20Publications/Monographs%20and%20Information%20Papers/FEAT%20Principles%20Final.pdf" TargetMode="External"/><Relationship Id="rId112" Type="http://schemas.openxmlformats.org/officeDocument/2006/relationships/hyperlink" Target="https://www.imda.gov.sg/infocomm-media-landscape/SGDigital/tech-pillars/Artificial-Intelligence" TargetMode="External"/><Relationship Id="rId133" Type="http://schemas.openxmlformats.org/officeDocument/2006/relationships/hyperlink" Target="https://www.nist.gov/system/files/documents/2019/08/10/ai_standards-_fedengagement_plan_9aug2019.pdf" TargetMode="External"/><Relationship Id="rId138" Type="http://schemas.openxmlformats.org/officeDocument/2006/relationships/hyperlink" Target="https://www.iso.org/standard/77582.html" TargetMode="External"/><Relationship Id="rId154" Type="http://schemas.openxmlformats.org/officeDocument/2006/relationships/hyperlink" Target="https://data61.csiro.au/en/Our-Research/Focus-Areas/Special-Projects/Consumer-Data-Standards" TargetMode="External"/><Relationship Id="rId159" Type="http://schemas.openxmlformats.org/officeDocument/2006/relationships/hyperlink" Target="https://www.nist.gov/cyberframework/evolution" TargetMode="External"/><Relationship Id="rId16" Type="http://schemas.openxmlformats.org/officeDocument/2006/relationships/hyperlink" Target="https://www.iso.org/standard/70866.html" TargetMode="External"/><Relationship Id="rId107" Type="http://schemas.openxmlformats.org/officeDocument/2006/relationships/hyperlink" Target="https://www.pdpc.gov.sg/-/media/Files/PDPC/PDF-Files/Legislation-and-Guidelines/PDPC-Public-Consultation-Paper-on-Data-Portability-and-Data-Innovation-Provisions-(220519).pdf?la=en" TargetMode="External"/><Relationship Id="rId11" Type="http://schemas.openxmlformats.org/officeDocument/2006/relationships/hyperlink" Target="https://www2.deloitte.com/au/en/pages/economics/articles/australias-digital-pulse.html" TargetMode="External"/><Relationship Id="rId32" Type="http://schemas.openxmlformats.org/officeDocument/2006/relationships/hyperlink" Target="https://www.iso.org/standard/71670.html" TargetMode="External"/><Relationship Id="rId37" Type="http://schemas.openxmlformats.org/officeDocument/2006/relationships/hyperlink" Target="https://www.iso.org/standard/56639.html" TargetMode="External"/><Relationship Id="rId53" Type="http://schemas.openxmlformats.org/officeDocument/2006/relationships/hyperlink" Target="https://www.unescap.org/sites/default/files/aptir-2016-ch7.pdf" TargetMode="External"/><Relationship Id="rId58" Type="http://schemas.openxmlformats.org/officeDocument/2006/relationships/hyperlink" Target="http://dx.doi.org/10.1787/524c8c83-en" TargetMode="External"/><Relationship Id="rId74" Type="http://schemas.openxmlformats.org/officeDocument/2006/relationships/hyperlink" Target="https://info.digitalrealty.com/XmE0NzZ0N000Jd0qm001Yj0" TargetMode="External"/><Relationship Id="rId79" Type="http://schemas.openxmlformats.org/officeDocument/2006/relationships/hyperlink" Target="https://www.cio.com/article/3292616/how-singapore-is-using-artificial-intelligence.html" TargetMode="External"/><Relationship Id="rId102" Type="http://schemas.openxmlformats.org/officeDocument/2006/relationships/hyperlink" Target="https://www.mckinsey.com/~/media/McKinsey/Business%20Functions/McKinsey%20Digital/Our%20Insights/Digital%20globalization%20The%20new%20era%20of%20global%20flows/MGI-Digital-globalization-Full-report.pdf" TargetMode="External"/><Relationship Id="rId123" Type="http://schemas.openxmlformats.org/officeDocument/2006/relationships/hyperlink" Target="https://www.gov.sg/~/sgpcmedia/media_releases/enterprise-sg/press_release/P-20190715-1/attachment/MR03019_Singapore%20Standards%20Council%20to%20strengthen%20industry%20collaboration%20efforts%20and%20focus%20on%20nascent%20areas%20for%20standards%20development_2019%2007%2015.pdf" TargetMode="External"/><Relationship Id="rId128" Type="http://schemas.openxmlformats.org/officeDocument/2006/relationships/hyperlink" Target="https://www.iso.org/committee/6794475.html" TargetMode="External"/><Relationship Id="rId144" Type="http://schemas.openxmlformats.org/officeDocument/2006/relationships/hyperlink" Target="https://www.iso.org/standard/45123.html" TargetMode="External"/><Relationship Id="rId149" Type="http://schemas.openxmlformats.org/officeDocument/2006/relationships/hyperlink" Target="http://publications.apec.org/publication-detail.php?pub_id=390" TargetMode="External"/><Relationship Id="rId5" Type="http://schemas.openxmlformats.org/officeDocument/2006/relationships/hyperlink" Target="https://info.digitalrealty.com/XmE0NzZ0N000Jd0qm001Yj0" TargetMode="External"/><Relationship Id="rId90" Type="http://schemas.openxmlformats.org/officeDocument/2006/relationships/hyperlink" Target="https://www.mas.gov.sg/~/media/MAS/News%20and%20Publications/Monographs%20and%20Information%20Papers/FEAT%20Principles%20Final.pdf" TargetMode="External"/><Relationship Id="rId95" Type="http://schemas.openxmlformats.org/officeDocument/2006/relationships/hyperlink" Target="https://www.mckinsey.com/business-functions/mckinsey-digital/our-insights/digital-identification-a-key-to-inclusive-growth" TargetMode="External"/><Relationship Id="rId22" Type="http://schemas.openxmlformats.org/officeDocument/2006/relationships/hyperlink" Target="https://infostore.saiglobal.com/en-au/Standards/EN-16931-1-2017-A1-2019-342638_SAIG_CEN_CEN_2785568/" TargetMode="External"/><Relationship Id="rId27" Type="http://schemas.openxmlformats.org/officeDocument/2006/relationships/hyperlink" Target="https://www2.deloitte.com/au/en/pages/economics/articles/australias-digital-pulse.html" TargetMode="External"/><Relationship Id="rId43" Type="http://schemas.openxmlformats.org/officeDocument/2006/relationships/hyperlink" Target="https://www.mti.gov.sg/-/media/MTI/Newsroom/Press-Releases/2020/03/Joint-press-release--Conclusion-of-Negotiations-for-the-SingaporeAustralia-Digital-Economy-Agreement.pdf" TargetMode="External"/><Relationship Id="rId48" Type="http://schemas.openxmlformats.org/officeDocument/2006/relationships/hyperlink" Target="https://www.alphabeta.com/wp-content/uploads/2018/10/digital-trade-fa_oct-2018.pdf" TargetMode="External"/><Relationship Id="rId64" Type="http://schemas.openxmlformats.org/officeDocument/2006/relationships/hyperlink" Target="https://www.ofx.com/en-sg/forex-news/historical-exchange-rates/yearly-average-rates/" TargetMode="External"/><Relationship Id="rId69" Type="http://schemas.openxmlformats.org/officeDocument/2006/relationships/hyperlink" Target="https://www.techsciresearch.com/report/australia-internet-of-things-iot-market/1393.html" TargetMode="External"/><Relationship Id="rId113" Type="http://schemas.openxmlformats.org/officeDocument/2006/relationships/hyperlink" Target="https://www.iso.org/committee/6794475.html?view=participation" TargetMode="External"/><Relationship Id="rId118" Type="http://schemas.openxmlformats.org/officeDocument/2006/relationships/hyperlink" Target="https://www2.deloitte.com/au/en/pages/economics/articles/australias-digital-pulse.html" TargetMode="External"/><Relationship Id="rId134" Type="http://schemas.openxmlformats.org/officeDocument/2006/relationships/hyperlink" Target="https://www.iso.org/committee/6266604.html" TargetMode="External"/><Relationship Id="rId139" Type="http://schemas.openxmlformats.org/officeDocument/2006/relationships/hyperlink" Target="https://www.iso.org/standard/52946.html" TargetMode="External"/><Relationship Id="rId80" Type="http://schemas.openxmlformats.org/officeDocument/2006/relationships/hyperlink" Target="https://www.emvco.com/about/overview/" TargetMode="External"/><Relationship Id="rId85" Type="http://schemas.openxmlformats.org/officeDocument/2006/relationships/hyperlink" Target="https://www.dfat.gov.au/sites/default/files/partnerships-for-recovery-australias-covid-19-development-response.pdf" TargetMode="External"/><Relationship Id="rId150" Type="http://schemas.openxmlformats.org/officeDocument/2006/relationships/hyperlink" Target="https://www.lawfareblog.com/cross-border-privacy-rules-asia-overview" TargetMode="External"/><Relationship Id="rId155" Type="http://schemas.openxmlformats.org/officeDocument/2006/relationships/hyperlink" Target="https://www.iso.org/standard/54534.html" TargetMode="External"/><Relationship Id="rId12" Type="http://schemas.openxmlformats.org/officeDocument/2006/relationships/hyperlink" Target="https://www.iso.org/standard/50952.html" TargetMode="External"/><Relationship Id="rId17" Type="http://schemas.openxmlformats.org/officeDocument/2006/relationships/hyperlink" Target="https://fidoalliance.org/" TargetMode="External"/><Relationship Id="rId33" Type="http://schemas.openxmlformats.org/officeDocument/2006/relationships/hyperlink" Target="https://www.mckinsey.com/~/media/McKinsey/Business%20Functions/McKinsey%20Digital/Our%20Insights/Digital%20globalization%20The%20new%20era%20of%20global%20flows/MGI-Digital-globalization-Full-report.pdf" TargetMode="External"/><Relationship Id="rId38" Type="http://schemas.openxmlformats.org/officeDocument/2006/relationships/hyperlink" Target="https://www.iso.org/standard/56639.html" TargetMode="External"/><Relationship Id="rId59" Type="http://schemas.openxmlformats.org/officeDocument/2006/relationships/hyperlink" Target="https://www.ntp.gov.sg/home/?TYPE=login" TargetMode="External"/><Relationship Id="rId103" Type="http://schemas.openxmlformats.org/officeDocument/2006/relationships/hyperlink" Target="http://cbprs.org/government/" TargetMode="External"/><Relationship Id="rId108" Type="http://schemas.openxmlformats.org/officeDocument/2006/relationships/hyperlink" Target="https://www.mti.gov.sg/-/media/MTI/Newsroom/Press-Releases/2020/03/Joint-press-release--Conclusion-of-Negotiations-for-the-SingaporeAustralia-Digital-Economy-Agreement.pdf" TargetMode="External"/><Relationship Id="rId124" Type="http://schemas.openxmlformats.org/officeDocument/2006/relationships/hyperlink" Target="https://www.gov.sg/~/sgpcmedia/media_releases/enterprise-sg/press_release/P-20190715-1/attachment/MR03019_Singapore%20Standards%20Council%20to%20strengthen%20industry%20collaboration%20efforts%20and%20focus%20on%20nascent%20areas%20for%20standards%20development_2019%2007%2015.pdf" TargetMode="External"/><Relationship Id="rId129" Type="http://schemas.openxmlformats.org/officeDocument/2006/relationships/hyperlink" Target="https://www.iso.org/committee/6794475.html" TargetMode="External"/><Relationship Id="rId20" Type="http://schemas.openxmlformats.org/officeDocument/2006/relationships/hyperlink" Target="https://www.emvco.com/about/overview/" TargetMode="External"/><Relationship Id="rId41" Type="http://schemas.openxmlformats.org/officeDocument/2006/relationships/hyperlink" Target="https://www.mti.gov.sg/-/media/MTI/Newsroom/Press-Releases/2020/03/Joint-press-release--Conclusion-of-Negotiations-for-the-SingaporeAustralia-Digital-Economy-Agreement.pdf" TargetMode="External"/><Relationship Id="rId54" Type="http://schemas.openxmlformats.org/officeDocument/2006/relationships/hyperlink" Target="https://www.usitc.gov/publications/332/pub4716.pdf" TargetMode="External"/><Relationship Id="rId62" Type="http://schemas.openxmlformats.org/officeDocument/2006/relationships/hyperlink" Target="http://www3.weforum.org/docs/WEF_36073_Paperless_Trading_How_Does_It_Impact_the_Trade_System.pdf" TargetMode="External"/><Relationship Id="rId70" Type="http://schemas.openxmlformats.org/officeDocument/2006/relationships/hyperlink" Target="https://www.pwc.com.au/consulting/assets/publications/acs-pwc-iot-report-web.pdf" TargetMode="External"/><Relationship Id="rId75" Type="http://schemas.openxmlformats.org/officeDocument/2006/relationships/hyperlink" Target="https://www.imf.org/external/pubs/ft/bop/2019/pdf/19-07.pdf" TargetMode="External"/><Relationship Id="rId83" Type="http://schemas.openxmlformats.org/officeDocument/2006/relationships/hyperlink" Target="https://www.enterprisesg.gov.sg/media-centre/media-releases/2020/june/new-standards-to-be-developed-to-support-resilience-and-sustainability" TargetMode="External"/><Relationship Id="rId88" Type="http://schemas.openxmlformats.org/officeDocument/2006/relationships/hyperlink" Target="https://www.mti.gov.sg/-/media/MTI/Newsroom/Press-Releases/2020/03/Joint-press-release--Conclusion-of-Negotiations-for-the-SingaporeAustralia-Digital-Economy-Agreement.pdf" TargetMode="External"/><Relationship Id="rId91" Type="http://schemas.openxmlformats.org/officeDocument/2006/relationships/hyperlink" Target="https://www.mti.gov.sg/-/media/MTI/Newsroom/Press-Releases/2020/03/Joint-press-release--Conclusion-of-Negotiations-for-the-SingaporeAustralia-Digital-Economy-Agreement.pdf" TargetMode="External"/><Relationship Id="rId96" Type="http://schemas.openxmlformats.org/officeDocument/2006/relationships/hyperlink" Target="https://www.mti.gov.sg/-/media/MTI/Newsroom/Press-Releases/2020/03/Joint-press-release--Conclusion-of-Negotiations-for-the-SingaporeAustralia-Digital-Economy-Agreement.pdf" TargetMode="External"/><Relationship Id="rId111" Type="http://schemas.openxmlformats.org/officeDocument/2006/relationships/hyperlink" Target="https://www.smartnation.sg/why-Smart-Nation/NationalAIStrategy" TargetMode="External"/><Relationship Id="rId132" Type="http://schemas.openxmlformats.org/officeDocument/2006/relationships/hyperlink" Target="https://www.itu.int/ITU-T/recommendations/rec.aspx?rec=13894&amp;lang=en" TargetMode="External"/><Relationship Id="rId140" Type="http://schemas.openxmlformats.org/officeDocument/2006/relationships/hyperlink" Target="https://peppol.eu/what-is-peppol/" TargetMode="External"/><Relationship Id="rId145" Type="http://schemas.openxmlformats.org/officeDocument/2006/relationships/hyperlink" Target="https://www.iso.org/standard/75293.html" TargetMode="External"/><Relationship Id="rId153" Type="http://schemas.openxmlformats.org/officeDocument/2006/relationships/hyperlink" Target="https://edmcouncil.org/page/aboutfiboreview" TargetMode="External"/><Relationship Id="rId1" Type="http://schemas.openxmlformats.org/officeDocument/2006/relationships/hyperlink" Target="https://www.singstat.gov.sg/modules/infographics/singapore-international-trade" TargetMode="External"/><Relationship Id="rId6" Type="http://schemas.openxmlformats.org/officeDocument/2006/relationships/hyperlink" Target="https://standards.ieee.org/industry-connections/ec/autonomous-systems.html" TargetMode="External"/><Relationship Id="rId15" Type="http://schemas.openxmlformats.org/officeDocument/2006/relationships/hyperlink" Target="https://www.iso.org/standard/77582.html" TargetMode="External"/><Relationship Id="rId23" Type="http://schemas.openxmlformats.org/officeDocument/2006/relationships/hyperlink" Target="https://www.techsciresearch.com/report/australia-internet-of-things-iot-market/1393.html" TargetMode="External"/><Relationship Id="rId28" Type="http://schemas.openxmlformats.org/officeDocument/2006/relationships/hyperlink" Target="https://www.mcafee.com/enterprise/en-us/solutions/lp/mcafee-cyber-resilience-report.html" TargetMode="External"/><Relationship Id="rId36" Type="http://schemas.openxmlformats.org/officeDocument/2006/relationships/hyperlink" Target="https://dataavailability.pmc.gov.au/sites/default/files/govt-response-pc-dau-inquiry.pdf" TargetMode="External"/><Relationship Id="rId49" Type="http://schemas.openxmlformats.org/officeDocument/2006/relationships/hyperlink" Target="https://www2.deloitte.com/au/en/pages/economics/articles/australias-digital-pulse.html" TargetMode="External"/><Relationship Id="rId57" Type="http://schemas.openxmlformats.org/officeDocument/2006/relationships/hyperlink" Target="http://www.tfig.unece.org/contents/buy-ship-pay-model.htm" TargetMode="External"/><Relationship Id="rId106" Type="http://schemas.openxmlformats.org/officeDocument/2006/relationships/hyperlink" Target="https://data61.csiro.au/en/Our-Research/Focus-Areas/Special-Projects/Consumer-Data-Standards" TargetMode="External"/><Relationship Id="rId114" Type="http://schemas.openxmlformats.org/officeDocument/2006/relationships/hyperlink" Target="https://www.industry.gov.au/data-and-publications/national-blockchain-roadmap/sectoral-opportunities" TargetMode="External"/><Relationship Id="rId119" Type="http://schemas.openxmlformats.org/officeDocument/2006/relationships/hyperlink" Target="https://www.iso.org/committee/656967.html" TargetMode="External"/><Relationship Id="rId127" Type="http://schemas.openxmlformats.org/officeDocument/2006/relationships/hyperlink" Target="https://www.enterprisesg.gov.sg/media-centre/media-releases/2018/october/worlds-first-standards-mapping-tool-to-help-enterprises-build-capabilities-for-industry-4" TargetMode="External"/><Relationship Id="rId10" Type="http://schemas.openxmlformats.org/officeDocument/2006/relationships/hyperlink" Target="https://standards.ieee.org/project/2418_1.html" TargetMode="External"/><Relationship Id="rId31" Type="http://schemas.openxmlformats.org/officeDocument/2006/relationships/hyperlink" Target="https://www.iso.org/standard/76559.html" TargetMode="External"/><Relationship Id="rId44" Type="http://schemas.openxmlformats.org/officeDocument/2006/relationships/hyperlink" Target="https://www.abs.gov.au/websitedbs/D3310114.nsf/home/ABS+Chief+Economist+-+Full+Paper+of+Measuring+Digital+Activities+in+the+Australian+Economy" TargetMode="External"/><Relationship Id="rId52" Type="http://schemas.openxmlformats.org/officeDocument/2006/relationships/hyperlink" Target="https://www.oecd.org/trade/topics/digital-trade/" TargetMode="External"/><Relationship Id="rId60" Type="http://schemas.openxmlformats.org/officeDocument/2006/relationships/hyperlink" Target="http://www.imda.gov.sg/bsb" TargetMode="External"/><Relationship Id="rId65" Type="http://schemas.openxmlformats.org/officeDocument/2006/relationships/hyperlink" Target="https://www.austrade.gov.au/Australian/Export/Export-markets/Countries/Singapore/Doing-business" TargetMode="External"/><Relationship Id="rId73" Type="http://schemas.openxmlformats.org/officeDocument/2006/relationships/hyperlink" Target="https://www.austrade.gov.au/international/invest/investor-updates/2019/artificial-intelligence-expert-selects-sydney-for-asia-pacific-launch-pad" TargetMode="External"/><Relationship Id="rId78" Type="http://schemas.openxmlformats.org/officeDocument/2006/relationships/hyperlink" Target="https://www.austrade.gov.au/australian/export/export-grants/news/success-stories/turning-raw-data-into-retail-insights" TargetMode="External"/><Relationship Id="rId81" Type="http://schemas.openxmlformats.org/officeDocument/2006/relationships/hyperlink" Target="https://www.nature.com/articles/sdata201618" TargetMode="External"/><Relationship Id="rId86" Type="http://schemas.openxmlformats.org/officeDocument/2006/relationships/hyperlink" Target="https://www.imda.gov.sg/-/media/Imda/Files/About/Media-Releases/2020/Annex-B-TradeTrust-Fact-Sheet.pdf" TargetMode="External"/><Relationship Id="rId94" Type="http://schemas.openxmlformats.org/officeDocument/2006/relationships/hyperlink" Target="https://www.mckinsey.com/business-functions/mckinsey-digital/our-insights/digital-identification-a-key-to-inclusive-growth" TargetMode="External"/><Relationship Id="rId99" Type="http://schemas.openxmlformats.org/officeDocument/2006/relationships/hyperlink" Target="https://www.dfat.gov.au/trade/services-and-digital-trade/australia-singapore-digital-economy-agreement-summary-key-outcomes" TargetMode="External"/><Relationship Id="rId101" Type="http://schemas.openxmlformats.org/officeDocument/2006/relationships/hyperlink" Target="https://www.oaic.gov.au/about-us/our-corporate-information/memorandums-of-understanding/mous/mou-with-pdpc/" TargetMode="External"/><Relationship Id="rId122" Type="http://schemas.openxmlformats.org/officeDocument/2006/relationships/hyperlink" Target="https://www.bain.com/insights/e-conomy-sea-2019/" TargetMode="External"/><Relationship Id="rId130" Type="http://schemas.openxmlformats.org/officeDocument/2006/relationships/hyperlink" Target="https://www.iso.org/committee/6794475.html?-view=participation" TargetMode="External"/><Relationship Id="rId135" Type="http://schemas.openxmlformats.org/officeDocument/2006/relationships/hyperlink" Target="https://www.itu.int/en/ITU-T/focusgroups/dlt/Pages/default.aspx" TargetMode="External"/><Relationship Id="rId143" Type="http://schemas.openxmlformats.org/officeDocument/2006/relationships/hyperlink" Target="https://www.singaporestandardseshop.sg/Product/GetPdf?fileName=180331121435TR%2047-2016_Preview.pdf&amp;pdtid=d963a0ae-022f-4132-bf0d-12f1dc9c245f" TargetMode="External"/><Relationship Id="rId148" Type="http://schemas.openxmlformats.org/officeDocument/2006/relationships/hyperlink" Target="https://www.apec.org/About-Us/About-APEC/Fact-Sheets/What-is-the-Cross-Border-Privacy-Rules-System" TargetMode="External"/><Relationship Id="rId151" Type="http://schemas.openxmlformats.org/officeDocument/2006/relationships/hyperlink" Target="https://www.iso.org/standard/56639.html" TargetMode="External"/><Relationship Id="rId156" Type="http://schemas.openxmlformats.org/officeDocument/2006/relationships/hyperlink" Target="https://www.iso.org/standard/54533.html" TargetMode="External"/><Relationship Id="rId4" Type="http://schemas.openxmlformats.org/officeDocument/2006/relationships/hyperlink" Target="https://www.austrade.gov.au/international/invest/investor-updates/2019/artificial-intelligence-expert-selects-sydney-for-asia-pacific-launch-pad" TargetMode="External"/><Relationship Id="rId9" Type="http://schemas.openxmlformats.org/officeDocument/2006/relationships/hyperlink" Target="https://www.iso.org/standard/75624.html" TargetMode="External"/><Relationship Id="rId13" Type="http://schemas.openxmlformats.org/officeDocument/2006/relationships/hyperlink" Target="https://www.mckinsey.com/business-functions/mckinsey-digital/our-insights/digital-identification-a-key-to-inclusive-growth" TargetMode="External"/><Relationship Id="rId18" Type="http://schemas.openxmlformats.org/officeDocument/2006/relationships/hyperlink" Target="https://www.bain.com/globalassets/noindex/2019/bain-report-fulfilling-its-promise.pdf" TargetMode="External"/><Relationship Id="rId39" Type="http://schemas.openxmlformats.org/officeDocument/2006/relationships/hyperlink" Target="https://www.iso.org/standard/74353.html" TargetMode="External"/><Relationship Id="rId109" Type="http://schemas.openxmlformats.org/officeDocument/2006/relationships/hyperlink" Target="https://research.csiro.au/robotics/australias-ai-roadmap-launched-solving-problems-growing-the-economy-and-improving-our-quality-of-life/" TargetMode="External"/><Relationship Id="rId34" Type="http://schemas.openxmlformats.org/officeDocument/2006/relationships/hyperlink" Target="https://www.iso.org/standard/73614.html" TargetMode="External"/><Relationship Id="rId50" Type="http://schemas.openxmlformats.org/officeDocument/2006/relationships/hyperlink" Target="https://www.austrade.gov.au/Australian/Export/Export-markets/Countries/Singapore/Doing-business" TargetMode="External"/><Relationship Id="rId55" Type="http://schemas.openxmlformats.org/officeDocument/2006/relationships/hyperlink" Target="https://www.pc.gov.au/research/completed/growing-digital-economy" TargetMode="External"/><Relationship Id="rId76" Type="http://schemas.openxmlformats.org/officeDocument/2006/relationships/hyperlink" Target="https://www.oecd.org/trade/topics/digital-trade/" TargetMode="External"/><Relationship Id="rId97" Type="http://schemas.openxmlformats.org/officeDocument/2006/relationships/hyperlink" Target="https://www.mti.gov.sg/-/media/MTI/Newsroom/Press-Releases/2020/03/Joint-press-release--Conclusion-of-Negotiations-for-the-SingaporeAustralia-Digital-Economy-Agreement.pdf" TargetMode="External"/><Relationship Id="rId104" Type="http://schemas.openxmlformats.org/officeDocument/2006/relationships/hyperlink" Target="https://www.mti.gov.sg/-/media/MTI/Newsroom/Press-Releases/2020/03/Joint-press-release--Conclusion-of-Negotiations-for-the-SingaporeAustralia-Digital-Economy-Agreement.pdf" TargetMode="External"/><Relationship Id="rId120" Type="http://schemas.openxmlformats.org/officeDocument/2006/relationships/hyperlink" Target="https://www.iso.org/committee/656906.html-?view=participation" TargetMode="External"/><Relationship Id="rId125" Type="http://schemas.openxmlformats.org/officeDocument/2006/relationships/hyperlink" Target="https://www.straitstimes.com/business/new-standards-being-drafted-for-emerging-business-areas" TargetMode="External"/><Relationship Id="rId141" Type="http://schemas.openxmlformats.org/officeDocument/2006/relationships/hyperlink" Target="https://webstore.iec.ch/publication/6028" TargetMode="External"/><Relationship Id="rId146" Type="http://schemas.openxmlformats.org/officeDocument/2006/relationships/hyperlink" Target="https://www.iso.org/standard/76559.html" TargetMode="External"/><Relationship Id="rId7" Type="http://schemas.openxmlformats.org/officeDocument/2006/relationships/hyperlink" Target="https://www.itu.int/rec/T-REC-Y.3172-201906-I/en" TargetMode="External"/><Relationship Id="rId71" Type="http://schemas.openxmlformats.org/officeDocument/2006/relationships/hyperlink" Target="https://www.imda.gov.sg/-/media/Imda/Files/Industry-Development/Infrastructure/Technology/Technology-Roadmap/WG1-Executive-Summary-for-Future-Communications-and-IoT.pdf" TargetMode="External"/><Relationship Id="rId92" Type="http://schemas.openxmlformats.org/officeDocument/2006/relationships/hyperlink" Target="https://www2.deloitte.com/au/en/pages/economics/articles/australias-digital-pulse.html" TargetMode="External"/><Relationship Id="rId2" Type="http://schemas.openxmlformats.org/officeDocument/2006/relationships/hyperlink" Target="https://dfat.gov.au/trade/agreements/in-force/safta/Pages/singapore-australia-fta.aspx" TargetMode="External"/><Relationship Id="rId29" Type="http://schemas.openxmlformats.org/officeDocument/2006/relationships/hyperlink" Target="https://australiancybersecuritymagazine.com.au/businesses-in-the-dark-mcafee-survey-reveals-disconnect-in-cybersecurity-culture-and-cyber-resilience/" TargetMode="External"/><Relationship Id="rId24" Type="http://schemas.openxmlformats.org/officeDocument/2006/relationships/hyperlink" Target="https://info.digitalrealty.com/XmE0NzZ0N000Jd0qm001Yj0" TargetMode="External"/><Relationship Id="rId40" Type="http://schemas.openxmlformats.org/officeDocument/2006/relationships/hyperlink" Target="https://www.opengovasia.com/singapore-develops-new-standards-to-support-resilience-and-sustainability/" TargetMode="External"/><Relationship Id="rId45" Type="http://schemas.openxmlformats.org/officeDocument/2006/relationships/hyperlink" Target="https://www.bain.com/insights/e-conomy-sea-2019/" TargetMode="External"/><Relationship Id="rId66" Type="http://schemas.openxmlformats.org/officeDocument/2006/relationships/hyperlink" Target="https://news.microsoft.com/en-au/features/direct-costs-associated-with-cybersecurity-incidents-costs-australian-businesses-29-billion-per-annum/" TargetMode="External"/><Relationship Id="rId87" Type="http://schemas.openxmlformats.org/officeDocument/2006/relationships/hyperlink" Target="https://www.austrade.gov.au/international/invest/investor-updates/2019/artificial-intelligence-expert-selects-sydney-for-asia-pacific-launch-pad" TargetMode="External"/><Relationship Id="rId110" Type="http://schemas.openxmlformats.org/officeDocument/2006/relationships/hyperlink" Target="https://www.industry.gov.au/data-and-publications/building-australias-artificial-intelligence-capability/ai-ethics-framework" TargetMode="External"/><Relationship Id="rId115" Type="http://schemas.openxmlformats.org/officeDocument/2006/relationships/hyperlink" Target="https://fintechnews.sg/34478/blockchain/blockchain-singapore-map/" TargetMode="External"/><Relationship Id="rId131" Type="http://schemas.openxmlformats.org/officeDocument/2006/relationships/hyperlink" Target="https://standards.ieee.org/industry-connections/ec/autonomous-systems.html" TargetMode="External"/><Relationship Id="rId136" Type="http://schemas.openxmlformats.org/officeDocument/2006/relationships/hyperlink" Target="https://blockchain.ieee.org/standards" TargetMode="External"/><Relationship Id="rId157" Type="http://schemas.openxmlformats.org/officeDocument/2006/relationships/hyperlink" Target="https://www.isa.org/intech/201810standards/" TargetMode="External"/><Relationship Id="rId61" Type="http://schemas.openxmlformats.org/officeDocument/2006/relationships/hyperlink" Target="https://www.mckinsey.com/business-functions/digital-mckinsey/our-insights/disruptive-technologies" TargetMode="External"/><Relationship Id="rId82" Type="http://schemas.openxmlformats.org/officeDocument/2006/relationships/hyperlink" Target="https://edmcouncil.org/page/aboutfiboreview" TargetMode="External"/><Relationship Id="rId152" Type="http://schemas.openxmlformats.org/officeDocument/2006/relationships/hyperlink" Target="https://www.nature.com/articles/sdata201618" TargetMode="External"/><Relationship Id="rId19" Type="http://schemas.openxmlformats.org/officeDocument/2006/relationships/hyperlink" Target="https://www.iso20022.org/" TargetMode="External"/><Relationship Id="rId14" Type="http://schemas.openxmlformats.org/officeDocument/2006/relationships/hyperlink" Target="https://www.mckinsey.com/business-functions/mckinsey-digital/our-insights/digital-identification-a-key-to-inclusive-growth" TargetMode="External"/><Relationship Id="rId30" Type="http://schemas.openxmlformats.org/officeDocument/2006/relationships/hyperlink" Target="https://www.channelasia.tech/article/670400/security-attacks-cost-singaporean-businesses-1-7m-per-breach/" TargetMode="External"/><Relationship Id="rId35" Type="http://schemas.openxmlformats.org/officeDocument/2006/relationships/hyperlink" Target="https://www.apec.org/About-Us/About-APEC/Fact-Sheets/What-is-the-Cross-Border-Privacy-Rules-System" TargetMode="External"/><Relationship Id="rId56" Type="http://schemas.openxmlformats.org/officeDocument/2006/relationships/hyperlink" Target="http://dx.doi.org/10.1787/524c8c83-en" TargetMode="External"/><Relationship Id="rId77" Type="http://schemas.openxmlformats.org/officeDocument/2006/relationships/hyperlink" Target="https://www.bsigroup.com/LocalFiles/en-GB/standards/BSI-The-Economic-Contribution-of-Standards-to-the-UK-Economy-UK-EN.pdf" TargetMode="External"/><Relationship Id="rId100" Type="http://schemas.openxmlformats.org/officeDocument/2006/relationships/hyperlink" Target="https://www.mcafee.com/enterprise/en-us/solutions/lp/mcafee-cyber-resilience-report.html" TargetMode="External"/><Relationship Id="rId105" Type="http://schemas.openxmlformats.org/officeDocument/2006/relationships/hyperlink" Target="https://dataavailability.pmc.gov.au/sites/default/files/govt-response-pc-dau-inquiry.pdf" TargetMode="External"/><Relationship Id="rId126" Type="http://schemas.openxmlformats.org/officeDocument/2006/relationships/hyperlink" Target="https://www2.imda.gov.sg/regulations-and-licensing-listing/ict-standards-and-quality-of-service/industry-committees-and-working-groups/IT-Standards-Committee" TargetMode="External"/><Relationship Id="rId147" Type="http://schemas.openxmlformats.org/officeDocument/2006/relationships/hyperlink" Target="https://www.iso.org/standard/71670.html" TargetMode="External"/><Relationship Id="rId8" Type="http://schemas.openxmlformats.org/officeDocument/2006/relationships/hyperlink" Target="https://info.digitalrealty.com/XmE0NzZ0N000Jd0qm001Yj0" TargetMode="External"/><Relationship Id="rId51" Type="http://schemas.openxmlformats.org/officeDocument/2006/relationships/hyperlink" Target="http://dx.doi.org/10.1787/524c8c83-en" TargetMode="External"/><Relationship Id="rId72" Type="http://schemas.openxmlformats.org/officeDocument/2006/relationships/hyperlink" Target="https://amfg.ai/2019/11/20/am-around-the-world-how-mature-is-3d-printing-in-the-asia-pacific-region/" TargetMode="External"/><Relationship Id="rId93" Type="http://schemas.openxmlformats.org/officeDocument/2006/relationships/hyperlink" Target="https://www.smartnation.gov.sg/what-is-smart-nation/initiatives/Transport/open-data-and-analytics-for-urban-transportation-1" TargetMode="External"/><Relationship Id="rId98" Type="http://schemas.openxmlformats.org/officeDocument/2006/relationships/hyperlink" Target="https://treasury.gov.au/consultation/e-invoicing" TargetMode="External"/><Relationship Id="rId121" Type="http://schemas.openxmlformats.org/officeDocument/2006/relationships/hyperlink" Target="https://www.abs.gov.au/websitedbs/D3310114.nsf/home/ABS+Chief+Economist+-+Full+Paper+of+Measuring+Digital+Activities+in+the+Australian+Economy" TargetMode="External"/><Relationship Id="rId142" Type="http://schemas.openxmlformats.org/officeDocument/2006/relationships/hyperlink" Target="https://www2.imda.gov.sg/-/media/Imda/Files/Regulation-Licensing-and-Consultations/ICT-Standards/Telecommunication-Standards/Radio-Comms/IMDA-TS-IOT.pdf?la=en" TargetMode="External"/><Relationship Id="rId3" Type="http://schemas.openxmlformats.org/officeDocument/2006/relationships/hyperlink" Target="https://www.mti.gov.sg/-/media/MTI/Newsroom/Press-Releases/2020/03/Joint-press-release--Conclusion-of-Negotiations-for-the-SingaporeAustralia-Digital-Economy-Agreement.pdf" TargetMode="External"/><Relationship Id="rId25" Type="http://schemas.openxmlformats.org/officeDocument/2006/relationships/hyperlink" Target="https://webstore.iec.ch/publication/6028" TargetMode="External"/><Relationship Id="rId46" Type="http://schemas.openxmlformats.org/officeDocument/2006/relationships/hyperlink" Target="https://www.mti.gov.sg/Transforming-Industries/For-Industries" TargetMode="External"/><Relationship Id="rId67" Type="http://schemas.openxmlformats.org/officeDocument/2006/relationships/hyperlink" Target="https://www.mckinsey.com/business-functions/mckinsey-digital/our-insights/digital-identification-a-key-to-inclusive-growth" TargetMode="External"/><Relationship Id="rId116" Type="http://schemas.openxmlformats.org/officeDocument/2006/relationships/hyperlink" Target="https://www.iso.org/committee-/6266604.html" TargetMode="External"/><Relationship Id="rId137" Type="http://schemas.openxmlformats.org/officeDocument/2006/relationships/hyperlink" Target="https://www.iso.org/committee/656967.html" TargetMode="External"/><Relationship Id="rId158" Type="http://schemas.openxmlformats.org/officeDocument/2006/relationships/hyperlink" Target="http://www.isaca.org/Knowledge-Center/cobit/Pages/Develop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4B87F-31A6-468A-AD19-FC4E52B75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24424</Words>
  <Characters>139223</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163321</CharactersWithSpaces>
  <SharedDoc>false</SharedDoc>
  <HLinks>
    <vt:vector size="1482" baseType="variant">
      <vt:variant>
        <vt:i4>1376305</vt:i4>
      </vt:variant>
      <vt:variant>
        <vt:i4>164</vt:i4>
      </vt:variant>
      <vt:variant>
        <vt:i4>0</vt:i4>
      </vt:variant>
      <vt:variant>
        <vt:i4>5</vt:i4>
      </vt:variant>
      <vt:variant>
        <vt:lpwstr/>
      </vt:variant>
      <vt:variant>
        <vt:lpwstr>_Toc47041647</vt:lpwstr>
      </vt:variant>
      <vt:variant>
        <vt:i4>1310769</vt:i4>
      </vt:variant>
      <vt:variant>
        <vt:i4>158</vt:i4>
      </vt:variant>
      <vt:variant>
        <vt:i4>0</vt:i4>
      </vt:variant>
      <vt:variant>
        <vt:i4>5</vt:i4>
      </vt:variant>
      <vt:variant>
        <vt:lpwstr/>
      </vt:variant>
      <vt:variant>
        <vt:lpwstr>_Toc47041646</vt:lpwstr>
      </vt:variant>
      <vt:variant>
        <vt:i4>1507377</vt:i4>
      </vt:variant>
      <vt:variant>
        <vt:i4>152</vt:i4>
      </vt:variant>
      <vt:variant>
        <vt:i4>0</vt:i4>
      </vt:variant>
      <vt:variant>
        <vt:i4>5</vt:i4>
      </vt:variant>
      <vt:variant>
        <vt:lpwstr/>
      </vt:variant>
      <vt:variant>
        <vt:lpwstr>_Toc47041645</vt:lpwstr>
      </vt:variant>
      <vt:variant>
        <vt:i4>1441841</vt:i4>
      </vt:variant>
      <vt:variant>
        <vt:i4>146</vt:i4>
      </vt:variant>
      <vt:variant>
        <vt:i4>0</vt:i4>
      </vt:variant>
      <vt:variant>
        <vt:i4>5</vt:i4>
      </vt:variant>
      <vt:variant>
        <vt:lpwstr/>
      </vt:variant>
      <vt:variant>
        <vt:lpwstr>_Toc47041644</vt:lpwstr>
      </vt:variant>
      <vt:variant>
        <vt:i4>1114161</vt:i4>
      </vt:variant>
      <vt:variant>
        <vt:i4>140</vt:i4>
      </vt:variant>
      <vt:variant>
        <vt:i4>0</vt:i4>
      </vt:variant>
      <vt:variant>
        <vt:i4>5</vt:i4>
      </vt:variant>
      <vt:variant>
        <vt:lpwstr/>
      </vt:variant>
      <vt:variant>
        <vt:lpwstr>_Toc47041643</vt:lpwstr>
      </vt:variant>
      <vt:variant>
        <vt:i4>1048625</vt:i4>
      </vt:variant>
      <vt:variant>
        <vt:i4>134</vt:i4>
      </vt:variant>
      <vt:variant>
        <vt:i4>0</vt:i4>
      </vt:variant>
      <vt:variant>
        <vt:i4>5</vt:i4>
      </vt:variant>
      <vt:variant>
        <vt:lpwstr/>
      </vt:variant>
      <vt:variant>
        <vt:lpwstr>_Toc47041642</vt:lpwstr>
      </vt:variant>
      <vt:variant>
        <vt:i4>1245233</vt:i4>
      </vt:variant>
      <vt:variant>
        <vt:i4>128</vt:i4>
      </vt:variant>
      <vt:variant>
        <vt:i4>0</vt:i4>
      </vt:variant>
      <vt:variant>
        <vt:i4>5</vt:i4>
      </vt:variant>
      <vt:variant>
        <vt:lpwstr/>
      </vt:variant>
      <vt:variant>
        <vt:lpwstr>_Toc47041641</vt:lpwstr>
      </vt:variant>
      <vt:variant>
        <vt:i4>1179697</vt:i4>
      </vt:variant>
      <vt:variant>
        <vt:i4>122</vt:i4>
      </vt:variant>
      <vt:variant>
        <vt:i4>0</vt:i4>
      </vt:variant>
      <vt:variant>
        <vt:i4>5</vt:i4>
      </vt:variant>
      <vt:variant>
        <vt:lpwstr/>
      </vt:variant>
      <vt:variant>
        <vt:lpwstr>_Toc47041640</vt:lpwstr>
      </vt:variant>
      <vt:variant>
        <vt:i4>1769526</vt:i4>
      </vt:variant>
      <vt:variant>
        <vt:i4>116</vt:i4>
      </vt:variant>
      <vt:variant>
        <vt:i4>0</vt:i4>
      </vt:variant>
      <vt:variant>
        <vt:i4>5</vt:i4>
      </vt:variant>
      <vt:variant>
        <vt:lpwstr/>
      </vt:variant>
      <vt:variant>
        <vt:lpwstr>_Toc47041639</vt:lpwstr>
      </vt:variant>
      <vt:variant>
        <vt:i4>1703990</vt:i4>
      </vt:variant>
      <vt:variant>
        <vt:i4>110</vt:i4>
      </vt:variant>
      <vt:variant>
        <vt:i4>0</vt:i4>
      </vt:variant>
      <vt:variant>
        <vt:i4>5</vt:i4>
      </vt:variant>
      <vt:variant>
        <vt:lpwstr/>
      </vt:variant>
      <vt:variant>
        <vt:lpwstr>_Toc47041638</vt:lpwstr>
      </vt:variant>
      <vt:variant>
        <vt:i4>1376310</vt:i4>
      </vt:variant>
      <vt:variant>
        <vt:i4>104</vt:i4>
      </vt:variant>
      <vt:variant>
        <vt:i4>0</vt:i4>
      </vt:variant>
      <vt:variant>
        <vt:i4>5</vt:i4>
      </vt:variant>
      <vt:variant>
        <vt:lpwstr/>
      </vt:variant>
      <vt:variant>
        <vt:lpwstr>_Toc47041637</vt:lpwstr>
      </vt:variant>
      <vt:variant>
        <vt:i4>1310774</vt:i4>
      </vt:variant>
      <vt:variant>
        <vt:i4>98</vt:i4>
      </vt:variant>
      <vt:variant>
        <vt:i4>0</vt:i4>
      </vt:variant>
      <vt:variant>
        <vt:i4>5</vt:i4>
      </vt:variant>
      <vt:variant>
        <vt:lpwstr/>
      </vt:variant>
      <vt:variant>
        <vt:lpwstr>_Toc47041636</vt:lpwstr>
      </vt:variant>
      <vt:variant>
        <vt:i4>1507382</vt:i4>
      </vt:variant>
      <vt:variant>
        <vt:i4>92</vt:i4>
      </vt:variant>
      <vt:variant>
        <vt:i4>0</vt:i4>
      </vt:variant>
      <vt:variant>
        <vt:i4>5</vt:i4>
      </vt:variant>
      <vt:variant>
        <vt:lpwstr/>
      </vt:variant>
      <vt:variant>
        <vt:lpwstr>_Toc47041635</vt:lpwstr>
      </vt:variant>
      <vt:variant>
        <vt:i4>1441846</vt:i4>
      </vt:variant>
      <vt:variant>
        <vt:i4>86</vt:i4>
      </vt:variant>
      <vt:variant>
        <vt:i4>0</vt:i4>
      </vt:variant>
      <vt:variant>
        <vt:i4>5</vt:i4>
      </vt:variant>
      <vt:variant>
        <vt:lpwstr/>
      </vt:variant>
      <vt:variant>
        <vt:lpwstr>_Toc47041634</vt:lpwstr>
      </vt:variant>
      <vt:variant>
        <vt:i4>1114166</vt:i4>
      </vt:variant>
      <vt:variant>
        <vt:i4>80</vt:i4>
      </vt:variant>
      <vt:variant>
        <vt:i4>0</vt:i4>
      </vt:variant>
      <vt:variant>
        <vt:i4>5</vt:i4>
      </vt:variant>
      <vt:variant>
        <vt:lpwstr/>
      </vt:variant>
      <vt:variant>
        <vt:lpwstr>_Toc47041633</vt:lpwstr>
      </vt:variant>
      <vt:variant>
        <vt:i4>1048630</vt:i4>
      </vt:variant>
      <vt:variant>
        <vt:i4>74</vt:i4>
      </vt:variant>
      <vt:variant>
        <vt:i4>0</vt:i4>
      </vt:variant>
      <vt:variant>
        <vt:i4>5</vt:i4>
      </vt:variant>
      <vt:variant>
        <vt:lpwstr/>
      </vt:variant>
      <vt:variant>
        <vt:lpwstr>_Toc47041632</vt:lpwstr>
      </vt:variant>
      <vt:variant>
        <vt:i4>1245238</vt:i4>
      </vt:variant>
      <vt:variant>
        <vt:i4>68</vt:i4>
      </vt:variant>
      <vt:variant>
        <vt:i4>0</vt:i4>
      </vt:variant>
      <vt:variant>
        <vt:i4>5</vt:i4>
      </vt:variant>
      <vt:variant>
        <vt:lpwstr/>
      </vt:variant>
      <vt:variant>
        <vt:lpwstr>_Toc47041631</vt:lpwstr>
      </vt:variant>
      <vt:variant>
        <vt:i4>1179702</vt:i4>
      </vt:variant>
      <vt:variant>
        <vt:i4>62</vt:i4>
      </vt:variant>
      <vt:variant>
        <vt:i4>0</vt:i4>
      </vt:variant>
      <vt:variant>
        <vt:i4>5</vt:i4>
      </vt:variant>
      <vt:variant>
        <vt:lpwstr/>
      </vt:variant>
      <vt:variant>
        <vt:lpwstr>_Toc47041630</vt:lpwstr>
      </vt:variant>
      <vt:variant>
        <vt:i4>1769527</vt:i4>
      </vt:variant>
      <vt:variant>
        <vt:i4>56</vt:i4>
      </vt:variant>
      <vt:variant>
        <vt:i4>0</vt:i4>
      </vt:variant>
      <vt:variant>
        <vt:i4>5</vt:i4>
      </vt:variant>
      <vt:variant>
        <vt:lpwstr/>
      </vt:variant>
      <vt:variant>
        <vt:lpwstr>_Toc47041629</vt:lpwstr>
      </vt:variant>
      <vt:variant>
        <vt:i4>1703991</vt:i4>
      </vt:variant>
      <vt:variant>
        <vt:i4>50</vt:i4>
      </vt:variant>
      <vt:variant>
        <vt:i4>0</vt:i4>
      </vt:variant>
      <vt:variant>
        <vt:i4>5</vt:i4>
      </vt:variant>
      <vt:variant>
        <vt:lpwstr/>
      </vt:variant>
      <vt:variant>
        <vt:lpwstr>_Toc47041628</vt:lpwstr>
      </vt:variant>
      <vt:variant>
        <vt:i4>1376311</vt:i4>
      </vt:variant>
      <vt:variant>
        <vt:i4>44</vt:i4>
      </vt:variant>
      <vt:variant>
        <vt:i4>0</vt:i4>
      </vt:variant>
      <vt:variant>
        <vt:i4>5</vt:i4>
      </vt:variant>
      <vt:variant>
        <vt:lpwstr/>
      </vt:variant>
      <vt:variant>
        <vt:lpwstr>_Toc47041627</vt:lpwstr>
      </vt:variant>
      <vt:variant>
        <vt:i4>1310775</vt:i4>
      </vt:variant>
      <vt:variant>
        <vt:i4>38</vt:i4>
      </vt:variant>
      <vt:variant>
        <vt:i4>0</vt:i4>
      </vt:variant>
      <vt:variant>
        <vt:i4>5</vt:i4>
      </vt:variant>
      <vt:variant>
        <vt:lpwstr/>
      </vt:variant>
      <vt:variant>
        <vt:lpwstr>_Toc47041626</vt:lpwstr>
      </vt:variant>
      <vt:variant>
        <vt:i4>1507383</vt:i4>
      </vt:variant>
      <vt:variant>
        <vt:i4>32</vt:i4>
      </vt:variant>
      <vt:variant>
        <vt:i4>0</vt:i4>
      </vt:variant>
      <vt:variant>
        <vt:i4>5</vt:i4>
      </vt:variant>
      <vt:variant>
        <vt:lpwstr/>
      </vt:variant>
      <vt:variant>
        <vt:lpwstr>_Toc47041625</vt:lpwstr>
      </vt:variant>
      <vt:variant>
        <vt:i4>1441847</vt:i4>
      </vt:variant>
      <vt:variant>
        <vt:i4>26</vt:i4>
      </vt:variant>
      <vt:variant>
        <vt:i4>0</vt:i4>
      </vt:variant>
      <vt:variant>
        <vt:i4>5</vt:i4>
      </vt:variant>
      <vt:variant>
        <vt:lpwstr/>
      </vt:variant>
      <vt:variant>
        <vt:lpwstr>_Toc47041624</vt:lpwstr>
      </vt:variant>
      <vt:variant>
        <vt:i4>1114167</vt:i4>
      </vt:variant>
      <vt:variant>
        <vt:i4>20</vt:i4>
      </vt:variant>
      <vt:variant>
        <vt:i4>0</vt:i4>
      </vt:variant>
      <vt:variant>
        <vt:i4>5</vt:i4>
      </vt:variant>
      <vt:variant>
        <vt:lpwstr/>
      </vt:variant>
      <vt:variant>
        <vt:lpwstr>_Toc47041623</vt:lpwstr>
      </vt:variant>
      <vt:variant>
        <vt:i4>1048631</vt:i4>
      </vt:variant>
      <vt:variant>
        <vt:i4>14</vt:i4>
      </vt:variant>
      <vt:variant>
        <vt:i4>0</vt:i4>
      </vt:variant>
      <vt:variant>
        <vt:i4>5</vt:i4>
      </vt:variant>
      <vt:variant>
        <vt:lpwstr/>
      </vt:variant>
      <vt:variant>
        <vt:lpwstr>_Toc47041622</vt:lpwstr>
      </vt:variant>
      <vt:variant>
        <vt:i4>1245239</vt:i4>
      </vt:variant>
      <vt:variant>
        <vt:i4>8</vt:i4>
      </vt:variant>
      <vt:variant>
        <vt:i4>0</vt:i4>
      </vt:variant>
      <vt:variant>
        <vt:i4>5</vt:i4>
      </vt:variant>
      <vt:variant>
        <vt:lpwstr/>
      </vt:variant>
      <vt:variant>
        <vt:lpwstr>_Toc47041621</vt:lpwstr>
      </vt:variant>
      <vt:variant>
        <vt:i4>1179703</vt:i4>
      </vt:variant>
      <vt:variant>
        <vt:i4>2</vt:i4>
      </vt:variant>
      <vt:variant>
        <vt:i4>0</vt:i4>
      </vt:variant>
      <vt:variant>
        <vt:i4>5</vt:i4>
      </vt:variant>
      <vt:variant>
        <vt:lpwstr/>
      </vt:variant>
      <vt:variant>
        <vt:lpwstr>_Toc47041620</vt:lpwstr>
      </vt:variant>
      <vt:variant>
        <vt:i4>196703</vt:i4>
      </vt:variant>
      <vt:variant>
        <vt:i4>477</vt:i4>
      </vt:variant>
      <vt:variant>
        <vt:i4>0</vt:i4>
      </vt:variant>
      <vt:variant>
        <vt:i4>5</vt:i4>
      </vt:variant>
      <vt:variant>
        <vt:lpwstr>https://www.nist.gov/cyberframework/evolution</vt:lpwstr>
      </vt:variant>
      <vt:variant>
        <vt:lpwstr/>
      </vt:variant>
      <vt:variant>
        <vt:i4>3080313</vt:i4>
      </vt:variant>
      <vt:variant>
        <vt:i4>474</vt:i4>
      </vt:variant>
      <vt:variant>
        <vt:i4>0</vt:i4>
      </vt:variant>
      <vt:variant>
        <vt:i4>5</vt:i4>
      </vt:variant>
      <vt:variant>
        <vt:lpwstr>http://www.isaca.org/Knowledge-Center/cobit/Pages/Development.aspx</vt:lpwstr>
      </vt:variant>
      <vt:variant>
        <vt:lpwstr/>
      </vt:variant>
      <vt:variant>
        <vt:i4>7209014</vt:i4>
      </vt:variant>
      <vt:variant>
        <vt:i4>471</vt:i4>
      </vt:variant>
      <vt:variant>
        <vt:i4>0</vt:i4>
      </vt:variant>
      <vt:variant>
        <vt:i4>5</vt:i4>
      </vt:variant>
      <vt:variant>
        <vt:lpwstr>https://www.isa.org/intech/201810standards/</vt:lpwstr>
      </vt:variant>
      <vt:variant>
        <vt:lpwstr/>
      </vt:variant>
      <vt:variant>
        <vt:i4>6357048</vt:i4>
      </vt:variant>
      <vt:variant>
        <vt:i4>468</vt:i4>
      </vt:variant>
      <vt:variant>
        <vt:i4>0</vt:i4>
      </vt:variant>
      <vt:variant>
        <vt:i4>5</vt:i4>
      </vt:variant>
      <vt:variant>
        <vt:lpwstr>https://www.iso.org/standard/54533.html</vt:lpwstr>
      </vt:variant>
      <vt:variant>
        <vt:lpwstr/>
      </vt:variant>
      <vt:variant>
        <vt:i4>6684728</vt:i4>
      </vt:variant>
      <vt:variant>
        <vt:i4>465</vt:i4>
      </vt:variant>
      <vt:variant>
        <vt:i4>0</vt:i4>
      </vt:variant>
      <vt:variant>
        <vt:i4>5</vt:i4>
      </vt:variant>
      <vt:variant>
        <vt:lpwstr>https://www.iso.org/standard/54534.html</vt:lpwstr>
      </vt:variant>
      <vt:variant>
        <vt:lpwstr/>
      </vt:variant>
      <vt:variant>
        <vt:i4>5177352</vt:i4>
      </vt:variant>
      <vt:variant>
        <vt:i4>462</vt:i4>
      </vt:variant>
      <vt:variant>
        <vt:i4>0</vt:i4>
      </vt:variant>
      <vt:variant>
        <vt:i4>5</vt:i4>
      </vt:variant>
      <vt:variant>
        <vt:lpwstr>https://data61.csiro.au/en/Our-Research/Focus-Areas/Special-Projects/Consumer-Data-Standards</vt:lpwstr>
      </vt:variant>
      <vt:variant>
        <vt:lpwstr/>
      </vt:variant>
      <vt:variant>
        <vt:i4>3014695</vt:i4>
      </vt:variant>
      <vt:variant>
        <vt:i4>459</vt:i4>
      </vt:variant>
      <vt:variant>
        <vt:i4>0</vt:i4>
      </vt:variant>
      <vt:variant>
        <vt:i4>5</vt:i4>
      </vt:variant>
      <vt:variant>
        <vt:lpwstr>https://edmcouncil.org/page/aboutfiboreview</vt:lpwstr>
      </vt:variant>
      <vt:variant>
        <vt:lpwstr/>
      </vt:variant>
      <vt:variant>
        <vt:i4>2687031</vt:i4>
      </vt:variant>
      <vt:variant>
        <vt:i4>456</vt:i4>
      </vt:variant>
      <vt:variant>
        <vt:i4>0</vt:i4>
      </vt:variant>
      <vt:variant>
        <vt:i4>5</vt:i4>
      </vt:variant>
      <vt:variant>
        <vt:lpwstr>https://www.nature.com/articles/sdata201618</vt:lpwstr>
      </vt:variant>
      <vt:variant>
        <vt:lpwstr/>
      </vt:variant>
      <vt:variant>
        <vt:i4>6815802</vt:i4>
      </vt:variant>
      <vt:variant>
        <vt:i4>453</vt:i4>
      </vt:variant>
      <vt:variant>
        <vt:i4>0</vt:i4>
      </vt:variant>
      <vt:variant>
        <vt:i4>5</vt:i4>
      </vt:variant>
      <vt:variant>
        <vt:lpwstr>https://www.iso.org/standard/56639.html</vt:lpwstr>
      </vt:variant>
      <vt:variant>
        <vt:lpwstr/>
      </vt:variant>
      <vt:variant>
        <vt:i4>5767169</vt:i4>
      </vt:variant>
      <vt:variant>
        <vt:i4>450</vt:i4>
      </vt:variant>
      <vt:variant>
        <vt:i4>0</vt:i4>
      </vt:variant>
      <vt:variant>
        <vt:i4>5</vt:i4>
      </vt:variant>
      <vt:variant>
        <vt:lpwstr>https://www.lawfareblog.com/cross-border-privacy-rules-asia-overview</vt:lpwstr>
      </vt:variant>
      <vt:variant>
        <vt:lpwstr/>
      </vt:variant>
      <vt:variant>
        <vt:i4>5439543</vt:i4>
      </vt:variant>
      <vt:variant>
        <vt:i4>447</vt:i4>
      </vt:variant>
      <vt:variant>
        <vt:i4>0</vt:i4>
      </vt:variant>
      <vt:variant>
        <vt:i4>5</vt:i4>
      </vt:variant>
      <vt:variant>
        <vt:lpwstr>http://publications.apec.org/publication-detail.php?pub_id=390</vt:lpwstr>
      </vt:variant>
      <vt:variant>
        <vt:lpwstr/>
      </vt:variant>
      <vt:variant>
        <vt:i4>6619190</vt:i4>
      </vt:variant>
      <vt:variant>
        <vt:i4>444</vt:i4>
      </vt:variant>
      <vt:variant>
        <vt:i4>0</vt:i4>
      </vt:variant>
      <vt:variant>
        <vt:i4>5</vt:i4>
      </vt:variant>
      <vt:variant>
        <vt:lpwstr>https://www.apec.org/About-Us/About-APEC/Fact-Sheets/What-is-the-Cross-Border-Privacy-Rules-System</vt:lpwstr>
      </vt:variant>
      <vt:variant>
        <vt:lpwstr/>
      </vt:variant>
      <vt:variant>
        <vt:i4>6488121</vt:i4>
      </vt:variant>
      <vt:variant>
        <vt:i4>441</vt:i4>
      </vt:variant>
      <vt:variant>
        <vt:i4>0</vt:i4>
      </vt:variant>
      <vt:variant>
        <vt:i4>5</vt:i4>
      </vt:variant>
      <vt:variant>
        <vt:lpwstr>https://www.iso.org/standard/71670.html</vt:lpwstr>
      </vt:variant>
      <vt:variant>
        <vt:lpwstr/>
      </vt:variant>
      <vt:variant>
        <vt:i4>6881340</vt:i4>
      </vt:variant>
      <vt:variant>
        <vt:i4>438</vt:i4>
      </vt:variant>
      <vt:variant>
        <vt:i4>0</vt:i4>
      </vt:variant>
      <vt:variant>
        <vt:i4>5</vt:i4>
      </vt:variant>
      <vt:variant>
        <vt:lpwstr>https://www.iso.org/standard/76559.html</vt:lpwstr>
      </vt:variant>
      <vt:variant>
        <vt:lpwstr/>
      </vt:variant>
      <vt:variant>
        <vt:i4>6553651</vt:i4>
      </vt:variant>
      <vt:variant>
        <vt:i4>435</vt:i4>
      </vt:variant>
      <vt:variant>
        <vt:i4>0</vt:i4>
      </vt:variant>
      <vt:variant>
        <vt:i4>5</vt:i4>
      </vt:variant>
      <vt:variant>
        <vt:lpwstr>https://www.iso.org/standard/75293.html</vt:lpwstr>
      </vt:variant>
      <vt:variant>
        <vt:lpwstr/>
      </vt:variant>
      <vt:variant>
        <vt:i4>6553656</vt:i4>
      </vt:variant>
      <vt:variant>
        <vt:i4>432</vt:i4>
      </vt:variant>
      <vt:variant>
        <vt:i4>0</vt:i4>
      </vt:variant>
      <vt:variant>
        <vt:i4>5</vt:i4>
      </vt:variant>
      <vt:variant>
        <vt:lpwstr>https://www.iso.org/standard/45123.html</vt:lpwstr>
      </vt:variant>
      <vt:variant>
        <vt:lpwstr/>
      </vt:variant>
      <vt:variant>
        <vt:i4>5439536</vt:i4>
      </vt:variant>
      <vt:variant>
        <vt:i4>429</vt:i4>
      </vt:variant>
      <vt:variant>
        <vt:i4>0</vt:i4>
      </vt:variant>
      <vt:variant>
        <vt:i4>5</vt:i4>
      </vt:variant>
      <vt:variant>
        <vt:lpwstr>https://www.singaporestandardseshop.sg/Product/GetPdf?fileName=180331121435TR%2047-2016_Preview.pdf&amp;pdtid=d963a0ae-022f-4132-bf0d-12f1dc9c245f</vt:lpwstr>
      </vt:variant>
      <vt:variant>
        <vt:lpwstr/>
      </vt:variant>
      <vt:variant>
        <vt:i4>8323179</vt:i4>
      </vt:variant>
      <vt:variant>
        <vt:i4>426</vt:i4>
      </vt:variant>
      <vt:variant>
        <vt:i4>0</vt:i4>
      </vt:variant>
      <vt:variant>
        <vt:i4>5</vt:i4>
      </vt:variant>
      <vt:variant>
        <vt:lpwstr>https://www2.imda.gov.sg/-/media/Imda/Files/Regulation-Licensing-and-Consultations/ICT-Standards/Telecommunication-Standards/Radio-Comms/IMDA-TS-IOT.pdf?la=en</vt:lpwstr>
      </vt:variant>
      <vt:variant>
        <vt:lpwstr/>
      </vt:variant>
      <vt:variant>
        <vt:i4>852039</vt:i4>
      </vt:variant>
      <vt:variant>
        <vt:i4>423</vt:i4>
      </vt:variant>
      <vt:variant>
        <vt:i4>0</vt:i4>
      </vt:variant>
      <vt:variant>
        <vt:i4>5</vt:i4>
      </vt:variant>
      <vt:variant>
        <vt:lpwstr>https://webstore.iec.ch/publication/6028</vt:lpwstr>
      </vt:variant>
      <vt:variant>
        <vt:lpwstr/>
      </vt:variant>
      <vt:variant>
        <vt:i4>196691</vt:i4>
      </vt:variant>
      <vt:variant>
        <vt:i4>420</vt:i4>
      </vt:variant>
      <vt:variant>
        <vt:i4>0</vt:i4>
      </vt:variant>
      <vt:variant>
        <vt:i4>5</vt:i4>
      </vt:variant>
      <vt:variant>
        <vt:lpwstr>https://peppol.eu/what-is-peppol/</vt:lpwstr>
      </vt:variant>
      <vt:variant>
        <vt:lpwstr/>
      </vt:variant>
      <vt:variant>
        <vt:i4>6815801</vt:i4>
      </vt:variant>
      <vt:variant>
        <vt:i4>417</vt:i4>
      </vt:variant>
      <vt:variant>
        <vt:i4>0</vt:i4>
      </vt:variant>
      <vt:variant>
        <vt:i4>5</vt:i4>
      </vt:variant>
      <vt:variant>
        <vt:lpwstr>https://www.iso.org/standard/52946.html</vt:lpwstr>
      </vt:variant>
      <vt:variant>
        <vt:lpwstr/>
      </vt:variant>
      <vt:variant>
        <vt:i4>6422576</vt:i4>
      </vt:variant>
      <vt:variant>
        <vt:i4>414</vt:i4>
      </vt:variant>
      <vt:variant>
        <vt:i4>0</vt:i4>
      </vt:variant>
      <vt:variant>
        <vt:i4>5</vt:i4>
      </vt:variant>
      <vt:variant>
        <vt:lpwstr>https://www.iso.org/standard/77582.html</vt:lpwstr>
      </vt:variant>
      <vt:variant>
        <vt:lpwstr/>
      </vt:variant>
      <vt:variant>
        <vt:i4>4849748</vt:i4>
      </vt:variant>
      <vt:variant>
        <vt:i4>411</vt:i4>
      </vt:variant>
      <vt:variant>
        <vt:i4>0</vt:i4>
      </vt:variant>
      <vt:variant>
        <vt:i4>5</vt:i4>
      </vt:variant>
      <vt:variant>
        <vt:lpwstr>https://www.iso.org/committee/656967.html</vt:lpwstr>
      </vt:variant>
      <vt:variant>
        <vt:lpwstr/>
      </vt:variant>
      <vt:variant>
        <vt:i4>1179653</vt:i4>
      </vt:variant>
      <vt:variant>
        <vt:i4>408</vt:i4>
      </vt:variant>
      <vt:variant>
        <vt:i4>0</vt:i4>
      </vt:variant>
      <vt:variant>
        <vt:i4>5</vt:i4>
      </vt:variant>
      <vt:variant>
        <vt:lpwstr>https://blockchain.ieee.org/standards</vt:lpwstr>
      </vt:variant>
      <vt:variant>
        <vt:lpwstr/>
      </vt:variant>
      <vt:variant>
        <vt:i4>3211373</vt:i4>
      </vt:variant>
      <vt:variant>
        <vt:i4>405</vt:i4>
      </vt:variant>
      <vt:variant>
        <vt:i4>0</vt:i4>
      </vt:variant>
      <vt:variant>
        <vt:i4>5</vt:i4>
      </vt:variant>
      <vt:variant>
        <vt:lpwstr>https://www.itu.int/en/ITU-T/focusgroups/dlt/Pages/default.aspx</vt:lpwstr>
      </vt:variant>
      <vt:variant>
        <vt:lpwstr/>
      </vt:variant>
      <vt:variant>
        <vt:i4>7733311</vt:i4>
      </vt:variant>
      <vt:variant>
        <vt:i4>402</vt:i4>
      </vt:variant>
      <vt:variant>
        <vt:i4>0</vt:i4>
      </vt:variant>
      <vt:variant>
        <vt:i4>5</vt:i4>
      </vt:variant>
      <vt:variant>
        <vt:lpwstr>https://www.iso.org/committee/6266604.html</vt:lpwstr>
      </vt:variant>
      <vt:variant>
        <vt:lpwstr/>
      </vt:variant>
      <vt:variant>
        <vt:i4>852045</vt:i4>
      </vt:variant>
      <vt:variant>
        <vt:i4>399</vt:i4>
      </vt:variant>
      <vt:variant>
        <vt:i4>0</vt:i4>
      </vt:variant>
      <vt:variant>
        <vt:i4>5</vt:i4>
      </vt:variant>
      <vt:variant>
        <vt:lpwstr>https://www.nist.gov/system/files/documents/2019/08/10/ai_standards-_fedengagement_plan_9aug2019.pdf</vt:lpwstr>
      </vt:variant>
      <vt:variant>
        <vt:lpwstr/>
      </vt:variant>
      <vt:variant>
        <vt:i4>5767188</vt:i4>
      </vt:variant>
      <vt:variant>
        <vt:i4>396</vt:i4>
      </vt:variant>
      <vt:variant>
        <vt:i4>0</vt:i4>
      </vt:variant>
      <vt:variant>
        <vt:i4>5</vt:i4>
      </vt:variant>
      <vt:variant>
        <vt:lpwstr>https://www.itu.int/ITU-T/recommendations/rec.aspx?rec=13894&amp;lang=en</vt:lpwstr>
      </vt:variant>
      <vt:variant>
        <vt:lpwstr/>
      </vt:variant>
      <vt:variant>
        <vt:i4>3670126</vt:i4>
      </vt:variant>
      <vt:variant>
        <vt:i4>393</vt:i4>
      </vt:variant>
      <vt:variant>
        <vt:i4>0</vt:i4>
      </vt:variant>
      <vt:variant>
        <vt:i4>5</vt:i4>
      </vt:variant>
      <vt:variant>
        <vt:lpwstr>https://standards.ieee.org/industry-connections/ec/autonomous-systems.html</vt:lpwstr>
      </vt:variant>
      <vt:variant>
        <vt:lpwstr/>
      </vt:variant>
      <vt:variant>
        <vt:i4>2162751</vt:i4>
      </vt:variant>
      <vt:variant>
        <vt:i4>390</vt:i4>
      </vt:variant>
      <vt:variant>
        <vt:i4>0</vt:i4>
      </vt:variant>
      <vt:variant>
        <vt:i4>5</vt:i4>
      </vt:variant>
      <vt:variant>
        <vt:lpwstr>https://www.iso.org/committee/6794475.html?-view=participation</vt:lpwstr>
      </vt:variant>
      <vt:variant>
        <vt:lpwstr/>
      </vt:variant>
      <vt:variant>
        <vt:i4>7733299</vt:i4>
      </vt:variant>
      <vt:variant>
        <vt:i4>387</vt:i4>
      </vt:variant>
      <vt:variant>
        <vt:i4>0</vt:i4>
      </vt:variant>
      <vt:variant>
        <vt:i4>5</vt:i4>
      </vt:variant>
      <vt:variant>
        <vt:lpwstr>https://www.iso.org/committee/6794475.html</vt:lpwstr>
      </vt:variant>
      <vt:variant>
        <vt:lpwstr/>
      </vt:variant>
      <vt:variant>
        <vt:i4>7733299</vt:i4>
      </vt:variant>
      <vt:variant>
        <vt:i4>384</vt:i4>
      </vt:variant>
      <vt:variant>
        <vt:i4>0</vt:i4>
      </vt:variant>
      <vt:variant>
        <vt:i4>5</vt:i4>
      </vt:variant>
      <vt:variant>
        <vt:lpwstr>https://www.iso.org/committee/6794475.html</vt:lpwstr>
      </vt:variant>
      <vt:variant>
        <vt:lpwstr/>
      </vt:variant>
      <vt:variant>
        <vt:i4>7667823</vt:i4>
      </vt:variant>
      <vt:variant>
        <vt:i4>381</vt:i4>
      </vt:variant>
      <vt:variant>
        <vt:i4>0</vt:i4>
      </vt:variant>
      <vt:variant>
        <vt:i4>5</vt:i4>
      </vt:variant>
      <vt:variant>
        <vt:lpwstr>https://www.enterprisesg.gov.sg/media-centre/media-releases/2018/october/worlds-first-standards-mapping-tool-to-help-enterprises-build-capabilities-for-industry-4</vt:lpwstr>
      </vt:variant>
      <vt:variant>
        <vt:lpwstr/>
      </vt:variant>
      <vt:variant>
        <vt:i4>1114187</vt:i4>
      </vt:variant>
      <vt:variant>
        <vt:i4>378</vt:i4>
      </vt:variant>
      <vt:variant>
        <vt:i4>0</vt:i4>
      </vt:variant>
      <vt:variant>
        <vt:i4>5</vt:i4>
      </vt:variant>
      <vt:variant>
        <vt:lpwstr>https://www2.imda.gov.sg/regulations-and-licensing-listing/ict-standards-and-quality-of-service/industry-committees-and-working-groups/IT-Standards-Committee</vt:lpwstr>
      </vt:variant>
      <vt:variant>
        <vt:lpwstr/>
      </vt:variant>
      <vt:variant>
        <vt:i4>983066</vt:i4>
      </vt:variant>
      <vt:variant>
        <vt:i4>375</vt:i4>
      </vt:variant>
      <vt:variant>
        <vt:i4>0</vt:i4>
      </vt:variant>
      <vt:variant>
        <vt:i4>5</vt:i4>
      </vt:variant>
      <vt:variant>
        <vt:lpwstr>https://www.straitstimes.com/business/new-standards-being-drafted-for-emerging-business-areas</vt:lpwstr>
      </vt:variant>
      <vt:variant>
        <vt:lpwstr/>
      </vt:variant>
      <vt:variant>
        <vt:i4>5111901</vt:i4>
      </vt:variant>
      <vt:variant>
        <vt:i4>372</vt:i4>
      </vt:variant>
      <vt:variant>
        <vt:i4>0</vt:i4>
      </vt:variant>
      <vt:variant>
        <vt:i4>5</vt:i4>
      </vt:variant>
      <vt:variant>
        <vt:lpwstr>https://www.gov.sg/~/sgpcmedia/media_releases/enterprise-sg/press_release/P-20190715-1/attachment/MR03019_Singapore Standards Council to strengthen industry collaboration efforts and focus on nascent areas for standards development_2019 07 15.pdf</vt:lpwstr>
      </vt:variant>
      <vt:variant>
        <vt:lpwstr/>
      </vt:variant>
      <vt:variant>
        <vt:i4>5111901</vt:i4>
      </vt:variant>
      <vt:variant>
        <vt:i4>369</vt:i4>
      </vt:variant>
      <vt:variant>
        <vt:i4>0</vt:i4>
      </vt:variant>
      <vt:variant>
        <vt:i4>5</vt:i4>
      </vt:variant>
      <vt:variant>
        <vt:lpwstr>https://www.gov.sg/~/sgpcmedia/media_releases/enterprise-sg/press_release/P-20190715-1/attachment/MR03019_Singapore Standards Council to strengthen industry collaboration efforts and focus on nascent areas for standards development_2019 07 15.pdf</vt:lpwstr>
      </vt:variant>
      <vt:variant>
        <vt:lpwstr/>
      </vt:variant>
      <vt:variant>
        <vt:i4>327760</vt:i4>
      </vt:variant>
      <vt:variant>
        <vt:i4>366</vt:i4>
      </vt:variant>
      <vt:variant>
        <vt:i4>0</vt:i4>
      </vt:variant>
      <vt:variant>
        <vt:i4>5</vt:i4>
      </vt:variant>
      <vt:variant>
        <vt:lpwstr>https://www.bain.com/insights/e-conomy-sea-2019/</vt:lpwstr>
      </vt:variant>
      <vt:variant>
        <vt:lpwstr/>
      </vt:variant>
      <vt:variant>
        <vt:i4>7995513</vt:i4>
      </vt:variant>
      <vt:variant>
        <vt:i4>363</vt:i4>
      </vt:variant>
      <vt:variant>
        <vt:i4>0</vt:i4>
      </vt:variant>
      <vt:variant>
        <vt:i4>5</vt:i4>
      </vt:variant>
      <vt:variant>
        <vt:lpwstr>https://www.abs.gov.au/websitedbs/D3310114.nsf/home/ABS+Chief+Economist+-+Full+Paper+of+Measuring+Digital+Activities+in+the+Australian+Economy</vt:lpwstr>
      </vt:variant>
      <vt:variant>
        <vt:lpwstr/>
      </vt:variant>
      <vt:variant>
        <vt:i4>5570581</vt:i4>
      </vt:variant>
      <vt:variant>
        <vt:i4>360</vt:i4>
      </vt:variant>
      <vt:variant>
        <vt:i4>0</vt:i4>
      </vt:variant>
      <vt:variant>
        <vt:i4>5</vt:i4>
      </vt:variant>
      <vt:variant>
        <vt:lpwstr>https://www.iso.org/committee/656906.html-?view=participation</vt:lpwstr>
      </vt:variant>
      <vt:variant>
        <vt:lpwstr/>
      </vt:variant>
      <vt:variant>
        <vt:i4>4849748</vt:i4>
      </vt:variant>
      <vt:variant>
        <vt:i4>357</vt:i4>
      </vt:variant>
      <vt:variant>
        <vt:i4>0</vt:i4>
      </vt:variant>
      <vt:variant>
        <vt:i4>5</vt:i4>
      </vt:variant>
      <vt:variant>
        <vt:lpwstr>https://www.iso.org/committee/656967.html</vt:lpwstr>
      </vt:variant>
      <vt:variant>
        <vt:lpwstr/>
      </vt:variant>
      <vt:variant>
        <vt:i4>3080289</vt:i4>
      </vt:variant>
      <vt:variant>
        <vt:i4>354</vt:i4>
      </vt:variant>
      <vt:variant>
        <vt:i4>0</vt:i4>
      </vt:variant>
      <vt:variant>
        <vt:i4>5</vt:i4>
      </vt:variant>
      <vt:variant>
        <vt:lpwstr>https://www2.deloitte.com/au/en/pages/economics/articles/australias-digital-pulse.html</vt:lpwstr>
      </vt:variant>
      <vt:variant>
        <vt:lpwstr/>
      </vt:variant>
      <vt:variant>
        <vt:i4>1966163</vt:i4>
      </vt:variant>
      <vt:variant>
        <vt:i4>351</vt:i4>
      </vt:variant>
      <vt:variant>
        <vt:i4>0</vt:i4>
      </vt:variant>
      <vt:variant>
        <vt:i4>5</vt:i4>
      </vt:variant>
      <vt:variant>
        <vt:lpwstr>https://www.iso.org/sites/worldsmartcity/</vt:lpwstr>
      </vt:variant>
      <vt:variant>
        <vt:lpwstr/>
      </vt:variant>
      <vt:variant>
        <vt:i4>7405689</vt:i4>
      </vt:variant>
      <vt:variant>
        <vt:i4>348</vt:i4>
      </vt:variant>
      <vt:variant>
        <vt:i4>0</vt:i4>
      </vt:variant>
      <vt:variant>
        <vt:i4>5</vt:i4>
      </vt:variant>
      <vt:variant>
        <vt:lpwstr>https://www.iso.org/committee-/6266604.html</vt:lpwstr>
      </vt:variant>
      <vt:variant>
        <vt:lpwstr/>
      </vt:variant>
      <vt:variant>
        <vt:i4>4194378</vt:i4>
      </vt:variant>
      <vt:variant>
        <vt:i4>345</vt:i4>
      </vt:variant>
      <vt:variant>
        <vt:i4>0</vt:i4>
      </vt:variant>
      <vt:variant>
        <vt:i4>5</vt:i4>
      </vt:variant>
      <vt:variant>
        <vt:lpwstr>https://fintechnews.sg/34478/blockchain/blockchain-singapore-map/</vt:lpwstr>
      </vt:variant>
      <vt:variant>
        <vt:lpwstr/>
      </vt:variant>
      <vt:variant>
        <vt:i4>5701705</vt:i4>
      </vt:variant>
      <vt:variant>
        <vt:i4>342</vt:i4>
      </vt:variant>
      <vt:variant>
        <vt:i4>0</vt:i4>
      </vt:variant>
      <vt:variant>
        <vt:i4>5</vt:i4>
      </vt:variant>
      <vt:variant>
        <vt:lpwstr>https://www.industry.gov.au/data-and-publications/national-blockchain-roadmap/sectoral-opportunities</vt:lpwstr>
      </vt:variant>
      <vt:variant>
        <vt:lpwstr/>
      </vt:variant>
      <vt:variant>
        <vt:i4>4522008</vt:i4>
      </vt:variant>
      <vt:variant>
        <vt:i4>339</vt:i4>
      </vt:variant>
      <vt:variant>
        <vt:i4>0</vt:i4>
      </vt:variant>
      <vt:variant>
        <vt:i4>5</vt:i4>
      </vt:variant>
      <vt:variant>
        <vt:lpwstr>https://www.iso.org/committee/6794475.html?view=participation</vt:lpwstr>
      </vt:variant>
      <vt:variant>
        <vt:lpwstr/>
      </vt:variant>
      <vt:variant>
        <vt:i4>7602281</vt:i4>
      </vt:variant>
      <vt:variant>
        <vt:i4>336</vt:i4>
      </vt:variant>
      <vt:variant>
        <vt:i4>0</vt:i4>
      </vt:variant>
      <vt:variant>
        <vt:i4>5</vt:i4>
      </vt:variant>
      <vt:variant>
        <vt:lpwstr>https://www.imda.gov.sg/infocomm-media-landscape/SGDigital/tech-pillars/Artificial-Intelligence</vt:lpwstr>
      </vt:variant>
      <vt:variant>
        <vt:lpwstr/>
      </vt:variant>
      <vt:variant>
        <vt:i4>3342442</vt:i4>
      </vt:variant>
      <vt:variant>
        <vt:i4>333</vt:i4>
      </vt:variant>
      <vt:variant>
        <vt:i4>0</vt:i4>
      </vt:variant>
      <vt:variant>
        <vt:i4>5</vt:i4>
      </vt:variant>
      <vt:variant>
        <vt:lpwstr>https://www.smartnation.sg/why-Smart-Nation/NationalAIStrategy</vt:lpwstr>
      </vt:variant>
      <vt:variant>
        <vt:lpwstr/>
      </vt:variant>
      <vt:variant>
        <vt:i4>1572941</vt:i4>
      </vt:variant>
      <vt:variant>
        <vt:i4>330</vt:i4>
      </vt:variant>
      <vt:variant>
        <vt:i4>0</vt:i4>
      </vt:variant>
      <vt:variant>
        <vt:i4>5</vt:i4>
      </vt:variant>
      <vt:variant>
        <vt:lpwstr>https://www.industry.gov.au/data-and-publications/building-australias-artificial-intelligence-capability/ai-ethics-framework</vt:lpwstr>
      </vt:variant>
      <vt:variant>
        <vt:lpwstr/>
      </vt:variant>
      <vt:variant>
        <vt:i4>5636124</vt:i4>
      </vt:variant>
      <vt:variant>
        <vt:i4>327</vt:i4>
      </vt:variant>
      <vt:variant>
        <vt:i4>0</vt:i4>
      </vt:variant>
      <vt:variant>
        <vt:i4>5</vt:i4>
      </vt:variant>
      <vt:variant>
        <vt:lpwstr>https://research.csiro.au/robotics/australias-ai-roadmap-launched-solving-problems-growing-the-economy-and-improving-our-quality-of-life/</vt:lpwstr>
      </vt:variant>
      <vt:variant>
        <vt:lpwstr/>
      </vt:variant>
      <vt:variant>
        <vt:i4>6422574</vt:i4>
      </vt:variant>
      <vt:variant>
        <vt:i4>324</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4915223</vt:i4>
      </vt:variant>
      <vt:variant>
        <vt:i4>321</vt:i4>
      </vt:variant>
      <vt:variant>
        <vt:i4>0</vt:i4>
      </vt:variant>
      <vt:variant>
        <vt:i4>5</vt:i4>
      </vt:variant>
      <vt:variant>
        <vt:lpwstr>https://www.pdpc.gov.sg/-/media/Files/PDPC/PDF-Files/Legislation-and-Guidelines/PDPC-Public-Consultation-Paper-on-Data-Portability-and-Data-Innovation-Provisions-(220519).pdf?la=en</vt:lpwstr>
      </vt:variant>
      <vt:variant>
        <vt:lpwstr/>
      </vt:variant>
      <vt:variant>
        <vt:i4>5177352</vt:i4>
      </vt:variant>
      <vt:variant>
        <vt:i4>318</vt:i4>
      </vt:variant>
      <vt:variant>
        <vt:i4>0</vt:i4>
      </vt:variant>
      <vt:variant>
        <vt:i4>5</vt:i4>
      </vt:variant>
      <vt:variant>
        <vt:lpwstr>https://data61.csiro.au/en/Our-Research/Focus-Areas/Special-Projects/Consumer-Data-Standards</vt:lpwstr>
      </vt:variant>
      <vt:variant>
        <vt:lpwstr/>
      </vt:variant>
      <vt:variant>
        <vt:i4>5898241</vt:i4>
      </vt:variant>
      <vt:variant>
        <vt:i4>315</vt:i4>
      </vt:variant>
      <vt:variant>
        <vt:i4>0</vt:i4>
      </vt:variant>
      <vt:variant>
        <vt:i4>5</vt:i4>
      </vt:variant>
      <vt:variant>
        <vt:lpwstr>https://dataavailability.pmc.gov.au/sites/default/files/govt-response-pc-dau-inquiry.pdf</vt:lpwstr>
      </vt:variant>
      <vt:variant>
        <vt:lpwstr/>
      </vt:variant>
      <vt:variant>
        <vt:i4>6422574</vt:i4>
      </vt:variant>
      <vt:variant>
        <vt:i4>312</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786463</vt:i4>
      </vt:variant>
      <vt:variant>
        <vt:i4>309</vt:i4>
      </vt:variant>
      <vt:variant>
        <vt:i4>0</vt:i4>
      </vt:variant>
      <vt:variant>
        <vt:i4>5</vt:i4>
      </vt:variant>
      <vt:variant>
        <vt:lpwstr>http://cbprs.org/government/</vt:lpwstr>
      </vt:variant>
      <vt:variant>
        <vt:lpwstr/>
      </vt:variant>
      <vt:variant>
        <vt:i4>2228272</vt:i4>
      </vt:variant>
      <vt:variant>
        <vt:i4>306</vt:i4>
      </vt:variant>
      <vt:variant>
        <vt:i4>0</vt:i4>
      </vt:variant>
      <vt:variant>
        <vt:i4>5</vt:i4>
      </vt:variant>
      <vt:variant>
        <vt:lpwstr>https://www.mckinsey.com/~/media/McKinsey/Business Functions/McKinsey Digital/Our Insights/Digital globalization The new era of global flows/MGI-Digital-globalization-Full-report.pdf</vt:lpwstr>
      </vt:variant>
      <vt:variant>
        <vt:lpwstr/>
      </vt:variant>
      <vt:variant>
        <vt:i4>6881378</vt:i4>
      </vt:variant>
      <vt:variant>
        <vt:i4>303</vt:i4>
      </vt:variant>
      <vt:variant>
        <vt:i4>0</vt:i4>
      </vt:variant>
      <vt:variant>
        <vt:i4>5</vt:i4>
      </vt:variant>
      <vt:variant>
        <vt:lpwstr>https://www.oaic.gov.au/about-us/our-corporate-information/memorandums-of-understanding/mous/mou-with-pdpc/</vt:lpwstr>
      </vt:variant>
      <vt:variant>
        <vt:lpwstr/>
      </vt:variant>
      <vt:variant>
        <vt:i4>4194321</vt:i4>
      </vt:variant>
      <vt:variant>
        <vt:i4>300</vt:i4>
      </vt:variant>
      <vt:variant>
        <vt:i4>0</vt:i4>
      </vt:variant>
      <vt:variant>
        <vt:i4>5</vt:i4>
      </vt:variant>
      <vt:variant>
        <vt:lpwstr>https://www.mcafee.com/enterprise/en-us/solutions/lp/mcafee-cyber-resilience-report.html</vt:lpwstr>
      </vt:variant>
      <vt:variant>
        <vt:lpwstr/>
      </vt:variant>
      <vt:variant>
        <vt:i4>3080293</vt:i4>
      </vt:variant>
      <vt:variant>
        <vt:i4>297</vt:i4>
      </vt:variant>
      <vt:variant>
        <vt:i4>0</vt:i4>
      </vt:variant>
      <vt:variant>
        <vt:i4>5</vt:i4>
      </vt:variant>
      <vt:variant>
        <vt:lpwstr>https://www.dfat.gov.au/trade/services-and-digital-trade/australia-singapore-digital-economy-agreement-summary-key-outcomes</vt:lpwstr>
      </vt:variant>
      <vt:variant>
        <vt:lpwstr/>
      </vt:variant>
      <vt:variant>
        <vt:i4>5898323</vt:i4>
      </vt:variant>
      <vt:variant>
        <vt:i4>294</vt:i4>
      </vt:variant>
      <vt:variant>
        <vt:i4>0</vt:i4>
      </vt:variant>
      <vt:variant>
        <vt:i4>5</vt:i4>
      </vt:variant>
      <vt:variant>
        <vt:lpwstr>https://treasury.gov.au/consultation/e-invoicing</vt:lpwstr>
      </vt:variant>
      <vt:variant>
        <vt:lpwstr/>
      </vt:variant>
      <vt:variant>
        <vt:i4>6422574</vt:i4>
      </vt:variant>
      <vt:variant>
        <vt:i4>291</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6422574</vt:i4>
      </vt:variant>
      <vt:variant>
        <vt:i4>288</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3407926</vt:i4>
      </vt:variant>
      <vt:variant>
        <vt:i4>285</vt:i4>
      </vt:variant>
      <vt:variant>
        <vt:i4>0</vt:i4>
      </vt:variant>
      <vt:variant>
        <vt:i4>5</vt:i4>
      </vt:variant>
      <vt:variant>
        <vt:lpwstr>https://www.mckinsey.com/business-functions/mckinsey-digital/our-insights/digital-identification-a-key-to-inclusive-growth</vt:lpwstr>
      </vt:variant>
      <vt:variant>
        <vt:lpwstr/>
      </vt:variant>
      <vt:variant>
        <vt:i4>3407926</vt:i4>
      </vt:variant>
      <vt:variant>
        <vt:i4>282</vt:i4>
      </vt:variant>
      <vt:variant>
        <vt:i4>0</vt:i4>
      </vt:variant>
      <vt:variant>
        <vt:i4>5</vt:i4>
      </vt:variant>
      <vt:variant>
        <vt:lpwstr>https://www.mckinsey.com/business-functions/mckinsey-digital/our-insights/digital-identification-a-key-to-inclusive-growth</vt:lpwstr>
      </vt:variant>
      <vt:variant>
        <vt:lpwstr/>
      </vt:variant>
      <vt:variant>
        <vt:i4>5898243</vt:i4>
      </vt:variant>
      <vt:variant>
        <vt:i4>279</vt:i4>
      </vt:variant>
      <vt:variant>
        <vt:i4>0</vt:i4>
      </vt:variant>
      <vt:variant>
        <vt:i4>5</vt:i4>
      </vt:variant>
      <vt:variant>
        <vt:lpwstr>https://www.smartnation.gov.sg/what-is-smart-nation/initiatives/Transport/open-data-and-analytics-for-urban-transportation-1</vt:lpwstr>
      </vt:variant>
      <vt:variant>
        <vt:lpwstr/>
      </vt:variant>
      <vt:variant>
        <vt:i4>3080289</vt:i4>
      </vt:variant>
      <vt:variant>
        <vt:i4>276</vt:i4>
      </vt:variant>
      <vt:variant>
        <vt:i4>0</vt:i4>
      </vt:variant>
      <vt:variant>
        <vt:i4>5</vt:i4>
      </vt:variant>
      <vt:variant>
        <vt:lpwstr>https://www2.deloitte.com/au/en/pages/economics/articles/australias-digital-pulse.html</vt:lpwstr>
      </vt:variant>
      <vt:variant>
        <vt:lpwstr/>
      </vt:variant>
      <vt:variant>
        <vt:i4>6422574</vt:i4>
      </vt:variant>
      <vt:variant>
        <vt:i4>273</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5242974</vt:i4>
      </vt:variant>
      <vt:variant>
        <vt:i4>270</vt:i4>
      </vt:variant>
      <vt:variant>
        <vt:i4>0</vt:i4>
      </vt:variant>
      <vt:variant>
        <vt:i4>5</vt:i4>
      </vt:variant>
      <vt:variant>
        <vt:lpwstr>https://www.mas.gov.sg/~/media/MAS/News and Publications/Monographs and Information Papers/FEAT Principles Final.pdf</vt:lpwstr>
      </vt:variant>
      <vt:variant>
        <vt:lpwstr/>
      </vt:variant>
      <vt:variant>
        <vt:i4>5242974</vt:i4>
      </vt:variant>
      <vt:variant>
        <vt:i4>267</vt:i4>
      </vt:variant>
      <vt:variant>
        <vt:i4>0</vt:i4>
      </vt:variant>
      <vt:variant>
        <vt:i4>5</vt:i4>
      </vt:variant>
      <vt:variant>
        <vt:lpwstr>https://www.mas.gov.sg/~/media/MAS/News and Publications/Monographs and Information Papers/FEAT Principles Final.pdf</vt:lpwstr>
      </vt:variant>
      <vt:variant>
        <vt:lpwstr/>
      </vt:variant>
      <vt:variant>
        <vt:i4>6422574</vt:i4>
      </vt:variant>
      <vt:variant>
        <vt:i4>264</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327746</vt:i4>
      </vt:variant>
      <vt:variant>
        <vt:i4>261</vt:i4>
      </vt:variant>
      <vt:variant>
        <vt:i4>0</vt:i4>
      </vt:variant>
      <vt:variant>
        <vt:i4>5</vt:i4>
      </vt:variant>
      <vt:variant>
        <vt:lpwstr>https://www.austrade.gov.au/international/invest/investor-updates/2019/artificial-intelligence-expert-selects-sydney-for-asia-pacific-launch-pad</vt:lpwstr>
      </vt:variant>
      <vt:variant>
        <vt:lpwstr/>
      </vt:variant>
      <vt:variant>
        <vt:i4>8323120</vt:i4>
      </vt:variant>
      <vt:variant>
        <vt:i4>258</vt:i4>
      </vt:variant>
      <vt:variant>
        <vt:i4>0</vt:i4>
      </vt:variant>
      <vt:variant>
        <vt:i4>5</vt:i4>
      </vt:variant>
      <vt:variant>
        <vt:lpwstr>https://www.imda.gov.sg/-/media/Imda/Files/About/Media-Releases/2020/Annex-B-TradeTrust-Fact-Sheet.pdf</vt:lpwstr>
      </vt:variant>
      <vt:variant>
        <vt:lpwstr/>
      </vt:variant>
      <vt:variant>
        <vt:i4>2687028</vt:i4>
      </vt:variant>
      <vt:variant>
        <vt:i4>255</vt:i4>
      </vt:variant>
      <vt:variant>
        <vt:i4>0</vt:i4>
      </vt:variant>
      <vt:variant>
        <vt:i4>5</vt:i4>
      </vt:variant>
      <vt:variant>
        <vt:lpwstr>https://www.dfat.gov.au/sites/default/files/partnerships-for-recovery-australias-covid-19-development-response.pdf</vt:lpwstr>
      </vt:variant>
      <vt:variant>
        <vt:lpwstr/>
      </vt:variant>
      <vt:variant>
        <vt:i4>3801139</vt:i4>
      </vt:variant>
      <vt:variant>
        <vt:i4>252</vt:i4>
      </vt:variant>
      <vt:variant>
        <vt:i4>0</vt:i4>
      </vt:variant>
      <vt:variant>
        <vt:i4>5</vt:i4>
      </vt:variant>
      <vt:variant>
        <vt:lpwstr>https://www.pm.gov.au/media/joint-statement-prime-ministers-rt-hon-jacinda-ardern-and-hon-scott-morrison-mp</vt:lpwstr>
      </vt:variant>
      <vt:variant>
        <vt:lpwstr/>
      </vt:variant>
      <vt:variant>
        <vt:i4>4784218</vt:i4>
      </vt:variant>
      <vt:variant>
        <vt:i4>249</vt:i4>
      </vt:variant>
      <vt:variant>
        <vt:i4>0</vt:i4>
      </vt:variant>
      <vt:variant>
        <vt:i4>5</vt:i4>
      </vt:variant>
      <vt:variant>
        <vt:lpwstr>https://www.enterprisesg.gov.sg/media-centre/media-releases/2020/june/new-standards-to-be-developed-to-support-resilience-and-sustainability</vt:lpwstr>
      </vt:variant>
      <vt:variant>
        <vt:lpwstr/>
      </vt:variant>
      <vt:variant>
        <vt:i4>3014695</vt:i4>
      </vt:variant>
      <vt:variant>
        <vt:i4>246</vt:i4>
      </vt:variant>
      <vt:variant>
        <vt:i4>0</vt:i4>
      </vt:variant>
      <vt:variant>
        <vt:i4>5</vt:i4>
      </vt:variant>
      <vt:variant>
        <vt:lpwstr>https://edmcouncil.org/page/aboutfiboreview</vt:lpwstr>
      </vt:variant>
      <vt:variant>
        <vt:lpwstr/>
      </vt:variant>
      <vt:variant>
        <vt:i4>2687031</vt:i4>
      </vt:variant>
      <vt:variant>
        <vt:i4>243</vt:i4>
      </vt:variant>
      <vt:variant>
        <vt:i4>0</vt:i4>
      </vt:variant>
      <vt:variant>
        <vt:i4>5</vt:i4>
      </vt:variant>
      <vt:variant>
        <vt:lpwstr>https://www.nature.com/articles/sdata201618</vt:lpwstr>
      </vt:variant>
      <vt:variant>
        <vt:lpwstr/>
      </vt:variant>
      <vt:variant>
        <vt:i4>655441</vt:i4>
      </vt:variant>
      <vt:variant>
        <vt:i4>240</vt:i4>
      </vt:variant>
      <vt:variant>
        <vt:i4>0</vt:i4>
      </vt:variant>
      <vt:variant>
        <vt:i4>5</vt:i4>
      </vt:variant>
      <vt:variant>
        <vt:lpwstr>https://www.emvco.com/about/overview/</vt:lpwstr>
      </vt:variant>
      <vt:variant>
        <vt:lpwstr/>
      </vt:variant>
      <vt:variant>
        <vt:i4>3145845</vt:i4>
      </vt:variant>
      <vt:variant>
        <vt:i4>237</vt:i4>
      </vt:variant>
      <vt:variant>
        <vt:i4>0</vt:i4>
      </vt:variant>
      <vt:variant>
        <vt:i4>5</vt:i4>
      </vt:variant>
      <vt:variant>
        <vt:lpwstr>https://www.cio.com/article/3292616/how-singapore-is-using-artificial-intelligence.html</vt:lpwstr>
      </vt:variant>
      <vt:variant>
        <vt:lpwstr/>
      </vt:variant>
      <vt:variant>
        <vt:i4>7995437</vt:i4>
      </vt:variant>
      <vt:variant>
        <vt:i4>234</vt:i4>
      </vt:variant>
      <vt:variant>
        <vt:i4>0</vt:i4>
      </vt:variant>
      <vt:variant>
        <vt:i4>5</vt:i4>
      </vt:variant>
      <vt:variant>
        <vt:lpwstr>https://www.austrade.gov.au/australian/export/export-grants/news/success-stories/turning-raw-data-into-retail-insights</vt:lpwstr>
      </vt:variant>
      <vt:variant>
        <vt:lpwstr/>
      </vt:variant>
      <vt:variant>
        <vt:i4>7471212</vt:i4>
      </vt:variant>
      <vt:variant>
        <vt:i4>231</vt:i4>
      </vt:variant>
      <vt:variant>
        <vt:i4>0</vt:i4>
      </vt:variant>
      <vt:variant>
        <vt:i4>5</vt:i4>
      </vt:variant>
      <vt:variant>
        <vt:lpwstr>https://www.bsigroup.com/LocalFiles/en-GB/standards/BSI-The-Economic-Contribution-of-Standards-to-the-UK-Economy-UK-EN.pdf</vt:lpwstr>
      </vt:variant>
      <vt:variant>
        <vt:lpwstr/>
      </vt:variant>
      <vt:variant>
        <vt:i4>786456</vt:i4>
      </vt:variant>
      <vt:variant>
        <vt:i4>228</vt:i4>
      </vt:variant>
      <vt:variant>
        <vt:i4>0</vt:i4>
      </vt:variant>
      <vt:variant>
        <vt:i4>5</vt:i4>
      </vt:variant>
      <vt:variant>
        <vt:lpwstr>https://www.oecd.org/trade/topics/digital-trade/</vt:lpwstr>
      </vt:variant>
      <vt:variant>
        <vt:lpwstr/>
      </vt:variant>
      <vt:variant>
        <vt:i4>3538977</vt:i4>
      </vt:variant>
      <vt:variant>
        <vt:i4>225</vt:i4>
      </vt:variant>
      <vt:variant>
        <vt:i4>0</vt:i4>
      </vt:variant>
      <vt:variant>
        <vt:i4>5</vt:i4>
      </vt:variant>
      <vt:variant>
        <vt:lpwstr>https://www.imf.org/external/pubs/ft/bop/2019/pdf/19-07.pdf</vt:lpwstr>
      </vt:variant>
      <vt:variant>
        <vt:lpwstr/>
      </vt:variant>
      <vt:variant>
        <vt:i4>7077984</vt:i4>
      </vt:variant>
      <vt:variant>
        <vt:i4>222</vt:i4>
      </vt:variant>
      <vt:variant>
        <vt:i4>0</vt:i4>
      </vt:variant>
      <vt:variant>
        <vt:i4>5</vt:i4>
      </vt:variant>
      <vt:variant>
        <vt:lpwstr>https://info.digitalrealty.com/XmE0NzZ0N000Jd0qm001Yj0</vt:lpwstr>
      </vt:variant>
      <vt:variant>
        <vt:lpwstr/>
      </vt:variant>
      <vt:variant>
        <vt:i4>327746</vt:i4>
      </vt:variant>
      <vt:variant>
        <vt:i4>219</vt:i4>
      </vt:variant>
      <vt:variant>
        <vt:i4>0</vt:i4>
      </vt:variant>
      <vt:variant>
        <vt:i4>5</vt:i4>
      </vt:variant>
      <vt:variant>
        <vt:lpwstr>https://www.austrade.gov.au/international/invest/investor-updates/2019/artificial-intelligence-expert-selects-sydney-for-asia-pacific-launch-pad</vt:lpwstr>
      </vt:variant>
      <vt:variant>
        <vt:lpwstr/>
      </vt:variant>
      <vt:variant>
        <vt:i4>5963778</vt:i4>
      </vt:variant>
      <vt:variant>
        <vt:i4>216</vt:i4>
      </vt:variant>
      <vt:variant>
        <vt:i4>0</vt:i4>
      </vt:variant>
      <vt:variant>
        <vt:i4>5</vt:i4>
      </vt:variant>
      <vt:variant>
        <vt:lpwstr>https://amfg.ai/2019/11/20/am-around-the-world-how-mature-is-3d-printing-in-the-asia-pacific-region/</vt:lpwstr>
      </vt:variant>
      <vt:variant>
        <vt:lpwstr/>
      </vt:variant>
      <vt:variant>
        <vt:i4>5373953</vt:i4>
      </vt:variant>
      <vt:variant>
        <vt:i4>213</vt:i4>
      </vt:variant>
      <vt:variant>
        <vt:i4>0</vt:i4>
      </vt:variant>
      <vt:variant>
        <vt:i4>5</vt:i4>
      </vt:variant>
      <vt:variant>
        <vt:lpwstr>https://www.imda.gov.sg/-/media/Imda/Files/Industry-Development/Infrastructure/Technology/Technology-Roadmap/WG1-Executive-Summary-for-Future-Communications-and-IoT.pdf</vt:lpwstr>
      </vt:variant>
      <vt:variant>
        <vt:lpwstr/>
      </vt:variant>
      <vt:variant>
        <vt:i4>1310808</vt:i4>
      </vt:variant>
      <vt:variant>
        <vt:i4>210</vt:i4>
      </vt:variant>
      <vt:variant>
        <vt:i4>0</vt:i4>
      </vt:variant>
      <vt:variant>
        <vt:i4>5</vt:i4>
      </vt:variant>
      <vt:variant>
        <vt:lpwstr>https://www.pwc.com.au/consulting/assets/publications/acs-pwc-iot-report-web.pdf</vt:lpwstr>
      </vt:variant>
      <vt:variant>
        <vt:lpwstr/>
      </vt:variant>
      <vt:variant>
        <vt:i4>4980809</vt:i4>
      </vt:variant>
      <vt:variant>
        <vt:i4>207</vt:i4>
      </vt:variant>
      <vt:variant>
        <vt:i4>0</vt:i4>
      </vt:variant>
      <vt:variant>
        <vt:i4>5</vt:i4>
      </vt:variant>
      <vt:variant>
        <vt:lpwstr>https://www.techsciresearch.com/report/australia-internet-of-things-iot-market/1393.html</vt:lpwstr>
      </vt:variant>
      <vt:variant>
        <vt:lpwstr/>
      </vt:variant>
      <vt:variant>
        <vt:i4>7077984</vt:i4>
      </vt:variant>
      <vt:variant>
        <vt:i4>204</vt:i4>
      </vt:variant>
      <vt:variant>
        <vt:i4>0</vt:i4>
      </vt:variant>
      <vt:variant>
        <vt:i4>5</vt:i4>
      </vt:variant>
      <vt:variant>
        <vt:lpwstr>https://info.digitalrealty.com/XmE0NzZ0N000Jd0qm001Yj0</vt:lpwstr>
      </vt:variant>
      <vt:variant>
        <vt:lpwstr/>
      </vt:variant>
      <vt:variant>
        <vt:i4>3407926</vt:i4>
      </vt:variant>
      <vt:variant>
        <vt:i4>201</vt:i4>
      </vt:variant>
      <vt:variant>
        <vt:i4>0</vt:i4>
      </vt:variant>
      <vt:variant>
        <vt:i4>5</vt:i4>
      </vt:variant>
      <vt:variant>
        <vt:lpwstr>https://www.mckinsey.com/business-functions/mckinsey-digital/our-insights/digital-identification-a-key-to-inclusive-growth</vt:lpwstr>
      </vt:variant>
      <vt:variant>
        <vt:lpwstr/>
      </vt:variant>
      <vt:variant>
        <vt:i4>4849755</vt:i4>
      </vt:variant>
      <vt:variant>
        <vt:i4>198</vt:i4>
      </vt:variant>
      <vt:variant>
        <vt:i4>0</vt:i4>
      </vt:variant>
      <vt:variant>
        <vt:i4>5</vt:i4>
      </vt:variant>
      <vt:variant>
        <vt:lpwstr>https://news.microsoft.com/en-au/features/direct-costs-associated-with-cybersecurity-incidents-costs-australian-businesses-29-billion-per-annum/</vt:lpwstr>
      </vt:variant>
      <vt:variant>
        <vt:lpwstr/>
      </vt:variant>
      <vt:variant>
        <vt:i4>4128811</vt:i4>
      </vt:variant>
      <vt:variant>
        <vt:i4>195</vt:i4>
      </vt:variant>
      <vt:variant>
        <vt:i4>0</vt:i4>
      </vt:variant>
      <vt:variant>
        <vt:i4>5</vt:i4>
      </vt:variant>
      <vt:variant>
        <vt:lpwstr>https://www.austrade.gov.au/Australian/Export/Export-markets/Countries/Singapore/Doing-business</vt:lpwstr>
      </vt:variant>
      <vt:variant>
        <vt:lpwstr/>
      </vt:variant>
      <vt:variant>
        <vt:i4>4194385</vt:i4>
      </vt:variant>
      <vt:variant>
        <vt:i4>192</vt:i4>
      </vt:variant>
      <vt:variant>
        <vt:i4>0</vt:i4>
      </vt:variant>
      <vt:variant>
        <vt:i4>5</vt:i4>
      </vt:variant>
      <vt:variant>
        <vt:lpwstr>https://www.ofx.com/en-sg/forex-news/historical-exchange-rates/yearly-average-rates/</vt:lpwstr>
      </vt:variant>
      <vt:variant>
        <vt:lpwstr/>
      </vt:variant>
      <vt:variant>
        <vt:i4>2031696</vt:i4>
      </vt:variant>
      <vt:variant>
        <vt:i4>189</vt:i4>
      </vt:variant>
      <vt:variant>
        <vt:i4>0</vt:i4>
      </vt:variant>
      <vt:variant>
        <vt:i4>5</vt:i4>
      </vt:variant>
      <vt:variant>
        <vt:lpwstr>https://www.macrotrends.net/2551/australian-us-dollar-exchange-rate-historical-chart</vt:lpwstr>
      </vt:variant>
      <vt:variant>
        <vt:lpwstr/>
      </vt:variant>
      <vt:variant>
        <vt:i4>5439560</vt:i4>
      </vt:variant>
      <vt:variant>
        <vt:i4>186</vt:i4>
      </vt:variant>
      <vt:variant>
        <vt:i4>0</vt:i4>
      </vt:variant>
      <vt:variant>
        <vt:i4>5</vt:i4>
      </vt:variant>
      <vt:variant>
        <vt:lpwstr>http://www3.weforum.org/docs/WEF_36073_Paperless_Trading_How_Does_It_Impact_the_Trade_System.pdf</vt:lpwstr>
      </vt:variant>
      <vt:variant>
        <vt:lpwstr/>
      </vt:variant>
      <vt:variant>
        <vt:i4>6160413</vt:i4>
      </vt:variant>
      <vt:variant>
        <vt:i4>183</vt:i4>
      </vt:variant>
      <vt:variant>
        <vt:i4>0</vt:i4>
      </vt:variant>
      <vt:variant>
        <vt:i4>5</vt:i4>
      </vt:variant>
      <vt:variant>
        <vt:lpwstr>https://www.mckinsey.com/business-functions/digital-mckinsey/our-insights/disruptive-technologies</vt:lpwstr>
      </vt:variant>
      <vt:variant>
        <vt:lpwstr/>
      </vt:variant>
      <vt:variant>
        <vt:i4>3014754</vt:i4>
      </vt:variant>
      <vt:variant>
        <vt:i4>180</vt:i4>
      </vt:variant>
      <vt:variant>
        <vt:i4>0</vt:i4>
      </vt:variant>
      <vt:variant>
        <vt:i4>5</vt:i4>
      </vt:variant>
      <vt:variant>
        <vt:lpwstr>http://www.imda.gov.sg/bsb</vt:lpwstr>
      </vt:variant>
      <vt:variant>
        <vt:lpwstr/>
      </vt:variant>
      <vt:variant>
        <vt:i4>2162737</vt:i4>
      </vt:variant>
      <vt:variant>
        <vt:i4>177</vt:i4>
      </vt:variant>
      <vt:variant>
        <vt:i4>0</vt:i4>
      </vt:variant>
      <vt:variant>
        <vt:i4>5</vt:i4>
      </vt:variant>
      <vt:variant>
        <vt:lpwstr>https://www.ntp.gov.sg/home/?TYPE=login</vt:lpwstr>
      </vt:variant>
      <vt:variant>
        <vt:lpwstr/>
      </vt:variant>
      <vt:variant>
        <vt:i4>983111</vt:i4>
      </vt:variant>
      <vt:variant>
        <vt:i4>174</vt:i4>
      </vt:variant>
      <vt:variant>
        <vt:i4>0</vt:i4>
      </vt:variant>
      <vt:variant>
        <vt:i4>5</vt:i4>
      </vt:variant>
      <vt:variant>
        <vt:lpwstr>http://dx.doi.org/10.1787/524c8c83-en</vt:lpwstr>
      </vt:variant>
      <vt:variant>
        <vt:lpwstr/>
      </vt:variant>
      <vt:variant>
        <vt:i4>5242971</vt:i4>
      </vt:variant>
      <vt:variant>
        <vt:i4>171</vt:i4>
      </vt:variant>
      <vt:variant>
        <vt:i4>0</vt:i4>
      </vt:variant>
      <vt:variant>
        <vt:i4>5</vt:i4>
      </vt:variant>
      <vt:variant>
        <vt:lpwstr>http://www.tfig.unece.org/contents/buy-ship-pay-model.htm</vt:lpwstr>
      </vt:variant>
      <vt:variant>
        <vt:lpwstr/>
      </vt:variant>
      <vt:variant>
        <vt:i4>983111</vt:i4>
      </vt:variant>
      <vt:variant>
        <vt:i4>168</vt:i4>
      </vt:variant>
      <vt:variant>
        <vt:i4>0</vt:i4>
      </vt:variant>
      <vt:variant>
        <vt:i4>5</vt:i4>
      </vt:variant>
      <vt:variant>
        <vt:lpwstr>http://dx.doi.org/10.1787/524c8c83-en</vt:lpwstr>
      </vt:variant>
      <vt:variant>
        <vt:lpwstr/>
      </vt:variant>
      <vt:variant>
        <vt:i4>1900636</vt:i4>
      </vt:variant>
      <vt:variant>
        <vt:i4>165</vt:i4>
      </vt:variant>
      <vt:variant>
        <vt:i4>0</vt:i4>
      </vt:variant>
      <vt:variant>
        <vt:i4>5</vt:i4>
      </vt:variant>
      <vt:variant>
        <vt:lpwstr>https://www.pc.gov.au/research/completed/growing-digital-economy</vt:lpwstr>
      </vt:variant>
      <vt:variant>
        <vt:lpwstr/>
      </vt:variant>
      <vt:variant>
        <vt:i4>3604538</vt:i4>
      </vt:variant>
      <vt:variant>
        <vt:i4>162</vt:i4>
      </vt:variant>
      <vt:variant>
        <vt:i4>0</vt:i4>
      </vt:variant>
      <vt:variant>
        <vt:i4>5</vt:i4>
      </vt:variant>
      <vt:variant>
        <vt:lpwstr>https://www.usitc.gov/publications/332/pub4716.pdf</vt:lpwstr>
      </vt:variant>
      <vt:variant>
        <vt:lpwstr/>
      </vt:variant>
      <vt:variant>
        <vt:i4>7340078</vt:i4>
      </vt:variant>
      <vt:variant>
        <vt:i4>159</vt:i4>
      </vt:variant>
      <vt:variant>
        <vt:i4>0</vt:i4>
      </vt:variant>
      <vt:variant>
        <vt:i4>5</vt:i4>
      </vt:variant>
      <vt:variant>
        <vt:lpwstr>https://www.unescap.org/sites/default/files/aptir-2016-ch7.pdf</vt:lpwstr>
      </vt:variant>
      <vt:variant>
        <vt:lpwstr/>
      </vt:variant>
      <vt:variant>
        <vt:i4>786456</vt:i4>
      </vt:variant>
      <vt:variant>
        <vt:i4>156</vt:i4>
      </vt:variant>
      <vt:variant>
        <vt:i4>0</vt:i4>
      </vt:variant>
      <vt:variant>
        <vt:i4>5</vt:i4>
      </vt:variant>
      <vt:variant>
        <vt:lpwstr>https://www.oecd.org/trade/topics/digital-trade/</vt:lpwstr>
      </vt:variant>
      <vt:variant>
        <vt:lpwstr/>
      </vt:variant>
      <vt:variant>
        <vt:i4>983111</vt:i4>
      </vt:variant>
      <vt:variant>
        <vt:i4>153</vt:i4>
      </vt:variant>
      <vt:variant>
        <vt:i4>0</vt:i4>
      </vt:variant>
      <vt:variant>
        <vt:i4>5</vt:i4>
      </vt:variant>
      <vt:variant>
        <vt:lpwstr>http://dx.doi.org/10.1787/524c8c83-en</vt:lpwstr>
      </vt:variant>
      <vt:variant>
        <vt:lpwstr/>
      </vt:variant>
      <vt:variant>
        <vt:i4>4128811</vt:i4>
      </vt:variant>
      <vt:variant>
        <vt:i4>150</vt:i4>
      </vt:variant>
      <vt:variant>
        <vt:i4>0</vt:i4>
      </vt:variant>
      <vt:variant>
        <vt:i4>5</vt:i4>
      </vt:variant>
      <vt:variant>
        <vt:lpwstr>https://www.austrade.gov.au/Australian/Export/Export-markets/Countries/Singapore/Doing-business</vt:lpwstr>
      </vt:variant>
      <vt:variant>
        <vt:lpwstr/>
      </vt:variant>
      <vt:variant>
        <vt:i4>3080289</vt:i4>
      </vt:variant>
      <vt:variant>
        <vt:i4>147</vt:i4>
      </vt:variant>
      <vt:variant>
        <vt:i4>0</vt:i4>
      </vt:variant>
      <vt:variant>
        <vt:i4>5</vt:i4>
      </vt:variant>
      <vt:variant>
        <vt:lpwstr>https://www2.deloitte.com/au/en/pages/economics/articles/australias-digital-pulse.html</vt:lpwstr>
      </vt:variant>
      <vt:variant>
        <vt:lpwstr/>
      </vt:variant>
      <vt:variant>
        <vt:i4>5046332</vt:i4>
      </vt:variant>
      <vt:variant>
        <vt:i4>144</vt:i4>
      </vt:variant>
      <vt:variant>
        <vt:i4>0</vt:i4>
      </vt:variant>
      <vt:variant>
        <vt:i4>5</vt:i4>
      </vt:variant>
      <vt:variant>
        <vt:lpwstr>https://www.alphabeta.com/wp-content/uploads/2018/10/digital-trade-fa_oct-2018.pdf</vt:lpwstr>
      </vt:variant>
      <vt:variant>
        <vt:lpwstr/>
      </vt:variant>
      <vt:variant>
        <vt:i4>3997807</vt:i4>
      </vt:variant>
      <vt:variant>
        <vt:i4>141</vt:i4>
      </vt:variant>
      <vt:variant>
        <vt:i4>0</vt:i4>
      </vt:variant>
      <vt:variant>
        <vt:i4>5</vt:i4>
      </vt:variant>
      <vt:variant>
        <vt:lpwstr>https://news.microsoft.com/en-sg/2018/02/21/digital-transformation-contribute-us10-billion-singapore-gdp-2021/</vt:lpwstr>
      </vt:variant>
      <vt:variant>
        <vt:lpwstr/>
      </vt:variant>
      <vt:variant>
        <vt:i4>1769485</vt:i4>
      </vt:variant>
      <vt:variant>
        <vt:i4>138</vt:i4>
      </vt:variant>
      <vt:variant>
        <vt:i4>0</vt:i4>
      </vt:variant>
      <vt:variant>
        <vt:i4>5</vt:i4>
      </vt:variant>
      <vt:variant>
        <vt:lpwstr>https://www.mti.gov.sg/Transforming-Industries/For-Industries</vt:lpwstr>
      </vt:variant>
      <vt:variant>
        <vt:lpwstr/>
      </vt:variant>
      <vt:variant>
        <vt:i4>327760</vt:i4>
      </vt:variant>
      <vt:variant>
        <vt:i4>135</vt:i4>
      </vt:variant>
      <vt:variant>
        <vt:i4>0</vt:i4>
      </vt:variant>
      <vt:variant>
        <vt:i4>5</vt:i4>
      </vt:variant>
      <vt:variant>
        <vt:lpwstr>https://www.bain.com/insights/e-conomy-sea-2019/</vt:lpwstr>
      </vt:variant>
      <vt:variant>
        <vt:lpwstr/>
      </vt:variant>
      <vt:variant>
        <vt:i4>7995513</vt:i4>
      </vt:variant>
      <vt:variant>
        <vt:i4>132</vt:i4>
      </vt:variant>
      <vt:variant>
        <vt:i4>0</vt:i4>
      </vt:variant>
      <vt:variant>
        <vt:i4>5</vt:i4>
      </vt:variant>
      <vt:variant>
        <vt:lpwstr>https://www.abs.gov.au/websitedbs/D3310114.nsf/home/ABS+Chief+Economist+-+Full+Paper+of+Measuring+Digital+Activities+in+the+Australian+Economy</vt:lpwstr>
      </vt:variant>
      <vt:variant>
        <vt:lpwstr/>
      </vt:variant>
      <vt:variant>
        <vt:i4>6422574</vt:i4>
      </vt:variant>
      <vt:variant>
        <vt:i4>129</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2162809</vt:i4>
      </vt:variant>
      <vt:variant>
        <vt:i4>126</vt:i4>
      </vt:variant>
      <vt:variant>
        <vt:i4>0</vt:i4>
      </vt:variant>
      <vt:variant>
        <vt:i4>5</vt:i4>
      </vt:variant>
      <vt:variant>
        <vt:lpwstr>https://www.singstat.gov.sg/modules/infographics/singapore-international-trade</vt:lpwstr>
      </vt:variant>
      <vt:variant>
        <vt:lpwstr/>
      </vt:variant>
      <vt:variant>
        <vt:i4>6422574</vt:i4>
      </vt:variant>
      <vt:variant>
        <vt:i4>123</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4063338</vt:i4>
      </vt:variant>
      <vt:variant>
        <vt:i4>120</vt:i4>
      </vt:variant>
      <vt:variant>
        <vt:i4>0</vt:i4>
      </vt:variant>
      <vt:variant>
        <vt:i4>5</vt:i4>
      </vt:variant>
      <vt:variant>
        <vt:lpwstr>https://www.opengovasia.com/singapore-develops-new-standards-to-support-resilience-and-sustainability/</vt:lpwstr>
      </vt:variant>
      <vt:variant>
        <vt:lpwstr/>
      </vt:variant>
      <vt:variant>
        <vt:i4>6619198</vt:i4>
      </vt:variant>
      <vt:variant>
        <vt:i4>117</vt:i4>
      </vt:variant>
      <vt:variant>
        <vt:i4>0</vt:i4>
      </vt:variant>
      <vt:variant>
        <vt:i4>5</vt:i4>
      </vt:variant>
      <vt:variant>
        <vt:lpwstr>https://www.iso.org/standard/74353.html</vt:lpwstr>
      </vt:variant>
      <vt:variant>
        <vt:lpwstr/>
      </vt:variant>
      <vt:variant>
        <vt:i4>6815802</vt:i4>
      </vt:variant>
      <vt:variant>
        <vt:i4>114</vt:i4>
      </vt:variant>
      <vt:variant>
        <vt:i4>0</vt:i4>
      </vt:variant>
      <vt:variant>
        <vt:i4>5</vt:i4>
      </vt:variant>
      <vt:variant>
        <vt:lpwstr>https://www.iso.org/standard/56639.html</vt:lpwstr>
      </vt:variant>
      <vt:variant>
        <vt:lpwstr/>
      </vt:variant>
      <vt:variant>
        <vt:i4>6815802</vt:i4>
      </vt:variant>
      <vt:variant>
        <vt:i4>111</vt:i4>
      </vt:variant>
      <vt:variant>
        <vt:i4>0</vt:i4>
      </vt:variant>
      <vt:variant>
        <vt:i4>5</vt:i4>
      </vt:variant>
      <vt:variant>
        <vt:lpwstr>https://www.iso.org/standard/56639.html</vt:lpwstr>
      </vt:variant>
      <vt:variant>
        <vt:lpwstr/>
      </vt:variant>
      <vt:variant>
        <vt:i4>5898241</vt:i4>
      </vt:variant>
      <vt:variant>
        <vt:i4>108</vt:i4>
      </vt:variant>
      <vt:variant>
        <vt:i4>0</vt:i4>
      </vt:variant>
      <vt:variant>
        <vt:i4>5</vt:i4>
      </vt:variant>
      <vt:variant>
        <vt:lpwstr>https://dataavailability.pmc.gov.au/sites/default/files/govt-response-pc-dau-inquiry.pdf</vt:lpwstr>
      </vt:variant>
      <vt:variant>
        <vt:lpwstr/>
      </vt:variant>
      <vt:variant>
        <vt:i4>6619190</vt:i4>
      </vt:variant>
      <vt:variant>
        <vt:i4>105</vt:i4>
      </vt:variant>
      <vt:variant>
        <vt:i4>0</vt:i4>
      </vt:variant>
      <vt:variant>
        <vt:i4>5</vt:i4>
      </vt:variant>
      <vt:variant>
        <vt:lpwstr>https://www.apec.org/About-Us/About-APEC/Fact-Sheets/What-is-the-Cross-Border-Privacy-Rules-System</vt:lpwstr>
      </vt:variant>
      <vt:variant>
        <vt:lpwstr/>
      </vt:variant>
      <vt:variant>
        <vt:i4>6750269</vt:i4>
      </vt:variant>
      <vt:variant>
        <vt:i4>102</vt:i4>
      </vt:variant>
      <vt:variant>
        <vt:i4>0</vt:i4>
      </vt:variant>
      <vt:variant>
        <vt:i4>5</vt:i4>
      </vt:variant>
      <vt:variant>
        <vt:lpwstr>https://www.iso.org/standard/73614.html</vt:lpwstr>
      </vt:variant>
      <vt:variant>
        <vt:lpwstr/>
      </vt:variant>
      <vt:variant>
        <vt:i4>2228272</vt:i4>
      </vt:variant>
      <vt:variant>
        <vt:i4>99</vt:i4>
      </vt:variant>
      <vt:variant>
        <vt:i4>0</vt:i4>
      </vt:variant>
      <vt:variant>
        <vt:i4>5</vt:i4>
      </vt:variant>
      <vt:variant>
        <vt:lpwstr>https://www.mckinsey.com/~/media/McKinsey/Business Functions/McKinsey Digital/Our Insights/Digital globalization The new era of global flows/MGI-Digital-globalization-Full-report.pdf</vt:lpwstr>
      </vt:variant>
      <vt:variant>
        <vt:lpwstr/>
      </vt:variant>
      <vt:variant>
        <vt:i4>6488121</vt:i4>
      </vt:variant>
      <vt:variant>
        <vt:i4>96</vt:i4>
      </vt:variant>
      <vt:variant>
        <vt:i4>0</vt:i4>
      </vt:variant>
      <vt:variant>
        <vt:i4>5</vt:i4>
      </vt:variant>
      <vt:variant>
        <vt:lpwstr>https://www.iso.org/standard/71670.html</vt:lpwstr>
      </vt:variant>
      <vt:variant>
        <vt:lpwstr/>
      </vt:variant>
      <vt:variant>
        <vt:i4>6881340</vt:i4>
      </vt:variant>
      <vt:variant>
        <vt:i4>93</vt:i4>
      </vt:variant>
      <vt:variant>
        <vt:i4>0</vt:i4>
      </vt:variant>
      <vt:variant>
        <vt:i4>5</vt:i4>
      </vt:variant>
      <vt:variant>
        <vt:lpwstr>https://www.iso.org/standard/76559.html</vt:lpwstr>
      </vt:variant>
      <vt:variant>
        <vt:lpwstr/>
      </vt:variant>
      <vt:variant>
        <vt:i4>1245192</vt:i4>
      </vt:variant>
      <vt:variant>
        <vt:i4>90</vt:i4>
      </vt:variant>
      <vt:variant>
        <vt:i4>0</vt:i4>
      </vt:variant>
      <vt:variant>
        <vt:i4>5</vt:i4>
      </vt:variant>
      <vt:variant>
        <vt:lpwstr>https://www.channelasia.tech/article/670400/security-attacks-cost-singaporean-businesses-1-7m-per-breach/</vt:lpwstr>
      </vt:variant>
      <vt:variant>
        <vt:lpwstr/>
      </vt:variant>
      <vt:variant>
        <vt:i4>4456463</vt:i4>
      </vt:variant>
      <vt:variant>
        <vt:i4>87</vt:i4>
      </vt:variant>
      <vt:variant>
        <vt:i4>0</vt:i4>
      </vt:variant>
      <vt:variant>
        <vt:i4>5</vt:i4>
      </vt:variant>
      <vt:variant>
        <vt:lpwstr>https://australiancybersecuritymagazine.com.au/businesses-in-the-dark-mcafee-survey-reveals-disconnect-in-cybersecurity-culture-and-cyber-resilience/</vt:lpwstr>
      </vt:variant>
      <vt:variant>
        <vt:lpwstr/>
      </vt:variant>
      <vt:variant>
        <vt:i4>4194321</vt:i4>
      </vt:variant>
      <vt:variant>
        <vt:i4>84</vt:i4>
      </vt:variant>
      <vt:variant>
        <vt:i4>0</vt:i4>
      </vt:variant>
      <vt:variant>
        <vt:i4>5</vt:i4>
      </vt:variant>
      <vt:variant>
        <vt:lpwstr>https://www.mcafee.com/enterprise/en-us/solutions/lp/mcafee-cyber-resilience-report.html</vt:lpwstr>
      </vt:variant>
      <vt:variant>
        <vt:lpwstr/>
      </vt:variant>
      <vt:variant>
        <vt:i4>3080289</vt:i4>
      </vt:variant>
      <vt:variant>
        <vt:i4>81</vt:i4>
      </vt:variant>
      <vt:variant>
        <vt:i4>0</vt:i4>
      </vt:variant>
      <vt:variant>
        <vt:i4>5</vt:i4>
      </vt:variant>
      <vt:variant>
        <vt:lpwstr>https://www2.deloitte.com/au/en/pages/economics/articles/australias-digital-pulse.html</vt:lpwstr>
      </vt:variant>
      <vt:variant>
        <vt:lpwstr/>
      </vt:variant>
      <vt:variant>
        <vt:i4>4980772</vt:i4>
      </vt:variant>
      <vt:variant>
        <vt:i4>78</vt:i4>
      </vt:variant>
      <vt:variant>
        <vt:i4>0</vt:i4>
      </vt:variant>
      <vt:variant>
        <vt:i4>5</vt:i4>
      </vt:variant>
      <vt:variant>
        <vt:lpwstr>https://standards.ieee.org/project/2418_1.html</vt:lpwstr>
      </vt:variant>
      <vt:variant>
        <vt:lpwstr/>
      </vt:variant>
      <vt:variant>
        <vt:i4>852039</vt:i4>
      </vt:variant>
      <vt:variant>
        <vt:i4>75</vt:i4>
      </vt:variant>
      <vt:variant>
        <vt:i4>0</vt:i4>
      </vt:variant>
      <vt:variant>
        <vt:i4>5</vt:i4>
      </vt:variant>
      <vt:variant>
        <vt:lpwstr>https://webstore.iec.ch/publication/6028</vt:lpwstr>
      </vt:variant>
      <vt:variant>
        <vt:lpwstr/>
      </vt:variant>
      <vt:variant>
        <vt:i4>7077984</vt:i4>
      </vt:variant>
      <vt:variant>
        <vt:i4>72</vt:i4>
      </vt:variant>
      <vt:variant>
        <vt:i4>0</vt:i4>
      </vt:variant>
      <vt:variant>
        <vt:i4>5</vt:i4>
      </vt:variant>
      <vt:variant>
        <vt:lpwstr>https://info.digitalrealty.com/XmE0NzZ0N000Jd0qm001Yj0</vt:lpwstr>
      </vt:variant>
      <vt:variant>
        <vt:lpwstr/>
      </vt:variant>
      <vt:variant>
        <vt:i4>4980809</vt:i4>
      </vt:variant>
      <vt:variant>
        <vt:i4>69</vt:i4>
      </vt:variant>
      <vt:variant>
        <vt:i4>0</vt:i4>
      </vt:variant>
      <vt:variant>
        <vt:i4>5</vt:i4>
      </vt:variant>
      <vt:variant>
        <vt:lpwstr>https://www.techsciresearch.com/report/australia-internet-of-things-iot-market/1393.html</vt:lpwstr>
      </vt:variant>
      <vt:variant>
        <vt:lpwstr/>
      </vt:variant>
      <vt:variant>
        <vt:i4>8192105</vt:i4>
      </vt:variant>
      <vt:variant>
        <vt:i4>66</vt:i4>
      </vt:variant>
      <vt:variant>
        <vt:i4>0</vt:i4>
      </vt:variant>
      <vt:variant>
        <vt:i4>5</vt:i4>
      </vt:variant>
      <vt:variant>
        <vt:lpwstr>https://infostore.saiglobal.com/en-au/Standards/EN-16931-1-2017-A1-2019-342638_SAIG_CEN_CEN_2785568/</vt:lpwstr>
      </vt:variant>
      <vt:variant>
        <vt:lpwstr/>
      </vt:variant>
      <vt:variant>
        <vt:i4>5898323</vt:i4>
      </vt:variant>
      <vt:variant>
        <vt:i4>63</vt:i4>
      </vt:variant>
      <vt:variant>
        <vt:i4>0</vt:i4>
      </vt:variant>
      <vt:variant>
        <vt:i4>5</vt:i4>
      </vt:variant>
      <vt:variant>
        <vt:lpwstr>https://treasury.gov.au/consultation/e-invoicing</vt:lpwstr>
      </vt:variant>
      <vt:variant>
        <vt:lpwstr/>
      </vt:variant>
      <vt:variant>
        <vt:i4>655441</vt:i4>
      </vt:variant>
      <vt:variant>
        <vt:i4>60</vt:i4>
      </vt:variant>
      <vt:variant>
        <vt:i4>0</vt:i4>
      </vt:variant>
      <vt:variant>
        <vt:i4>5</vt:i4>
      </vt:variant>
      <vt:variant>
        <vt:lpwstr>https://www.emvco.com/about/overview/</vt:lpwstr>
      </vt:variant>
      <vt:variant>
        <vt:lpwstr/>
      </vt:variant>
      <vt:variant>
        <vt:i4>196632</vt:i4>
      </vt:variant>
      <vt:variant>
        <vt:i4>57</vt:i4>
      </vt:variant>
      <vt:variant>
        <vt:i4>0</vt:i4>
      </vt:variant>
      <vt:variant>
        <vt:i4>5</vt:i4>
      </vt:variant>
      <vt:variant>
        <vt:lpwstr>https://www.iso20022.org/</vt:lpwstr>
      </vt:variant>
      <vt:variant>
        <vt:lpwstr/>
      </vt:variant>
      <vt:variant>
        <vt:i4>4194383</vt:i4>
      </vt:variant>
      <vt:variant>
        <vt:i4>54</vt:i4>
      </vt:variant>
      <vt:variant>
        <vt:i4>0</vt:i4>
      </vt:variant>
      <vt:variant>
        <vt:i4>5</vt:i4>
      </vt:variant>
      <vt:variant>
        <vt:lpwstr>https://www.bain.com/globalassets/noindex/2019/bain-report-fulfilling-its-promise.pdf</vt:lpwstr>
      </vt:variant>
      <vt:variant>
        <vt:lpwstr/>
      </vt:variant>
      <vt:variant>
        <vt:i4>1114129</vt:i4>
      </vt:variant>
      <vt:variant>
        <vt:i4>51</vt:i4>
      </vt:variant>
      <vt:variant>
        <vt:i4>0</vt:i4>
      </vt:variant>
      <vt:variant>
        <vt:i4>5</vt:i4>
      </vt:variant>
      <vt:variant>
        <vt:lpwstr>https://fidoalliance.org/</vt:lpwstr>
      </vt:variant>
      <vt:variant>
        <vt:lpwstr/>
      </vt:variant>
      <vt:variant>
        <vt:i4>7012409</vt:i4>
      </vt:variant>
      <vt:variant>
        <vt:i4>48</vt:i4>
      </vt:variant>
      <vt:variant>
        <vt:i4>0</vt:i4>
      </vt:variant>
      <vt:variant>
        <vt:i4>5</vt:i4>
      </vt:variant>
      <vt:variant>
        <vt:lpwstr>https://www.iso.org/standard/70866.html</vt:lpwstr>
      </vt:variant>
      <vt:variant>
        <vt:lpwstr/>
      </vt:variant>
      <vt:variant>
        <vt:i4>6422576</vt:i4>
      </vt:variant>
      <vt:variant>
        <vt:i4>45</vt:i4>
      </vt:variant>
      <vt:variant>
        <vt:i4>0</vt:i4>
      </vt:variant>
      <vt:variant>
        <vt:i4>5</vt:i4>
      </vt:variant>
      <vt:variant>
        <vt:lpwstr>https://www.iso.org/standard/77582.html</vt:lpwstr>
      </vt:variant>
      <vt:variant>
        <vt:lpwstr/>
      </vt:variant>
      <vt:variant>
        <vt:i4>3407926</vt:i4>
      </vt:variant>
      <vt:variant>
        <vt:i4>42</vt:i4>
      </vt:variant>
      <vt:variant>
        <vt:i4>0</vt:i4>
      </vt:variant>
      <vt:variant>
        <vt:i4>5</vt:i4>
      </vt:variant>
      <vt:variant>
        <vt:lpwstr>https://www.mckinsey.com/business-functions/mckinsey-digital/our-insights/digital-identification-a-key-to-inclusive-growth</vt:lpwstr>
      </vt:variant>
      <vt:variant>
        <vt:lpwstr/>
      </vt:variant>
      <vt:variant>
        <vt:i4>3407926</vt:i4>
      </vt:variant>
      <vt:variant>
        <vt:i4>39</vt:i4>
      </vt:variant>
      <vt:variant>
        <vt:i4>0</vt:i4>
      </vt:variant>
      <vt:variant>
        <vt:i4>5</vt:i4>
      </vt:variant>
      <vt:variant>
        <vt:lpwstr>https://www.mckinsey.com/business-functions/mckinsey-digital/our-insights/digital-identification-a-key-to-inclusive-growth</vt:lpwstr>
      </vt:variant>
      <vt:variant>
        <vt:lpwstr/>
      </vt:variant>
      <vt:variant>
        <vt:i4>7077946</vt:i4>
      </vt:variant>
      <vt:variant>
        <vt:i4>36</vt:i4>
      </vt:variant>
      <vt:variant>
        <vt:i4>0</vt:i4>
      </vt:variant>
      <vt:variant>
        <vt:i4>5</vt:i4>
      </vt:variant>
      <vt:variant>
        <vt:lpwstr>https://www.iso.org/standard/50952.html</vt:lpwstr>
      </vt:variant>
      <vt:variant>
        <vt:lpwstr/>
      </vt:variant>
      <vt:variant>
        <vt:i4>3080289</vt:i4>
      </vt:variant>
      <vt:variant>
        <vt:i4>33</vt:i4>
      </vt:variant>
      <vt:variant>
        <vt:i4>0</vt:i4>
      </vt:variant>
      <vt:variant>
        <vt:i4>5</vt:i4>
      </vt:variant>
      <vt:variant>
        <vt:lpwstr>https://www2.deloitte.com/au/en/pages/economics/articles/australias-digital-pulse.html</vt:lpwstr>
      </vt:variant>
      <vt:variant>
        <vt:lpwstr/>
      </vt:variant>
      <vt:variant>
        <vt:i4>4980772</vt:i4>
      </vt:variant>
      <vt:variant>
        <vt:i4>30</vt:i4>
      </vt:variant>
      <vt:variant>
        <vt:i4>0</vt:i4>
      </vt:variant>
      <vt:variant>
        <vt:i4>5</vt:i4>
      </vt:variant>
      <vt:variant>
        <vt:lpwstr>https://standards.ieee.org/project/2418_1.html</vt:lpwstr>
      </vt:variant>
      <vt:variant>
        <vt:lpwstr/>
      </vt:variant>
      <vt:variant>
        <vt:i4>6750264</vt:i4>
      </vt:variant>
      <vt:variant>
        <vt:i4>27</vt:i4>
      </vt:variant>
      <vt:variant>
        <vt:i4>0</vt:i4>
      </vt:variant>
      <vt:variant>
        <vt:i4>5</vt:i4>
      </vt:variant>
      <vt:variant>
        <vt:lpwstr>https://www.iso.org/standard/75624.html</vt:lpwstr>
      </vt:variant>
      <vt:variant>
        <vt:lpwstr/>
      </vt:variant>
      <vt:variant>
        <vt:i4>7077984</vt:i4>
      </vt:variant>
      <vt:variant>
        <vt:i4>24</vt:i4>
      </vt:variant>
      <vt:variant>
        <vt:i4>0</vt:i4>
      </vt:variant>
      <vt:variant>
        <vt:i4>5</vt:i4>
      </vt:variant>
      <vt:variant>
        <vt:lpwstr>https://info.digitalrealty.com/XmE0NzZ0N000Jd0qm001Yj0</vt:lpwstr>
      </vt:variant>
      <vt:variant>
        <vt:lpwstr/>
      </vt:variant>
      <vt:variant>
        <vt:i4>917590</vt:i4>
      </vt:variant>
      <vt:variant>
        <vt:i4>21</vt:i4>
      </vt:variant>
      <vt:variant>
        <vt:i4>0</vt:i4>
      </vt:variant>
      <vt:variant>
        <vt:i4>5</vt:i4>
      </vt:variant>
      <vt:variant>
        <vt:lpwstr>https://www.itu.int/rec/T-REC-Y.3172-201906-I/en</vt:lpwstr>
      </vt:variant>
      <vt:variant>
        <vt:lpwstr/>
      </vt:variant>
      <vt:variant>
        <vt:i4>3670126</vt:i4>
      </vt:variant>
      <vt:variant>
        <vt:i4>18</vt:i4>
      </vt:variant>
      <vt:variant>
        <vt:i4>0</vt:i4>
      </vt:variant>
      <vt:variant>
        <vt:i4>5</vt:i4>
      </vt:variant>
      <vt:variant>
        <vt:lpwstr>https://standards.ieee.org/industry-connections/ec/autonomous-systems.html</vt:lpwstr>
      </vt:variant>
      <vt:variant>
        <vt:lpwstr/>
      </vt:variant>
      <vt:variant>
        <vt:i4>7077984</vt:i4>
      </vt:variant>
      <vt:variant>
        <vt:i4>15</vt:i4>
      </vt:variant>
      <vt:variant>
        <vt:i4>0</vt:i4>
      </vt:variant>
      <vt:variant>
        <vt:i4>5</vt:i4>
      </vt:variant>
      <vt:variant>
        <vt:lpwstr>https://info.digitalrealty.com/XmE0NzZ0N000Jd0qm001Yj0</vt:lpwstr>
      </vt:variant>
      <vt:variant>
        <vt:lpwstr/>
      </vt:variant>
      <vt:variant>
        <vt:i4>327746</vt:i4>
      </vt:variant>
      <vt:variant>
        <vt:i4>12</vt:i4>
      </vt:variant>
      <vt:variant>
        <vt:i4>0</vt:i4>
      </vt:variant>
      <vt:variant>
        <vt:i4>5</vt:i4>
      </vt:variant>
      <vt:variant>
        <vt:lpwstr>https://www.austrade.gov.au/international/invest/investor-updates/2019/artificial-intelligence-expert-selects-sydney-for-asia-pacific-launch-pad</vt:lpwstr>
      </vt:variant>
      <vt:variant>
        <vt:lpwstr/>
      </vt:variant>
      <vt:variant>
        <vt:i4>6422574</vt:i4>
      </vt:variant>
      <vt:variant>
        <vt:i4>9</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3473509</vt:i4>
      </vt:variant>
      <vt:variant>
        <vt:i4>6</vt:i4>
      </vt:variant>
      <vt:variant>
        <vt:i4>0</vt:i4>
      </vt:variant>
      <vt:variant>
        <vt:i4>5</vt:i4>
      </vt:variant>
      <vt:variant>
        <vt:lpwstr>https://dfat.gov.au/trade/agreements/in-force/safta/Pages/singapore-australia-fta.aspx</vt:lpwstr>
      </vt:variant>
      <vt:variant>
        <vt:lpwstr/>
      </vt:variant>
      <vt:variant>
        <vt:i4>2162809</vt:i4>
      </vt:variant>
      <vt:variant>
        <vt:i4>3</vt:i4>
      </vt:variant>
      <vt:variant>
        <vt:i4>0</vt:i4>
      </vt:variant>
      <vt:variant>
        <vt:i4>5</vt:i4>
      </vt:variant>
      <vt:variant>
        <vt:lpwstr>https://www.singstat.gov.sg/modules/infographics/singapore-international-trade</vt:lpwstr>
      </vt:variant>
      <vt:variant>
        <vt:lpwstr/>
      </vt:variant>
      <vt:variant>
        <vt:i4>6422574</vt:i4>
      </vt:variant>
      <vt:variant>
        <vt:i4>0</vt:i4>
      </vt:variant>
      <vt:variant>
        <vt:i4>0</vt:i4>
      </vt:variant>
      <vt:variant>
        <vt:i4>5</vt:i4>
      </vt:variant>
      <vt:variant>
        <vt:lpwstr>https://www.mti.gov.sg/-/media/MTI/Newsroom/Press-Releases/2020/03/Joint-press-release--Conclusion-of-Negotiations-for-the-SingaporeAustralia-Digital-Economy-Agreement.pdf</vt:lpwstr>
      </vt:variant>
      <vt:variant>
        <vt:lpwstr/>
      </vt:variant>
      <vt:variant>
        <vt:i4>5701705</vt:i4>
      </vt:variant>
      <vt:variant>
        <vt:i4>174</vt:i4>
      </vt:variant>
      <vt:variant>
        <vt:i4>0</vt:i4>
      </vt:variant>
      <vt:variant>
        <vt:i4>5</vt:i4>
      </vt:variant>
      <vt:variant>
        <vt:lpwstr>https://www.edb.gov.sg/en/news-and-events/insights/innovation/singapore-s-big-ambitions-for-big-data-in-2019.html</vt:lpwstr>
      </vt:variant>
      <vt:variant>
        <vt:lpwstr/>
      </vt:variant>
      <vt:variant>
        <vt:i4>3211302</vt:i4>
      </vt:variant>
      <vt:variant>
        <vt:i4>171</vt:i4>
      </vt:variant>
      <vt:variant>
        <vt:i4>0</vt:i4>
      </vt:variant>
      <vt:variant>
        <vt:i4>5</vt:i4>
      </vt:variant>
      <vt:variant>
        <vt:lpwstr>https://www.austrade.gov.au/ArticleDocuments/1358/Australian_Disruptive_Technologies-Industry-Capability-Report.pdf.aspx</vt:lpwstr>
      </vt:variant>
      <vt:variant>
        <vt:lpwstr/>
      </vt:variant>
      <vt:variant>
        <vt:i4>5701705</vt:i4>
      </vt:variant>
      <vt:variant>
        <vt:i4>168</vt:i4>
      </vt:variant>
      <vt:variant>
        <vt:i4>0</vt:i4>
      </vt:variant>
      <vt:variant>
        <vt:i4>5</vt:i4>
      </vt:variant>
      <vt:variant>
        <vt:lpwstr>https://www.edb.gov.sg/en/news-and-events/insights/innovation/singapore-s-big-ambitions-for-big-data-in-2019.html</vt:lpwstr>
      </vt:variant>
      <vt:variant>
        <vt:lpwstr/>
      </vt:variant>
      <vt:variant>
        <vt:i4>3211302</vt:i4>
      </vt:variant>
      <vt:variant>
        <vt:i4>165</vt:i4>
      </vt:variant>
      <vt:variant>
        <vt:i4>0</vt:i4>
      </vt:variant>
      <vt:variant>
        <vt:i4>5</vt:i4>
      </vt:variant>
      <vt:variant>
        <vt:lpwstr>https://www.austrade.gov.au/ArticleDocuments/1358/Australian_Disruptive_Technologies-Industry-Capability-Report.pdf.aspx</vt:lpwstr>
      </vt:variant>
      <vt:variant>
        <vt:lpwstr/>
      </vt:variant>
      <vt:variant>
        <vt:i4>327746</vt:i4>
      </vt:variant>
      <vt:variant>
        <vt:i4>162</vt:i4>
      </vt:variant>
      <vt:variant>
        <vt:i4>0</vt:i4>
      </vt:variant>
      <vt:variant>
        <vt:i4>5</vt:i4>
      </vt:variant>
      <vt:variant>
        <vt:lpwstr>https://www.austrade.gov.au/international/invest/investor-updates/2019/artificial-intelligence-expert-selects-sydney-for-asia-pacific-launch-pad</vt:lpwstr>
      </vt:variant>
      <vt:variant>
        <vt:lpwstr/>
      </vt:variant>
      <vt:variant>
        <vt:i4>327746</vt:i4>
      </vt:variant>
      <vt:variant>
        <vt:i4>159</vt:i4>
      </vt:variant>
      <vt:variant>
        <vt:i4>0</vt:i4>
      </vt:variant>
      <vt:variant>
        <vt:i4>5</vt:i4>
      </vt:variant>
      <vt:variant>
        <vt:lpwstr>https://www.austrade.gov.au/international/invest/investor-updates/2019/artificial-intelligence-expert-selects-sydney-for-asia-pacific-launch-pad</vt:lpwstr>
      </vt:variant>
      <vt:variant>
        <vt:lpwstr/>
      </vt:variant>
      <vt:variant>
        <vt:i4>4587586</vt:i4>
      </vt:variant>
      <vt:variant>
        <vt:i4>156</vt:i4>
      </vt:variant>
      <vt:variant>
        <vt:i4>0</vt:i4>
      </vt:variant>
      <vt:variant>
        <vt:i4>5</vt:i4>
      </vt:variant>
      <vt:variant>
        <vt:lpwstr>https://www.zdnet.com/article/ericsson-5g-will-improve-australian-telco-revenue-by-almost-50-percent/</vt:lpwstr>
      </vt:variant>
      <vt:variant>
        <vt:lpwstr/>
      </vt:variant>
      <vt:variant>
        <vt:i4>5963778</vt:i4>
      </vt:variant>
      <vt:variant>
        <vt:i4>153</vt:i4>
      </vt:variant>
      <vt:variant>
        <vt:i4>0</vt:i4>
      </vt:variant>
      <vt:variant>
        <vt:i4>5</vt:i4>
      </vt:variant>
      <vt:variant>
        <vt:lpwstr>https://amfg.ai/2019/11/20/am-around-the-world-how-mature-is-3d-printing-in-the-asia-pacific-region/</vt:lpwstr>
      </vt:variant>
      <vt:variant>
        <vt:lpwstr/>
      </vt:variant>
      <vt:variant>
        <vt:i4>5963778</vt:i4>
      </vt:variant>
      <vt:variant>
        <vt:i4>150</vt:i4>
      </vt:variant>
      <vt:variant>
        <vt:i4>0</vt:i4>
      </vt:variant>
      <vt:variant>
        <vt:i4>5</vt:i4>
      </vt:variant>
      <vt:variant>
        <vt:lpwstr>https://amfg.ai/2019/11/20/am-around-the-world-how-mature-is-3d-printing-in-the-asia-pacific-region/</vt:lpwstr>
      </vt:variant>
      <vt:variant>
        <vt:lpwstr/>
      </vt:variant>
      <vt:variant>
        <vt:i4>7077984</vt:i4>
      </vt:variant>
      <vt:variant>
        <vt:i4>147</vt:i4>
      </vt:variant>
      <vt:variant>
        <vt:i4>0</vt:i4>
      </vt:variant>
      <vt:variant>
        <vt:i4>5</vt:i4>
      </vt:variant>
      <vt:variant>
        <vt:lpwstr>https://info.digitalrealty.com/XmE0NzZ0N000Jd0qm001Yj0</vt:lpwstr>
      </vt:variant>
      <vt:variant>
        <vt:lpwstr/>
      </vt:variant>
      <vt:variant>
        <vt:i4>4980809</vt:i4>
      </vt:variant>
      <vt:variant>
        <vt:i4>144</vt:i4>
      </vt:variant>
      <vt:variant>
        <vt:i4>0</vt:i4>
      </vt:variant>
      <vt:variant>
        <vt:i4>5</vt:i4>
      </vt:variant>
      <vt:variant>
        <vt:lpwstr>https://www.techsciresearch.com/report/australia-internet-of-things-iot-market/1393.html</vt:lpwstr>
      </vt:variant>
      <vt:variant>
        <vt:lpwstr/>
      </vt:variant>
      <vt:variant>
        <vt:i4>3407926</vt:i4>
      </vt:variant>
      <vt:variant>
        <vt:i4>141</vt:i4>
      </vt:variant>
      <vt:variant>
        <vt:i4>0</vt:i4>
      </vt:variant>
      <vt:variant>
        <vt:i4>5</vt:i4>
      </vt:variant>
      <vt:variant>
        <vt:lpwstr>https://www.mckinsey.com/business-functions/mckinsey-digital/our-insights/digital-identification-a-key-to-inclusive-growth</vt:lpwstr>
      </vt:variant>
      <vt:variant>
        <vt:lpwstr/>
      </vt:variant>
      <vt:variant>
        <vt:i4>3407926</vt:i4>
      </vt:variant>
      <vt:variant>
        <vt:i4>138</vt:i4>
      </vt:variant>
      <vt:variant>
        <vt:i4>0</vt:i4>
      </vt:variant>
      <vt:variant>
        <vt:i4>5</vt:i4>
      </vt:variant>
      <vt:variant>
        <vt:lpwstr>https://www.mckinsey.com/business-functions/mckinsey-digital/our-insights/digital-identification-a-key-to-inclusive-growth</vt:lpwstr>
      </vt:variant>
      <vt:variant>
        <vt:lpwstr/>
      </vt:variant>
      <vt:variant>
        <vt:i4>2359340</vt:i4>
      </vt:variant>
      <vt:variant>
        <vt:i4>135</vt:i4>
      </vt:variant>
      <vt:variant>
        <vt:i4>0</vt:i4>
      </vt:variant>
      <vt:variant>
        <vt:i4>5</vt:i4>
      </vt:variant>
      <vt:variant>
        <vt:lpwstr>https://www.austcyber.com/tools-and-resources/sector-competitiveness-plan-2017</vt:lpwstr>
      </vt:variant>
      <vt:variant>
        <vt:lpwstr/>
      </vt:variant>
      <vt:variant>
        <vt:i4>3014763</vt:i4>
      </vt:variant>
      <vt:variant>
        <vt:i4>132</vt:i4>
      </vt:variant>
      <vt:variant>
        <vt:i4>0</vt:i4>
      </vt:variant>
      <vt:variant>
        <vt:i4>5</vt:i4>
      </vt:variant>
      <vt:variant>
        <vt:lpwstr>https://www.mci.gov.sg/~/media/mcicorp/images/budget workplan/cos 2018/factsheets/factsheet - innovation cybersecurity ecosystem at block 71.pdf?la=en</vt:lpwstr>
      </vt:variant>
      <vt:variant>
        <vt:lpwstr/>
      </vt:variant>
      <vt:variant>
        <vt:i4>2359340</vt:i4>
      </vt:variant>
      <vt:variant>
        <vt:i4>129</vt:i4>
      </vt:variant>
      <vt:variant>
        <vt:i4>0</vt:i4>
      </vt:variant>
      <vt:variant>
        <vt:i4>5</vt:i4>
      </vt:variant>
      <vt:variant>
        <vt:lpwstr>https://www.austcyber.com/tools-and-resources/sector-competitiveness-plan-2017</vt:lpwstr>
      </vt:variant>
      <vt:variant>
        <vt:lpwstr/>
      </vt:variant>
      <vt:variant>
        <vt:i4>2359350</vt:i4>
      </vt:variant>
      <vt:variant>
        <vt:i4>126</vt:i4>
      </vt:variant>
      <vt:variant>
        <vt:i4>0</vt:i4>
      </vt:variant>
      <vt:variant>
        <vt:i4>5</vt:i4>
      </vt:variant>
      <vt:variant>
        <vt:lpwstr>https://www.statista.com/outlook/611000/107/it-equipment/australia</vt:lpwstr>
      </vt:variant>
      <vt:variant>
        <vt:lpwstr/>
      </vt:variant>
      <vt:variant>
        <vt:i4>655427</vt:i4>
      </vt:variant>
      <vt:variant>
        <vt:i4>123</vt:i4>
      </vt:variant>
      <vt:variant>
        <vt:i4>0</vt:i4>
      </vt:variant>
      <vt:variant>
        <vt:i4>5</vt:i4>
      </vt:variant>
      <vt:variant>
        <vt:lpwstr>https://www.marketresearch.com/MarketLine-v3883/Hardware-Singapore-12763549/</vt:lpwstr>
      </vt:variant>
      <vt:variant>
        <vt:lpwstr/>
      </vt:variant>
      <vt:variant>
        <vt:i4>5373959</vt:i4>
      </vt:variant>
      <vt:variant>
        <vt:i4>120</vt:i4>
      </vt:variant>
      <vt:variant>
        <vt:i4>0</vt:i4>
      </vt:variant>
      <vt:variant>
        <vt:i4>5</vt:i4>
      </vt:variant>
      <vt:variant>
        <vt:lpwstr>https://www.mckinsey.com/~/media/McKinsey/Featured Insights/Employment and Growth/Connecting talent with opportunity in the digital age/MGI Online talent_A_Labor_Market_That_Works_Executive_ summary_June 2015.ashx</vt:lpwstr>
      </vt:variant>
      <vt:variant>
        <vt:lpwstr/>
      </vt:variant>
      <vt:variant>
        <vt:i4>1114203</vt:i4>
      </vt:variant>
      <vt:variant>
        <vt:i4>117</vt:i4>
      </vt:variant>
      <vt:variant>
        <vt:i4>0</vt:i4>
      </vt:variant>
      <vt:variant>
        <vt:i4>5</vt:i4>
      </vt:variant>
      <vt:variant>
        <vt:lpwstr>https://www.enterprisesg.gov.sg/industries/type/electronics/industry-profile</vt:lpwstr>
      </vt:variant>
      <vt:variant>
        <vt:lpwstr/>
      </vt:variant>
      <vt:variant>
        <vt:i4>524359</vt:i4>
      </vt:variant>
      <vt:variant>
        <vt:i4>114</vt:i4>
      </vt:variant>
      <vt:variant>
        <vt:i4>0</vt:i4>
      </vt:variant>
      <vt:variant>
        <vt:i4>5</vt:i4>
      </vt:variant>
      <vt:variant>
        <vt:lpwstr>https://www.graincentral.com/ag-tech/how-well-placed-is-australia-for-the-digital-revolution-in-agriculture/</vt:lpwstr>
      </vt:variant>
      <vt:variant>
        <vt:lpwstr/>
      </vt:variant>
      <vt:variant>
        <vt:i4>524359</vt:i4>
      </vt:variant>
      <vt:variant>
        <vt:i4>111</vt:i4>
      </vt:variant>
      <vt:variant>
        <vt:i4>0</vt:i4>
      </vt:variant>
      <vt:variant>
        <vt:i4>5</vt:i4>
      </vt:variant>
      <vt:variant>
        <vt:lpwstr>https://www.graincentral.com/ag-tech/how-well-placed-is-australia-for-the-digital-revolution-in-agriculture/</vt:lpwstr>
      </vt:variant>
      <vt:variant>
        <vt:lpwstr/>
      </vt:variant>
      <vt:variant>
        <vt:i4>655372</vt:i4>
      </vt:variant>
      <vt:variant>
        <vt:i4>108</vt:i4>
      </vt:variant>
      <vt:variant>
        <vt:i4>0</vt:i4>
      </vt:variant>
      <vt:variant>
        <vt:i4>5</vt:i4>
      </vt:variant>
      <vt:variant>
        <vt:lpwstr>https://www.enterprisesg.gov.sg/industries/type/energy-chemicals/industry-profile</vt:lpwstr>
      </vt:variant>
      <vt:variant>
        <vt:lpwstr/>
      </vt:variant>
      <vt:variant>
        <vt:i4>4063278</vt:i4>
      </vt:variant>
      <vt:variant>
        <vt:i4>105</vt:i4>
      </vt:variant>
      <vt:variant>
        <vt:i4>0</vt:i4>
      </vt:variant>
      <vt:variant>
        <vt:i4>5</vt:i4>
      </vt:variant>
      <vt:variant>
        <vt:lpwstr>https://www.mckinsey.com/featured-insights/asia-pacific/digital-australia-seizing-opportunity-from-the-fourth-industrial-revolution</vt:lpwstr>
      </vt:variant>
      <vt:variant>
        <vt:lpwstr/>
      </vt:variant>
      <vt:variant>
        <vt:i4>2228339</vt:i4>
      </vt:variant>
      <vt:variant>
        <vt:i4>102</vt:i4>
      </vt:variant>
      <vt:variant>
        <vt:i4>0</vt:i4>
      </vt:variant>
      <vt:variant>
        <vt:i4>5</vt:i4>
      </vt:variant>
      <vt:variant>
        <vt:lpwstr>https://www.businesswire.com/news/home/20190731005745/en/Australias-4Bn-Online-Education-Market-2018-Projected</vt:lpwstr>
      </vt:variant>
      <vt:variant>
        <vt:lpwstr/>
      </vt:variant>
      <vt:variant>
        <vt:i4>2818085</vt:i4>
      </vt:variant>
      <vt:variant>
        <vt:i4>99</vt:i4>
      </vt:variant>
      <vt:variant>
        <vt:i4>0</vt:i4>
      </vt:variant>
      <vt:variant>
        <vt:i4>5</vt:i4>
      </vt:variant>
      <vt:variant>
        <vt:lpwstr>https://www.singaporemedtech.com/articles/industry-articles/riding-the-medtech-wave</vt:lpwstr>
      </vt:variant>
      <vt:variant>
        <vt:lpwstr/>
      </vt:variant>
      <vt:variant>
        <vt:i4>2818085</vt:i4>
      </vt:variant>
      <vt:variant>
        <vt:i4>96</vt:i4>
      </vt:variant>
      <vt:variant>
        <vt:i4>0</vt:i4>
      </vt:variant>
      <vt:variant>
        <vt:i4>5</vt:i4>
      </vt:variant>
      <vt:variant>
        <vt:lpwstr>https://www.singaporemedtech.com/articles/industry-articles/riding-the-medtech-wave</vt:lpwstr>
      </vt:variant>
      <vt:variant>
        <vt:lpwstr/>
      </vt:variant>
      <vt:variant>
        <vt:i4>589913</vt:i4>
      </vt:variant>
      <vt:variant>
        <vt:i4>93</vt:i4>
      </vt:variant>
      <vt:variant>
        <vt:i4>0</vt:i4>
      </vt:variant>
      <vt:variant>
        <vt:i4>5</vt:i4>
      </vt:variant>
      <vt:variant>
        <vt:lpwstr>https://www.austrade.gov.au/ArticleDocuments/2814/Medical-Devices-and-Diagnostics-Industry-Capability-Report.pdf.aspx</vt:lpwstr>
      </vt:variant>
      <vt:variant>
        <vt:lpwstr/>
      </vt:variant>
      <vt:variant>
        <vt:i4>2228280</vt:i4>
      </vt:variant>
      <vt:variant>
        <vt:i4>90</vt:i4>
      </vt:variant>
      <vt:variant>
        <vt:i4>0</vt:i4>
      </vt:variant>
      <vt:variant>
        <vt:i4>5</vt:i4>
      </vt:variant>
      <vt:variant>
        <vt:lpwstr>https://www.mckinsey.com/industries/pharmaceuticals-and-medical-products/our-insights/the-rise-and-rise-of-medtech-in-asia</vt:lpwstr>
      </vt:variant>
      <vt:variant>
        <vt:lpwstr/>
      </vt:variant>
      <vt:variant>
        <vt:i4>6094930</vt:i4>
      </vt:variant>
      <vt:variant>
        <vt:i4>87</vt:i4>
      </vt:variant>
      <vt:variant>
        <vt:i4>0</vt:i4>
      </vt:variant>
      <vt:variant>
        <vt:i4>5</vt:i4>
      </vt:variant>
      <vt:variant>
        <vt:lpwstr>https://www.statista.com/outlook/261/124/eservices/singapore</vt:lpwstr>
      </vt:variant>
      <vt:variant>
        <vt:lpwstr/>
      </vt:variant>
      <vt:variant>
        <vt:i4>4522069</vt:i4>
      </vt:variant>
      <vt:variant>
        <vt:i4>84</vt:i4>
      </vt:variant>
      <vt:variant>
        <vt:i4>0</vt:i4>
      </vt:variant>
      <vt:variant>
        <vt:i4>5</vt:i4>
      </vt:variant>
      <vt:variant>
        <vt:lpwstr>https://www.statista.com/outlook/261/107/eservices/australia</vt:lpwstr>
      </vt:variant>
      <vt:variant>
        <vt:lpwstr/>
      </vt:variant>
      <vt:variant>
        <vt:i4>7471179</vt:i4>
      </vt:variant>
      <vt:variant>
        <vt:i4>81</vt:i4>
      </vt:variant>
      <vt:variant>
        <vt:i4>0</vt:i4>
      </vt:variant>
      <vt:variant>
        <vt:i4>5</vt:i4>
      </vt:variant>
      <vt:variant>
        <vt:lpwstr>https://www.bain.com/globalassets/noindex/2019/google_temasek_bain_e_conomy_sea_2019_report.pdf</vt:lpwstr>
      </vt:variant>
      <vt:variant>
        <vt:lpwstr/>
      </vt:variant>
      <vt:variant>
        <vt:i4>655436</vt:i4>
      </vt:variant>
      <vt:variant>
        <vt:i4>78</vt:i4>
      </vt:variant>
      <vt:variant>
        <vt:i4>0</vt:i4>
      </vt:variant>
      <vt:variant>
        <vt:i4>5</vt:i4>
      </vt:variant>
      <vt:variant>
        <vt:lpwstr>https://www.statista.com/statistics/500410/online-travel-sales-australia/</vt:lpwstr>
      </vt:variant>
      <vt:variant>
        <vt:lpwstr/>
      </vt:variant>
      <vt:variant>
        <vt:i4>7471179</vt:i4>
      </vt:variant>
      <vt:variant>
        <vt:i4>75</vt:i4>
      </vt:variant>
      <vt:variant>
        <vt:i4>0</vt:i4>
      </vt:variant>
      <vt:variant>
        <vt:i4>5</vt:i4>
      </vt:variant>
      <vt:variant>
        <vt:lpwstr>https://www.bain.com/globalassets/noindex/2019/google_temasek_bain_e_conomy_sea_2019_report.pdf</vt:lpwstr>
      </vt:variant>
      <vt:variant>
        <vt:lpwstr/>
      </vt:variant>
      <vt:variant>
        <vt:i4>655436</vt:i4>
      </vt:variant>
      <vt:variant>
        <vt:i4>72</vt:i4>
      </vt:variant>
      <vt:variant>
        <vt:i4>0</vt:i4>
      </vt:variant>
      <vt:variant>
        <vt:i4>5</vt:i4>
      </vt:variant>
      <vt:variant>
        <vt:lpwstr>https://www.statista.com/statistics/500410/online-travel-sales-australia/</vt:lpwstr>
      </vt:variant>
      <vt:variant>
        <vt:lpwstr/>
      </vt:variant>
      <vt:variant>
        <vt:i4>1310722</vt:i4>
      </vt:variant>
      <vt:variant>
        <vt:i4>69</vt:i4>
      </vt:variant>
      <vt:variant>
        <vt:i4>0</vt:i4>
      </vt:variant>
      <vt:variant>
        <vt:i4>5</vt:i4>
      </vt:variant>
      <vt:variant>
        <vt:lpwstr>https://www.statista.com/statistics/883034/australia-alternative-finance-market-size/</vt:lpwstr>
      </vt:variant>
      <vt:variant>
        <vt:lpwstr/>
      </vt:variant>
      <vt:variant>
        <vt:i4>524363</vt:i4>
      </vt:variant>
      <vt:variant>
        <vt:i4>66</vt:i4>
      </vt:variant>
      <vt:variant>
        <vt:i4>0</vt:i4>
      </vt:variant>
      <vt:variant>
        <vt:i4>5</vt:i4>
      </vt:variant>
      <vt:variant>
        <vt:lpwstr>https://futurefive.com.au/story/growth-of-digital-payments-set-to-cost-australian-banks-us-3-billion</vt:lpwstr>
      </vt:variant>
      <vt:variant>
        <vt:lpwstr/>
      </vt:variant>
      <vt:variant>
        <vt:i4>4194383</vt:i4>
      </vt:variant>
      <vt:variant>
        <vt:i4>63</vt:i4>
      </vt:variant>
      <vt:variant>
        <vt:i4>0</vt:i4>
      </vt:variant>
      <vt:variant>
        <vt:i4>5</vt:i4>
      </vt:variant>
      <vt:variant>
        <vt:lpwstr>https://www.bain.com/globalassets/noindex/2019/bain-report-fulfilling-its-promise.pdf</vt:lpwstr>
      </vt:variant>
      <vt:variant>
        <vt:lpwstr/>
      </vt:variant>
      <vt:variant>
        <vt:i4>4063340</vt:i4>
      </vt:variant>
      <vt:variant>
        <vt:i4>60</vt:i4>
      </vt:variant>
      <vt:variant>
        <vt:i4>0</vt:i4>
      </vt:variant>
      <vt:variant>
        <vt:i4>5</vt:i4>
      </vt:variant>
      <vt:variant>
        <vt:lpwstr>https://www.statista.com/outlook/368/124/ride-hailing/singapore</vt:lpwstr>
      </vt:variant>
      <vt:variant>
        <vt:lpwstr/>
      </vt:variant>
      <vt:variant>
        <vt:i4>3670129</vt:i4>
      </vt:variant>
      <vt:variant>
        <vt:i4>57</vt:i4>
      </vt:variant>
      <vt:variant>
        <vt:i4>0</vt:i4>
      </vt:variant>
      <vt:variant>
        <vt:i4>5</vt:i4>
      </vt:variant>
      <vt:variant>
        <vt:lpwstr>https://www.statista.com/outlook/368/107/ride-hailing/australia</vt:lpwstr>
      </vt:variant>
      <vt:variant>
        <vt:lpwstr/>
      </vt:variant>
      <vt:variant>
        <vt:i4>4784213</vt:i4>
      </vt:variant>
      <vt:variant>
        <vt:i4>54</vt:i4>
      </vt:variant>
      <vt:variant>
        <vt:i4>0</vt:i4>
      </vt:variant>
      <vt:variant>
        <vt:i4>5</vt:i4>
      </vt:variant>
      <vt:variant>
        <vt:lpwstr>https://www.statista.com/outlook/243/124/ecommerce/singapore</vt:lpwstr>
      </vt:variant>
      <vt:variant>
        <vt:lpwstr/>
      </vt:variant>
      <vt:variant>
        <vt:i4>5308498</vt:i4>
      </vt:variant>
      <vt:variant>
        <vt:i4>51</vt:i4>
      </vt:variant>
      <vt:variant>
        <vt:i4>0</vt:i4>
      </vt:variant>
      <vt:variant>
        <vt:i4>5</vt:i4>
      </vt:variant>
      <vt:variant>
        <vt:lpwstr>https://www.statista.com/outlook/243/107/ecommerce/australia</vt:lpwstr>
      </vt:variant>
      <vt:variant>
        <vt:lpwstr/>
      </vt:variant>
      <vt:variant>
        <vt:i4>5570649</vt:i4>
      </vt:variant>
      <vt:variant>
        <vt:i4>48</vt:i4>
      </vt:variant>
      <vt:variant>
        <vt:i4>0</vt:i4>
      </vt:variant>
      <vt:variant>
        <vt:i4>5</vt:i4>
      </vt:variant>
      <vt:variant>
        <vt:lpwstr>https://www.marketing-interactive.com/singapore-media-and-entertainment-spend-to-see-3-5-growth-in-next-5-years/</vt:lpwstr>
      </vt:variant>
      <vt:variant>
        <vt:lpwstr/>
      </vt:variant>
      <vt:variant>
        <vt:i4>2818090</vt:i4>
      </vt:variant>
      <vt:variant>
        <vt:i4>45</vt:i4>
      </vt:variant>
      <vt:variant>
        <vt:i4>0</vt:i4>
      </vt:variant>
      <vt:variant>
        <vt:i4>5</vt:i4>
      </vt:variant>
      <vt:variant>
        <vt:lpwstr>https://www.adnews.com.au/news/australia-s-online-advertising-growth-is-slowing</vt:lpwstr>
      </vt:variant>
      <vt:variant>
        <vt:lpwstr/>
      </vt:variant>
      <vt:variant>
        <vt:i4>6160393</vt:i4>
      </vt:variant>
      <vt:variant>
        <vt:i4>42</vt:i4>
      </vt:variant>
      <vt:variant>
        <vt:i4>0</vt:i4>
      </vt:variant>
      <vt:variant>
        <vt:i4>5</vt:i4>
      </vt:variant>
      <vt:variant>
        <vt:lpwstr>https://www.statista.com/outlook/202/124/digital-music/singapore</vt:lpwstr>
      </vt:variant>
      <vt:variant>
        <vt:lpwstr/>
      </vt:variant>
      <vt:variant>
        <vt:i4>4587534</vt:i4>
      </vt:variant>
      <vt:variant>
        <vt:i4>39</vt:i4>
      </vt:variant>
      <vt:variant>
        <vt:i4>0</vt:i4>
      </vt:variant>
      <vt:variant>
        <vt:i4>5</vt:i4>
      </vt:variant>
      <vt:variant>
        <vt:lpwstr>https://www.statista.com/outlook/202/107/digital-music/australia</vt:lpwstr>
      </vt:variant>
      <vt:variant>
        <vt:lpwstr/>
      </vt:variant>
      <vt:variant>
        <vt:i4>4128804</vt:i4>
      </vt:variant>
      <vt:variant>
        <vt:i4>36</vt:i4>
      </vt:variant>
      <vt:variant>
        <vt:i4>0</vt:i4>
      </vt:variant>
      <vt:variant>
        <vt:i4>5</vt:i4>
      </vt:variant>
      <vt:variant>
        <vt:lpwstr>https://www.statista.com/outlook/204/124/epublishing/singapore</vt:lpwstr>
      </vt:variant>
      <vt:variant>
        <vt:lpwstr/>
      </vt:variant>
      <vt:variant>
        <vt:i4>2555939</vt:i4>
      </vt:variant>
      <vt:variant>
        <vt:i4>33</vt:i4>
      </vt:variant>
      <vt:variant>
        <vt:i4>0</vt:i4>
      </vt:variant>
      <vt:variant>
        <vt:i4>5</vt:i4>
      </vt:variant>
      <vt:variant>
        <vt:lpwstr>https://www.statista.com/outlook/204/107/epublishing/australia</vt:lpwstr>
      </vt:variant>
      <vt:variant>
        <vt:lpwstr/>
      </vt:variant>
      <vt:variant>
        <vt:i4>6553713</vt:i4>
      </vt:variant>
      <vt:variant>
        <vt:i4>30</vt:i4>
      </vt:variant>
      <vt:variant>
        <vt:i4>0</vt:i4>
      </vt:variant>
      <vt:variant>
        <vt:i4>5</vt:i4>
      </vt:variant>
      <vt:variant>
        <vt:lpwstr>https://www.statista.com/outlook/201/124/video-on-demand/singapore</vt:lpwstr>
      </vt:variant>
      <vt:variant>
        <vt:lpwstr/>
      </vt:variant>
      <vt:variant>
        <vt:i4>8126582</vt:i4>
      </vt:variant>
      <vt:variant>
        <vt:i4>27</vt:i4>
      </vt:variant>
      <vt:variant>
        <vt:i4>0</vt:i4>
      </vt:variant>
      <vt:variant>
        <vt:i4>5</vt:i4>
      </vt:variant>
      <vt:variant>
        <vt:lpwstr>https://www.statista.com/outlook/201/107/video-on-demand/australia</vt:lpwstr>
      </vt:variant>
      <vt:variant>
        <vt:lpwstr/>
      </vt:variant>
      <vt:variant>
        <vt:i4>3997820</vt:i4>
      </vt:variant>
      <vt:variant>
        <vt:i4>24</vt:i4>
      </vt:variant>
      <vt:variant>
        <vt:i4>0</vt:i4>
      </vt:variant>
      <vt:variant>
        <vt:i4>5</vt:i4>
      </vt:variant>
      <vt:variant>
        <vt:lpwstr>https://www.statista.com/outlook/203/124/video-games/singapore</vt:lpwstr>
      </vt:variant>
      <vt:variant>
        <vt:lpwstr/>
      </vt:variant>
      <vt:variant>
        <vt:i4>2424955</vt:i4>
      </vt:variant>
      <vt:variant>
        <vt:i4>21</vt:i4>
      </vt:variant>
      <vt:variant>
        <vt:i4>0</vt:i4>
      </vt:variant>
      <vt:variant>
        <vt:i4>5</vt:i4>
      </vt:variant>
      <vt:variant>
        <vt:lpwstr>https://www.statista.com/outlook/203/107/video-games/australia</vt:lpwstr>
      </vt:variant>
      <vt:variant>
        <vt:lpwstr/>
      </vt:variant>
      <vt:variant>
        <vt:i4>3670052</vt:i4>
      </vt:variant>
      <vt:variant>
        <vt:i4>18</vt:i4>
      </vt:variant>
      <vt:variant>
        <vt:i4>0</vt:i4>
      </vt:variant>
      <vt:variant>
        <vt:i4>5</vt:i4>
      </vt:variant>
      <vt:variant>
        <vt:lpwstr>https://www.slideshare.net/FrostandSullivan/the-australia-videoconferencing-market</vt:lpwstr>
      </vt:variant>
      <vt:variant>
        <vt:lpwstr/>
      </vt:variant>
      <vt:variant>
        <vt:i4>3866687</vt:i4>
      </vt:variant>
      <vt:variant>
        <vt:i4>15</vt:i4>
      </vt:variant>
      <vt:variant>
        <vt:i4>0</vt:i4>
      </vt:variant>
      <vt:variant>
        <vt:i4>5</vt:i4>
      </vt:variant>
      <vt:variant>
        <vt:lpwstr>https://www.bcg.com/publications/2019/economic-impact-public-cloud-apac/singapore.aspx</vt:lpwstr>
      </vt:variant>
      <vt:variant>
        <vt:lpwstr/>
      </vt:variant>
      <vt:variant>
        <vt:i4>4063268</vt:i4>
      </vt:variant>
      <vt:variant>
        <vt:i4>12</vt:i4>
      </vt:variant>
      <vt:variant>
        <vt:i4>0</vt:i4>
      </vt:variant>
      <vt:variant>
        <vt:i4>5</vt:i4>
      </vt:variant>
      <vt:variant>
        <vt:lpwstr>https://www.bcg.com/publications/2019/economic-impact-public-cloud-apac/australia.aspx</vt:lpwstr>
      </vt:variant>
      <vt:variant>
        <vt:lpwstr/>
      </vt:variant>
      <vt:variant>
        <vt:i4>6488107</vt:i4>
      </vt:variant>
      <vt:variant>
        <vt:i4>9</vt:i4>
      </vt:variant>
      <vt:variant>
        <vt:i4>0</vt:i4>
      </vt:variant>
      <vt:variant>
        <vt:i4>5</vt:i4>
      </vt:variant>
      <vt:variant>
        <vt:lpwstr>https://www.imda.gov.sg/-/media/Imda/Files/Infocomm-Media-Landscape/Research-and-Statistics/Survey-Report/II2019-Public-Report.pdf</vt:lpwstr>
      </vt:variant>
      <vt:variant>
        <vt:lpwstr/>
      </vt:variant>
      <vt:variant>
        <vt:i4>3801191</vt:i4>
      </vt:variant>
      <vt:variant>
        <vt:i4>6</vt:i4>
      </vt:variant>
      <vt:variant>
        <vt:i4>0</vt:i4>
      </vt:variant>
      <vt:variant>
        <vt:i4>5</vt:i4>
      </vt:variant>
      <vt:variant>
        <vt:lpwstr>https://www.arnnet.com.au/article/660273/australia-it-spending-reach-94b-2019/</vt:lpwstr>
      </vt:variant>
      <vt:variant>
        <vt:lpwstr/>
      </vt:variant>
      <vt:variant>
        <vt:i4>4194385</vt:i4>
      </vt:variant>
      <vt:variant>
        <vt:i4>3</vt:i4>
      </vt:variant>
      <vt:variant>
        <vt:i4>0</vt:i4>
      </vt:variant>
      <vt:variant>
        <vt:i4>5</vt:i4>
      </vt:variant>
      <vt:variant>
        <vt:lpwstr>https://www.ofx.com/en-sg/forex-news/historical-exchange-rates/yearly-average-rates/</vt:lpwstr>
      </vt:variant>
      <vt:variant>
        <vt:lpwstr/>
      </vt:variant>
      <vt:variant>
        <vt:i4>2031696</vt:i4>
      </vt:variant>
      <vt:variant>
        <vt:i4>0</vt:i4>
      </vt:variant>
      <vt:variant>
        <vt:i4>0</vt:i4>
      </vt:variant>
      <vt:variant>
        <vt:i4>5</vt:i4>
      </vt:variant>
      <vt:variant>
        <vt:lpwstr>https://www.macrotrends.net/2551/australian-us-dollar-exchange-rate-historical-chart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Australia-Singapore Digital Economy Agreement</dc:title>
  <dc:subject/>
  <dc:creator/>
  <cp:keywords/>
  <dc:description/>
  <cp:lastModifiedBy/>
  <cp:revision>1</cp:revision>
  <dcterms:created xsi:type="dcterms:W3CDTF">2020-10-22T00:15:00Z</dcterms:created>
  <dcterms:modified xsi:type="dcterms:W3CDTF">2020-10-22T00:15:00Z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6d013906-0904-40ca-8ddc-ce96e560f1f3</vt:lpwstr>
  </property>
  <property fmtid="{D5CDD505-2E9C-101B-9397-08002B2CF9AE}" pid="3" name="SEC">
    <vt:lpwstr>OFFICIAL</vt:lpwstr>
  </property>
</Properties>
</file>