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659F5" w14:textId="120C0226" w:rsidR="00F8008A" w:rsidRPr="00D815F5" w:rsidRDefault="00F8008A" w:rsidP="00F8008A">
      <w:pPr>
        <w:spacing w:line="360" w:lineRule="auto"/>
        <w:jc w:val="center"/>
        <w:rPr>
          <w:b/>
          <w:bCs/>
          <w:iCs/>
        </w:rPr>
      </w:pPr>
      <w:r w:rsidRPr="00D815F5">
        <w:rPr>
          <w:b/>
          <w:bCs/>
          <w:iCs/>
        </w:rPr>
        <w:t>Before the World Trade Organization</w:t>
      </w:r>
    </w:p>
    <w:p w14:paraId="1B95D5E3" w14:textId="77777777" w:rsidR="00F8008A" w:rsidRPr="00D815F5" w:rsidRDefault="00F8008A" w:rsidP="00F8008A">
      <w:pPr>
        <w:spacing w:line="360" w:lineRule="auto"/>
        <w:jc w:val="center"/>
        <w:rPr>
          <w:b/>
          <w:bCs/>
          <w:i/>
          <w:iCs/>
          <w:sz w:val="28"/>
          <w:szCs w:val="28"/>
        </w:rPr>
      </w:pPr>
    </w:p>
    <w:p w14:paraId="5E3B1CAF" w14:textId="77777777" w:rsidR="00F8008A" w:rsidRPr="00D815F5" w:rsidRDefault="00F8008A" w:rsidP="00F8008A">
      <w:pPr>
        <w:spacing w:line="360" w:lineRule="auto"/>
        <w:jc w:val="center"/>
        <w:rPr>
          <w:b/>
          <w:bCs/>
          <w:i/>
          <w:iCs/>
          <w:sz w:val="28"/>
          <w:szCs w:val="28"/>
        </w:rPr>
      </w:pPr>
    </w:p>
    <w:p w14:paraId="1CC860C2" w14:textId="77777777" w:rsidR="00F8008A" w:rsidRPr="00D815F5" w:rsidRDefault="00F8008A" w:rsidP="00F8008A">
      <w:pPr>
        <w:spacing w:line="360" w:lineRule="auto"/>
        <w:jc w:val="center"/>
        <w:rPr>
          <w:b/>
          <w:bCs/>
          <w:i/>
          <w:iCs/>
          <w:sz w:val="28"/>
          <w:szCs w:val="28"/>
        </w:rPr>
      </w:pPr>
    </w:p>
    <w:p w14:paraId="4E34BDA1" w14:textId="77777777" w:rsidR="00F8008A" w:rsidRPr="00D815F5" w:rsidRDefault="00F8008A" w:rsidP="00F8008A">
      <w:pPr>
        <w:spacing w:line="360" w:lineRule="auto"/>
        <w:jc w:val="center"/>
        <w:rPr>
          <w:b/>
          <w:bCs/>
          <w:i/>
          <w:iCs/>
          <w:sz w:val="28"/>
          <w:szCs w:val="28"/>
        </w:rPr>
      </w:pPr>
    </w:p>
    <w:p w14:paraId="585BAA72" w14:textId="77777777" w:rsidR="00F8008A" w:rsidRPr="00D815F5" w:rsidRDefault="00F8008A" w:rsidP="00F8008A">
      <w:pPr>
        <w:spacing w:line="360" w:lineRule="auto"/>
        <w:jc w:val="center"/>
        <w:rPr>
          <w:b/>
          <w:bCs/>
          <w:i/>
          <w:iCs/>
          <w:sz w:val="28"/>
          <w:szCs w:val="28"/>
        </w:rPr>
      </w:pPr>
    </w:p>
    <w:p w14:paraId="4FA6B2E7" w14:textId="77777777" w:rsidR="00F8008A" w:rsidRPr="00D815F5" w:rsidRDefault="00F8008A" w:rsidP="00F8008A">
      <w:pPr>
        <w:spacing w:line="360" w:lineRule="auto"/>
        <w:jc w:val="center"/>
        <w:rPr>
          <w:b/>
          <w:bCs/>
          <w:i/>
          <w:iCs/>
          <w:sz w:val="28"/>
          <w:szCs w:val="28"/>
        </w:rPr>
      </w:pPr>
    </w:p>
    <w:p w14:paraId="492A1971" w14:textId="77D32547" w:rsidR="00F8008A" w:rsidRPr="00D815F5" w:rsidRDefault="00F8008A" w:rsidP="00F8008A">
      <w:pPr>
        <w:spacing w:line="360" w:lineRule="auto"/>
        <w:jc w:val="center"/>
        <w:rPr>
          <w:b/>
          <w:i/>
          <w:sz w:val="28"/>
          <w:szCs w:val="28"/>
        </w:rPr>
      </w:pPr>
      <w:r w:rsidRPr="00D815F5">
        <w:rPr>
          <w:b/>
          <w:i/>
          <w:sz w:val="28"/>
          <w:szCs w:val="28"/>
        </w:rPr>
        <w:t xml:space="preserve">European Union and Certain Member States – Certain Measures Concerning Palm Oil and Oil Palm Crop-Based Biofuels (Malaysia) </w:t>
      </w:r>
      <w:r w:rsidRPr="00D815F5">
        <w:rPr>
          <w:b/>
          <w:iCs/>
          <w:sz w:val="28"/>
          <w:szCs w:val="28"/>
        </w:rPr>
        <w:t>(</w:t>
      </w:r>
      <w:bookmarkStart w:id="0" w:name="_Toc305666123"/>
      <w:r w:rsidRPr="00D815F5">
        <w:rPr>
          <w:b/>
          <w:iCs/>
          <w:sz w:val="28"/>
          <w:szCs w:val="28"/>
        </w:rPr>
        <w:t>WT/DS600)</w:t>
      </w:r>
      <w:bookmarkEnd w:id="0"/>
    </w:p>
    <w:p w14:paraId="6F1ECF80" w14:textId="77777777" w:rsidR="00F8008A" w:rsidRPr="00D815F5" w:rsidRDefault="00F8008A" w:rsidP="00F8008A">
      <w:pPr>
        <w:spacing w:line="360" w:lineRule="auto"/>
        <w:jc w:val="center"/>
        <w:rPr>
          <w:b/>
          <w:i/>
          <w:sz w:val="28"/>
          <w:szCs w:val="28"/>
        </w:rPr>
      </w:pPr>
    </w:p>
    <w:p w14:paraId="0C0B5E56" w14:textId="77777777" w:rsidR="00F8008A" w:rsidRPr="00D815F5" w:rsidRDefault="00F8008A" w:rsidP="00F8008A">
      <w:pPr>
        <w:spacing w:line="360" w:lineRule="auto"/>
        <w:jc w:val="center"/>
        <w:rPr>
          <w:b/>
          <w:i/>
          <w:sz w:val="28"/>
          <w:szCs w:val="28"/>
        </w:rPr>
      </w:pPr>
    </w:p>
    <w:p w14:paraId="2B2EAE09" w14:textId="77777777" w:rsidR="00F8008A" w:rsidRPr="00D815F5" w:rsidRDefault="00F8008A" w:rsidP="00F8008A">
      <w:pPr>
        <w:spacing w:line="360" w:lineRule="auto"/>
        <w:jc w:val="center"/>
        <w:rPr>
          <w:b/>
          <w:i/>
          <w:sz w:val="28"/>
          <w:szCs w:val="28"/>
        </w:rPr>
      </w:pPr>
    </w:p>
    <w:p w14:paraId="38D749DD" w14:textId="77777777" w:rsidR="00F8008A" w:rsidRPr="00D815F5" w:rsidRDefault="00F8008A" w:rsidP="00F8008A">
      <w:pPr>
        <w:spacing w:line="360" w:lineRule="auto"/>
        <w:jc w:val="center"/>
        <w:rPr>
          <w:b/>
          <w:i/>
          <w:sz w:val="28"/>
          <w:szCs w:val="28"/>
        </w:rPr>
      </w:pPr>
    </w:p>
    <w:p w14:paraId="36397EC6" w14:textId="77777777" w:rsidR="00F8008A" w:rsidRPr="00D815F5" w:rsidRDefault="00F8008A" w:rsidP="00F8008A">
      <w:pPr>
        <w:spacing w:line="360" w:lineRule="auto"/>
        <w:jc w:val="center"/>
        <w:rPr>
          <w:b/>
          <w:i/>
          <w:sz w:val="28"/>
          <w:szCs w:val="28"/>
        </w:rPr>
      </w:pPr>
    </w:p>
    <w:p w14:paraId="56C14373" w14:textId="77777777" w:rsidR="00F8008A" w:rsidRPr="00D815F5" w:rsidRDefault="00F8008A" w:rsidP="00F8008A">
      <w:pPr>
        <w:spacing w:line="360" w:lineRule="auto"/>
        <w:jc w:val="center"/>
        <w:rPr>
          <w:b/>
          <w:i/>
          <w:sz w:val="28"/>
          <w:szCs w:val="28"/>
        </w:rPr>
      </w:pPr>
    </w:p>
    <w:p w14:paraId="4F458498" w14:textId="77777777" w:rsidR="00F8008A" w:rsidRPr="00D815F5" w:rsidRDefault="00F8008A" w:rsidP="00F8008A">
      <w:pPr>
        <w:spacing w:line="360" w:lineRule="auto"/>
        <w:jc w:val="center"/>
        <w:rPr>
          <w:b/>
          <w:i/>
          <w:sz w:val="28"/>
          <w:szCs w:val="28"/>
        </w:rPr>
      </w:pPr>
    </w:p>
    <w:p w14:paraId="38FC91B0" w14:textId="77777777" w:rsidR="00F8008A" w:rsidRPr="00D815F5" w:rsidRDefault="00F8008A" w:rsidP="00F8008A">
      <w:pPr>
        <w:spacing w:line="360" w:lineRule="auto"/>
        <w:jc w:val="center"/>
        <w:rPr>
          <w:b/>
          <w:i/>
          <w:sz w:val="28"/>
          <w:szCs w:val="28"/>
        </w:rPr>
      </w:pPr>
    </w:p>
    <w:p w14:paraId="4C6DD7F1" w14:textId="77777777" w:rsidR="00F8008A" w:rsidRPr="00D815F5" w:rsidRDefault="00F8008A" w:rsidP="00F8008A">
      <w:pPr>
        <w:spacing w:line="360" w:lineRule="auto"/>
        <w:jc w:val="center"/>
        <w:rPr>
          <w:b/>
          <w:i/>
          <w:sz w:val="28"/>
          <w:szCs w:val="28"/>
        </w:rPr>
      </w:pPr>
    </w:p>
    <w:p w14:paraId="2D020B93" w14:textId="13E6553C" w:rsidR="00F8008A" w:rsidRPr="00D815F5" w:rsidRDefault="00F8008A" w:rsidP="00F8008A">
      <w:pPr>
        <w:spacing w:line="360" w:lineRule="auto"/>
        <w:jc w:val="center"/>
        <w:rPr>
          <w:b/>
          <w:sz w:val="28"/>
          <w:szCs w:val="28"/>
        </w:rPr>
      </w:pPr>
      <w:bookmarkStart w:id="1" w:name="_Toc269726911"/>
      <w:bookmarkStart w:id="2" w:name="_Toc269823222"/>
      <w:bookmarkStart w:id="3" w:name="_Toc269823313"/>
      <w:r w:rsidRPr="00D815F5">
        <w:rPr>
          <w:b/>
          <w:sz w:val="28"/>
          <w:szCs w:val="28"/>
        </w:rPr>
        <w:t>Responses of Australia</w:t>
      </w:r>
      <w:bookmarkEnd w:id="1"/>
      <w:bookmarkEnd w:id="2"/>
      <w:bookmarkEnd w:id="3"/>
      <w:r w:rsidRPr="00D815F5">
        <w:rPr>
          <w:b/>
          <w:sz w:val="28"/>
          <w:szCs w:val="28"/>
        </w:rPr>
        <w:t xml:space="preserve"> to the Panel</w:t>
      </w:r>
      <w:r w:rsidR="002A4A17">
        <w:rPr>
          <w:b/>
          <w:sz w:val="28"/>
          <w:szCs w:val="28"/>
        </w:rPr>
        <w:t>'</w:t>
      </w:r>
      <w:r w:rsidRPr="00D815F5">
        <w:rPr>
          <w:b/>
          <w:sz w:val="28"/>
          <w:szCs w:val="28"/>
        </w:rPr>
        <w:t>s Questions</w:t>
      </w:r>
    </w:p>
    <w:p w14:paraId="4282C3C5" w14:textId="77777777" w:rsidR="00F8008A" w:rsidRPr="00D815F5" w:rsidRDefault="00F8008A" w:rsidP="00F8008A">
      <w:pPr>
        <w:pStyle w:val="MinuteHeading"/>
        <w:framePr w:w="0" w:hSpace="0" w:vSpace="0" w:wrap="auto" w:vAnchor="margin" w:hAnchor="text" w:xAlign="left" w:yAlign="inline"/>
        <w:spacing w:after="0" w:line="360" w:lineRule="auto"/>
        <w:rPr>
          <w:sz w:val="24"/>
          <w:szCs w:val="24"/>
          <w:lang w:val="en-AU"/>
        </w:rPr>
      </w:pPr>
    </w:p>
    <w:p w14:paraId="2D9D2D57" w14:textId="77777777" w:rsidR="00F8008A" w:rsidRPr="00D815F5" w:rsidRDefault="00F8008A" w:rsidP="00F8008A">
      <w:pPr>
        <w:pStyle w:val="MinuteHeading"/>
        <w:framePr w:w="0" w:hSpace="0" w:vSpace="0" w:wrap="auto" w:vAnchor="margin" w:hAnchor="text" w:xAlign="left" w:yAlign="inline"/>
        <w:spacing w:after="0" w:line="360" w:lineRule="auto"/>
        <w:rPr>
          <w:sz w:val="24"/>
          <w:szCs w:val="24"/>
          <w:lang w:val="en-AU"/>
        </w:rPr>
      </w:pPr>
    </w:p>
    <w:p w14:paraId="01E1351B" w14:textId="7BB4DA91" w:rsidR="00F8008A" w:rsidRPr="00D815F5" w:rsidRDefault="00F8008A" w:rsidP="00F8008A">
      <w:pPr>
        <w:pStyle w:val="MinuteHeading"/>
        <w:framePr w:w="0" w:hSpace="0" w:vSpace="0" w:wrap="auto" w:vAnchor="margin" w:hAnchor="text" w:xAlign="left" w:yAlign="inline"/>
        <w:spacing w:after="0" w:line="360" w:lineRule="auto"/>
        <w:rPr>
          <w:sz w:val="24"/>
          <w:szCs w:val="24"/>
          <w:lang w:val="en-AU"/>
        </w:rPr>
      </w:pPr>
    </w:p>
    <w:p w14:paraId="6431F724" w14:textId="6BE313B1" w:rsidR="00451912" w:rsidRPr="00D815F5" w:rsidRDefault="00451912" w:rsidP="00451912">
      <w:pPr>
        <w:rPr>
          <w:lang w:eastAsia="zh-CN"/>
        </w:rPr>
      </w:pPr>
    </w:p>
    <w:p w14:paraId="0177518F" w14:textId="59808FEC" w:rsidR="00451912" w:rsidRPr="00D815F5" w:rsidRDefault="00451912" w:rsidP="00451912">
      <w:pPr>
        <w:rPr>
          <w:lang w:eastAsia="zh-CN"/>
        </w:rPr>
      </w:pPr>
    </w:p>
    <w:p w14:paraId="341E3AAF" w14:textId="06BE2ABD" w:rsidR="00451912" w:rsidRPr="00D815F5" w:rsidRDefault="00451912" w:rsidP="00451912">
      <w:pPr>
        <w:rPr>
          <w:lang w:eastAsia="zh-CN"/>
        </w:rPr>
      </w:pPr>
    </w:p>
    <w:p w14:paraId="487A3BFF" w14:textId="145C8D57" w:rsidR="00451912" w:rsidRPr="00D815F5" w:rsidRDefault="00451912" w:rsidP="00451912">
      <w:pPr>
        <w:rPr>
          <w:lang w:eastAsia="zh-CN"/>
        </w:rPr>
      </w:pPr>
    </w:p>
    <w:p w14:paraId="3DA70511" w14:textId="77777777" w:rsidR="00451912" w:rsidRPr="00D815F5" w:rsidRDefault="00451912" w:rsidP="00451912">
      <w:pPr>
        <w:rPr>
          <w:lang w:eastAsia="zh-CN"/>
        </w:rPr>
      </w:pPr>
    </w:p>
    <w:p w14:paraId="37BEFFC3" w14:textId="20A64280" w:rsidR="00F8008A" w:rsidRPr="00D815F5" w:rsidRDefault="00F8008A" w:rsidP="00F8008A">
      <w:pPr>
        <w:pStyle w:val="MinuteHeading"/>
        <w:framePr w:w="0" w:hSpace="0" w:vSpace="0" w:wrap="auto" w:vAnchor="margin" w:hAnchor="text" w:xAlign="left" w:yAlign="inline"/>
        <w:spacing w:after="0" w:line="360" w:lineRule="auto"/>
        <w:rPr>
          <w:sz w:val="28"/>
          <w:szCs w:val="28"/>
          <w:lang w:val="en-AU"/>
        </w:rPr>
      </w:pPr>
      <w:r w:rsidRPr="00D815F5">
        <w:rPr>
          <w:sz w:val="28"/>
          <w:szCs w:val="28"/>
          <w:lang w:val="en-AU"/>
        </w:rPr>
        <w:t>20 June 2022</w:t>
      </w:r>
    </w:p>
    <w:p w14:paraId="0FB0A914" w14:textId="77777777" w:rsidR="00F8008A" w:rsidRPr="00D815F5" w:rsidRDefault="00F8008A">
      <w:pPr>
        <w:rPr>
          <w:b/>
          <w:bCs/>
          <w:lang w:eastAsia="zh-CN"/>
        </w:rPr>
      </w:pPr>
      <w:r w:rsidRPr="00D815F5">
        <w:br w:type="page"/>
      </w:r>
    </w:p>
    <w:p w14:paraId="3C705746" w14:textId="5AA9330A" w:rsidR="00C85264" w:rsidRPr="00D815F5" w:rsidRDefault="00C85264" w:rsidP="00566705">
      <w:pPr>
        <w:spacing w:after="240" w:line="276" w:lineRule="auto"/>
        <w:rPr>
          <w:b/>
          <w:lang w:val="en-GB"/>
        </w:rPr>
      </w:pPr>
      <w:r w:rsidRPr="00D815F5">
        <w:rPr>
          <w:b/>
          <w:u w:val="single"/>
          <w:lang w:val="en-GB"/>
        </w:rPr>
        <w:lastRenderedPageBreak/>
        <w:t>Q</w:t>
      </w:r>
      <w:r w:rsidR="00566705" w:rsidRPr="00D815F5">
        <w:rPr>
          <w:b/>
          <w:u w:val="single"/>
          <w:lang w:val="en-GB"/>
        </w:rPr>
        <w:t>4</w:t>
      </w:r>
      <w:r w:rsidR="00EA16A8" w:rsidRPr="00D815F5">
        <w:rPr>
          <w:b/>
          <w:u w:val="single"/>
          <w:lang w:val="en-GB"/>
        </w:rPr>
        <w:t xml:space="preserve"> </w:t>
      </w:r>
      <w:r w:rsidR="00E841F9" w:rsidRPr="00D815F5">
        <w:rPr>
          <w:b/>
          <w:u w:val="single"/>
          <w:lang w:val="en-GB"/>
        </w:rPr>
        <w:t>To all third parties [Advance question 4]:</w:t>
      </w:r>
      <w:r w:rsidR="00DB42DB" w:rsidRPr="00D815F5">
        <w:rPr>
          <w:b/>
          <w:lang w:val="en-GB"/>
        </w:rPr>
        <w:t xml:space="preserve"> </w:t>
      </w:r>
      <w:r w:rsidR="00E841F9" w:rsidRPr="00D815F5">
        <w:rPr>
          <w:b/>
          <w:lang w:val="en-GB"/>
        </w:rPr>
        <w:t xml:space="preserve">The European Union submits, in relation to Article 2.1 of the TBT Agreement, that </w:t>
      </w:r>
      <w:r w:rsidR="002A4A17">
        <w:rPr>
          <w:b/>
          <w:lang w:val="en-GB"/>
        </w:rPr>
        <w:t>"</w:t>
      </w:r>
      <w:r w:rsidR="00E841F9" w:rsidRPr="00D815F5">
        <w:rPr>
          <w:b/>
          <w:lang w:val="en-GB"/>
        </w:rPr>
        <w:t>when analysing an allegation of de facto discrimination, if a Panel has determined that there are some detrimental effects on imported products, the Panel is required to further examine the nature of the objectives pursued by the measures and, if they are legitimate, the relationship between the legitimate objectives of the measure and the detrimental effects.</w:t>
      </w:r>
      <w:r w:rsidR="002A4A17">
        <w:rPr>
          <w:b/>
          <w:lang w:val="en-GB"/>
        </w:rPr>
        <w:t>"</w:t>
      </w:r>
      <w:r w:rsidR="00D43093" w:rsidRPr="00D815F5">
        <w:rPr>
          <w:b/>
          <w:lang w:val="en-GB"/>
        </w:rPr>
        <w:t xml:space="preserve"> </w:t>
      </w:r>
      <w:r w:rsidR="00E841F9" w:rsidRPr="00D815F5">
        <w:rPr>
          <w:b/>
          <w:lang w:val="en-GB"/>
        </w:rPr>
        <w:t>Do you agree with this description of the applicable legal test under Article 2.1 of the TBT Agreement?</w:t>
      </w:r>
    </w:p>
    <w:p w14:paraId="5F6BDEAA" w14:textId="09B36CEC" w:rsidR="00F564BB" w:rsidRPr="00D815F5" w:rsidRDefault="00F90B98" w:rsidP="00546A94">
      <w:pPr>
        <w:pStyle w:val="ListParagraph"/>
        <w:numPr>
          <w:ilvl w:val="0"/>
          <w:numId w:val="32"/>
        </w:numPr>
        <w:spacing w:before="240" w:after="240" w:line="276" w:lineRule="auto"/>
        <w:ind w:left="0" w:hanging="567"/>
        <w:contextualSpacing w:val="0"/>
      </w:pPr>
      <w:r w:rsidRPr="00D815F5">
        <w:t>Previous Appellate Body decisions</w:t>
      </w:r>
      <w:r w:rsidRPr="00D815F5">
        <w:rPr>
          <w:vertAlign w:val="superscript"/>
        </w:rPr>
        <w:footnoteReference w:id="2"/>
      </w:r>
      <w:r w:rsidRPr="00D815F5">
        <w:t xml:space="preserve"> provide guidance on the applicable legal test under Article 2.1 of the TBT Agreement</w:t>
      </w:r>
      <w:r w:rsidR="00A35C07" w:rsidRPr="00D815F5">
        <w:t xml:space="preserve">. </w:t>
      </w:r>
      <w:r w:rsidRPr="00D815F5">
        <w:t xml:space="preserve">Australia recalls that in </w:t>
      </w:r>
      <w:r w:rsidRPr="00D815F5">
        <w:rPr>
          <w:i/>
          <w:iCs/>
        </w:rPr>
        <w:t>US – Clove Cigarettes</w:t>
      </w:r>
      <w:r w:rsidRPr="00D815F5">
        <w:t xml:space="preserve">, the Appellate Body stated the role of the Panel—after identifying detrimental impact on the conditions of competition—is to determine whether that impact is </w:t>
      </w:r>
      <w:r w:rsidRPr="00D815F5">
        <w:rPr>
          <w:i/>
          <w:iCs/>
        </w:rPr>
        <w:t>solely</w:t>
      </w:r>
      <w:r w:rsidRPr="00D815F5">
        <w:t xml:space="preserve"> due to a legitimate regulatory distinction rather than from discrimination.</w:t>
      </w:r>
      <w:r w:rsidRPr="00D815F5">
        <w:rPr>
          <w:vertAlign w:val="superscript"/>
        </w:rPr>
        <w:footnoteReference w:id="3"/>
      </w:r>
      <w:r w:rsidRPr="00D815F5">
        <w:t xml:space="preserve"> This indeed involves an examination of the objectives and whether they are </w:t>
      </w:r>
      <w:r w:rsidR="00034FD4" w:rsidRPr="00D815F5">
        <w:t>legitimate</w:t>
      </w:r>
      <w:r w:rsidRPr="00D815F5">
        <w:t>, but also whether the distinction between the like products is</w:t>
      </w:r>
      <w:r w:rsidR="003A4997" w:rsidRPr="00D815F5">
        <w:t xml:space="preserve"> legitimate, i.e.,</w:t>
      </w:r>
      <w:r w:rsidRPr="00D815F5">
        <w:t xml:space="preserve"> done in a fair and reasonable manner.</w:t>
      </w:r>
      <w:r w:rsidRPr="00D815F5">
        <w:rPr>
          <w:vertAlign w:val="superscript"/>
        </w:rPr>
        <w:footnoteReference w:id="4"/>
      </w:r>
      <w:bookmarkStart w:id="4" w:name="_Hlk106204078"/>
    </w:p>
    <w:p w14:paraId="40974A14" w14:textId="12BB456D" w:rsidR="002E0FA4" w:rsidRPr="00D815F5" w:rsidRDefault="00F564BB" w:rsidP="1F3799A9">
      <w:pPr>
        <w:pStyle w:val="ListParagraph"/>
        <w:numPr>
          <w:ilvl w:val="0"/>
          <w:numId w:val="32"/>
        </w:numPr>
        <w:spacing w:before="240" w:line="276" w:lineRule="auto"/>
        <w:ind w:left="0" w:hanging="567"/>
        <w:contextualSpacing w:val="0"/>
      </w:pPr>
      <w:r w:rsidRPr="00D815F5">
        <w:t xml:space="preserve">The primary assessment is not </w:t>
      </w:r>
      <w:r w:rsidR="00D664F9" w:rsidRPr="00D815F5">
        <w:t xml:space="preserve">just about </w:t>
      </w:r>
      <w:r w:rsidRPr="00D815F5">
        <w:t>the relationship between the objective</w:t>
      </w:r>
      <w:r w:rsidR="000F1DE8">
        <w:t>s</w:t>
      </w:r>
      <w:r w:rsidRPr="00D815F5">
        <w:t xml:space="preserve"> and the detrimental effect, but whether the detrimental effect is legitimate</w:t>
      </w:r>
      <w:r w:rsidR="00D664F9" w:rsidRPr="00D815F5">
        <w:t xml:space="preserve"> or </w:t>
      </w:r>
      <w:r w:rsidR="002A4A17">
        <w:t>'</w:t>
      </w:r>
      <w:r w:rsidR="00D664F9" w:rsidRPr="00D815F5">
        <w:t>even-handed</w:t>
      </w:r>
      <w:r w:rsidR="002A4A17">
        <w:t>'</w:t>
      </w:r>
      <w:r w:rsidRPr="00D815F5">
        <w:t xml:space="preserve">. That is, a panel must assess whether the measure at issue is designed or applied in an </w:t>
      </w:r>
      <w:r w:rsidR="002A4A17">
        <w:t>'</w:t>
      </w:r>
      <w:r w:rsidRPr="00D815F5">
        <w:t>even-handed</w:t>
      </w:r>
      <w:r w:rsidR="002A4A17">
        <w:t>'</w:t>
      </w:r>
      <w:r w:rsidRPr="00D815F5">
        <w:t xml:space="preserve"> manner.</w:t>
      </w:r>
      <w:r w:rsidRPr="00D815F5">
        <w:rPr>
          <w:rStyle w:val="FootnoteReference"/>
        </w:rPr>
        <w:footnoteReference w:id="5"/>
      </w:r>
      <w:bookmarkEnd w:id="4"/>
    </w:p>
    <w:p w14:paraId="7E99ACE8" w14:textId="4399D12F" w:rsidR="00DD6F13" w:rsidRPr="00D815F5" w:rsidRDefault="002E0FA4" w:rsidP="2F28CF17">
      <w:pPr>
        <w:pStyle w:val="ListParagraph"/>
        <w:numPr>
          <w:ilvl w:val="0"/>
          <w:numId w:val="32"/>
        </w:numPr>
        <w:spacing w:before="240" w:line="276" w:lineRule="auto"/>
        <w:ind w:left="0" w:hanging="567"/>
        <w:contextualSpacing w:val="0"/>
      </w:pPr>
      <w:r w:rsidRPr="00D815F5">
        <w:t xml:space="preserve">While that assessment takes place on a case-by-case basis, a measure would </w:t>
      </w:r>
      <w:r w:rsidR="002A4A17">
        <w:t>'</w:t>
      </w:r>
      <w:r w:rsidRPr="00D815F5">
        <w:t>lack even-handedness</w:t>
      </w:r>
      <w:r w:rsidR="002A4A17">
        <w:t>'</w:t>
      </w:r>
      <w:r w:rsidRPr="00D815F5">
        <w:t xml:space="preserve"> if it is </w:t>
      </w:r>
      <w:r w:rsidR="002A4A17">
        <w:t>'</w:t>
      </w:r>
      <w:r w:rsidRPr="00D815F5">
        <w:t>designed or applied in a manner that constitutes a means of arbitrary or unjustifiable discrimination, and thus reflects discrimination</w:t>
      </w:r>
      <w:r w:rsidR="002A4A17">
        <w:t>'</w:t>
      </w:r>
      <w:r w:rsidRPr="00D815F5">
        <w:t>.</w:t>
      </w:r>
      <w:r w:rsidRPr="00D815F5">
        <w:rPr>
          <w:rStyle w:val="FootnoteReference"/>
        </w:rPr>
        <w:footnoteReference w:id="6"/>
      </w:r>
      <w:r w:rsidRPr="00D815F5">
        <w:t xml:space="preserve"> However, this is not the only way to assess a whether a measure lacks even-handedness.</w:t>
      </w:r>
      <w:r w:rsidRPr="00D815F5">
        <w:rPr>
          <w:rStyle w:val="FootnoteReference"/>
        </w:rPr>
        <w:footnoteReference w:id="7"/>
      </w:r>
      <w:r w:rsidRPr="00D815F5">
        <w:t xml:space="preserve"> That examination would have to consider the design, operation, and application of the measures at issue including whether the measure is rationally related to the policy being pursued by the measure</w:t>
      </w:r>
      <w:r w:rsidRPr="00D815F5">
        <w:rPr>
          <w:rStyle w:val="FootnoteReference"/>
        </w:rPr>
        <w:footnoteReference w:id="8"/>
      </w:r>
      <w:r w:rsidRPr="00D815F5">
        <w:t xml:space="preserve"> and other factors.</w:t>
      </w:r>
      <w:r w:rsidRPr="00D815F5">
        <w:rPr>
          <w:rStyle w:val="FootnoteReference"/>
        </w:rPr>
        <w:footnoteReference w:id="9"/>
      </w:r>
      <w:r w:rsidRPr="00D815F5">
        <w:t xml:space="preserve"> </w:t>
      </w:r>
      <w:r w:rsidR="00903785" w:rsidRPr="00D815F5">
        <w:t xml:space="preserve">  </w:t>
      </w:r>
    </w:p>
    <w:p w14:paraId="534675CF" w14:textId="27A4C0FA" w:rsidR="00DB42DB" w:rsidRPr="00D815F5" w:rsidRDefault="00DD6F13" w:rsidP="2F28CF17">
      <w:pPr>
        <w:pStyle w:val="ListParagraph"/>
        <w:numPr>
          <w:ilvl w:val="0"/>
          <w:numId w:val="32"/>
        </w:numPr>
        <w:spacing w:before="240" w:line="276" w:lineRule="auto"/>
        <w:ind w:left="0" w:hanging="567"/>
        <w:contextualSpacing w:val="0"/>
      </w:pPr>
      <w:r w:rsidRPr="00D815F5">
        <w:t xml:space="preserve">As to the nature of the objectives that may be </w:t>
      </w:r>
      <w:r w:rsidR="00063C2B" w:rsidRPr="00D815F5">
        <w:t>legitimate</w:t>
      </w:r>
      <w:r w:rsidRPr="00D815F5">
        <w:t xml:space="preserve"> under Article 2.1, the Appellate Body in </w:t>
      </w:r>
      <w:r w:rsidRPr="2F28CF17">
        <w:rPr>
          <w:i/>
          <w:iCs/>
        </w:rPr>
        <w:t>US – Tuna II</w:t>
      </w:r>
      <w:r w:rsidRPr="00D815F5">
        <w:t xml:space="preserve"> referred to the sixth recital of the preamble to the TBT Agreement which lists objectives such as protection of human, </w:t>
      </w:r>
      <w:r w:rsidR="008319E6" w:rsidRPr="00D815F5">
        <w:t>animal,</w:t>
      </w:r>
      <w:r w:rsidRPr="00D815F5">
        <w:t xml:space="preserve"> and plant health.</w:t>
      </w:r>
      <w:r w:rsidRPr="00D815F5">
        <w:rPr>
          <w:rStyle w:val="FootnoteReference"/>
        </w:rPr>
        <w:footnoteReference w:id="10"/>
      </w:r>
      <w:r w:rsidRPr="00D815F5">
        <w:t xml:space="preserve"> Drawing on the surrounding text in the treaty, the non-exhaustive list of </w:t>
      </w:r>
      <w:r w:rsidRPr="00D815F5">
        <w:lastRenderedPageBreak/>
        <w:t>legitimate objectives in Article 2.2, also provides a good indication of what are likely to be justifiable objectives under Article 2.1.</w:t>
      </w:r>
    </w:p>
    <w:p w14:paraId="42C46671" w14:textId="76824F68" w:rsidR="006F605B" w:rsidRPr="00D815F5" w:rsidRDefault="00DB42DB" w:rsidP="006F605B">
      <w:pPr>
        <w:pStyle w:val="ListParagraph"/>
        <w:spacing w:before="240" w:line="276" w:lineRule="auto"/>
        <w:ind w:left="0"/>
        <w:contextualSpacing w:val="0"/>
        <w:rPr>
          <w:b/>
          <w:bCs/>
        </w:rPr>
      </w:pPr>
      <w:r w:rsidRPr="00D815F5">
        <w:rPr>
          <w:b/>
          <w:bCs/>
          <w:u w:val="single"/>
        </w:rPr>
        <w:t>Q5 To all third parties [Advance question 5]:</w:t>
      </w:r>
      <w:r w:rsidRPr="00D815F5">
        <w:rPr>
          <w:b/>
          <w:bCs/>
        </w:rPr>
        <w:t xml:space="preserve"> The European Union submits that both Article 2.2 and Article 2.1 of the TBT Agreement require the identification of the objectives pursued and a consideration of their legitimacy.</w:t>
      </w:r>
      <w:r w:rsidR="008742C4" w:rsidRPr="00D815F5">
        <w:rPr>
          <w:b/>
          <w:bCs/>
        </w:rPr>
        <w:t xml:space="preserve"> </w:t>
      </w:r>
      <w:r w:rsidRPr="00D815F5">
        <w:rPr>
          <w:b/>
          <w:bCs/>
        </w:rPr>
        <w:t>Does an assessment of the existence of legitimate regulatory distinctions under Article 2.1 of the TBT Agreement involve a consideration of the legitimacy of the objective(s) of the measure, comparable to that under Article 2.2 of the same Agreement?</w:t>
      </w:r>
      <w:r w:rsidR="006F605B" w:rsidRPr="00D815F5">
        <w:rPr>
          <w:b/>
          <w:bCs/>
        </w:rPr>
        <w:t xml:space="preserve"> </w:t>
      </w:r>
    </w:p>
    <w:p w14:paraId="79EF947A" w14:textId="63286B39" w:rsidR="006F605B" w:rsidRPr="00D815F5" w:rsidRDefault="006F605B" w:rsidP="006F605B">
      <w:pPr>
        <w:pStyle w:val="ListParagraph"/>
        <w:numPr>
          <w:ilvl w:val="0"/>
          <w:numId w:val="32"/>
        </w:numPr>
        <w:spacing w:before="240" w:line="276" w:lineRule="auto"/>
        <w:ind w:left="0" w:hanging="567"/>
        <w:contextualSpacing w:val="0"/>
        <w:rPr>
          <w:b/>
          <w:bCs/>
        </w:rPr>
      </w:pPr>
      <w:r w:rsidRPr="00D815F5">
        <w:t>Australia has provided a detailed assessment of Article 2.2 in its written submission</w:t>
      </w:r>
      <w:r w:rsidR="005C511F" w:rsidRPr="00D815F5">
        <w:rPr>
          <w:rStyle w:val="FootnoteReference"/>
        </w:rPr>
        <w:footnoteReference w:id="11"/>
      </w:r>
      <w:r w:rsidR="00DF73A7" w:rsidRPr="00D815F5">
        <w:t xml:space="preserve"> </w:t>
      </w:r>
      <w:r w:rsidRPr="00D815F5">
        <w:t>and will focus here on the key differences in the text and legal tests of Articles 2.1 and 2.2.</w:t>
      </w:r>
    </w:p>
    <w:p w14:paraId="41256C26" w14:textId="3F70D99C" w:rsidR="00636A92" w:rsidRPr="00D815F5" w:rsidRDefault="002D17A9" w:rsidP="2F28CF17">
      <w:pPr>
        <w:pStyle w:val="ListParagraph"/>
        <w:numPr>
          <w:ilvl w:val="0"/>
          <w:numId w:val="32"/>
        </w:numPr>
        <w:spacing w:before="240" w:line="276" w:lineRule="auto"/>
        <w:ind w:left="0" w:hanging="567"/>
        <w:contextualSpacing w:val="0"/>
      </w:pPr>
      <w:r w:rsidRPr="00D815F5">
        <w:t>As noted in the response to Question 4, the Article 2.1 legal test involves some assessment of the objective</w:t>
      </w:r>
      <w:r w:rsidR="00EE1E94">
        <w:t>s</w:t>
      </w:r>
      <w:r w:rsidRPr="00D815F5">
        <w:t xml:space="preserve"> of the measure. The Appellate Body has referred to the sixth recital of the preamble to the TBT Agreement which lists objectives such as protection of human, </w:t>
      </w:r>
      <w:proofErr w:type="gramStart"/>
      <w:r w:rsidRPr="00D815F5">
        <w:t>animal</w:t>
      </w:r>
      <w:proofErr w:type="gramEnd"/>
      <w:r w:rsidRPr="00D815F5">
        <w:t xml:space="preserve"> and plant health.</w:t>
      </w:r>
      <w:r w:rsidR="001530CE" w:rsidRPr="00D815F5">
        <w:rPr>
          <w:rStyle w:val="FootnoteReference"/>
        </w:rPr>
        <w:footnoteReference w:id="12"/>
      </w:r>
      <w:r w:rsidR="008742C4" w:rsidRPr="00D815F5">
        <w:t xml:space="preserve"> </w:t>
      </w:r>
      <w:r w:rsidRPr="00D815F5">
        <w:t>There are also some parallels with GATT Article XX, but as the TBT Agreement does not replicate GATT Article XX, the legal tests are different.</w:t>
      </w:r>
      <w:r w:rsidR="00A244AE" w:rsidRPr="00D815F5">
        <w:rPr>
          <w:rStyle w:val="FootnoteReference"/>
        </w:rPr>
        <w:footnoteReference w:id="13"/>
      </w:r>
      <w:r w:rsidR="008742C4" w:rsidRPr="00D815F5">
        <w:t xml:space="preserve"> </w:t>
      </w:r>
      <w:r w:rsidRPr="00D815F5">
        <w:t>The non-exhaustive list of legitimate objectives provided in Article 2.2 provides a good indication of what are likely to be justifiable objectives under Article 2.1.</w:t>
      </w:r>
      <w:r w:rsidR="00636A92" w:rsidRPr="00D815F5">
        <w:t xml:space="preserve"> </w:t>
      </w:r>
    </w:p>
    <w:p w14:paraId="4559846D" w14:textId="0ABC025A" w:rsidR="00426DF9" w:rsidRPr="00D815F5" w:rsidRDefault="00636A92" w:rsidP="2F28CF17">
      <w:pPr>
        <w:pStyle w:val="ListParagraph"/>
        <w:numPr>
          <w:ilvl w:val="0"/>
          <w:numId w:val="32"/>
        </w:numPr>
        <w:spacing w:before="240" w:line="276" w:lineRule="auto"/>
        <w:ind w:left="0" w:hanging="567"/>
        <w:contextualSpacing w:val="0"/>
      </w:pPr>
      <w:r>
        <w:t>However, there are key differences in the text and legal test between the two articles, particularly the sequence in which the objective</w:t>
      </w:r>
      <w:r w:rsidR="00520650">
        <w:t>s</w:t>
      </w:r>
      <w:r>
        <w:t xml:space="preserve"> </w:t>
      </w:r>
      <w:r w:rsidR="00520650">
        <w:t>are</w:t>
      </w:r>
      <w:r>
        <w:t xml:space="preserve"> considered. </w:t>
      </w:r>
    </w:p>
    <w:p w14:paraId="7EA86BE5" w14:textId="478A5207" w:rsidR="00641F96" w:rsidRPr="00D815F5" w:rsidRDefault="00426DF9" w:rsidP="00641F96">
      <w:pPr>
        <w:pStyle w:val="ListParagraph"/>
        <w:numPr>
          <w:ilvl w:val="0"/>
          <w:numId w:val="32"/>
        </w:numPr>
        <w:spacing w:before="240" w:line="276" w:lineRule="auto"/>
        <w:ind w:left="0" w:hanging="567"/>
        <w:contextualSpacing w:val="0"/>
      </w:pPr>
      <w:r w:rsidRPr="00D815F5">
        <w:t xml:space="preserve">The text of Article 2.2. specifically refers to </w:t>
      </w:r>
      <w:r w:rsidR="002A4A17">
        <w:t>'</w:t>
      </w:r>
      <w:r w:rsidRPr="00D815F5">
        <w:t>legitimate objectives</w:t>
      </w:r>
      <w:r w:rsidR="002A4A17">
        <w:t>'</w:t>
      </w:r>
      <w:r w:rsidRPr="00D815F5">
        <w:t>, examples of which are listed in the provision.</w:t>
      </w:r>
      <w:r w:rsidR="008742C4" w:rsidRPr="00D815F5">
        <w:t xml:space="preserve"> </w:t>
      </w:r>
      <w:r w:rsidRPr="00D815F5">
        <w:t>That is, there is an explicit reference to objectives, and their consideration.</w:t>
      </w:r>
      <w:r w:rsidR="008742C4" w:rsidRPr="00D815F5">
        <w:t xml:space="preserve"> </w:t>
      </w:r>
      <w:r w:rsidRPr="00D815F5">
        <w:t xml:space="preserve">The legal test that has developed under Article 2.2—and similarly Articles 2.4, 2.5, and 5.2.4 where the term </w:t>
      </w:r>
      <w:r w:rsidR="002A4A17">
        <w:t>'</w:t>
      </w:r>
      <w:r w:rsidRPr="00D815F5">
        <w:t>legitimate</w:t>
      </w:r>
      <w:r w:rsidR="002A4A17">
        <w:t>'</w:t>
      </w:r>
      <w:r w:rsidRPr="00D815F5">
        <w:t xml:space="preserve"> also appears—therefore requires consideration of the objective</w:t>
      </w:r>
      <w:r w:rsidR="00CC57F6">
        <w:t>s'</w:t>
      </w:r>
      <w:r w:rsidRPr="00D815F5">
        <w:t xml:space="preserve"> legitimacy first, followed by an assessment of the trade measure</w:t>
      </w:r>
      <w:r w:rsidR="002A4A17">
        <w:t>'</w:t>
      </w:r>
      <w:r w:rsidRPr="00D815F5">
        <w:t>s necessity.</w:t>
      </w:r>
      <w:r w:rsidRPr="00D815F5">
        <w:rPr>
          <w:rStyle w:val="FootnoteReference"/>
        </w:rPr>
        <w:footnoteReference w:id="14"/>
      </w:r>
      <w:r w:rsidRPr="00D815F5">
        <w:t xml:space="preserve"> The latter includes consideration of the measure</w:t>
      </w:r>
      <w:r w:rsidR="002A4A17">
        <w:t>'</w:t>
      </w:r>
      <w:r w:rsidRPr="00D815F5">
        <w:t>s contribution to the objective</w:t>
      </w:r>
      <w:r w:rsidR="00CC57F6">
        <w:t>s</w:t>
      </w:r>
      <w:r w:rsidRPr="00D815F5">
        <w:t xml:space="preserve">, </w:t>
      </w:r>
      <w:r w:rsidR="00CC57F6">
        <w:t xml:space="preserve">its </w:t>
      </w:r>
      <w:r w:rsidRPr="00D815F5">
        <w:t>trade restrictiveness</w:t>
      </w:r>
      <w:r w:rsidR="00CC57F6">
        <w:t>,</w:t>
      </w:r>
      <w:r w:rsidRPr="00D815F5">
        <w:t xml:space="preserve"> and whether there are less trade restrictive alternatives.</w:t>
      </w:r>
      <w:r w:rsidRPr="00D815F5">
        <w:rPr>
          <w:rStyle w:val="FootnoteReference"/>
        </w:rPr>
        <w:footnoteReference w:id="15"/>
      </w:r>
      <w:bookmarkStart w:id="5" w:name="_Hlk106206063"/>
    </w:p>
    <w:p w14:paraId="588F0E9B" w14:textId="53B6EBE6" w:rsidR="00DF358E" w:rsidRPr="00D815F5" w:rsidRDefault="00A4627A" w:rsidP="2F28CF17">
      <w:pPr>
        <w:pStyle w:val="ListParagraph"/>
        <w:numPr>
          <w:ilvl w:val="0"/>
          <w:numId w:val="32"/>
        </w:numPr>
        <w:spacing w:before="240" w:line="276" w:lineRule="auto"/>
        <w:ind w:left="0" w:hanging="567"/>
        <w:contextualSpacing w:val="0"/>
      </w:pPr>
      <w:r w:rsidRPr="00D815F5">
        <w:t xml:space="preserve">Conversely, the text of Article 2.1 does not include any specific reference to </w:t>
      </w:r>
      <w:r w:rsidR="002A4A17">
        <w:t>'</w:t>
      </w:r>
      <w:r w:rsidRPr="00D815F5">
        <w:t>legitimate objectives</w:t>
      </w:r>
      <w:r w:rsidR="002A4A17">
        <w:t>'</w:t>
      </w:r>
      <w:r w:rsidRPr="00D815F5">
        <w:t xml:space="preserve"> or indeed any </w:t>
      </w:r>
      <w:r w:rsidR="002A4A17">
        <w:t>'</w:t>
      </w:r>
      <w:r w:rsidRPr="00D815F5">
        <w:t>objectives</w:t>
      </w:r>
      <w:r w:rsidR="002A4A17">
        <w:t>'</w:t>
      </w:r>
      <w:r w:rsidRPr="00D815F5">
        <w:t>.</w:t>
      </w:r>
      <w:r w:rsidR="008742C4" w:rsidRPr="00D815F5">
        <w:t xml:space="preserve"> </w:t>
      </w:r>
      <w:r w:rsidRPr="00D815F5">
        <w:t xml:space="preserve">The legal test of </w:t>
      </w:r>
      <w:r w:rsidR="002A4A17">
        <w:t>'</w:t>
      </w:r>
      <w:r w:rsidRPr="00D815F5">
        <w:t>legitimate regulatory distinction</w:t>
      </w:r>
      <w:r w:rsidR="002A4A17">
        <w:t>'</w:t>
      </w:r>
      <w:r w:rsidRPr="00D815F5">
        <w:t xml:space="preserve">, which has been applied in previous cases, is not present in the text itself but has been developed by the Appellate Body in interpreting the phrase </w:t>
      </w:r>
      <w:r w:rsidR="002A4A17">
        <w:lastRenderedPageBreak/>
        <w:t>'</w:t>
      </w:r>
      <w:r w:rsidRPr="00D815F5">
        <w:t>treatment no less favourable</w:t>
      </w:r>
      <w:r w:rsidR="002A4A17">
        <w:t>'</w:t>
      </w:r>
      <w:r w:rsidRPr="00D815F5">
        <w:t xml:space="preserve">. First, there is an assessment of whether there is a detrimental effect and second whether that is a result of the aforementioned </w:t>
      </w:r>
      <w:r w:rsidR="002A4A17">
        <w:t>'</w:t>
      </w:r>
      <w:r w:rsidRPr="00D815F5">
        <w:t>legitimate regulatory distinction</w:t>
      </w:r>
      <w:r w:rsidR="002A4A17">
        <w:t>'</w:t>
      </w:r>
      <w:r w:rsidRPr="00D815F5">
        <w:t>. That assessment entail</w:t>
      </w:r>
      <w:r w:rsidR="00903785" w:rsidRPr="00D815F5">
        <w:t>s</w:t>
      </w:r>
      <w:r w:rsidRPr="00D815F5">
        <w:t xml:space="preserve"> whether the detrimental impact which stems from the measure may be justified according to the objective</w:t>
      </w:r>
      <w:r w:rsidR="00CC57F6">
        <w:t>s</w:t>
      </w:r>
      <w:r w:rsidRPr="00D815F5">
        <w:t>.</w:t>
      </w:r>
      <w:r w:rsidR="00641F96" w:rsidRPr="00D815F5">
        <w:rPr>
          <w:rStyle w:val="FootnoteReference"/>
        </w:rPr>
        <w:footnoteReference w:id="16"/>
      </w:r>
      <w:r w:rsidR="00641F96" w:rsidRPr="00D815F5">
        <w:t xml:space="preserve"> </w:t>
      </w:r>
      <w:r w:rsidRPr="00D815F5">
        <w:t>However, it is not solely the objective</w:t>
      </w:r>
      <w:r w:rsidR="00CC57F6">
        <w:t>s</w:t>
      </w:r>
      <w:r w:rsidRPr="00D815F5">
        <w:t xml:space="preserve"> that must be considered </w:t>
      </w:r>
      <w:r w:rsidR="002A4A17">
        <w:t>'</w:t>
      </w:r>
      <w:r w:rsidRPr="00D815F5">
        <w:t>legitimate</w:t>
      </w:r>
      <w:r w:rsidR="002A4A17">
        <w:t>'</w:t>
      </w:r>
      <w:r w:rsidRPr="00D815F5">
        <w:t xml:space="preserve">, but also whether the regulatory distinction is </w:t>
      </w:r>
      <w:r w:rsidR="002A4A17">
        <w:t>'</w:t>
      </w:r>
      <w:r w:rsidRPr="00D815F5">
        <w:t>legitimate</w:t>
      </w:r>
      <w:r w:rsidR="002A4A17">
        <w:t>'</w:t>
      </w:r>
      <w:r w:rsidRPr="00D815F5">
        <w:t>. This involves an assessment of whether the objective</w:t>
      </w:r>
      <w:r w:rsidR="00CC57F6">
        <w:t>s</w:t>
      </w:r>
      <w:r w:rsidRPr="00D815F5">
        <w:t xml:space="preserve"> </w:t>
      </w:r>
      <w:r w:rsidR="00CC57F6">
        <w:t>are</w:t>
      </w:r>
      <w:r w:rsidRPr="00D815F5">
        <w:t xml:space="preserve"> justifiable, but, unlike the test in Article 2.2 where the objectiv</w:t>
      </w:r>
      <w:r w:rsidR="00583F88">
        <w:t xml:space="preserve">es are </w:t>
      </w:r>
      <w:r w:rsidRPr="00D815F5">
        <w:t>considered first, it occurs after determining whether there is detrimental effect.</w:t>
      </w:r>
      <w:bookmarkEnd w:id="5"/>
    </w:p>
    <w:p w14:paraId="6AF7BEA4" w14:textId="2B84AD9F" w:rsidR="00220E9E" w:rsidRPr="00D815F5" w:rsidRDefault="00DF358E" w:rsidP="2F28CF17">
      <w:pPr>
        <w:pStyle w:val="ListParagraph"/>
        <w:numPr>
          <w:ilvl w:val="0"/>
          <w:numId w:val="32"/>
        </w:numPr>
        <w:spacing w:before="240" w:line="276" w:lineRule="auto"/>
        <w:ind w:left="0" w:hanging="567"/>
        <w:contextualSpacing w:val="0"/>
      </w:pPr>
      <w:r>
        <w:t xml:space="preserve">Overall, while both the legal tests use the term </w:t>
      </w:r>
      <w:r w:rsidR="002A4A17">
        <w:t>'</w:t>
      </w:r>
      <w:r>
        <w:t>legitimate</w:t>
      </w:r>
      <w:r w:rsidR="002A4A17">
        <w:t>'</w:t>
      </w:r>
      <w:r>
        <w:t>, they are used differently, and not just to assess the objective</w:t>
      </w:r>
      <w:r w:rsidR="00583F88">
        <w:t>s</w:t>
      </w:r>
      <w:r>
        <w:t xml:space="preserve"> in the case of Article 2.1. </w:t>
      </w:r>
    </w:p>
    <w:p w14:paraId="678AE69E" w14:textId="74736376" w:rsidR="00211C81" w:rsidRPr="00D815F5" w:rsidRDefault="003B5285" w:rsidP="00211C81">
      <w:pPr>
        <w:pStyle w:val="ListParagraph"/>
        <w:spacing w:before="240" w:line="276" w:lineRule="auto"/>
        <w:ind w:left="0"/>
        <w:contextualSpacing w:val="0"/>
        <w:rPr>
          <w:b/>
          <w:bCs/>
        </w:rPr>
      </w:pPr>
      <w:r w:rsidRPr="00D815F5">
        <w:rPr>
          <w:b/>
          <w:bCs/>
          <w:u w:val="single"/>
        </w:rPr>
        <w:t>Q7</w:t>
      </w:r>
      <w:r w:rsidR="00220E9E" w:rsidRPr="00D815F5">
        <w:rPr>
          <w:b/>
          <w:bCs/>
          <w:u w:val="single"/>
        </w:rPr>
        <w:t xml:space="preserve"> To all third parties [Advance question 7]:</w:t>
      </w:r>
      <w:r w:rsidR="00220E9E" w:rsidRPr="00D815F5">
        <w:rPr>
          <w:b/>
          <w:bCs/>
        </w:rPr>
        <w:t xml:space="preserve"> The European Union submits, in the context of Article 2.2 of the TBT Agreement, that </w:t>
      </w:r>
      <w:r w:rsidR="002A4A17">
        <w:rPr>
          <w:b/>
          <w:bCs/>
        </w:rPr>
        <w:t>"</w:t>
      </w:r>
      <w:r w:rsidR="00220E9E" w:rsidRPr="00D815F5">
        <w:rPr>
          <w:b/>
          <w:bCs/>
        </w:rPr>
        <w:t>[a]</w:t>
      </w:r>
      <w:proofErr w:type="spellStart"/>
      <w:r w:rsidR="00220E9E" w:rsidRPr="00D815F5">
        <w:rPr>
          <w:b/>
          <w:bCs/>
        </w:rPr>
        <w:t>ny</w:t>
      </w:r>
      <w:proofErr w:type="spellEnd"/>
      <w:r w:rsidR="00220E9E" w:rsidRPr="00D815F5">
        <w:rPr>
          <w:b/>
          <w:bCs/>
        </w:rPr>
        <w:t xml:space="preserve"> trade restrictiveness [of the measures at issue] should also be pondered against trade enhancing effects towards other WTO Members.</w:t>
      </w:r>
      <w:r w:rsidR="002A4A17">
        <w:rPr>
          <w:b/>
          <w:bCs/>
        </w:rPr>
        <w:t>"</w:t>
      </w:r>
      <w:r w:rsidR="00220E9E" w:rsidRPr="00D815F5">
        <w:rPr>
          <w:b/>
          <w:bCs/>
        </w:rPr>
        <w:t xml:space="preserve"> (European Union</w:t>
      </w:r>
      <w:r w:rsidR="002A4A17">
        <w:rPr>
          <w:b/>
          <w:bCs/>
        </w:rPr>
        <w:t>'</w:t>
      </w:r>
      <w:r w:rsidR="00220E9E" w:rsidRPr="00D815F5">
        <w:rPr>
          <w:b/>
          <w:bCs/>
        </w:rPr>
        <w:t>s first written submission, para. 975) Do you agree with this assertion?</w:t>
      </w:r>
    </w:p>
    <w:p w14:paraId="7C489885" w14:textId="02D08F2E" w:rsidR="008719EF" w:rsidRPr="00D815F5" w:rsidRDefault="00211C81" w:rsidP="2F28CF17">
      <w:pPr>
        <w:pStyle w:val="ListParagraph"/>
        <w:numPr>
          <w:ilvl w:val="0"/>
          <w:numId w:val="32"/>
        </w:numPr>
        <w:spacing w:before="240" w:line="276" w:lineRule="auto"/>
        <w:ind w:left="0" w:hanging="567"/>
        <w:contextualSpacing w:val="0"/>
      </w:pPr>
      <w:r w:rsidRPr="00D815F5">
        <w:t xml:space="preserve">Australia has provided a detailed assessment of the legal test for </w:t>
      </w:r>
      <w:r w:rsidR="002A4A17">
        <w:t>'</w:t>
      </w:r>
      <w:r w:rsidRPr="00D815F5">
        <w:t>trade restrictiveness</w:t>
      </w:r>
      <w:r w:rsidR="002A4A17">
        <w:t>'</w:t>
      </w:r>
      <w:r w:rsidRPr="00D815F5">
        <w:t xml:space="preserve"> in its written submission.</w:t>
      </w:r>
      <w:r w:rsidRPr="00D815F5">
        <w:rPr>
          <w:rStyle w:val="FootnoteReference"/>
        </w:rPr>
        <w:footnoteReference w:id="17"/>
      </w:r>
      <w:r w:rsidRPr="00D815F5">
        <w:t xml:space="preserve"> Australia</w:t>
      </w:r>
      <w:r w:rsidR="002A4A17">
        <w:t>'</w:t>
      </w:r>
      <w:r w:rsidRPr="00D815F5">
        <w:t xml:space="preserve">s answer here will specifically focus on the legal issue of </w:t>
      </w:r>
      <w:r w:rsidR="002A4A17">
        <w:t>'</w:t>
      </w:r>
      <w:r w:rsidRPr="00D815F5">
        <w:t>trade enhancing effects</w:t>
      </w:r>
      <w:r w:rsidR="002A4A17">
        <w:t>'</w:t>
      </w:r>
      <w:r w:rsidRPr="00D815F5">
        <w:t xml:space="preserve">. </w:t>
      </w:r>
    </w:p>
    <w:p w14:paraId="6F8F701E" w14:textId="2190A6F4" w:rsidR="00A35506" w:rsidRPr="00D815F5" w:rsidRDefault="008719EF" w:rsidP="2F28CF17">
      <w:pPr>
        <w:pStyle w:val="ListParagraph"/>
        <w:numPr>
          <w:ilvl w:val="0"/>
          <w:numId w:val="32"/>
        </w:numPr>
        <w:spacing w:before="240" w:line="276" w:lineRule="auto"/>
        <w:ind w:left="0" w:hanging="567"/>
        <w:contextualSpacing w:val="0"/>
      </w:pPr>
      <w:r w:rsidRPr="00D815F5">
        <w:t>The legal standard under Article 2.2 requires a demonstration that the technical regulation at issue imposes a limiting effect on international trade.</w:t>
      </w:r>
      <w:r w:rsidRPr="00D815F5">
        <w:rPr>
          <w:rStyle w:val="FootnoteReference"/>
        </w:rPr>
        <w:footnoteReference w:id="18"/>
      </w:r>
      <w:r w:rsidRPr="00D815F5">
        <w:t xml:space="preserve"> This usually refers to conditions of competition between domestic and imported products (the national treatment obligation) or non-discrimination between imported products (the most-favoured-nation obligation). For national treatment purposes, changed conditions for imported products compared to domestic products might be enough to indicate that a measure is trade restrictive for the purposes of Article 2.2.</w:t>
      </w:r>
      <w:r w:rsidRPr="00D815F5">
        <w:rPr>
          <w:rStyle w:val="FootnoteReference"/>
        </w:rPr>
        <w:footnoteReference w:id="19"/>
      </w:r>
      <w:r w:rsidRPr="00D815F5">
        <w:t xml:space="preserve"> However, we recall the Appellate Body in </w:t>
      </w:r>
      <w:r w:rsidRPr="2F28CF17">
        <w:rPr>
          <w:i/>
          <w:iCs/>
        </w:rPr>
        <w:t>Australia – Tobacco Plain Packaging</w:t>
      </w:r>
      <w:r w:rsidRPr="00D815F5">
        <w:t xml:space="preserve"> found the </w:t>
      </w:r>
      <w:r w:rsidR="002A4A17">
        <w:t>'</w:t>
      </w:r>
      <w:r w:rsidRPr="00D815F5">
        <w:t>mere fact of modification of the conditions of competition in a market would not necessarily suffice for a panel to conclude on the degree of trade restrictiveness, if any, of a particular technical regulation.</w:t>
      </w:r>
      <w:r w:rsidR="002A4A17">
        <w:t>'</w:t>
      </w:r>
      <w:r w:rsidRPr="00D815F5">
        <w:rPr>
          <w:rStyle w:val="FootnoteReference"/>
        </w:rPr>
        <w:footnoteReference w:id="20"/>
      </w:r>
      <w:r w:rsidRPr="00D815F5">
        <w:t xml:space="preserve"> </w:t>
      </w:r>
    </w:p>
    <w:p w14:paraId="1CD4477F" w14:textId="3D2CCB54" w:rsidR="00E06F70" w:rsidRPr="00D815F5" w:rsidRDefault="00A35506" w:rsidP="2F28CF17">
      <w:pPr>
        <w:pStyle w:val="ListParagraph"/>
        <w:numPr>
          <w:ilvl w:val="0"/>
          <w:numId w:val="32"/>
        </w:numPr>
        <w:spacing w:before="240" w:line="276" w:lineRule="auto"/>
        <w:ind w:left="0" w:hanging="567"/>
        <w:contextualSpacing w:val="0"/>
      </w:pPr>
      <w:r w:rsidRPr="00D815F5">
        <w:t xml:space="preserve">The Appellate Body in </w:t>
      </w:r>
      <w:r w:rsidRPr="2F28CF17">
        <w:rPr>
          <w:i/>
          <w:iCs/>
        </w:rPr>
        <w:t>Australia – Tobacco Plain Packaging</w:t>
      </w:r>
      <w:r w:rsidRPr="00D815F5">
        <w:t>, also considered reduction in competitive opportunities for some imported products compared to other products—including domestic, from other Members, and other products from the same Member.</w:t>
      </w:r>
      <w:r w:rsidRPr="00D815F5">
        <w:rPr>
          <w:rStyle w:val="FootnoteReference"/>
        </w:rPr>
        <w:footnoteReference w:id="21"/>
      </w:r>
      <w:r w:rsidRPr="00D815F5">
        <w:t xml:space="preserve"> In reiterating that a panel must assess the degree to which a measure </w:t>
      </w:r>
      <w:r w:rsidRPr="00D815F5">
        <w:lastRenderedPageBreak/>
        <w:t xml:space="preserve">causes a limiting effect on international trade, it recalled the Panel (in that case) had decided </w:t>
      </w:r>
      <w:r w:rsidR="002A4A17">
        <w:t>'</w:t>
      </w:r>
      <w:r w:rsidRPr="00D815F5">
        <w:t>consideration can be given to b</w:t>
      </w:r>
      <w:r w:rsidRPr="004E2697">
        <w:t xml:space="preserve">oth </w:t>
      </w:r>
      <w:r w:rsidR="002A4A17" w:rsidRPr="004E2697">
        <w:t>"</w:t>
      </w:r>
      <w:r w:rsidRPr="004E2697">
        <w:t>import-enhancing and import-reducing effects on the trade of other members</w:t>
      </w:r>
      <w:r w:rsidR="002A4A17" w:rsidRPr="004E2697">
        <w:t>"</w:t>
      </w:r>
      <w:r w:rsidRPr="004E2697">
        <w:t>.</w:t>
      </w:r>
      <w:r w:rsidR="002A4A17" w:rsidRPr="004E2697">
        <w:t>'</w:t>
      </w:r>
      <w:r w:rsidRPr="004E2697">
        <w:rPr>
          <w:rStyle w:val="FootnoteReference"/>
        </w:rPr>
        <w:footnoteReference w:id="22"/>
      </w:r>
      <w:r w:rsidRPr="00D815F5">
        <w:t xml:space="preserve"> This leaves open the possibility for trade-enhancing effects to be considered when assessing the measures. </w:t>
      </w:r>
    </w:p>
    <w:p w14:paraId="23D30EC6" w14:textId="04C0E59E" w:rsidR="00D664F9" w:rsidRPr="00D815F5" w:rsidRDefault="00E06F70" w:rsidP="2F28CF17">
      <w:pPr>
        <w:pStyle w:val="ListParagraph"/>
        <w:numPr>
          <w:ilvl w:val="0"/>
          <w:numId w:val="32"/>
        </w:numPr>
        <w:spacing w:before="240" w:line="276" w:lineRule="auto"/>
        <w:ind w:left="0" w:hanging="567"/>
        <w:contextualSpacing w:val="0"/>
      </w:pPr>
      <w:r w:rsidRPr="00D815F5">
        <w:t xml:space="preserve">However, that does not mean a </w:t>
      </w:r>
      <w:r w:rsidR="00D664F9" w:rsidRPr="00D815F5">
        <w:t xml:space="preserve">panel </w:t>
      </w:r>
      <w:r w:rsidRPr="00D815F5">
        <w:t xml:space="preserve">should not consider the conditions of competition </w:t>
      </w:r>
      <w:proofErr w:type="gramStart"/>
      <w:r w:rsidRPr="00D815F5">
        <w:t>as a whole for</w:t>
      </w:r>
      <w:proofErr w:type="gramEnd"/>
      <w:r w:rsidRPr="00D815F5">
        <w:t xml:space="preserve"> imported products from a Member.</w:t>
      </w:r>
      <w:r w:rsidRPr="00D815F5">
        <w:rPr>
          <w:rStyle w:val="FootnoteReference"/>
        </w:rPr>
        <w:footnoteReference w:id="23"/>
      </w:r>
      <w:r w:rsidRPr="00D815F5">
        <w:t xml:space="preserve"> In Australia</w:t>
      </w:r>
      <w:r w:rsidR="002A4A17">
        <w:t>'</w:t>
      </w:r>
      <w:r w:rsidRPr="00D815F5">
        <w:t>s view</w:t>
      </w:r>
      <w:r w:rsidR="00D664F9" w:rsidRPr="00D815F5">
        <w:t xml:space="preserve">, in the context of a most-favoured-nation assessment, </w:t>
      </w:r>
      <w:r w:rsidRPr="00D815F5">
        <w:t>any trade-enhancing effects can be taken into account when considering conditions of competition as a whole for products from a particular Member</w:t>
      </w:r>
      <w:r w:rsidR="00D664F9" w:rsidRPr="00D815F5">
        <w:t xml:space="preserve">. However, this does not mean that trade-enhancing effects for one Member would cancel out trade-restrictive effects for another Member. </w:t>
      </w:r>
    </w:p>
    <w:p w14:paraId="6BB07CA9" w14:textId="24199C24" w:rsidR="00816B3E" w:rsidRPr="00D815F5" w:rsidRDefault="00816B3E">
      <w:pPr>
        <w:pStyle w:val="ListParagraph"/>
        <w:spacing w:before="240" w:line="276" w:lineRule="auto"/>
        <w:ind w:left="0"/>
        <w:contextualSpacing w:val="0"/>
        <w:rPr>
          <w:b/>
          <w:bCs/>
        </w:rPr>
      </w:pPr>
      <w:r w:rsidRPr="00D815F5">
        <w:rPr>
          <w:b/>
          <w:bCs/>
          <w:u w:val="single"/>
        </w:rPr>
        <w:t>Q17 [Advance question 15]:</w:t>
      </w:r>
      <w:r w:rsidRPr="00D815F5">
        <w:rPr>
          <w:b/>
          <w:bCs/>
        </w:rPr>
        <w:t xml:space="preserve"> the European Union argues that </w:t>
      </w:r>
      <w:r w:rsidR="002A4A17">
        <w:rPr>
          <w:b/>
          <w:bCs/>
        </w:rPr>
        <w:t>"</w:t>
      </w:r>
      <w:r w:rsidRPr="00D815F5">
        <w:rPr>
          <w:b/>
          <w:bCs/>
        </w:rPr>
        <w:t>any hypothetical negative effect of the high ILUC-risk cap and high ILUC-risk phase-out on the import of palm oil biofuels in the European Union is not due to the fact that the high ILUC-risk cap and the high ILUC-risk phase-out impose or make effective a condition limiting the quantity of imports of those products, but - according to Malaysia itself - the consequence of a purely internal event, i.e. a supposed decrease in domestic demand for those products due to their reduced eligibility for the EU renewable energy target.</w:t>
      </w:r>
      <w:r w:rsidR="002A4A17">
        <w:rPr>
          <w:b/>
          <w:bCs/>
        </w:rPr>
        <w:t>"</w:t>
      </w:r>
      <w:r w:rsidRPr="00D815F5">
        <w:rPr>
          <w:b/>
          <w:bCs/>
        </w:rPr>
        <w:t xml:space="preserve"> (European Union</w:t>
      </w:r>
      <w:r w:rsidR="002A4A17">
        <w:rPr>
          <w:b/>
          <w:bCs/>
        </w:rPr>
        <w:t>'</w:t>
      </w:r>
      <w:r w:rsidRPr="00D815F5">
        <w:rPr>
          <w:b/>
          <w:bCs/>
        </w:rPr>
        <w:t xml:space="preserve">s first written submission, para. 1202) </w:t>
      </w:r>
    </w:p>
    <w:p w14:paraId="56F8C020" w14:textId="3EB0F034" w:rsidR="00816B3E" w:rsidRPr="00D815F5" w:rsidRDefault="00816B3E" w:rsidP="004F2C0D">
      <w:pPr>
        <w:pStyle w:val="ListParagraph"/>
        <w:spacing w:before="240" w:line="276" w:lineRule="auto"/>
        <w:ind w:left="0"/>
        <w:contextualSpacing w:val="0"/>
        <w:rPr>
          <w:b/>
          <w:bCs/>
        </w:rPr>
      </w:pPr>
      <w:r w:rsidRPr="00D815F5">
        <w:rPr>
          <w:b/>
          <w:bCs/>
        </w:rPr>
        <w:t xml:space="preserve">In </w:t>
      </w:r>
      <w:r w:rsidRPr="00D815F5">
        <w:rPr>
          <w:b/>
          <w:bCs/>
          <w:i/>
          <w:iCs/>
        </w:rPr>
        <w:t>Dominican Republic – Import and Sale of Cigarettes</w:t>
      </w:r>
      <w:r w:rsidRPr="00D815F5">
        <w:rPr>
          <w:b/>
          <w:bCs/>
        </w:rPr>
        <w:t xml:space="preserve">, the panel considered the meaning of restriction on importation under Article XI:1 to be a limitation </w:t>
      </w:r>
      <w:r w:rsidR="002A4A17">
        <w:rPr>
          <w:b/>
          <w:bCs/>
        </w:rPr>
        <w:t>"</w:t>
      </w:r>
      <w:r w:rsidRPr="00D815F5">
        <w:rPr>
          <w:b/>
          <w:bCs/>
        </w:rPr>
        <w:t>specifically related to the importation</w:t>
      </w:r>
      <w:r w:rsidR="002A4A17">
        <w:rPr>
          <w:b/>
          <w:bCs/>
        </w:rPr>
        <w:t>"</w:t>
      </w:r>
      <w:r w:rsidRPr="00D815F5">
        <w:rPr>
          <w:b/>
          <w:bCs/>
        </w:rPr>
        <w:t xml:space="preserve"> or one that is </w:t>
      </w:r>
      <w:r w:rsidR="002A4A17">
        <w:rPr>
          <w:b/>
          <w:bCs/>
        </w:rPr>
        <w:t>"</w:t>
      </w:r>
      <w:r w:rsidRPr="00D815F5">
        <w:rPr>
          <w:b/>
          <w:bCs/>
        </w:rPr>
        <w:t xml:space="preserve">instituted or maintained </w:t>
      </w:r>
      <w:r w:rsidR="002A4A17">
        <w:rPr>
          <w:b/>
          <w:bCs/>
        </w:rPr>
        <w:t>'</w:t>
      </w:r>
      <w:r w:rsidRPr="00D815F5">
        <w:rPr>
          <w:b/>
          <w:bCs/>
        </w:rPr>
        <w:t>with regard to</w:t>
      </w:r>
      <w:r w:rsidR="002A4A17">
        <w:rPr>
          <w:b/>
          <w:bCs/>
        </w:rPr>
        <w:t>'</w:t>
      </w:r>
      <w:r w:rsidRPr="00D815F5">
        <w:rPr>
          <w:b/>
          <w:bCs/>
        </w:rPr>
        <w:t xml:space="preserve"> or </w:t>
      </w:r>
      <w:r w:rsidR="002A4A17">
        <w:rPr>
          <w:b/>
          <w:bCs/>
        </w:rPr>
        <w:t>'</w:t>
      </w:r>
      <w:r w:rsidRPr="00D815F5">
        <w:rPr>
          <w:b/>
          <w:bCs/>
        </w:rPr>
        <w:t>in connection with</w:t>
      </w:r>
      <w:r w:rsidR="002A4A17">
        <w:rPr>
          <w:b/>
          <w:bCs/>
        </w:rPr>
        <w:t>'"</w:t>
      </w:r>
      <w:r w:rsidRPr="00D815F5">
        <w:rPr>
          <w:b/>
          <w:bCs/>
        </w:rPr>
        <w:t xml:space="preserve"> importation. </w:t>
      </w:r>
    </w:p>
    <w:p w14:paraId="44D586F0" w14:textId="77777777" w:rsidR="006532AD" w:rsidRPr="00D815F5" w:rsidRDefault="00816B3E" w:rsidP="004F2C0D">
      <w:pPr>
        <w:pStyle w:val="ListParagraph"/>
        <w:spacing w:before="240" w:line="276" w:lineRule="auto"/>
        <w:ind w:left="0"/>
        <w:contextualSpacing w:val="0"/>
        <w:rPr>
          <w:b/>
          <w:bCs/>
        </w:rPr>
      </w:pPr>
      <w:r w:rsidRPr="00D815F5">
        <w:rPr>
          <w:b/>
          <w:bCs/>
        </w:rPr>
        <w:t>Does a measure which decreases domestic demand amount to a restriction on importation under Article XI:1 of the GATT 1994? Or is the influence of such a measure on demand for imported products an incidental effect that is not relevant for the purpose of Article XI:1?</w:t>
      </w:r>
    </w:p>
    <w:p w14:paraId="48C2CE5A" w14:textId="6D83CDF9" w:rsidR="00815C01" w:rsidRPr="00D815F5" w:rsidRDefault="006532AD" w:rsidP="2F28CF17">
      <w:pPr>
        <w:pStyle w:val="ListParagraph"/>
        <w:numPr>
          <w:ilvl w:val="0"/>
          <w:numId w:val="32"/>
        </w:numPr>
        <w:spacing w:before="240" w:line="276" w:lineRule="auto"/>
        <w:ind w:left="0" w:hanging="567"/>
        <w:contextualSpacing w:val="0"/>
      </w:pPr>
      <w:r>
        <w:t xml:space="preserve">Australia is not commenting on the specific facts of the case but the legal test which should be applied for GATT Article XI:1. That test applies to measures which are restrictions effective </w:t>
      </w:r>
      <w:r w:rsidR="002A4A17">
        <w:t>'</w:t>
      </w:r>
      <w:r>
        <w:t>on the importation</w:t>
      </w:r>
      <w:r w:rsidR="002A4A17">
        <w:t>'</w:t>
      </w:r>
      <w:r>
        <w:t xml:space="preserve"> of goods. The text of the Article refers to measures </w:t>
      </w:r>
      <w:r w:rsidR="002A4A17">
        <w:t>'</w:t>
      </w:r>
      <w:r>
        <w:t>other than duties, taxes or other charges</w:t>
      </w:r>
      <w:r w:rsidR="002A4A17">
        <w:t>'</w:t>
      </w:r>
      <w:r>
        <w:t xml:space="preserve"> which seek to restrict goods being imported or exported. Article XI does not prohibit </w:t>
      </w:r>
      <w:r w:rsidRPr="2F28CF17">
        <w:rPr>
          <w:i/>
          <w:iCs/>
        </w:rPr>
        <w:t xml:space="preserve">all </w:t>
      </w:r>
      <w:r>
        <w:t xml:space="preserve">barriers to entry into the market, but </w:t>
      </w:r>
      <w:r w:rsidRPr="2F28CF17">
        <w:rPr>
          <w:i/>
          <w:iCs/>
        </w:rPr>
        <w:t>only</w:t>
      </w:r>
      <w:r>
        <w:t xml:space="preserve"> those that constitute prohibitions or restrictions on the importation (or exportation) of the products. </w:t>
      </w:r>
    </w:p>
    <w:p w14:paraId="259F03D7" w14:textId="5B31B919" w:rsidR="00AA378D" w:rsidRPr="00D815F5" w:rsidRDefault="00815C01" w:rsidP="00AA378D">
      <w:pPr>
        <w:pStyle w:val="ListParagraph"/>
        <w:numPr>
          <w:ilvl w:val="0"/>
          <w:numId w:val="32"/>
        </w:numPr>
        <w:spacing w:before="240" w:line="276" w:lineRule="auto"/>
        <w:ind w:left="0" w:hanging="567"/>
        <w:contextualSpacing w:val="0"/>
      </w:pPr>
      <w:r w:rsidRPr="00D815F5">
        <w:t xml:space="preserve">To judge whether a measure is subject to GATT Article XI:1, Australia refers to the Panel Reports in </w:t>
      </w:r>
      <w:r w:rsidRPr="00D815F5">
        <w:rPr>
          <w:i/>
          <w:iCs/>
        </w:rPr>
        <w:t>Dominican Republic – Import and Sale of Cigarettes</w:t>
      </w:r>
      <w:r w:rsidRPr="00D815F5">
        <w:t xml:space="preserve"> and </w:t>
      </w:r>
      <w:r w:rsidRPr="00D815F5">
        <w:rPr>
          <w:i/>
          <w:iCs/>
        </w:rPr>
        <w:t xml:space="preserve">India – </w:t>
      </w:r>
      <w:r w:rsidRPr="00D815F5">
        <w:rPr>
          <w:i/>
          <w:iCs/>
        </w:rPr>
        <w:lastRenderedPageBreak/>
        <w:t>Autos</w:t>
      </w:r>
      <w:r w:rsidRPr="00D815F5">
        <w:t xml:space="preserve">, where the ordinary meaning of a restriction </w:t>
      </w:r>
      <w:r w:rsidR="002A4A17">
        <w:t>'</w:t>
      </w:r>
      <w:r w:rsidRPr="00D815F5">
        <w:t>on</w:t>
      </w:r>
      <w:r w:rsidR="002A4A17">
        <w:t>'</w:t>
      </w:r>
      <w:r w:rsidRPr="00D815F5">
        <w:t xml:space="preserve"> importation was </w:t>
      </w:r>
      <w:r w:rsidR="00372FE3">
        <w:t xml:space="preserve">described as </w:t>
      </w:r>
      <w:r w:rsidR="00ED305B">
        <w:t xml:space="preserve">  </w:t>
      </w:r>
      <w:r w:rsidR="002A4A17">
        <w:t>'</w:t>
      </w:r>
      <w:r w:rsidRPr="00D815F5">
        <w:t>with respect to</w:t>
      </w:r>
      <w:r w:rsidR="002A4A17">
        <w:t>'</w:t>
      </w:r>
      <w:r w:rsidRPr="00D815F5">
        <w:t xml:space="preserve"> importation.</w:t>
      </w:r>
      <w:r w:rsidRPr="00D815F5">
        <w:rPr>
          <w:rStyle w:val="FootnoteReference"/>
        </w:rPr>
        <w:footnoteReference w:id="24"/>
      </w:r>
      <w:r w:rsidRPr="00D815F5">
        <w:t xml:space="preserve"> That is, for a restriction to be subject to Article XI:1, it should be </w:t>
      </w:r>
      <w:r w:rsidR="002A4A17">
        <w:t>'</w:t>
      </w:r>
      <w:r w:rsidRPr="00D815F5">
        <w:t>with regard to</w:t>
      </w:r>
      <w:r w:rsidR="002A4A17">
        <w:t>'</w:t>
      </w:r>
      <w:r w:rsidRPr="00D815F5">
        <w:t xml:space="preserve"> or </w:t>
      </w:r>
      <w:r w:rsidR="002A4A17">
        <w:t>'</w:t>
      </w:r>
      <w:r w:rsidRPr="00D815F5">
        <w:t>in connection with</w:t>
      </w:r>
      <w:r w:rsidR="002A4A17">
        <w:t>'</w:t>
      </w:r>
      <w:r w:rsidRPr="00D815F5">
        <w:t xml:space="preserve"> the importation of the relevant product.</w:t>
      </w:r>
      <w:r w:rsidRPr="00D815F5">
        <w:rPr>
          <w:rStyle w:val="FootnoteReference"/>
        </w:rPr>
        <w:footnoteReference w:id="25"/>
      </w:r>
    </w:p>
    <w:p w14:paraId="343A5461" w14:textId="66D7B5A8" w:rsidR="00EA3C01" w:rsidRPr="00D815F5" w:rsidRDefault="00AA378D" w:rsidP="2F28CF17">
      <w:pPr>
        <w:pStyle w:val="ListParagraph"/>
        <w:numPr>
          <w:ilvl w:val="0"/>
          <w:numId w:val="32"/>
        </w:numPr>
        <w:spacing w:before="240" w:line="276" w:lineRule="auto"/>
        <w:ind w:left="0" w:hanging="567"/>
        <w:contextualSpacing w:val="0"/>
      </w:pPr>
      <w:r w:rsidRPr="00D815F5">
        <w:t>The coverage of Article XI and Article III:4 is distinct. In the case of imported products, Article XI:1 applies to products at the point of importation (as they enter the market) and Article III:4 applies to products after they have been imported (when they are already in the market). While the scope of Article XI:1 has been interpreted broadly, it should not be interpreted so broadly as to render Article III:4 meaningless.</w:t>
      </w:r>
      <w:r w:rsidR="008742C4" w:rsidRPr="00D815F5">
        <w:t xml:space="preserve"> </w:t>
      </w:r>
      <w:r w:rsidRPr="00D815F5">
        <w:t>There are also clear parameters on Article XI:1 in the text of the GATT.</w:t>
      </w:r>
      <w:r w:rsidR="008742C4" w:rsidRPr="00D815F5">
        <w:t xml:space="preserve"> </w:t>
      </w:r>
      <w:r w:rsidRPr="2F28CF17">
        <w:rPr>
          <w:i/>
          <w:iCs/>
        </w:rPr>
        <w:t>Note Ad to Article III</w:t>
      </w:r>
      <w:r w:rsidRPr="00D815F5">
        <w:t xml:space="preserve"> explicitly says that even if a measure covered by Article III:4 is enforced at the border, it is still covered by Article III, not Article XI. This means any measure which is not </w:t>
      </w:r>
      <w:r w:rsidRPr="2F28CF17">
        <w:rPr>
          <w:i/>
          <w:iCs/>
        </w:rPr>
        <w:t>exclusively</w:t>
      </w:r>
      <w:r w:rsidRPr="00D815F5">
        <w:t xml:space="preserve"> </w:t>
      </w:r>
      <w:r w:rsidR="002A4A17">
        <w:t>'</w:t>
      </w:r>
      <w:r w:rsidRPr="00D815F5">
        <w:t>with regard to</w:t>
      </w:r>
      <w:r w:rsidR="002A4A17">
        <w:t>'</w:t>
      </w:r>
      <w:r w:rsidRPr="00D815F5">
        <w:t xml:space="preserve"> or </w:t>
      </w:r>
      <w:r w:rsidR="002A4A17">
        <w:t>'</w:t>
      </w:r>
      <w:r w:rsidRPr="00D815F5">
        <w:t>in connection</w:t>
      </w:r>
      <w:r w:rsidR="002A4A17">
        <w:t>'</w:t>
      </w:r>
      <w:r w:rsidRPr="00D815F5">
        <w:t xml:space="preserve"> with importation, even when it is enforced at the border, would be considered an internal </w:t>
      </w:r>
      <w:proofErr w:type="gramStart"/>
      <w:r w:rsidRPr="00D815F5">
        <w:t>measure</w:t>
      </w:r>
      <w:proofErr w:type="gramEnd"/>
      <w:r w:rsidRPr="00D815F5">
        <w:t xml:space="preserve"> and covered by Article III.</w:t>
      </w:r>
      <w:r w:rsidRPr="00D815F5">
        <w:rPr>
          <w:rStyle w:val="FootnoteReference"/>
        </w:rPr>
        <w:footnoteReference w:id="26"/>
      </w:r>
      <w:r w:rsidRPr="00D815F5">
        <w:t xml:space="preserve"> </w:t>
      </w:r>
    </w:p>
    <w:p w14:paraId="1579F845" w14:textId="47B6C25B" w:rsidR="004F2C0D" w:rsidRPr="00D815F5" w:rsidRDefault="00EA3C01" w:rsidP="2F28CF17">
      <w:pPr>
        <w:pStyle w:val="ListParagraph"/>
        <w:numPr>
          <w:ilvl w:val="0"/>
          <w:numId w:val="32"/>
        </w:numPr>
        <w:spacing w:before="240" w:line="276" w:lineRule="auto"/>
        <w:ind w:left="0" w:hanging="567"/>
        <w:contextualSpacing w:val="0"/>
      </w:pPr>
      <w:r w:rsidRPr="00D815F5">
        <w:t xml:space="preserve">To decide whether a measure is </w:t>
      </w:r>
      <w:r w:rsidR="002A4A17">
        <w:t>'</w:t>
      </w:r>
      <w:r w:rsidRPr="00D815F5">
        <w:t>with regard to</w:t>
      </w:r>
      <w:r w:rsidR="002A4A17">
        <w:t>'</w:t>
      </w:r>
      <w:r w:rsidRPr="00D815F5">
        <w:t xml:space="preserve"> or </w:t>
      </w:r>
      <w:r w:rsidR="002A4A17">
        <w:t>'</w:t>
      </w:r>
      <w:r w:rsidRPr="00D815F5">
        <w:t>in connection</w:t>
      </w:r>
      <w:r w:rsidR="002A4A17">
        <w:t>'</w:t>
      </w:r>
      <w:r w:rsidRPr="00D815F5">
        <w:t xml:space="preserve"> with importation, a panel should consider the design, </w:t>
      </w:r>
      <w:proofErr w:type="gramStart"/>
      <w:r w:rsidRPr="00D815F5">
        <w:t>context</w:t>
      </w:r>
      <w:proofErr w:type="gramEnd"/>
      <w:r w:rsidRPr="00D815F5">
        <w:t xml:space="preserve"> and architecture of the measure</w:t>
      </w:r>
      <w:r w:rsidRPr="00D815F5">
        <w:rPr>
          <w:rStyle w:val="FootnoteReference"/>
        </w:rPr>
        <w:footnoteReference w:id="27"/>
      </w:r>
      <w:r w:rsidRPr="00D815F5">
        <w:t xml:space="preserve"> and consider if the measure is </w:t>
      </w:r>
      <w:r w:rsidRPr="2F28CF17">
        <w:rPr>
          <w:i/>
          <w:iCs/>
        </w:rPr>
        <w:t>in essence</w:t>
      </w:r>
      <w:r w:rsidRPr="00D815F5">
        <w:t xml:space="preserve"> one that operates as a restriction.</w:t>
      </w:r>
      <w:r w:rsidRPr="00D815F5">
        <w:rPr>
          <w:rStyle w:val="FootnoteReference"/>
        </w:rPr>
        <w:footnoteReference w:id="28"/>
      </w:r>
      <w:r w:rsidR="008742C4" w:rsidRPr="00D815F5">
        <w:t xml:space="preserve"> </w:t>
      </w:r>
      <w:r w:rsidRPr="00D815F5">
        <w:t>Whether a decrease in demand meets those requirements will depend on the facts of the case.</w:t>
      </w:r>
    </w:p>
    <w:p w14:paraId="429DBE96" w14:textId="59F1DE1E" w:rsidR="00636A92" w:rsidRPr="00D815F5" w:rsidRDefault="004F2C0D" w:rsidP="2F28CF17">
      <w:pPr>
        <w:pStyle w:val="ListParagraph"/>
        <w:numPr>
          <w:ilvl w:val="0"/>
          <w:numId w:val="32"/>
        </w:numPr>
        <w:spacing w:before="240" w:line="276" w:lineRule="auto"/>
        <w:ind w:left="0" w:hanging="567"/>
        <w:contextualSpacing w:val="0"/>
      </w:pPr>
      <w:r>
        <w:t>However, in Australia</w:t>
      </w:r>
      <w:r w:rsidR="002A4A17">
        <w:t>'</w:t>
      </w:r>
      <w:r>
        <w:t>s view</w:t>
      </w:r>
      <w:proofErr w:type="gramStart"/>
      <w:r>
        <w:t>, generally speaking, a</w:t>
      </w:r>
      <w:proofErr w:type="gramEnd"/>
      <w:r>
        <w:t xml:space="preserve"> measure which has an incidental effect on imports because of a decrease in domestic demand, is more likely to be considered an internal measure, rather than an import restriction. </w:t>
      </w:r>
    </w:p>
    <w:p w14:paraId="2F5A002D" w14:textId="18CBFE2D" w:rsidR="00FB2C4A" w:rsidRPr="00D815F5" w:rsidRDefault="00FB2C4A" w:rsidP="00220083">
      <w:pPr>
        <w:pStyle w:val="ListParagraph"/>
        <w:spacing w:before="240" w:line="276" w:lineRule="auto"/>
        <w:ind w:left="0"/>
        <w:contextualSpacing w:val="0"/>
        <w:rPr>
          <w:b/>
          <w:lang w:val="en-GB"/>
        </w:rPr>
      </w:pPr>
      <w:r w:rsidRPr="00D815F5">
        <w:rPr>
          <w:b/>
          <w:u w:val="single"/>
          <w:lang w:val="en-GB"/>
        </w:rPr>
        <w:t>Q19</w:t>
      </w:r>
      <w:r w:rsidR="00F8008A" w:rsidRPr="00D815F5">
        <w:rPr>
          <w:b/>
          <w:u w:val="single"/>
          <w:lang w:val="en-GB"/>
        </w:rPr>
        <w:t xml:space="preserve"> </w:t>
      </w:r>
      <w:r w:rsidRPr="00D815F5">
        <w:rPr>
          <w:b/>
          <w:u w:val="single"/>
          <w:lang w:val="en-GB"/>
        </w:rPr>
        <w:t>To all third parties [Advance question 17]:</w:t>
      </w:r>
      <w:r w:rsidRPr="00D815F5">
        <w:rPr>
          <w:b/>
          <w:lang w:val="en-GB"/>
        </w:rPr>
        <w:t xml:space="preserve"> Please comment on the European Union</w:t>
      </w:r>
      <w:r w:rsidR="002A4A17">
        <w:rPr>
          <w:b/>
          <w:lang w:val="en-GB"/>
        </w:rPr>
        <w:t>'</w:t>
      </w:r>
      <w:r w:rsidRPr="00D815F5">
        <w:rPr>
          <w:b/>
          <w:lang w:val="en-GB"/>
        </w:rPr>
        <w:t xml:space="preserve">s description of the </w:t>
      </w:r>
      <w:r w:rsidR="002A4A17">
        <w:rPr>
          <w:b/>
          <w:lang w:val="en-GB"/>
        </w:rPr>
        <w:t>"</w:t>
      </w:r>
      <w:r w:rsidRPr="00D815F5">
        <w:rPr>
          <w:b/>
          <w:lang w:val="en-GB"/>
        </w:rPr>
        <w:t>necessary</w:t>
      </w:r>
      <w:r w:rsidR="002A4A17">
        <w:rPr>
          <w:b/>
          <w:lang w:val="en-GB"/>
        </w:rPr>
        <w:t>"</w:t>
      </w:r>
      <w:r w:rsidRPr="00D815F5">
        <w:rPr>
          <w:b/>
          <w:lang w:val="en-GB"/>
        </w:rPr>
        <w:t xml:space="preserve"> and </w:t>
      </w:r>
      <w:r w:rsidR="002A4A17">
        <w:rPr>
          <w:b/>
          <w:lang w:val="en-GB"/>
        </w:rPr>
        <w:t>"</w:t>
      </w:r>
      <w:r w:rsidRPr="00D815F5">
        <w:rPr>
          <w:b/>
          <w:lang w:val="en-GB"/>
        </w:rPr>
        <w:t>relate to</w:t>
      </w:r>
      <w:r w:rsidR="002A4A17">
        <w:rPr>
          <w:b/>
          <w:lang w:val="en-GB"/>
        </w:rPr>
        <w:t>"</w:t>
      </w:r>
      <w:r w:rsidRPr="00D815F5">
        <w:rPr>
          <w:b/>
          <w:lang w:val="en-GB"/>
        </w:rPr>
        <w:t xml:space="preserve"> tests under Article XX as </w:t>
      </w:r>
      <w:r w:rsidR="002A4A17">
        <w:rPr>
          <w:b/>
          <w:lang w:val="en-GB"/>
        </w:rPr>
        <w:t>"</w:t>
      </w:r>
      <w:r w:rsidRPr="00D815F5">
        <w:rPr>
          <w:b/>
          <w:lang w:val="en-GB"/>
        </w:rPr>
        <w:t>very similar</w:t>
      </w:r>
      <w:r w:rsidR="002A4A17">
        <w:rPr>
          <w:b/>
          <w:lang w:val="en-GB"/>
        </w:rPr>
        <w:t>"</w:t>
      </w:r>
      <w:r w:rsidRPr="00D815F5">
        <w:rPr>
          <w:b/>
          <w:lang w:val="en-GB"/>
        </w:rPr>
        <w:t xml:space="preserve">, at paragraphs 1265 to 1272 of its first written submission. In addressing this question, please describe your understanding of the similarities and differences between the legal tests under paragraphs (a), (b) and (g) of Article XX of the GATT 1994, and the approach to be followed, where multiple subparagraphs of Article XX are invoked concurrently. </w:t>
      </w:r>
    </w:p>
    <w:p w14:paraId="3D57287E" w14:textId="5DDED199" w:rsidR="00D62351" w:rsidRPr="00D815F5" w:rsidRDefault="007967EB" w:rsidP="2F28CF17">
      <w:pPr>
        <w:pStyle w:val="ListParagraph"/>
        <w:numPr>
          <w:ilvl w:val="0"/>
          <w:numId w:val="32"/>
        </w:numPr>
        <w:spacing w:before="240" w:line="276" w:lineRule="auto"/>
        <w:ind w:left="0" w:hanging="567"/>
        <w:contextualSpacing w:val="0"/>
      </w:pPr>
      <w:bookmarkStart w:id="6" w:name="_Hlk106203788"/>
      <w:r>
        <w:t xml:space="preserve">Australia </w:t>
      </w:r>
      <w:r w:rsidR="0051758D">
        <w:t xml:space="preserve">submits that </w:t>
      </w:r>
      <w:r w:rsidR="00FB2C4A">
        <w:t>distinct tests have been developed</w:t>
      </w:r>
      <w:r>
        <w:t xml:space="preserve"> under each paragraph of Article X</w:t>
      </w:r>
      <w:bookmarkEnd w:id="6"/>
      <w:r>
        <w:t>X of the GATT 1994</w:t>
      </w:r>
      <w:r w:rsidR="00FB2C4A">
        <w:t xml:space="preserve"> </w:t>
      </w:r>
      <w:r w:rsidR="00B64EFB">
        <w:t xml:space="preserve">which </w:t>
      </w:r>
      <w:r>
        <w:t>are based on the different language used in each paragraph and require that different elements be proven.</w:t>
      </w:r>
      <w:r w:rsidR="00BD7375">
        <w:t xml:space="preserve"> </w:t>
      </w:r>
    </w:p>
    <w:p w14:paraId="7AD0C8A5" w14:textId="47C43152" w:rsidR="007967EB" w:rsidRPr="00D815F5" w:rsidRDefault="007967EB" w:rsidP="00451912">
      <w:pPr>
        <w:pStyle w:val="ListParagraph"/>
        <w:numPr>
          <w:ilvl w:val="0"/>
          <w:numId w:val="32"/>
        </w:numPr>
        <w:spacing w:before="240" w:line="276" w:lineRule="auto"/>
        <w:ind w:left="0" w:hanging="567"/>
        <w:contextualSpacing w:val="0"/>
      </w:pPr>
      <w:r w:rsidRPr="00D815F5">
        <w:t>As outlined in Australia</w:t>
      </w:r>
      <w:r w:rsidR="002A4A17">
        <w:t>'</w:t>
      </w:r>
      <w:r w:rsidRPr="00D815F5">
        <w:t>s written submission,</w:t>
      </w:r>
      <w:r w:rsidR="00DC4583" w:rsidRPr="00D815F5">
        <w:rPr>
          <w:rStyle w:val="FootnoteReference"/>
        </w:rPr>
        <w:footnoteReference w:id="29"/>
      </w:r>
      <w:r w:rsidRPr="00D815F5">
        <w:t xml:space="preserve"> paragraphs (a) and (b) of Article XX require that the measures at issue are </w:t>
      </w:r>
      <w:r w:rsidR="002A4A17">
        <w:t>"</w:t>
      </w:r>
      <w:r w:rsidRPr="00D815F5">
        <w:t>necessary</w:t>
      </w:r>
      <w:r w:rsidR="002A4A17">
        <w:t>"</w:t>
      </w:r>
      <w:r w:rsidRPr="00D815F5">
        <w:t xml:space="preserve">. The Appellate Body has found in </w:t>
      </w:r>
      <w:r w:rsidRPr="00D815F5">
        <w:lastRenderedPageBreak/>
        <w:t xml:space="preserve">numerous cases that an analysis of </w:t>
      </w:r>
      <w:r w:rsidR="002A4A17">
        <w:t>'</w:t>
      </w:r>
      <w:r w:rsidRPr="00D815F5">
        <w:t>necessity</w:t>
      </w:r>
      <w:r w:rsidR="002A4A17">
        <w:t>'</w:t>
      </w:r>
      <w:r w:rsidRPr="00D815F5">
        <w:t xml:space="preserve"> in the context of Article XX involves a holistic weighing and balancing</w:t>
      </w:r>
      <w:r w:rsidR="001E0F71" w:rsidRPr="00D815F5">
        <w:t xml:space="preserve"> of</w:t>
      </w:r>
      <w:r w:rsidRPr="00D815F5">
        <w:t xml:space="preserve"> a number of distinct factors, such as: the relative importance of the interests or values furthered by the challenged measure; the contribution of the measure to the objectives pursued by it; and the trade restrictiveness of the measure at issue.</w:t>
      </w:r>
      <w:r w:rsidRPr="00D815F5">
        <w:rPr>
          <w:rStyle w:val="FootnoteReference"/>
        </w:rPr>
        <w:footnoteReference w:id="30"/>
      </w:r>
      <w:r w:rsidRPr="00D815F5">
        <w:t xml:space="preserve"> Further, in most cases, a panel must then compare the challenged measure and possible alternative measures that achieve the same level of protection while being less trade restrictive.</w:t>
      </w:r>
      <w:r w:rsidRPr="00D815F5">
        <w:rPr>
          <w:rStyle w:val="FootnoteReference"/>
        </w:rPr>
        <w:footnoteReference w:id="31"/>
      </w:r>
    </w:p>
    <w:p w14:paraId="1A633AA2" w14:textId="23EE7DCC" w:rsidR="009B6DBE" w:rsidRPr="00D815F5" w:rsidRDefault="00E46C71" w:rsidP="00451912">
      <w:pPr>
        <w:pStyle w:val="ListParagraph"/>
        <w:numPr>
          <w:ilvl w:val="0"/>
          <w:numId w:val="32"/>
        </w:numPr>
        <w:spacing w:before="240" w:line="276" w:lineRule="auto"/>
        <w:ind w:left="0" w:hanging="567"/>
        <w:contextualSpacing w:val="0"/>
      </w:pPr>
      <w:r w:rsidRPr="00D815F5">
        <w:t xml:space="preserve">By contrast, the standard under paragraph (g) of Article XX, requires that the measures at issue </w:t>
      </w:r>
      <w:r w:rsidR="002A4A17">
        <w:t>'</w:t>
      </w:r>
      <w:r w:rsidRPr="00D815F5">
        <w:t>relate to</w:t>
      </w:r>
      <w:r w:rsidR="002A4A17">
        <w:t>'</w:t>
      </w:r>
      <w:r w:rsidRPr="00D815F5">
        <w:t xml:space="preserve"> the conservation of exhaustible natural resources. In </w:t>
      </w:r>
      <w:r w:rsidRPr="00D815F5">
        <w:rPr>
          <w:i/>
          <w:iCs/>
        </w:rPr>
        <w:t>China – Rare Earths</w:t>
      </w:r>
      <w:r w:rsidRPr="00D815F5">
        <w:t xml:space="preserve"> the Appellate Body held that this standard required </w:t>
      </w:r>
      <w:r w:rsidR="002A4A17">
        <w:t>"</w:t>
      </w:r>
      <w:r w:rsidRPr="00D815F5">
        <w:t>a close and genuine relationship of ends and means</w:t>
      </w:r>
      <w:r w:rsidR="002A4A17">
        <w:t>"</w:t>
      </w:r>
      <w:r w:rsidRPr="00D815F5">
        <w:t xml:space="preserve"> between the measure at issue and the conservation objective.</w:t>
      </w:r>
      <w:r w:rsidR="00761EC7" w:rsidRPr="00D815F5">
        <w:rPr>
          <w:rStyle w:val="FootnoteReference"/>
        </w:rPr>
        <w:footnoteReference w:id="32"/>
      </w:r>
      <w:r w:rsidRPr="00D815F5">
        <w:t xml:space="preserve"> In particular, it would not be sufficient for the GATT-inconsistent measure to be </w:t>
      </w:r>
      <w:r w:rsidR="002A4A17">
        <w:t>"</w:t>
      </w:r>
      <w:r w:rsidRPr="00D815F5">
        <w:t>merely incidentally or inadvertently aimed at a conservation objective</w:t>
      </w:r>
      <w:r w:rsidR="002A4A17">
        <w:t>"</w:t>
      </w:r>
      <w:r w:rsidR="00761EC7" w:rsidRPr="00D815F5">
        <w:rPr>
          <w:rStyle w:val="FootnoteReference"/>
        </w:rPr>
        <w:footnoteReference w:id="33"/>
      </w:r>
      <w:r w:rsidRPr="00D815F5">
        <w:t xml:space="preserve">. The Appellate Body further highlighted that the absence of a domestic restriction, or the way in which a challenged measure applies to domestic production or consumption, could be relevant to the assessment of whether the challenged measure </w:t>
      </w:r>
      <w:r w:rsidR="002A4A17">
        <w:t>'</w:t>
      </w:r>
      <w:r w:rsidRPr="00D815F5">
        <w:t>relates to</w:t>
      </w:r>
      <w:r w:rsidR="002A4A17">
        <w:t>'</w:t>
      </w:r>
      <w:r w:rsidRPr="00D815F5">
        <w:t xml:space="preserve"> conservation</w:t>
      </w:r>
      <w:r w:rsidR="00B7681C" w:rsidRPr="00D815F5">
        <w:t>.</w:t>
      </w:r>
      <w:r w:rsidR="00761EC7" w:rsidRPr="00D815F5">
        <w:rPr>
          <w:rStyle w:val="FootnoteReference"/>
        </w:rPr>
        <w:footnoteReference w:id="34"/>
      </w:r>
    </w:p>
    <w:p w14:paraId="717139AF" w14:textId="3B95E2C1" w:rsidR="0022721E" w:rsidRPr="00D815F5" w:rsidRDefault="00761EC7" w:rsidP="2F28CF17">
      <w:pPr>
        <w:pStyle w:val="ListParagraph"/>
        <w:numPr>
          <w:ilvl w:val="0"/>
          <w:numId w:val="32"/>
        </w:numPr>
        <w:spacing w:before="240" w:line="276" w:lineRule="auto"/>
        <w:ind w:left="0" w:hanging="567"/>
        <w:contextualSpacing w:val="0"/>
      </w:pPr>
      <w:r>
        <w:t>Accordingly, the different text used in Articles XX(a) and (b) (</w:t>
      </w:r>
      <w:proofErr w:type="gramStart"/>
      <w:r>
        <w:t>i</w:t>
      </w:r>
      <w:r w:rsidR="00E659AC">
        <w:t>.</w:t>
      </w:r>
      <w:r>
        <w:t>e.</w:t>
      </w:r>
      <w:proofErr w:type="gramEnd"/>
      <w:r>
        <w:t xml:space="preserve"> </w:t>
      </w:r>
      <w:r w:rsidR="002A4A17">
        <w:t>"</w:t>
      </w:r>
      <w:r>
        <w:t>necessary</w:t>
      </w:r>
      <w:r w:rsidR="002A4A17">
        <w:t>"</w:t>
      </w:r>
      <w:r>
        <w:t>) and Article XX(g) (</w:t>
      </w:r>
      <w:r w:rsidR="002A4A17">
        <w:t>"</w:t>
      </w:r>
      <w:r>
        <w:t>relating to</w:t>
      </w:r>
      <w:r w:rsidR="002A4A17">
        <w:t>"</w:t>
      </w:r>
      <w:r>
        <w:t xml:space="preserve">) set considerably different legal standards. Reliance upon Articles XX(a) and (b) requires more than the mere establishment of a </w:t>
      </w:r>
      <w:r w:rsidR="002A4A17">
        <w:t>"</w:t>
      </w:r>
      <w:r>
        <w:t>close and genuine relationship of ends and means</w:t>
      </w:r>
      <w:r w:rsidR="002A4A17">
        <w:t>"</w:t>
      </w:r>
      <w:r>
        <w:t xml:space="preserve"> between the measure at issue and the legitimate policy objectives. It requires the weighing and balancing of a range of factors, and often a comparison with less trade restrictive alternatives, to determine that the measure is actually </w:t>
      </w:r>
      <w:r w:rsidR="002A4A17">
        <w:t>"</w:t>
      </w:r>
      <w:r>
        <w:t>necessary</w:t>
      </w:r>
      <w:r w:rsidR="002A4A17">
        <w:t>"</w:t>
      </w:r>
      <w:r w:rsidR="006B28B7">
        <w:t xml:space="preserve"> to achieve that objective</w:t>
      </w:r>
      <w:r>
        <w:t>. In Australia</w:t>
      </w:r>
      <w:r w:rsidR="002A4A17">
        <w:t>'</w:t>
      </w:r>
      <w:r>
        <w:t xml:space="preserve">s view, the legal standards for </w:t>
      </w:r>
      <w:r w:rsidR="002A4A17">
        <w:t>"</w:t>
      </w:r>
      <w:r>
        <w:t>necessity</w:t>
      </w:r>
      <w:r w:rsidR="002A4A17">
        <w:t>"</w:t>
      </w:r>
      <w:r>
        <w:t xml:space="preserve"> and </w:t>
      </w:r>
      <w:r w:rsidR="002A4A17">
        <w:t>"</w:t>
      </w:r>
      <w:r>
        <w:t>relates to</w:t>
      </w:r>
      <w:r w:rsidR="002A4A17">
        <w:t>"</w:t>
      </w:r>
      <w:r>
        <w:t xml:space="preserve"> </w:t>
      </w:r>
      <w:r w:rsidR="00C97F20">
        <w:t xml:space="preserve">are distinct and </w:t>
      </w:r>
      <w:r>
        <w:t>should not be conflated.</w:t>
      </w:r>
    </w:p>
    <w:p w14:paraId="705469F1" w14:textId="12C90DEC" w:rsidR="0022721E" w:rsidRPr="00D815F5" w:rsidRDefault="00D942D9" w:rsidP="2F28CF17">
      <w:pPr>
        <w:pStyle w:val="ListParagraph"/>
        <w:numPr>
          <w:ilvl w:val="0"/>
          <w:numId w:val="32"/>
        </w:numPr>
        <w:spacing w:before="240" w:line="276" w:lineRule="auto"/>
        <w:ind w:left="0" w:hanging="567"/>
        <w:contextualSpacing w:val="0"/>
      </w:pPr>
      <w:r>
        <w:t>It follows that, w</w:t>
      </w:r>
      <w:r w:rsidR="0022721E">
        <w:t xml:space="preserve">here multiple paragraphs of Article XX are invoked concurrently, </w:t>
      </w:r>
      <w:r w:rsidR="00C71A6C">
        <w:t xml:space="preserve">each paragraph </w:t>
      </w:r>
      <w:r w:rsidR="0022721E">
        <w:t xml:space="preserve">should be assessed separately </w:t>
      </w:r>
      <w:r w:rsidR="00060857">
        <w:t>according to the relevant legal standard for each.</w:t>
      </w:r>
    </w:p>
    <w:sectPr w:rsidR="0022721E" w:rsidRPr="00D815F5" w:rsidSect="002570F3">
      <w:headerReference w:type="default" r:id="rId11"/>
      <w:footerReference w:type="default" r:id="rId12"/>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D38AC" w14:textId="77777777" w:rsidR="00795AB1" w:rsidRDefault="00795AB1" w:rsidP="00692A7E">
      <w:r>
        <w:separator/>
      </w:r>
    </w:p>
  </w:endnote>
  <w:endnote w:type="continuationSeparator" w:id="0">
    <w:p w14:paraId="66F227EF" w14:textId="77777777" w:rsidR="00795AB1" w:rsidRDefault="00795AB1" w:rsidP="00692A7E">
      <w:r>
        <w:continuationSeparator/>
      </w:r>
    </w:p>
  </w:endnote>
  <w:endnote w:type="continuationNotice" w:id="1">
    <w:p w14:paraId="6DFDB2BF" w14:textId="77777777" w:rsidR="00C13A1D" w:rsidRDefault="00C13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784331"/>
      <w:docPartObj>
        <w:docPartGallery w:val="Page Numbers (Bottom of Page)"/>
        <w:docPartUnique/>
      </w:docPartObj>
    </w:sdtPr>
    <w:sdtEndPr>
      <w:rPr>
        <w:noProof/>
      </w:rPr>
    </w:sdtEndPr>
    <w:sdtContent>
      <w:p w14:paraId="16EEF87B" w14:textId="77777777" w:rsidR="00A137B4" w:rsidRDefault="00A137B4" w:rsidP="00451912">
        <w:pPr>
          <w:pStyle w:val="Footer"/>
          <w:jc w:val="center"/>
        </w:pPr>
        <w:r>
          <w:fldChar w:fldCharType="begin"/>
        </w:r>
        <w:r>
          <w:instrText xml:space="preserve"> PAGE   \* MERGEFORMAT </w:instrText>
        </w:r>
        <w:r>
          <w:fldChar w:fldCharType="separate"/>
        </w:r>
        <w:r w:rsidR="00324CE3">
          <w:rPr>
            <w:noProof/>
          </w:rPr>
          <w:t>2</w:t>
        </w:r>
        <w:r>
          <w:rPr>
            <w:noProof/>
          </w:rPr>
          <w:fldChar w:fldCharType="end"/>
        </w:r>
      </w:p>
    </w:sdtContent>
  </w:sdt>
  <w:p w14:paraId="68BF488B" w14:textId="77777777" w:rsidR="00A137B4" w:rsidRDefault="00A13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3318C" w14:textId="77777777" w:rsidR="00795AB1" w:rsidRDefault="00795AB1" w:rsidP="00692A7E">
      <w:r>
        <w:separator/>
      </w:r>
    </w:p>
  </w:footnote>
  <w:footnote w:type="continuationSeparator" w:id="0">
    <w:p w14:paraId="67235AB7" w14:textId="77777777" w:rsidR="00795AB1" w:rsidRDefault="00795AB1" w:rsidP="00692A7E">
      <w:r>
        <w:continuationSeparator/>
      </w:r>
    </w:p>
  </w:footnote>
  <w:footnote w:type="continuationNotice" w:id="1">
    <w:p w14:paraId="2E66270C" w14:textId="77777777" w:rsidR="00C13A1D" w:rsidRDefault="00C13A1D"/>
  </w:footnote>
  <w:footnote w:id="2">
    <w:p w14:paraId="3A6C06DA" w14:textId="06EDF45A" w:rsidR="00F90B98" w:rsidRDefault="00F90B98" w:rsidP="00F90B98">
      <w:pPr>
        <w:pStyle w:val="FootnoteText"/>
        <w:rPr>
          <w:rFonts w:asciiTheme="minorHAnsi" w:hAnsiTheme="minorHAnsi" w:cstheme="minorBidi"/>
          <w:lang w:eastAsia="en-US"/>
        </w:rPr>
      </w:pPr>
      <w:r>
        <w:rPr>
          <w:rStyle w:val="FootnoteReference"/>
        </w:rPr>
        <w:footnoteRef/>
      </w:r>
      <w:r>
        <w:t xml:space="preserve"> </w:t>
      </w:r>
      <w:r w:rsidR="00693916">
        <w:t xml:space="preserve">Appellate Body Report, </w:t>
      </w:r>
      <w:r w:rsidR="00693916" w:rsidRPr="00C22F0A">
        <w:rPr>
          <w:i/>
          <w:iCs/>
        </w:rPr>
        <w:t>United States – COOL</w:t>
      </w:r>
      <w:r w:rsidR="00693916">
        <w:t>;</w:t>
      </w:r>
      <w:r>
        <w:t xml:space="preserve"> </w:t>
      </w:r>
      <w:r w:rsidR="00636E8A" w:rsidRPr="00C22F0A">
        <w:rPr>
          <w:i/>
          <w:iCs/>
        </w:rPr>
        <w:t xml:space="preserve">United States – </w:t>
      </w:r>
      <w:r w:rsidR="00636E8A">
        <w:rPr>
          <w:i/>
          <w:iCs/>
        </w:rPr>
        <w:t>Clove</w:t>
      </w:r>
      <w:r w:rsidR="00636E8A" w:rsidRPr="000E0327">
        <w:rPr>
          <w:i/>
          <w:iCs/>
        </w:rPr>
        <w:t xml:space="preserve"> Cigarettes</w:t>
      </w:r>
      <w:r w:rsidR="00636E8A">
        <w:t xml:space="preserve">; </w:t>
      </w:r>
      <w:r w:rsidR="00FE2A87" w:rsidRPr="00D4020A">
        <w:rPr>
          <w:i/>
          <w:iCs/>
        </w:rPr>
        <w:t>US – Tuna II (Mexico)</w:t>
      </w:r>
      <w:r w:rsidR="00636E8A">
        <w:t>.</w:t>
      </w:r>
    </w:p>
  </w:footnote>
  <w:footnote w:id="3">
    <w:p w14:paraId="5D4FA3F9" w14:textId="030B2D28" w:rsidR="00F90B98" w:rsidRDefault="00F90B98" w:rsidP="00F90B98">
      <w:pPr>
        <w:pStyle w:val="FootnoteText"/>
      </w:pPr>
      <w:r>
        <w:rPr>
          <w:rStyle w:val="FootnoteReference"/>
        </w:rPr>
        <w:footnoteRef/>
      </w:r>
      <w:r>
        <w:t xml:space="preserve"> </w:t>
      </w:r>
      <w:r w:rsidR="00693916">
        <w:t xml:space="preserve">Appellate Body Report, </w:t>
      </w:r>
      <w:r w:rsidR="00693916" w:rsidRPr="00C22F0A">
        <w:rPr>
          <w:i/>
          <w:iCs/>
        </w:rPr>
        <w:t xml:space="preserve">United States – </w:t>
      </w:r>
      <w:r w:rsidR="00693916">
        <w:rPr>
          <w:i/>
          <w:iCs/>
        </w:rPr>
        <w:t>Clove</w:t>
      </w:r>
      <w:r w:rsidR="00693916" w:rsidRPr="000E0327">
        <w:rPr>
          <w:i/>
          <w:iCs/>
        </w:rPr>
        <w:t xml:space="preserve"> Cigarettes</w:t>
      </w:r>
      <w:r w:rsidR="00693916">
        <w:t xml:space="preserve">, para. </w:t>
      </w:r>
      <w:r>
        <w:t>173</w:t>
      </w:r>
      <w:r w:rsidR="00693916">
        <w:t>.</w:t>
      </w:r>
    </w:p>
  </w:footnote>
  <w:footnote w:id="4">
    <w:p w14:paraId="53526BEF" w14:textId="6530DA72" w:rsidR="00F90B98" w:rsidRDefault="00F90B98" w:rsidP="00F90B98">
      <w:pPr>
        <w:pStyle w:val="FootnoteText"/>
      </w:pPr>
      <w:r>
        <w:rPr>
          <w:rStyle w:val="FootnoteReference"/>
        </w:rPr>
        <w:footnoteRef/>
      </w:r>
      <w:r>
        <w:t xml:space="preserve"> </w:t>
      </w:r>
      <w:r w:rsidR="000E0327">
        <w:t xml:space="preserve">Appellate Body Report, </w:t>
      </w:r>
      <w:r w:rsidR="000E0327" w:rsidRPr="00C22F0A">
        <w:rPr>
          <w:i/>
          <w:iCs/>
        </w:rPr>
        <w:t>United States – COOL</w:t>
      </w:r>
      <w:r w:rsidR="000E0327">
        <w:t>, para. 340.</w:t>
      </w:r>
    </w:p>
  </w:footnote>
  <w:footnote w:id="5">
    <w:p w14:paraId="6C314237" w14:textId="4B25C3D5" w:rsidR="00F564BB" w:rsidRDefault="00F564BB" w:rsidP="00F564BB">
      <w:pPr>
        <w:pStyle w:val="FootnoteText"/>
      </w:pPr>
      <w:r>
        <w:rPr>
          <w:rStyle w:val="FootnoteReference"/>
        </w:rPr>
        <w:footnoteRef/>
      </w:r>
      <w:r w:rsidR="000576CC">
        <w:t xml:space="preserve"> S</w:t>
      </w:r>
      <w:r>
        <w:t>ee</w:t>
      </w:r>
      <w:r w:rsidR="00693916" w:rsidRPr="00693916">
        <w:t xml:space="preserve"> </w:t>
      </w:r>
      <w:r w:rsidR="00693916">
        <w:t xml:space="preserve">Appellate Body Report, </w:t>
      </w:r>
      <w:r w:rsidR="00693916" w:rsidRPr="00C22F0A">
        <w:rPr>
          <w:i/>
          <w:iCs/>
        </w:rPr>
        <w:t xml:space="preserve">United States – </w:t>
      </w:r>
      <w:r w:rsidR="00693916">
        <w:rPr>
          <w:i/>
          <w:iCs/>
        </w:rPr>
        <w:t xml:space="preserve">Clove </w:t>
      </w:r>
      <w:r w:rsidR="00693916" w:rsidRPr="000E0327">
        <w:rPr>
          <w:i/>
          <w:iCs/>
        </w:rPr>
        <w:t>Cigarettes</w:t>
      </w:r>
      <w:r w:rsidR="00693916">
        <w:t xml:space="preserve">, para. </w:t>
      </w:r>
      <w:r>
        <w:t>182</w:t>
      </w:r>
      <w:r w:rsidR="00693916">
        <w:t>;</w:t>
      </w:r>
      <w:r w:rsidR="005A425C">
        <w:t xml:space="preserve"> </w:t>
      </w:r>
      <w:r w:rsidR="005A425C" w:rsidRPr="00D4020A">
        <w:rPr>
          <w:i/>
          <w:iCs/>
        </w:rPr>
        <w:t>US – Tuna II (Mexico)</w:t>
      </w:r>
      <w:r w:rsidR="005A425C">
        <w:t>, paras. 212</w:t>
      </w:r>
      <w:r>
        <w:t xml:space="preserve"> 216, 225, 232, 281, 297</w:t>
      </w:r>
      <w:r w:rsidR="005A425C">
        <w:t>,</w:t>
      </w:r>
      <w:r>
        <w:t xml:space="preserve"> and 29</w:t>
      </w:r>
      <w:r w:rsidR="00D11F75">
        <w:t xml:space="preserve">; </w:t>
      </w:r>
      <w:r w:rsidR="00D11F75" w:rsidRPr="00C22F0A">
        <w:rPr>
          <w:i/>
          <w:iCs/>
        </w:rPr>
        <w:t>United States – COOL</w:t>
      </w:r>
      <w:r>
        <w:t>,</w:t>
      </w:r>
      <w:r w:rsidR="00D11F75">
        <w:t xml:space="preserve"> paras.</w:t>
      </w:r>
      <w:r>
        <w:t xml:space="preserve"> 271, 293, 328</w:t>
      </w:r>
      <w:r w:rsidR="00D11F75">
        <w:t>,</w:t>
      </w:r>
      <w:r>
        <w:t xml:space="preserve"> and 349</w:t>
      </w:r>
      <w:r w:rsidR="00D11F75">
        <w:t>.</w:t>
      </w:r>
    </w:p>
  </w:footnote>
  <w:footnote w:id="6">
    <w:p w14:paraId="57539266" w14:textId="2D79DD75" w:rsidR="002E0FA4" w:rsidRDefault="002E0FA4" w:rsidP="002E0FA4">
      <w:pPr>
        <w:pStyle w:val="FootnoteText"/>
      </w:pPr>
      <w:r>
        <w:rPr>
          <w:rStyle w:val="FootnoteReference"/>
        </w:rPr>
        <w:footnoteRef/>
      </w:r>
      <w:r>
        <w:t xml:space="preserve"> </w:t>
      </w:r>
      <w:r w:rsidR="00D11F75">
        <w:t xml:space="preserve">Appellate Body Report, </w:t>
      </w:r>
      <w:r w:rsidR="00D11F75" w:rsidRPr="00C22F0A">
        <w:rPr>
          <w:i/>
          <w:iCs/>
        </w:rPr>
        <w:t>United States – COOL</w:t>
      </w:r>
      <w:r w:rsidR="00D11F75">
        <w:t xml:space="preserve">, </w:t>
      </w:r>
      <w:r>
        <w:t>para</w:t>
      </w:r>
      <w:r w:rsidR="000E0327">
        <w:t>.</w:t>
      </w:r>
      <w:r>
        <w:t xml:space="preserve"> 340. </w:t>
      </w:r>
    </w:p>
  </w:footnote>
  <w:footnote w:id="7">
    <w:p w14:paraId="3C242FE4" w14:textId="7BBF5B47" w:rsidR="002E0FA4" w:rsidRPr="00636E8A" w:rsidRDefault="002E0FA4" w:rsidP="002E0FA4">
      <w:pPr>
        <w:pStyle w:val="FootnoteText"/>
        <w:rPr>
          <w:highlight w:val="yellow"/>
        </w:rPr>
      </w:pPr>
      <w:r>
        <w:rPr>
          <w:rStyle w:val="FootnoteReference"/>
        </w:rPr>
        <w:footnoteRef/>
      </w:r>
      <w:r>
        <w:t xml:space="preserve"> </w:t>
      </w:r>
      <w:r w:rsidR="00784750" w:rsidRPr="00314299">
        <w:t xml:space="preserve">Appellate Body Report; </w:t>
      </w:r>
      <w:r w:rsidR="00784750" w:rsidRPr="00314299">
        <w:rPr>
          <w:i/>
          <w:iCs/>
        </w:rPr>
        <w:t>US – Tuna II (Mexico)</w:t>
      </w:r>
      <w:r w:rsidR="00784750" w:rsidRPr="00314299">
        <w:t xml:space="preserve"> </w:t>
      </w:r>
      <w:r w:rsidR="00784750" w:rsidRPr="00314299">
        <w:rPr>
          <w:i/>
          <w:iCs/>
        </w:rPr>
        <w:t>(Article 21.5 – Mexico)</w:t>
      </w:r>
      <w:r w:rsidR="00784750" w:rsidRPr="00314299">
        <w:t>, para. 7.</w:t>
      </w:r>
      <w:r w:rsidR="00784750">
        <w:t xml:space="preserve">31. </w:t>
      </w:r>
    </w:p>
  </w:footnote>
  <w:footnote w:id="8">
    <w:p w14:paraId="534E19B0" w14:textId="7869436A" w:rsidR="002E0FA4" w:rsidRDefault="002E0FA4" w:rsidP="002E0FA4">
      <w:pPr>
        <w:pStyle w:val="FootnoteText"/>
      </w:pPr>
      <w:r w:rsidRPr="00314299">
        <w:rPr>
          <w:rStyle w:val="FootnoteReference"/>
        </w:rPr>
        <w:footnoteRef/>
      </w:r>
      <w:r w:rsidRPr="00314299">
        <w:t xml:space="preserve"> </w:t>
      </w:r>
      <w:r w:rsidR="00784750">
        <w:t>Ibid</w:t>
      </w:r>
      <w:r w:rsidR="00314299" w:rsidRPr="00314299">
        <w:t xml:space="preserve">, para. </w:t>
      </w:r>
      <w:r w:rsidRPr="00314299">
        <w:t>7.9</w:t>
      </w:r>
      <w:r w:rsidR="00F20AD9">
        <w:t>1</w:t>
      </w:r>
      <w:r w:rsidR="00314299" w:rsidRPr="00314299">
        <w:t>.</w:t>
      </w:r>
    </w:p>
  </w:footnote>
  <w:footnote w:id="9">
    <w:p w14:paraId="763C694C" w14:textId="2BAFBEEE" w:rsidR="002E0FA4" w:rsidRDefault="002E0FA4" w:rsidP="002E0FA4">
      <w:pPr>
        <w:pStyle w:val="FootnoteText"/>
      </w:pPr>
      <w:r>
        <w:rPr>
          <w:rStyle w:val="FootnoteReference"/>
        </w:rPr>
        <w:footnoteRef/>
      </w:r>
      <w:r>
        <w:t xml:space="preserve"> Ibid</w:t>
      </w:r>
      <w:r w:rsidR="00EC6241">
        <w:t>, para. 7.95</w:t>
      </w:r>
      <w:r>
        <w:t xml:space="preserve">. </w:t>
      </w:r>
    </w:p>
  </w:footnote>
  <w:footnote w:id="10">
    <w:p w14:paraId="40C74D8B" w14:textId="77777777" w:rsidR="004E09B8" w:rsidRDefault="004E09B8"/>
  </w:footnote>
  <w:footnote w:id="11">
    <w:p w14:paraId="2E98AF93" w14:textId="062A3CDE" w:rsidR="005C511F" w:rsidRDefault="005C511F">
      <w:pPr>
        <w:pStyle w:val="FootnoteText"/>
      </w:pPr>
      <w:r>
        <w:rPr>
          <w:rStyle w:val="FootnoteReference"/>
        </w:rPr>
        <w:footnoteRef/>
      </w:r>
      <w:r>
        <w:t xml:space="preserve"> </w:t>
      </w:r>
      <w:r w:rsidR="008C4516">
        <w:t xml:space="preserve">Australia's </w:t>
      </w:r>
      <w:proofErr w:type="gramStart"/>
      <w:r w:rsidR="008C4516">
        <w:t>third pa</w:t>
      </w:r>
      <w:r w:rsidR="005B247B">
        <w:t>rty</w:t>
      </w:r>
      <w:proofErr w:type="gramEnd"/>
      <w:r w:rsidR="005B247B">
        <w:t xml:space="preserve"> submission, para</w:t>
      </w:r>
      <w:r w:rsidR="008361AE">
        <w:t>s. 7-24</w:t>
      </w:r>
      <w:r w:rsidR="00501C29">
        <w:t>.</w:t>
      </w:r>
    </w:p>
  </w:footnote>
  <w:footnote w:id="12">
    <w:p w14:paraId="22F2D4DD" w14:textId="7AB2E77B" w:rsidR="001530CE" w:rsidRDefault="001530CE">
      <w:pPr>
        <w:pStyle w:val="FootnoteText"/>
      </w:pPr>
      <w:r>
        <w:rPr>
          <w:rStyle w:val="FootnoteReference"/>
        </w:rPr>
        <w:footnoteRef/>
      </w:r>
      <w:r>
        <w:t xml:space="preserve"> </w:t>
      </w:r>
      <w:r w:rsidR="00763588">
        <w:t xml:space="preserve">Appellate Body Report, </w:t>
      </w:r>
      <w:r w:rsidR="00763588" w:rsidRPr="00D4020A">
        <w:rPr>
          <w:i/>
          <w:iCs/>
        </w:rPr>
        <w:t>US – Tuna II (Mexico)</w:t>
      </w:r>
      <w:r w:rsidR="00763588">
        <w:t xml:space="preserve">, para. </w:t>
      </w:r>
      <w:r w:rsidR="00467BAB">
        <w:t>212</w:t>
      </w:r>
      <w:r w:rsidR="007856C5">
        <w:t>.</w:t>
      </w:r>
    </w:p>
  </w:footnote>
  <w:footnote w:id="13">
    <w:p w14:paraId="14AB9FD5" w14:textId="5196CD84" w:rsidR="00A244AE" w:rsidRDefault="00A244AE">
      <w:pPr>
        <w:pStyle w:val="FootnoteText"/>
      </w:pPr>
      <w:r>
        <w:rPr>
          <w:rStyle w:val="FootnoteReference"/>
        </w:rPr>
        <w:footnoteRef/>
      </w:r>
      <w:r>
        <w:t xml:space="preserve"> </w:t>
      </w:r>
      <w:r w:rsidR="00BB6F0F">
        <w:t xml:space="preserve">Appellate Body Report, </w:t>
      </w:r>
      <w:r w:rsidR="00BB6F0F" w:rsidRPr="00C22F0A">
        <w:rPr>
          <w:i/>
          <w:iCs/>
        </w:rPr>
        <w:t xml:space="preserve">United States – </w:t>
      </w:r>
      <w:r w:rsidR="00BB6F0F">
        <w:rPr>
          <w:i/>
          <w:iCs/>
        </w:rPr>
        <w:t xml:space="preserve">Clove </w:t>
      </w:r>
      <w:r w:rsidR="00BB6F0F" w:rsidRPr="00BB6F0F">
        <w:t>Cigarettes</w:t>
      </w:r>
      <w:r w:rsidR="00BB6F0F">
        <w:t xml:space="preserve">, paras. </w:t>
      </w:r>
      <w:r w:rsidR="008B08DA">
        <w:t>91</w:t>
      </w:r>
      <w:r w:rsidR="00BB6F0F">
        <w:t xml:space="preserve"> and </w:t>
      </w:r>
      <w:r w:rsidR="008B08DA">
        <w:t>100.</w:t>
      </w:r>
    </w:p>
  </w:footnote>
  <w:footnote w:id="14">
    <w:p w14:paraId="5E781C41" w14:textId="02D697E0" w:rsidR="00426DF9" w:rsidRDefault="00426DF9" w:rsidP="00426DF9">
      <w:pPr>
        <w:pStyle w:val="FootnoteText"/>
      </w:pPr>
      <w:r>
        <w:rPr>
          <w:rStyle w:val="FootnoteReference"/>
        </w:rPr>
        <w:footnoteRef/>
      </w:r>
      <w:r>
        <w:t xml:space="preserve"> </w:t>
      </w:r>
      <w:r w:rsidR="007A60F2">
        <w:t xml:space="preserve">Appellate Body Report, </w:t>
      </w:r>
      <w:r w:rsidR="007A60F2" w:rsidRPr="00C22F0A">
        <w:rPr>
          <w:i/>
          <w:iCs/>
        </w:rPr>
        <w:t>United States – COOL</w:t>
      </w:r>
      <w:r w:rsidR="007A60F2">
        <w:t xml:space="preserve">, paras. </w:t>
      </w:r>
      <w:r>
        <w:t>369</w:t>
      </w:r>
      <w:r w:rsidR="007A60F2">
        <w:t xml:space="preserve"> and</w:t>
      </w:r>
      <w:r>
        <w:t xml:space="preserve"> 372; </w:t>
      </w:r>
      <w:r w:rsidR="007625BB" w:rsidRPr="00D4020A">
        <w:rPr>
          <w:i/>
          <w:iCs/>
        </w:rPr>
        <w:t>US – Tuna II (Mexico)</w:t>
      </w:r>
      <w:r w:rsidR="007625BB">
        <w:t xml:space="preserve">, para. </w:t>
      </w:r>
      <w:r>
        <w:t>318</w:t>
      </w:r>
      <w:r w:rsidR="007625BB">
        <w:t>.</w:t>
      </w:r>
    </w:p>
  </w:footnote>
  <w:footnote w:id="15">
    <w:p w14:paraId="40E0CC25" w14:textId="757D4467" w:rsidR="00426DF9" w:rsidRDefault="00426DF9" w:rsidP="00426DF9">
      <w:pPr>
        <w:pStyle w:val="FootnoteText"/>
      </w:pPr>
      <w:r>
        <w:rPr>
          <w:rStyle w:val="FootnoteReference"/>
        </w:rPr>
        <w:footnoteRef/>
      </w:r>
      <w:r>
        <w:t xml:space="preserve"> </w:t>
      </w:r>
      <w:r w:rsidR="00501C29">
        <w:t xml:space="preserve">See Australia's </w:t>
      </w:r>
      <w:proofErr w:type="gramStart"/>
      <w:r w:rsidR="00501C29">
        <w:t>third party</w:t>
      </w:r>
      <w:proofErr w:type="gramEnd"/>
      <w:r w:rsidR="00501C29">
        <w:t xml:space="preserve"> submission, paras. </w:t>
      </w:r>
      <w:r w:rsidR="00C54479">
        <w:t xml:space="preserve">11-24. </w:t>
      </w:r>
    </w:p>
  </w:footnote>
  <w:footnote w:id="16">
    <w:p w14:paraId="06BC8945" w14:textId="181B5DA3" w:rsidR="00641F96" w:rsidRDefault="00641F96">
      <w:pPr>
        <w:pStyle w:val="FootnoteText"/>
      </w:pPr>
      <w:r>
        <w:rPr>
          <w:rStyle w:val="FootnoteReference"/>
        </w:rPr>
        <w:footnoteRef/>
      </w:r>
      <w:r>
        <w:t xml:space="preserve"> </w:t>
      </w:r>
      <w:r w:rsidR="008B358B">
        <w:t xml:space="preserve">Appellate Body Report, </w:t>
      </w:r>
      <w:r w:rsidR="008B358B" w:rsidRPr="00C22F0A">
        <w:rPr>
          <w:i/>
          <w:iCs/>
        </w:rPr>
        <w:t xml:space="preserve">United States – </w:t>
      </w:r>
      <w:r w:rsidR="008B358B">
        <w:rPr>
          <w:i/>
          <w:iCs/>
        </w:rPr>
        <w:t xml:space="preserve">Clove </w:t>
      </w:r>
      <w:r w:rsidR="00BB6F0F" w:rsidRPr="00BB6F0F">
        <w:t>Cigarettes</w:t>
      </w:r>
      <w:r w:rsidR="00BB6F0F">
        <w:t xml:space="preserve">, para. </w:t>
      </w:r>
      <w:r w:rsidR="00EA055A" w:rsidRPr="00BB6F0F">
        <w:t>173</w:t>
      </w:r>
      <w:r w:rsidR="00BB6F0F">
        <w:t>.</w:t>
      </w:r>
    </w:p>
  </w:footnote>
  <w:footnote w:id="17">
    <w:p w14:paraId="3AB8C836" w14:textId="66CF4C06" w:rsidR="00211C81" w:rsidRDefault="00211C81">
      <w:pPr>
        <w:pStyle w:val="FootnoteText"/>
      </w:pPr>
      <w:r>
        <w:rPr>
          <w:rStyle w:val="FootnoteReference"/>
        </w:rPr>
        <w:footnoteRef/>
      </w:r>
      <w:r>
        <w:t xml:space="preserve"> </w:t>
      </w:r>
      <w:r w:rsidR="00C54479">
        <w:t xml:space="preserve">Australia's </w:t>
      </w:r>
      <w:proofErr w:type="gramStart"/>
      <w:r w:rsidR="00C54479">
        <w:t>third party</w:t>
      </w:r>
      <w:proofErr w:type="gramEnd"/>
      <w:r w:rsidR="00C54479">
        <w:t xml:space="preserve"> submission, paras. 11-16.</w:t>
      </w:r>
    </w:p>
  </w:footnote>
  <w:footnote w:id="18">
    <w:p w14:paraId="0AA3D8C6" w14:textId="0363ED49" w:rsidR="008719EF" w:rsidRDefault="008719EF" w:rsidP="008719EF">
      <w:pPr>
        <w:pStyle w:val="FootnoteText"/>
      </w:pPr>
      <w:r>
        <w:rPr>
          <w:rStyle w:val="FootnoteReference"/>
        </w:rPr>
        <w:footnoteRef/>
      </w:r>
      <w:r>
        <w:t xml:space="preserve"> </w:t>
      </w:r>
      <w:r w:rsidR="004C3139">
        <w:t xml:space="preserve">Appellate Body Reports, </w:t>
      </w:r>
      <w:r w:rsidR="004C3139">
        <w:rPr>
          <w:i/>
          <w:iCs/>
        </w:rPr>
        <w:t>Australia – Tobacco Plain Packaging</w:t>
      </w:r>
      <w:r w:rsidR="004C3139">
        <w:t xml:space="preserve">, para. 6.384; </w:t>
      </w:r>
      <w:r w:rsidR="00372E45" w:rsidRPr="00DD323D">
        <w:rPr>
          <w:i/>
          <w:iCs/>
        </w:rPr>
        <w:t>United States – COOL</w:t>
      </w:r>
      <w:r w:rsidR="00372E45" w:rsidRPr="00DD323D">
        <w:t xml:space="preserve"> </w:t>
      </w:r>
      <w:r w:rsidR="00DD323D" w:rsidRPr="00DD323D">
        <w:rPr>
          <w:i/>
          <w:iCs/>
        </w:rPr>
        <w:t>(Article 21.5)</w:t>
      </w:r>
      <w:r w:rsidR="00DD323D" w:rsidRPr="00DD323D">
        <w:t xml:space="preserve">, para. </w:t>
      </w:r>
      <w:r w:rsidRPr="00DD323D">
        <w:t>5.208</w:t>
      </w:r>
      <w:r w:rsidR="004C3139">
        <w:t>.</w:t>
      </w:r>
    </w:p>
  </w:footnote>
  <w:footnote w:id="19">
    <w:p w14:paraId="4ABFE9EA" w14:textId="30D84ED4" w:rsidR="008719EF" w:rsidRDefault="008719EF" w:rsidP="008719EF">
      <w:pPr>
        <w:pStyle w:val="FootnoteText"/>
      </w:pPr>
      <w:r>
        <w:rPr>
          <w:rStyle w:val="FootnoteReference"/>
        </w:rPr>
        <w:footnoteRef/>
      </w:r>
      <w:r>
        <w:t xml:space="preserve"> </w:t>
      </w:r>
      <w:r w:rsidR="007A60F2">
        <w:t xml:space="preserve">Appellate Body Report, </w:t>
      </w:r>
      <w:r w:rsidR="007A60F2" w:rsidRPr="00C22F0A">
        <w:rPr>
          <w:i/>
          <w:iCs/>
        </w:rPr>
        <w:t>United States – COOL</w:t>
      </w:r>
      <w:r w:rsidR="007A60F2">
        <w:t xml:space="preserve">, para. </w:t>
      </w:r>
      <w:r>
        <w:t>477</w:t>
      </w:r>
      <w:r w:rsidR="007A60F2">
        <w:t>.</w:t>
      </w:r>
    </w:p>
  </w:footnote>
  <w:footnote w:id="20">
    <w:p w14:paraId="3F7D8283" w14:textId="36D8046A" w:rsidR="008719EF" w:rsidRDefault="008719EF" w:rsidP="008719EF">
      <w:pPr>
        <w:pStyle w:val="FootnoteText"/>
      </w:pPr>
      <w:r>
        <w:rPr>
          <w:rStyle w:val="FootnoteReference"/>
        </w:rPr>
        <w:footnoteRef/>
      </w:r>
      <w:r>
        <w:t xml:space="preserve"> </w:t>
      </w:r>
      <w:r w:rsidR="00FE3E95">
        <w:t>Appellate Body Report</w:t>
      </w:r>
      <w:r w:rsidR="00C37ADA">
        <w:t>s</w:t>
      </w:r>
      <w:r w:rsidR="00FE3E95">
        <w:t xml:space="preserve">, </w:t>
      </w:r>
      <w:r w:rsidR="00FE3E95">
        <w:rPr>
          <w:i/>
          <w:iCs/>
        </w:rPr>
        <w:t>Australia – Tobacco Plain Packaging</w:t>
      </w:r>
      <w:r w:rsidR="00FE3E95">
        <w:t>, para</w:t>
      </w:r>
      <w:r w:rsidR="001A1768">
        <w:t>.</w:t>
      </w:r>
      <w:r w:rsidR="00FE3E95">
        <w:t xml:space="preserve"> </w:t>
      </w:r>
      <w:r>
        <w:t>6.389</w:t>
      </w:r>
      <w:r w:rsidR="00FE3E95">
        <w:t>.</w:t>
      </w:r>
    </w:p>
  </w:footnote>
  <w:footnote w:id="21">
    <w:p w14:paraId="05B91D17" w14:textId="0223798A" w:rsidR="00A35506" w:rsidRDefault="00A35506" w:rsidP="00A35506">
      <w:pPr>
        <w:pStyle w:val="FootnoteText"/>
      </w:pPr>
      <w:r>
        <w:rPr>
          <w:rStyle w:val="FootnoteReference"/>
        </w:rPr>
        <w:footnoteRef/>
      </w:r>
      <w:r>
        <w:t xml:space="preserve"> </w:t>
      </w:r>
      <w:r w:rsidR="00993EA3">
        <w:t xml:space="preserve">Ibid, para </w:t>
      </w:r>
      <w:r>
        <w:t>6.387</w:t>
      </w:r>
      <w:r w:rsidR="00993EA3">
        <w:t>.</w:t>
      </w:r>
    </w:p>
  </w:footnote>
  <w:footnote w:id="22">
    <w:p w14:paraId="299DA026" w14:textId="5E72B54D" w:rsidR="00A35506" w:rsidRDefault="00A35506" w:rsidP="00A35506">
      <w:pPr>
        <w:pStyle w:val="FootnoteText"/>
      </w:pPr>
      <w:r>
        <w:rPr>
          <w:rStyle w:val="FootnoteReference"/>
        </w:rPr>
        <w:footnoteRef/>
      </w:r>
      <w:r>
        <w:t xml:space="preserve"> </w:t>
      </w:r>
      <w:r w:rsidR="00993EA3">
        <w:t>Ibid, para</w:t>
      </w:r>
      <w:r w:rsidR="001A1768">
        <w:t>.</w:t>
      </w:r>
      <w:r w:rsidR="00993EA3">
        <w:t xml:space="preserve"> </w:t>
      </w:r>
      <w:r>
        <w:t>6.389</w:t>
      </w:r>
      <w:r w:rsidR="00DF5CDC">
        <w:t xml:space="preserve"> (quoting Panel Report</w:t>
      </w:r>
      <w:r w:rsidR="00662BFB">
        <w:t xml:space="preserve">, </w:t>
      </w:r>
      <w:r w:rsidR="00662BFB">
        <w:rPr>
          <w:i/>
          <w:iCs/>
        </w:rPr>
        <w:t>Australia – Tobacco Plain Packaging</w:t>
      </w:r>
      <w:r w:rsidR="00662BFB">
        <w:t xml:space="preserve">, para. 7.1088). </w:t>
      </w:r>
    </w:p>
  </w:footnote>
  <w:footnote w:id="23">
    <w:p w14:paraId="250267DF" w14:textId="706E3157" w:rsidR="00E06F70" w:rsidRDefault="00E06F70" w:rsidP="00E06F70">
      <w:pPr>
        <w:pStyle w:val="FootnoteText"/>
      </w:pPr>
      <w:r>
        <w:rPr>
          <w:rStyle w:val="FootnoteReference"/>
        </w:rPr>
        <w:footnoteRef/>
      </w:r>
      <w:r>
        <w:t xml:space="preserve"> Ibid</w:t>
      </w:r>
      <w:r w:rsidR="00B40109">
        <w:t>.</w:t>
      </w:r>
    </w:p>
  </w:footnote>
  <w:footnote w:id="24">
    <w:p w14:paraId="2D4537D6" w14:textId="2B92CA69" w:rsidR="00815C01" w:rsidRDefault="00815C01" w:rsidP="00815C01">
      <w:pPr>
        <w:pStyle w:val="FootnoteText"/>
      </w:pPr>
      <w:r>
        <w:rPr>
          <w:rStyle w:val="FootnoteReference"/>
        </w:rPr>
        <w:footnoteRef/>
      </w:r>
      <w:r>
        <w:t xml:space="preserve"> </w:t>
      </w:r>
      <w:r w:rsidR="001035AC">
        <w:t xml:space="preserve">Panel Report, </w:t>
      </w:r>
      <w:r w:rsidR="001035AC" w:rsidRPr="00D815F5">
        <w:rPr>
          <w:i/>
          <w:iCs/>
        </w:rPr>
        <w:t>India – Autos</w:t>
      </w:r>
      <w:r w:rsidR="001035AC">
        <w:t xml:space="preserve"> </w:t>
      </w:r>
      <w:r>
        <w:t xml:space="preserve">7.257; </w:t>
      </w:r>
      <w:r w:rsidR="006F0BEB" w:rsidRPr="00D815F5">
        <w:rPr>
          <w:i/>
          <w:iCs/>
        </w:rPr>
        <w:t>Dominican Republic – Import and Sale of Cigarettes</w:t>
      </w:r>
      <w:r w:rsidR="006F0BEB">
        <w:t>, para.</w:t>
      </w:r>
      <w:r>
        <w:t xml:space="preserve"> 7.258</w:t>
      </w:r>
      <w:r w:rsidR="006F0BEB">
        <w:t>.</w:t>
      </w:r>
    </w:p>
  </w:footnote>
  <w:footnote w:id="25">
    <w:p w14:paraId="537BE349" w14:textId="1D4CE6FF" w:rsidR="00815C01" w:rsidRDefault="00815C01" w:rsidP="00815C01">
      <w:pPr>
        <w:pStyle w:val="FootnoteText"/>
      </w:pPr>
      <w:r>
        <w:rPr>
          <w:rStyle w:val="FootnoteReference"/>
        </w:rPr>
        <w:footnoteRef/>
      </w:r>
      <w:r>
        <w:t xml:space="preserve"> </w:t>
      </w:r>
      <w:r w:rsidR="006F0BEB">
        <w:t xml:space="preserve">Panel Report, </w:t>
      </w:r>
      <w:r w:rsidR="006F0BEB" w:rsidRPr="00D815F5">
        <w:rPr>
          <w:i/>
          <w:iCs/>
        </w:rPr>
        <w:t>Dominican Republic – Import and Sale of Cigarettes</w:t>
      </w:r>
      <w:r w:rsidR="006F0BEB">
        <w:t>, para. 7.258.</w:t>
      </w:r>
    </w:p>
  </w:footnote>
  <w:footnote w:id="26">
    <w:p w14:paraId="02D18CE6" w14:textId="4A03E20E" w:rsidR="00AA378D" w:rsidRDefault="00AA378D" w:rsidP="00AA378D">
      <w:pPr>
        <w:pStyle w:val="FootnoteText"/>
      </w:pPr>
      <w:r>
        <w:rPr>
          <w:rStyle w:val="FootnoteReference"/>
        </w:rPr>
        <w:footnoteRef/>
      </w:r>
      <w:r>
        <w:t xml:space="preserve"> </w:t>
      </w:r>
      <w:r w:rsidR="00DF2489">
        <w:t>Ibid, para.7.260.</w:t>
      </w:r>
    </w:p>
  </w:footnote>
  <w:footnote w:id="27">
    <w:p w14:paraId="59164E4F" w14:textId="411714B8" w:rsidR="00EA3C01" w:rsidRDefault="00EA3C01" w:rsidP="00EA3C01">
      <w:pPr>
        <w:pStyle w:val="FootnoteText"/>
      </w:pPr>
      <w:r>
        <w:rPr>
          <w:rStyle w:val="FootnoteReference"/>
        </w:rPr>
        <w:footnoteRef/>
      </w:r>
      <w:r>
        <w:t xml:space="preserve"> </w:t>
      </w:r>
      <w:r w:rsidR="00D81694">
        <w:t xml:space="preserve">Appellate Body Report, </w:t>
      </w:r>
      <w:r w:rsidR="006E23FA" w:rsidRPr="006E23FA">
        <w:rPr>
          <w:i/>
          <w:iCs/>
        </w:rPr>
        <w:t>Argentina — Import Measures</w:t>
      </w:r>
      <w:r w:rsidR="006E23FA">
        <w:t>, para.</w:t>
      </w:r>
      <w:r>
        <w:t>5.217</w:t>
      </w:r>
      <w:r w:rsidR="006E23FA">
        <w:t>.</w:t>
      </w:r>
    </w:p>
  </w:footnote>
  <w:footnote w:id="28">
    <w:p w14:paraId="47C7021E" w14:textId="23A53740" w:rsidR="00EA3C01" w:rsidRDefault="00EA3C01" w:rsidP="00EA3C01">
      <w:pPr>
        <w:pStyle w:val="FootnoteText"/>
      </w:pPr>
      <w:r>
        <w:rPr>
          <w:rStyle w:val="FootnoteReference"/>
        </w:rPr>
        <w:footnoteRef/>
      </w:r>
      <w:r>
        <w:t xml:space="preserve"> </w:t>
      </w:r>
      <w:r w:rsidR="006C57E4">
        <w:t xml:space="preserve">Panel Report, </w:t>
      </w:r>
      <w:r w:rsidR="006C57E4" w:rsidRPr="00D815F5">
        <w:rPr>
          <w:i/>
          <w:iCs/>
        </w:rPr>
        <w:t>Dominican Republic – Import and Sale of Cigarettes</w:t>
      </w:r>
      <w:r w:rsidR="006C57E4">
        <w:t xml:space="preserve">, para. </w:t>
      </w:r>
      <w:r>
        <w:t>7.266</w:t>
      </w:r>
      <w:r w:rsidR="006C57E4">
        <w:t>.</w:t>
      </w:r>
    </w:p>
  </w:footnote>
  <w:footnote w:id="29">
    <w:p w14:paraId="60565A66" w14:textId="49FADA41" w:rsidR="00DC4583" w:rsidRDefault="00DC4583">
      <w:pPr>
        <w:pStyle w:val="FootnoteText"/>
      </w:pPr>
      <w:r>
        <w:rPr>
          <w:rStyle w:val="FootnoteReference"/>
        </w:rPr>
        <w:footnoteRef/>
      </w:r>
      <w:r>
        <w:t xml:space="preserve"> </w:t>
      </w:r>
      <w:r w:rsidR="00FF0F55">
        <w:t xml:space="preserve">Australia's </w:t>
      </w:r>
      <w:proofErr w:type="gramStart"/>
      <w:r w:rsidR="00FF0F55">
        <w:t>third party</w:t>
      </w:r>
      <w:proofErr w:type="gramEnd"/>
      <w:r w:rsidR="00FF0F55">
        <w:t xml:space="preserve"> submission, para. 28. </w:t>
      </w:r>
    </w:p>
  </w:footnote>
  <w:footnote w:id="30">
    <w:p w14:paraId="2F4388FC" w14:textId="22CB5FFA" w:rsidR="007967EB" w:rsidRDefault="007967EB">
      <w:pPr>
        <w:pStyle w:val="FootnoteText"/>
      </w:pPr>
      <w:r>
        <w:rPr>
          <w:rStyle w:val="FootnoteReference"/>
        </w:rPr>
        <w:footnoteRef/>
      </w:r>
      <w:r>
        <w:t xml:space="preserve"> Appellate Body Report</w:t>
      </w:r>
      <w:r w:rsidRPr="007967EB">
        <w:rPr>
          <w:i/>
          <w:iCs/>
        </w:rPr>
        <w:t xml:space="preserve">, Brazil – </w:t>
      </w:r>
      <w:proofErr w:type="spellStart"/>
      <w:r w:rsidRPr="007967EB">
        <w:rPr>
          <w:i/>
          <w:iCs/>
        </w:rPr>
        <w:t>Retreaded</w:t>
      </w:r>
      <w:proofErr w:type="spellEnd"/>
      <w:r w:rsidRPr="007967EB">
        <w:rPr>
          <w:i/>
          <w:iCs/>
        </w:rPr>
        <w:t xml:space="preserve"> Tyres</w:t>
      </w:r>
      <w:r>
        <w:t xml:space="preserve">, para 178 - 182; </w:t>
      </w:r>
      <w:r w:rsidRPr="007967EB">
        <w:rPr>
          <w:i/>
          <w:iCs/>
        </w:rPr>
        <w:t>US – Gambling</w:t>
      </w:r>
      <w:r>
        <w:t xml:space="preserve">, para. 307; </w:t>
      </w:r>
      <w:r w:rsidRPr="007967EB">
        <w:rPr>
          <w:i/>
          <w:iCs/>
        </w:rPr>
        <w:t>Korea – Various Measures on Beef</w:t>
      </w:r>
      <w:r>
        <w:t xml:space="preserve">, para. 164; </w:t>
      </w:r>
      <w:r w:rsidRPr="007967EB">
        <w:rPr>
          <w:i/>
          <w:iCs/>
        </w:rPr>
        <w:t>Colombia – Textiles</w:t>
      </w:r>
      <w:r>
        <w:t>, paras. 5.71-5.74.</w:t>
      </w:r>
    </w:p>
  </w:footnote>
  <w:footnote w:id="31">
    <w:p w14:paraId="4626AA83" w14:textId="68CD5B03" w:rsidR="007967EB" w:rsidRDefault="007967EB">
      <w:pPr>
        <w:pStyle w:val="FootnoteText"/>
      </w:pPr>
      <w:r>
        <w:rPr>
          <w:rStyle w:val="FootnoteReference"/>
        </w:rPr>
        <w:footnoteRef/>
      </w:r>
      <w:r>
        <w:t xml:space="preserve"> Ibid.</w:t>
      </w:r>
    </w:p>
  </w:footnote>
  <w:footnote w:id="32">
    <w:p w14:paraId="0E7B8541" w14:textId="2B01D527" w:rsidR="00761EC7" w:rsidRDefault="00761EC7">
      <w:pPr>
        <w:pStyle w:val="FootnoteText"/>
      </w:pPr>
      <w:r>
        <w:rPr>
          <w:rStyle w:val="FootnoteReference"/>
        </w:rPr>
        <w:footnoteRef/>
      </w:r>
      <w:r>
        <w:t xml:space="preserve"> Appellate Body Reports, </w:t>
      </w:r>
      <w:r w:rsidRPr="00761EC7">
        <w:rPr>
          <w:i/>
          <w:iCs/>
        </w:rPr>
        <w:t>China – Rare Earths</w:t>
      </w:r>
      <w:r>
        <w:t>, para. 5.90.</w:t>
      </w:r>
    </w:p>
  </w:footnote>
  <w:footnote w:id="33">
    <w:p w14:paraId="5DE29B08" w14:textId="556A1A5C" w:rsidR="00761EC7" w:rsidRDefault="00761EC7">
      <w:pPr>
        <w:pStyle w:val="FootnoteText"/>
      </w:pPr>
      <w:r>
        <w:rPr>
          <w:rStyle w:val="FootnoteReference"/>
        </w:rPr>
        <w:footnoteRef/>
      </w:r>
      <w:r>
        <w:t xml:space="preserve"> Ibid.</w:t>
      </w:r>
    </w:p>
  </w:footnote>
  <w:footnote w:id="34">
    <w:p w14:paraId="35DBC6BA" w14:textId="1AAAA7A0" w:rsidR="00761EC7" w:rsidRDefault="00761EC7">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E4D3" w14:textId="45986DE8" w:rsidR="00451912" w:rsidRPr="009B6DBE" w:rsidRDefault="00451912" w:rsidP="00451912">
    <w:pPr>
      <w:pStyle w:val="Header"/>
      <w:rPr>
        <w:i/>
        <w:sz w:val="20"/>
        <w:szCs w:val="20"/>
      </w:rPr>
    </w:pPr>
    <w:r w:rsidRPr="00451912">
      <w:rPr>
        <w:i/>
        <w:sz w:val="20"/>
        <w:szCs w:val="20"/>
      </w:rPr>
      <w:t xml:space="preserve">European Union and Certain Member States – </w:t>
    </w:r>
    <w:r w:rsidR="006B7F3B">
      <w:rPr>
        <w:i/>
        <w:sz w:val="20"/>
        <w:szCs w:val="20"/>
      </w:rPr>
      <w:t>Palm Oi</w:t>
    </w:r>
    <w:r w:rsidR="00EF0A97">
      <w:rPr>
        <w:i/>
        <w:sz w:val="20"/>
        <w:szCs w:val="20"/>
      </w:rPr>
      <w:t>l</w:t>
    </w:r>
    <w:r>
      <w:rPr>
        <w:i/>
        <w:sz w:val="20"/>
        <w:szCs w:val="20"/>
      </w:rPr>
      <w:tab/>
    </w:r>
    <w:r w:rsidR="008742C4">
      <w:rPr>
        <w:i/>
        <w:sz w:val="20"/>
        <w:szCs w:val="20"/>
      </w:rPr>
      <w:t xml:space="preserve">    </w:t>
    </w:r>
    <w:r>
      <w:rPr>
        <w:i/>
        <w:sz w:val="20"/>
        <w:szCs w:val="20"/>
      </w:rPr>
      <w:t xml:space="preserve"> </w:t>
    </w:r>
    <w:r w:rsidRPr="009B6DBE">
      <w:rPr>
        <w:i/>
        <w:sz w:val="20"/>
        <w:szCs w:val="20"/>
      </w:rPr>
      <w:t>Australia</w:t>
    </w:r>
    <w:r w:rsidR="002A4A17">
      <w:rPr>
        <w:i/>
        <w:sz w:val="20"/>
        <w:szCs w:val="20"/>
      </w:rPr>
      <w:t>'</w:t>
    </w:r>
    <w:r w:rsidRPr="009B6DBE">
      <w:rPr>
        <w:i/>
        <w:sz w:val="20"/>
        <w:szCs w:val="20"/>
      </w:rPr>
      <w:t>s Responses to Panel Questions</w:t>
    </w:r>
  </w:p>
  <w:p w14:paraId="3647DD9C" w14:textId="07F987C7" w:rsidR="00451912" w:rsidRDefault="00EF0A97" w:rsidP="00451912">
    <w:pPr>
      <w:pStyle w:val="Header"/>
      <w:rPr>
        <w:i/>
        <w:sz w:val="20"/>
        <w:szCs w:val="20"/>
      </w:rPr>
    </w:pPr>
    <w:r>
      <w:rPr>
        <w:i/>
        <w:sz w:val="20"/>
        <w:szCs w:val="20"/>
      </w:rPr>
      <w:t xml:space="preserve">(Malaysia)(DS600)           </w:t>
    </w:r>
    <w:r w:rsidR="008742C4">
      <w:rPr>
        <w:i/>
        <w:sz w:val="20"/>
        <w:szCs w:val="20"/>
      </w:rPr>
      <w:t xml:space="preserve">                                   </w:t>
    </w:r>
    <w:r w:rsidR="00451912">
      <w:rPr>
        <w:i/>
        <w:sz w:val="20"/>
        <w:szCs w:val="20"/>
      </w:rPr>
      <w:t xml:space="preserve"> </w:t>
    </w:r>
    <w:r>
      <w:rPr>
        <w:i/>
        <w:sz w:val="20"/>
        <w:szCs w:val="20"/>
      </w:rPr>
      <w:t xml:space="preserve">                                                                  </w:t>
    </w:r>
    <w:r w:rsidR="00451912">
      <w:rPr>
        <w:i/>
        <w:sz w:val="20"/>
        <w:szCs w:val="20"/>
      </w:rPr>
      <w:t>20 June 2022</w:t>
    </w:r>
  </w:p>
  <w:p w14:paraId="1C2B0529" w14:textId="77777777" w:rsidR="00451912" w:rsidRPr="00451912" w:rsidRDefault="00451912" w:rsidP="00451912">
    <w:pPr>
      <w:pStyle w:val="Header"/>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47065"/>
    <w:multiLevelType w:val="hybridMultilevel"/>
    <w:tmpl w:val="6712764A"/>
    <w:lvl w:ilvl="0" w:tplc="15AE2050">
      <w:start w:val="17"/>
      <w:numFmt w:val="decimal"/>
      <w:lvlText w:val="%1."/>
      <w:lvlJc w:val="left"/>
      <w:pPr>
        <w:tabs>
          <w:tab w:val="num" w:pos="360"/>
        </w:tabs>
        <w:ind w:left="360" w:hanging="360"/>
      </w:pPr>
      <w:rPr>
        <w:rFonts w:hint="default"/>
        <w:b w:val="0"/>
        <w:i w:val="0"/>
        <w:strike w:val="0"/>
        <w:d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73F3C"/>
    <w:multiLevelType w:val="hybridMultilevel"/>
    <w:tmpl w:val="23DC32D2"/>
    <w:lvl w:ilvl="0" w:tplc="F5CE7BA0">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15:restartNumberingAfterBreak="0">
    <w:nsid w:val="0A5F1512"/>
    <w:multiLevelType w:val="multilevel"/>
    <w:tmpl w:val="7444E79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15:restartNumberingAfterBreak="0">
    <w:nsid w:val="0AB57EF4"/>
    <w:multiLevelType w:val="hybridMultilevel"/>
    <w:tmpl w:val="95DEEC6A"/>
    <w:lvl w:ilvl="0" w:tplc="98101448">
      <w:start w:val="1"/>
      <w:numFmt w:val="decimal"/>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542FF"/>
    <w:multiLevelType w:val="hybridMultilevel"/>
    <w:tmpl w:val="87D477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971B09"/>
    <w:multiLevelType w:val="hybridMultilevel"/>
    <w:tmpl w:val="B86EE9BC"/>
    <w:lvl w:ilvl="0" w:tplc="3E9AF3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A96168"/>
    <w:multiLevelType w:val="hybridMultilevel"/>
    <w:tmpl w:val="5BECF5DC"/>
    <w:lvl w:ilvl="0" w:tplc="EC6EB6C6">
      <w:start w:val="1"/>
      <w:numFmt w:val="decimal"/>
      <w:lvlText w:val="%1)"/>
      <w:lvlJc w:val="left"/>
      <w:pPr>
        <w:ind w:left="1356" w:hanging="360"/>
      </w:pPr>
      <w:rPr>
        <w:rFonts w:hint="default"/>
      </w:rPr>
    </w:lvl>
    <w:lvl w:ilvl="1" w:tplc="0C090019" w:tentative="1">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8" w15:restartNumberingAfterBreak="0">
    <w:nsid w:val="25030E9E"/>
    <w:multiLevelType w:val="hybridMultilevel"/>
    <w:tmpl w:val="B2B8D0EE"/>
    <w:lvl w:ilvl="0" w:tplc="A32AFD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097C1D"/>
    <w:multiLevelType w:val="hybridMultilevel"/>
    <w:tmpl w:val="F45ADE0E"/>
    <w:lvl w:ilvl="0" w:tplc="06AC4EF2">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AF1A6B"/>
    <w:multiLevelType w:val="hybridMultilevel"/>
    <w:tmpl w:val="8E642F4E"/>
    <w:lvl w:ilvl="0" w:tplc="324AB580">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15:restartNumberingAfterBreak="0">
    <w:nsid w:val="2FBA2CE2"/>
    <w:multiLevelType w:val="hybridMultilevel"/>
    <w:tmpl w:val="A5EAB2B2"/>
    <w:lvl w:ilvl="0" w:tplc="6A38635C">
      <w:start w:val="1"/>
      <w:numFmt w:val="decimal"/>
      <w:lvlText w:val="%1."/>
      <w:lvlJc w:val="left"/>
      <w:pPr>
        <w:tabs>
          <w:tab w:val="num" w:pos="360"/>
        </w:tabs>
        <w:ind w:left="360" w:hanging="360"/>
      </w:pPr>
      <w:rPr>
        <w:rFonts w:hint="default"/>
        <w:b w:val="0"/>
        <w:i w:val="0"/>
        <w:strike w:val="0"/>
        <w:dstrike w:val="0"/>
      </w:rPr>
    </w:lvl>
    <w:lvl w:ilvl="1" w:tplc="1F9AA09C">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2C900D8"/>
    <w:multiLevelType w:val="multilevel"/>
    <w:tmpl w:val="C81C5874"/>
    <w:lvl w:ilvl="0">
      <w:start w:val="1"/>
      <w:numFmt w:val="upperRoman"/>
      <w:lvlText w:val="%1."/>
      <w:lvlJc w:val="left"/>
      <w:pPr>
        <w:tabs>
          <w:tab w:val="num" w:pos="720"/>
        </w:tabs>
        <w:ind w:left="0" w:firstLine="0"/>
      </w:pPr>
    </w:lvl>
    <w:lvl w:ilvl="1">
      <w:start w:val="1"/>
      <w:numFmt w:val="upperLetter"/>
      <w:pStyle w:val="Heading2"/>
      <w:lvlText w:val="%2."/>
      <w:lvlJc w:val="left"/>
      <w:pPr>
        <w:tabs>
          <w:tab w:val="num" w:pos="786"/>
        </w:tabs>
        <w:ind w:left="426" w:firstLine="0"/>
      </w:pPr>
    </w:lvl>
    <w:lvl w:ilvl="2">
      <w:start w:val="1"/>
      <w:numFmt w:val="decimal"/>
      <w:pStyle w:val="Heading3"/>
      <w:lvlText w:val="%3."/>
      <w:lvlJc w:val="left"/>
      <w:pPr>
        <w:tabs>
          <w:tab w:val="num" w:pos="786"/>
        </w:tabs>
        <w:ind w:left="426" w:firstLine="0"/>
      </w:pPr>
    </w:lvl>
    <w:lvl w:ilvl="3">
      <w:start w:val="1"/>
      <w:numFmt w:val="lowerLetter"/>
      <w:lvlText w:val="(%4)"/>
      <w:lvlJc w:val="left"/>
      <w:pPr>
        <w:tabs>
          <w:tab w:val="num" w:pos="360"/>
        </w:tabs>
        <w:ind w:left="0" w:firstLine="0"/>
      </w:pPr>
    </w:lvl>
    <w:lvl w:ilvl="4">
      <w:start w:val="1"/>
      <w:numFmt w:val="lowerRoman"/>
      <w:pStyle w:val="Heading5"/>
      <w:lvlText w:val="(%5)"/>
      <w:lvlJc w:val="left"/>
      <w:pPr>
        <w:tabs>
          <w:tab w:val="num" w:pos="720"/>
        </w:tabs>
        <w:ind w:left="0" w:firstLine="0"/>
      </w:pPr>
    </w:lvl>
    <w:lvl w:ilvl="5">
      <w:start w:val="1"/>
      <w:numFmt w:val="decimal"/>
      <w:lvlRestart w:val="0"/>
      <w:pStyle w:val="BodyText"/>
      <w:lvlText w:val="%6."/>
      <w:lvlJc w:val="left"/>
      <w:pPr>
        <w:tabs>
          <w:tab w:val="num" w:pos="360"/>
        </w:tabs>
        <w:ind w:left="0" w:firstLine="0"/>
      </w:pPr>
    </w:lvl>
    <w:lvl w:ilvl="6">
      <w:start w:val="1"/>
      <w:numFmt w:val="lowerLetter"/>
      <w:pStyle w:val="BodyText2"/>
      <w:lvlText w:val="(%7)"/>
      <w:lvlJc w:val="left"/>
      <w:pPr>
        <w:tabs>
          <w:tab w:val="num" w:pos="1440"/>
        </w:tabs>
        <w:ind w:left="1440" w:hanging="720"/>
      </w:pPr>
    </w:lvl>
    <w:lvl w:ilvl="7">
      <w:start w:val="1"/>
      <w:numFmt w:val="lowerRoman"/>
      <w:lvlText w:val="(%8)"/>
      <w:lvlJc w:val="left"/>
      <w:pPr>
        <w:tabs>
          <w:tab w:val="num" w:pos="1440"/>
        </w:tabs>
        <w:ind w:left="1440" w:hanging="720"/>
      </w:pPr>
    </w:lvl>
    <w:lvl w:ilvl="8">
      <w:start w:val="1"/>
      <w:numFmt w:val="none"/>
      <w:pStyle w:val="BodyText4"/>
      <w:lvlText w:val="-"/>
      <w:lvlJc w:val="left"/>
      <w:pPr>
        <w:tabs>
          <w:tab w:val="num" w:pos="2104"/>
        </w:tabs>
        <w:ind w:left="2104" w:hanging="664"/>
      </w:pPr>
    </w:lvl>
  </w:abstractNum>
  <w:abstractNum w:abstractNumId="13" w15:restartNumberingAfterBreak="0">
    <w:nsid w:val="38F66D48"/>
    <w:multiLevelType w:val="multilevel"/>
    <w:tmpl w:val="69D694E2"/>
    <w:lvl w:ilvl="0">
      <w:start w:val="1"/>
      <w:numFmt w:val="upperRoman"/>
      <w:lvlText w:val="%1."/>
      <w:lvlJc w:val="left"/>
      <w:pPr>
        <w:tabs>
          <w:tab w:val="num" w:pos="720"/>
        </w:tabs>
        <w:ind w:left="0" w:firstLine="0"/>
      </w:pPr>
    </w:lvl>
    <w:lvl w:ilvl="1">
      <w:start w:val="1"/>
      <w:numFmt w:val="upperLetter"/>
      <w:lvlText w:val="%2."/>
      <w:lvlJc w:val="left"/>
      <w:pPr>
        <w:tabs>
          <w:tab w:val="num" w:pos="786"/>
        </w:tabs>
        <w:ind w:left="426" w:firstLine="0"/>
      </w:pPr>
    </w:lvl>
    <w:lvl w:ilvl="2">
      <w:start w:val="1"/>
      <w:numFmt w:val="decimal"/>
      <w:lvlText w:val="%3."/>
      <w:lvlJc w:val="left"/>
      <w:pPr>
        <w:tabs>
          <w:tab w:val="num" w:pos="786"/>
        </w:tabs>
        <w:ind w:left="426" w:firstLine="0"/>
      </w:pPr>
    </w:lvl>
    <w:lvl w:ilvl="3">
      <w:start w:val="1"/>
      <w:numFmt w:val="lowerLetter"/>
      <w:lvlText w:val="(%4)"/>
      <w:lvlJc w:val="left"/>
      <w:pPr>
        <w:tabs>
          <w:tab w:val="num" w:pos="360"/>
        </w:tabs>
        <w:ind w:left="0" w:firstLine="0"/>
      </w:pPr>
    </w:lvl>
    <w:lvl w:ilvl="4">
      <w:start w:val="1"/>
      <w:numFmt w:val="lowerRoman"/>
      <w:lvlText w:val="(%5)"/>
      <w:lvlJc w:val="left"/>
      <w:pPr>
        <w:tabs>
          <w:tab w:val="num" w:pos="720"/>
        </w:tabs>
        <w:ind w:left="0" w:firstLine="0"/>
      </w:pPr>
    </w:lvl>
    <w:lvl w:ilvl="5">
      <w:start w:val="1"/>
      <w:numFmt w:val="decimal"/>
      <w:lvlRestart w:val="0"/>
      <w:lvlText w:val="%6."/>
      <w:lvlJc w:val="left"/>
      <w:pPr>
        <w:tabs>
          <w:tab w:val="num" w:pos="360"/>
        </w:tabs>
        <w:ind w:left="0" w:firstLine="0"/>
      </w:pPr>
    </w:lvl>
    <w:lvl w:ilvl="6">
      <w:start w:val="1"/>
      <w:numFmt w:val="lowerLetter"/>
      <w:lvlText w:val="(%7)"/>
      <w:lvlJc w:val="left"/>
      <w:pPr>
        <w:tabs>
          <w:tab w:val="num" w:pos="1440"/>
        </w:tabs>
        <w:ind w:left="1440" w:hanging="720"/>
      </w:pPr>
    </w:lvl>
    <w:lvl w:ilvl="7">
      <w:start w:val="1"/>
      <w:numFmt w:val="lowerRoman"/>
      <w:lvlText w:val="(%8)"/>
      <w:lvlJc w:val="left"/>
      <w:pPr>
        <w:tabs>
          <w:tab w:val="num" w:pos="1440"/>
        </w:tabs>
        <w:ind w:left="1440" w:hanging="720"/>
      </w:pPr>
    </w:lvl>
    <w:lvl w:ilvl="8">
      <w:start w:val="1"/>
      <w:numFmt w:val="lowerRoman"/>
      <w:lvlText w:val="%9."/>
      <w:lvlJc w:val="right"/>
      <w:pPr>
        <w:tabs>
          <w:tab w:val="num" w:pos="2104"/>
        </w:tabs>
        <w:ind w:left="2104" w:hanging="664"/>
      </w:pPr>
    </w:lvl>
  </w:abstractNum>
  <w:abstractNum w:abstractNumId="14" w15:restartNumberingAfterBreak="0">
    <w:nsid w:val="3A9E0F1F"/>
    <w:multiLevelType w:val="hybridMultilevel"/>
    <w:tmpl w:val="B3F08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D06F97"/>
    <w:multiLevelType w:val="hybridMultilevel"/>
    <w:tmpl w:val="73A02766"/>
    <w:lvl w:ilvl="0" w:tplc="19EA8F7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D9162B"/>
    <w:multiLevelType w:val="hybridMultilevel"/>
    <w:tmpl w:val="A5EAB2B2"/>
    <w:lvl w:ilvl="0" w:tplc="6A38635C">
      <w:start w:val="1"/>
      <w:numFmt w:val="decimal"/>
      <w:lvlText w:val="%1."/>
      <w:lvlJc w:val="left"/>
      <w:pPr>
        <w:tabs>
          <w:tab w:val="num" w:pos="360"/>
        </w:tabs>
        <w:ind w:left="360" w:hanging="360"/>
      </w:pPr>
      <w:rPr>
        <w:rFonts w:hint="default"/>
        <w:b w:val="0"/>
        <w:i w:val="0"/>
        <w:strike w:val="0"/>
        <w:dstrike w:val="0"/>
      </w:rPr>
    </w:lvl>
    <w:lvl w:ilvl="1" w:tplc="1F9AA09C">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340302A"/>
    <w:multiLevelType w:val="multilevel"/>
    <w:tmpl w:val="0F0A434E"/>
    <w:lvl w:ilvl="0">
      <w:start w:val="1"/>
      <w:numFmt w:val="decimal"/>
      <w:lvlText w:val="%1."/>
      <w:lvlJc w:val="left"/>
      <w:pPr>
        <w:tabs>
          <w:tab w:val="num" w:pos="720"/>
        </w:tabs>
        <w:ind w:left="0" w:firstLine="0"/>
      </w:pPr>
    </w:lvl>
    <w:lvl w:ilvl="1">
      <w:start w:val="1"/>
      <w:numFmt w:val="upperLetter"/>
      <w:lvlText w:val="%2."/>
      <w:lvlJc w:val="left"/>
      <w:pPr>
        <w:tabs>
          <w:tab w:val="num" w:pos="786"/>
        </w:tabs>
        <w:ind w:left="426" w:firstLine="0"/>
      </w:pPr>
    </w:lvl>
    <w:lvl w:ilvl="2">
      <w:start w:val="1"/>
      <w:numFmt w:val="decimal"/>
      <w:lvlText w:val="%3."/>
      <w:lvlJc w:val="left"/>
      <w:pPr>
        <w:tabs>
          <w:tab w:val="num" w:pos="786"/>
        </w:tabs>
        <w:ind w:left="426" w:firstLine="0"/>
      </w:pPr>
    </w:lvl>
    <w:lvl w:ilvl="3">
      <w:start w:val="1"/>
      <w:numFmt w:val="lowerLetter"/>
      <w:lvlText w:val="(%4)"/>
      <w:lvlJc w:val="left"/>
      <w:pPr>
        <w:tabs>
          <w:tab w:val="num" w:pos="360"/>
        </w:tabs>
        <w:ind w:left="0" w:firstLine="0"/>
      </w:pPr>
    </w:lvl>
    <w:lvl w:ilvl="4">
      <w:start w:val="1"/>
      <w:numFmt w:val="lowerRoman"/>
      <w:lvlText w:val="(%5)"/>
      <w:lvlJc w:val="left"/>
      <w:pPr>
        <w:tabs>
          <w:tab w:val="num" w:pos="720"/>
        </w:tabs>
        <w:ind w:left="0" w:firstLine="0"/>
      </w:pPr>
    </w:lvl>
    <w:lvl w:ilvl="5">
      <w:start w:val="1"/>
      <w:numFmt w:val="decimal"/>
      <w:lvlRestart w:val="0"/>
      <w:lvlText w:val="%6."/>
      <w:lvlJc w:val="left"/>
      <w:pPr>
        <w:tabs>
          <w:tab w:val="num" w:pos="360"/>
        </w:tabs>
        <w:ind w:left="0" w:firstLine="0"/>
      </w:pPr>
    </w:lvl>
    <w:lvl w:ilvl="6">
      <w:start w:val="1"/>
      <w:numFmt w:val="lowerLetter"/>
      <w:lvlText w:val="(%7)"/>
      <w:lvlJc w:val="left"/>
      <w:pPr>
        <w:tabs>
          <w:tab w:val="num" w:pos="1440"/>
        </w:tabs>
        <w:ind w:left="1440" w:hanging="720"/>
      </w:pPr>
    </w:lvl>
    <w:lvl w:ilvl="7">
      <w:start w:val="1"/>
      <w:numFmt w:val="lowerRoman"/>
      <w:lvlText w:val="(%8)"/>
      <w:lvlJc w:val="left"/>
      <w:pPr>
        <w:tabs>
          <w:tab w:val="num" w:pos="1440"/>
        </w:tabs>
        <w:ind w:left="1440" w:hanging="720"/>
      </w:pPr>
    </w:lvl>
    <w:lvl w:ilvl="8">
      <w:start w:val="1"/>
      <w:numFmt w:val="none"/>
      <w:lvlText w:val="-"/>
      <w:lvlJc w:val="left"/>
      <w:pPr>
        <w:tabs>
          <w:tab w:val="num" w:pos="2104"/>
        </w:tabs>
        <w:ind w:left="2104" w:hanging="664"/>
      </w:pPr>
    </w:lvl>
  </w:abstractNum>
  <w:abstractNum w:abstractNumId="18" w15:restartNumberingAfterBreak="0">
    <w:nsid w:val="47B53AB1"/>
    <w:multiLevelType w:val="hybridMultilevel"/>
    <w:tmpl w:val="F8F42AC0"/>
    <w:lvl w:ilvl="0" w:tplc="0409000F">
      <w:start w:val="1"/>
      <w:numFmt w:val="decimal"/>
      <w:lvlText w:val="%1."/>
      <w:lvlJc w:val="left"/>
      <w:pPr>
        <w:ind w:left="3195" w:hanging="360"/>
      </w:pPr>
    </w:lvl>
    <w:lvl w:ilvl="1" w:tplc="04090019">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9" w15:restartNumberingAfterBreak="0">
    <w:nsid w:val="559752ED"/>
    <w:multiLevelType w:val="hybridMultilevel"/>
    <w:tmpl w:val="1EBA0D4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5DE02BCC"/>
    <w:multiLevelType w:val="hybridMultilevel"/>
    <w:tmpl w:val="D3E6B5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3D526BA"/>
    <w:multiLevelType w:val="multilevel"/>
    <w:tmpl w:val="DDB4DFBC"/>
    <w:lvl w:ilvl="0">
      <w:start w:val="1"/>
      <w:numFmt w:val="decimal"/>
      <w:pStyle w:val="SummaryText"/>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4BD6090"/>
    <w:multiLevelType w:val="hybridMultilevel"/>
    <w:tmpl w:val="4F7229C0"/>
    <w:lvl w:ilvl="0" w:tplc="F1CCDB0E">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7EAB3592"/>
    <w:multiLevelType w:val="hybridMultilevel"/>
    <w:tmpl w:val="0BBEE58C"/>
    <w:lvl w:ilvl="0" w:tplc="D4D0D464">
      <w:start w:val="1"/>
      <w:numFmt w:val="decimal"/>
      <w:lvlText w:val="%1."/>
      <w:lvlJc w:val="left"/>
      <w:pPr>
        <w:ind w:left="1418" w:hanging="851"/>
      </w:pPr>
      <w:rPr>
        <w:rFonts w:hint="default"/>
        <w:b w:val="0"/>
        <w:bCs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12"/>
  </w:num>
  <w:num w:numId="2">
    <w:abstractNumId w:val="11"/>
  </w:num>
  <w:num w:numId="3">
    <w:abstractNumId w:val="3"/>
  </w:num>
  <w:num w:numId="4">
    <w:abstractNumId w:val="16"/>
  </w:num>
  <w:num w:numId="5">
    <w:abstractNumId w:val="1"/>
  </w:num>
  <w:num w:numId="6">
    <w:abstractNumId w:val="12"/>
  </w:num>
  <w:num w:numId="7">
    <w:abstractNumId w:val="0"/>
  </w:num>
  <w:num w:numId="8">
    <w:abstractNumId w:val="21"/>
  </w:num>
  <w:num w:numId="9">
    <w:abstractNumId w:val="13"/>
  </w:num>
  <w:num w:numId="10">
    <w:abstractNumId w:val="17"/>
  </w:num>
  <w:num w:numId="11">
    <w:abstractNumId w:val="6"/>
  </w:num>
  <w:num w:numId="12">
    <w:abstractNumId w:val="14"/>
  </w:num>
  <w:num w:numId="13">
    <w:abstractNumId w:val="5"/>
  </w:num>
  <w:num w:numId="14">
    <w:abstractNumId w:val="4"/>
  </w:num>
  <w:num w:numId="15">
    <w:abstractNumId w:val="9"/>
  </w:num>
  <w:num w:numId="16">
    <w:abstractNumId w:val="21"/>
  </w:num>
  <w:num w:numId="17">
    <w:abstractNumId w:val="21"/>
  </w:num>
  <w:num w:numId="18">
    <w:abstractNumId w:val="21"/>
  </w:num>
  <w:num w:numId="19">
    <w:abstractNumId w:val="19"/>
  </w:num>
  <w:num w:numId="20">
    <w:abstractNumId w:val="21"/>
  </w:num>
  <w:num w:numId="21">
    <w:abstractNumId w:val="21"/>
  </w:num>
  <w:num w:numId="22">
    <w:abstractNumId w:val="20"/>
  </w:num>
  <w:num w:numId="23">
    <w:abstractNumId w:val="21"/>
  </w:num>
  <w:num w:numId="24">
    <w:abstractNumId w:val="7"/>
  </w:num>
  <w:num w:numId="25">
    <w:abstractNumId w:val="22"/>
  </w:num>
  <w:num w:numId="26">
    <w:abstractNumId w:val="2"/>
  </w:num>
  <w:num w:numId="27">
    <w:abstractNumId w:val="21"/>
  </w:num>
  <w:num w:numId="28">
    <w:abstractNumId w:val="21"/>
  </w:num>
  <w:num w:numId="29">
    <w:abstractNumId w:val="10"/>
  </w:num>
  <w:num w:numId="30">
    <w:abstractNumId w:val="21"/>
  </w:num>
  <w:num w:numId="31">
    <w:abstractNumId w:val="21"/>
  </w:num>
  <w:num w:numId="32">
    <w:abstractNumId w:val="23"/>
  </w:num>
  <w:num w:numId="33">
    <w:abstractNumId w:val="8"/>
  </w:num>
  <w:num w:numId="34">
    <w:abstractNumId w:val="1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65"/>
    <w:rsid w:val="000023D6"/>
    <w:rsid w:val="00004C8F"/>
    <w:rsid w:val="00006D4A"/>
    <w:rsid w:val="0001043F"/>
    <w:rsid w:val="00013CF7"/>
    <w:rsid w:val="00031B44"/>
    <w:rsid w:val="00034FD4"/>
    <w:rsid w:val="00035280"/>
    <w:rsid w:val="00041743"/>
    <w:rsid w:val="00042A20"/>
    <w:rsid w:val="0004681C"/>
    <w:rsid w:val="00057416"/>
    <w:rsid w:val="000576CC"/>
    <w:rsid w:val="00060857"/>
    <w:rsid w:val="00063C2B"/>
    <w:rsid w:val="000642F3"/>
    <w:rsid w:val="000666E4"/>
    <w:rsid w:val="0006767D"/>
    <w:rsid w:val="00075B4E"/>
    <w:rsid w:val="000868D2"/>
    <w:rsid w:val="00090457"/>
    <w:rsid w:val="00091B2E"/>
    <w:rsid w:val="000A195B"/>
    <w:rsid w:val="000B66E8"/>
    <w:rsid w:val="000B7765"/>
    <w:rsid w:val="000C7EE6"/>
    <w:rsid w:val="000D2A46"/>
    <w:rsid w:val="000D5D43"/>
    <w:rsid w:val="000E0327"/>
    <w:rsid w:val="000E293D"/>
    <w:rsid w:val="000E2F3A"/>
    <w:rsid w:val="000E62AB"/>
    <w:rsid w:val="000E7AD0"/>
    <w:rsid w:val="000F06A1"/>
    <w:rsid w:val="000F176D"/>
    <w:rsid w:val="000F1DE8"/>
    <w:rsid w:val="000F2E6C"/>
    <w:rsid w:val="000F5CB5"/>
    <w:rsid w:val="00101E37"/>
    <w:rsid w:val="001035AC"/>
    <w:rsid w:val="00116022"/>
    <w:rsid w:val="00120765"/>
    <w:rsid w:val="001267D1"/>
    <w:rsid w:val="00127568"/>
    <w:rsid w:val="00132187"/>
    <w:rsid w:val="00133732"/>
    <w:rsid w:val="001360E4"/>
    <w:rsid w:val="00143A3D"/>
    <w:rsid w:val="001530CE"/>
    <w:rsid w:val="001645E7"/>
    <w:rsid w:val="0016537C"/>
    <w:rsid w:val="0017419F"/>
    <w:rsid w:val="0017636C"/>
    <w:rsid w:val="00176F24"/>
    <w:rsid w:val="00177950"/>
    <w:rsid w:val="001820EE"/>
    <w:rsid w:val="00194181"/>
    <w:rsid w:val="0019661A"/>
    <w:rsid w:val="001A1768"/>
    <w:rsid w:val="001A1A59"/>
    <w:rsid w:val="001A6EB8"/>
    <w:rsid w:val="001B05F8"/>
    <w:rsid w:val="001B11A2"/>
    <w:rsid w:val="001B734B"/>
    <w:rsid w:val="001C24C1"/>
    <w:rsid w:val="001E0F71"/>
    <w:rsid w:val="001E3E0A"/>
    <w:rsid w:val="00200BF5"/>
    <w:rsid w:val="00206856"/>
    <w:rsid w:val="00211C81"/>
    <w:rsid w:val="00217636"/>
    <w:rsid w:val="00220083"/>
    <w:rsid w:val="00220A72"/>
    <w:rsid w:val="00220E9E"/>
    <w:rsid w:val="00226CA3"/>
    <w:rsid w:val="0022721E"/>
    <w:rsid w:val="00237543"/>
    <w:rsid w:val="0024166C"/>
    <w:rsid w:val="00241736"/>
    <w:rsid w:val="002534F0"/>
    <w:rsid w:val="00254BB6"/>
    <w:rsid w:val="002570F3"/>
    <w:rsid w:val="0026740C"/>
    <w:rsid w:val="00272D19"/>
    <w:rsid w:val="002822B6"/>
    <w:rsid w:val="00291C0A"/>
    <w:rsid w:val="002A4A17"/>
    <w:rsid w:val="002B0FD7"/>
    <w:rsid w:val="002B5670"/>
    <w:rsid w:val="002C5E95"/>
    <w:rsid w:val="002D17A9"/>
    <w:rsid w:val="002D3C68"/>
    <w:rsid w:val="002E0FA4"/>
    <w:rsid w:val="002E1996"/>
    <w:rsid w:val="002E48EE"/>
    <w:rsid w:val="00301FB9"/>
    <w:rsid w:val="00306761"/>
    <w:rsid w:val="003103DA"/>
    <w:rsid w:val="00314299"/>
    <w:rsid w:val="0031744C"/>
    <w:rsid w:val="00324CE3"/>
    <w:rsid w:val="00325D08"/>
    <w:rsid w:val="003317A0"/>
    <w:rsid w:val="0033762C"/>
    <w:rsid w:val="0034292B"/>
    <w:rsid w:val="00344A74"/>
    <w:rsid w:val="00351920"/>
    <w:rsid w:val="00360F34"/>
    <w:rsid w:val="00362313"/>
    <w:rsid w:val="003710AF"/>
    <w:rsid w:val="00372E45"/>
    <w:rsid w:val="00372FE3"/>
    <w:rsid w:val="00385016"/>
    <w:rsid w:val="00390F0B"/>
    <w:rsid w:val="00392474"/>
    <w:rsid w:val="0039512E"/>
    <w:rsid w:val="00395AA0"/>
    <w:rsid w:val="003A4997"/>
    <w:rsid w:val="003B5285"/>
    <w:rsid w:val="003B5829"/>
    <w:rsid w:val="003C2C51"/>
    <w:rsid w:val="003C7289"/>
    <w:rsid w:val="003D14DF"/>
    <w:rsid w:val="003F7263"/>
    <w:rsid w:val="00403A61"/>
    <w:rsid w:val="00404447"/>
    <w:rsid w:val="00420B5C"/>
    <w:rsid w:val="00420F59"/>
    <w:rsid w:val="004213DA"/>
    <w:rsid w:val="00426DF9"/>
    <w:rsid w:val="004330DA"/>
    <w:rsid w:val="00451912"/>
    <w:rsid w:val="00466E62"/>
    <w:rsid w:val="00467BAB"/>
    <w:rsid w:val="0047352C"/>
    <w:rsid w:val="00477E7B"/>
    <w:rsid w:val="004871B2"/>
    <w:rsid w:val="00494DF9"/>
    <w:rsid w:val="004A2DB0"/>
    <w:rsid w:val="004A631A"/>
    <w:rsid w:val="004A6D92"/>
    <w:rsid w:val="004B10BD"/>
    <w:rsid w:val="004B5287"/>
    <w:rsid w:val="004C3139"/>
    <w:rsid w:val="004C7B55"/>
    <w:rsid w:val="004E09B8"/>
    <w:rsid w:val="004E2697"/>
    <w:rsid w:val="004F121D"/>
    <w:rsid w:val="004F2A07"/>
    <w:rsid w:val="004F2C0D"/>
    <w:rsid w:val="00501C29"/>
    <w:rsid w:val="0051758D"/>
    <w:rsid w:val="00520650"/>
    <w:rsid w:val="005221FD"/>
    <w:rsid w:val="00531D06"/>
    <w:rsid w:val="00536998"/>
    <w:rsid w:val="005372E4"/>
    <w:rsid w:val="00546A94"/>
    <w:rsid w:val="005470EA"/>
    <w:rsid w:val="00550972"/>
    <w:rsid w:val="0055307F"/>
    <w:rsid w:val="0055456F"/>
    <w:rsid w:val="00556DFA"/>
    <w:rsid w:val="00566705"/>
    <w:rsid w:val="00577EB3"/>
    <w:rsid w:val="00583F88"/>
    <w:rsid w:val="005A425C"/>
    <w:rsid w:val="005B1B9B"/>
    <w:rsid w:val="005B247B"/>
    <w:rsid w:val="005C02DB"/>
    <w:rsid w:val="005C3D38"/>
    <w:rsid w:val="005C511F"/>
    <w:rsid w:val="005C6751"/>
    <w:rsid w:val="005D7822"/>
    <w:rsid w:val="005D788D"/>
    <w:rsid w:val="005D7CE5"/>
    <w:rsid w:val="005E2803"/>
    <w:rsid w:val="005E5B68"/>
    <w:rsid w:val="005E6678"/>
    <w:rsid w:val="005E7810"/>
    <w:rsid w:val="005F0A8D"/>
    <w:rsid w:val="005F1A59"/>
    <w:rsid w:val="005F7B3C"/>
    <w:rsid w:val="00601888"/>
    <w:rsid w:val="006022E1"/>
    <w:rsid w:val="00613FB7"/>
    <w:rsid w:val="00614E2E"/>
    <w:rsid w:val="00616063"/>
    <w:rsid w:val="0062576C"/>
    <w:rsid w:val="00636A92"/>
    <w:rsid w:val="00636CE0"/>
    <w:rsid w:val="00636E8A"/>
    <w:rsid w:val="006405C0"/>
    <w:rsid w:val="00641F96"/>
    <w:rsid w:val="00650258"/>
    <w:rsid w:val="006526BE"/>
    <w:rsid w:val="00652B54"/>
    <w:rsid w:val="006532AD"/>
    <w:rsid w:val="00656D99"/>
    <w:rsid w:val="006626F9"/>
    <w:rsid w:val="00662BFB"/>
    <w:rsid w:val="00663295"/>
    <w:rsid w:val="00663D93"/>
    <w:rsid w:val="006705CB"/>
    <w:rsid w:val="006820EE"/>
    <w:rsid w:val="00692A7E"/>
    <w:rsid w:val="00693916"/>
    <w:rsid w:val="006A55E0"/>
    <w:rsid w:val="006A6B79"/>
    <w:rsid w:val="006B1F7C"/>
    <w:rsid w:val="006B28B7"/>
    <w:rsid w:val="006B651B"/>
    <w:rsid w:val="006B6DBC"/>
    <w:rsid w:val="006B7F3B"/>
    <w:rsid w:val="006C152D"/>
    <w:rsid w:val="006C1943"/>
    <w:rsid w:val="006C57E4"/>
    <w:rsid w:val="006D42D2"/>
    <w:rsid w:val="006E23FA"/>
    <w:rsid w:val="006F0586"/>
    <w:rsid w:val="006F0BEB"/>
    <w:rsid w:val="006F2381"/>
    <w:rsid w:val="006F3170"/>
    <w:rsid w:val="006F605B"/>
    <w:rsid w:val="006F7904"/>
    <w:rsid w:val="00703B6E"/>
    <w:rsid w:val="00703BA0"/>
    <w:rsid w:val="007129DD"/>
    <w:rsid w:val="0071545A"/>
    <w:rsid w:val="00717B7A"/>
    <w:rsid w:val="00720D4B"/>
    <w:rsid w:val="0074409A"/>
    <w:rsid w:val="00747607"/>
    <w:rsid w:val="00755992"/>
    <w:rsid w:val="007607ED"/>
    <w:rsid w:val="00760F2A"/>
    <w:rsid w:val="00761EC7"/>
    <w:rsid w:val="007625BB"/>
    <w:rsid w:val="00763588"/>
    <w:rsid w:val="00764100"/>
    <w:rsid w:val="0077159B"/>
    <w:rsid w:val="00784750"/>
    <w:rsid w:val="007856C5"/>
    <w:rsid w:val="0079321A"/>
    <w:rsid w:val="00795AB1"/>
    <w:rsid w:val="007967EB"/>
    <w:rsid w:val="00797D34"/>
    <w:rsid w:val="007A60F2"/>
    <w:rsid w:val="007A65FD"/>
    <w:rsid w:val="007B3351"/>
    <w:rsid w:val="007B783A"/>
    <w:rsid w:val="007D2B64"/>
    <w:rsid w:val="007E53F0"/>
    <w:rsid w:val="007F1D5B"/>
    <w:rsid w:val="007F5ADA"/>
    <w:rsid w:val="0080273C"/>
    <w:rsid w:val="008129B2"/>
    <w:rsid w:val="00815C01"/>
    <w:rsid w:val="00816B3E"/>
    <w:rsid w:val="00817F36"/>
    <w:rsid w:val="00824BFB"/>
    <w:rsid w:val="00830361"/>
    <w:rsid w:val="00831815"/>
    <w:rsid w:val="008319E6"/>
    <w:rsid w:val="00831FF9"/>
    <w:rsid w:val="008361A5"/>
    <w:rsid w:val="008361AE"/>
    <w:rsid w:val="00840073"/>
    <w:rsid w:val="0084263D"/>
    <w:rsid w:val="00843AF8"/>
    <w:rsid w:val="00851397"/>
    <w:rsid w:val="008532E8"/>
    <w:rsid w:val="008552DA"/>
    <w:rsid w:val="00867168"/>
    <w:rsid w:val="008719EF"/>
    <w:rsid w:val="008732F9"/>
    <w:rsid w:val="008742C4"/>
    <w:rsid w:val="00880BCA"/>
    <w:rsid w:val="0089649C"/>
    <w:rsid w:val="00897C0A"/>
    <w:rsid w:val="008A1AA0"/>
    <w:rsid w:val="008A3F31"/>
    <w:rsid w:val="008B08DA"/>
    <w:rsid w:val="008B358B"/>
    <w:rsid w:val="008C41B1"/>
    <w:rsid w:val="008C4516"/>
    <w:rsid w:val="008E0806"/>
    <w:rsid w:val="008E5B6B"/>
    <w:rsid w:val="008E69FA"/>
    <w:rsid w:val="008F047C"/>
    <w:rsid w:val="00903785"/>
    <w:rsid w:val="0091164D"/>
    <w:rsid w:val="00911D03"/>
    <w:rsid w:val="00913F38"/>
    <w:rsid w:val="00927834"/>
    <w:rsid w:val="00952ED4"/>
    <w:rsid w:val="00957504"/>
    <w:rsid w:val="00961129"/>
    <w:rsid w:val="0097096B"/>
    <w:rsid w:val="00971425"/>
    <w:rsid w:val="009749B4"/>
    <w:rsid w:val="00983E53"/>
    <w:rsid w:val="009925EB"/>
    <w:rsid w:val="00993EA3"/>
    <w:rsid w:val="009A0812"/>
    <w:rsid w:val="009B6DBE"/>
    <w:rsid w:val="009B71DF"/>
    <w:rsid w:val="009B7310"/>
    <w:rsid w:val="009D623F"/>
    <w:rsid w:val="009D726C"/>
    <w:rsid w:val="009E7970"/>
    <w:rsid w:val="00A01F46"/>
    <w:rsid w:val="00A12C60"/>
    <w:rsid w:val="00A137B4"/>
    <w:rsid w:val="00A14383"/>
    <w:rsid w:val="00A244AE"/>
    <w:rsid w:val="00A30819"/>
    <w:rsid w:val="00A32D41"/>
    <w:rsid w:val="00A35506"/>
    <w:rsid w:val="00A35C07"/>
    <w:rsid w:val="00A420BC"/>
    <w:rsid w:val="00A4627A"/>
    <w:rsid w:val="00A4638D"/>
    <w:rsid w:val="00A469C1"/>
    <w:rsid w:val="00A5094A"/>
    <w:rsid w:val="00A5355E"/>
    <w:rsid w:val="00A55CE6"/>
    <w:rsid w:val="00A63BFB"/>
    <w:rsid w:val="00A64F28"/>
    <w:rsid w:val="00A714C4"/>
    <w:rsid w:val="00A81D8E"/>
    <w:rsid w:val="00A96DC4"/>
    <w:rsid w:val="00A97998"/>
    <w:rsid w:val="00A97EE1"/>
    <w:rsid w:val="00AA378D"/>
    <w:rsid w:val="00AA632F"/>
    <w:rsid w:val="00AB4FF2"/>
    <w:rsid w:val="00AE298A"/>
    <w:rsid w:val="00AE5EB9"/>
    <w:rsid w:val="00B00A76"/>
    <w:rsid w:val="00B15969"/>
    <w:rsid w:val="00B22461"/>
    <w:rsid w:val="00B32A1A"/>
    <w:rsid w:val="00B32DDA"/>
    <w:rsid w:val="00B364AA"/>
    <w:rsid w:val="00B369C6"/>
    <w:rsid w:val="00B40109"/>
    <w:rsid w:val="00B43F57"/>
    <w:rsid w:val="00B51BFC"/>
    <w:rsid w:val="00B62778"/>
    <w:rsid w:val="00B64196"/>
    <w:rsid w:val="00B64EFB"/>
    <w:rsid w:val="00B7681C"/>
    <w:rsid w:val="00B93692"/>
    <w:rsid w:val="00B95841"/>
    <w:rsid w:val="00B97C72"/>
    <w:rsid w:val="00BA096B"/>
    <w:rsid w:val="00BB6F0F"/>
    <w:rsid w:val="00BD2564"/>
    <w:rsid w:val="00BD7375"/>
    <w:rsid w:val="00BE5E5B"/>
    <w:rsid w:val="00BF0641"/>
    <w:rsid w:val="00BF1F6C"/>
    <w:rsid w:val="00BF41DE"/>
    <w:rsid w:val="00C034A3"/>
    <w:rsid w:val="00C13A1D"/>
    <w:rsid w:val="00C17DEB"/>
    <w:rsid w:val="00C26905"/>
    <w:rsid w:val="00C272F1"/>
    <w:rsid w:val="00C32CF7"/>
    <w:rsid w:val="00C3303C"/>
    <w:rsid w:val="00C346ED"/>
    <w:rsid w:val="00C37ADA"/>
    <w:rsid w:val="00C41CFE"/>
    <w:rsid w:val="00C42ED7"/>
    <w:rsid w:val="00C451D6"/>
    <w:rsid w:val="00C52D97"/>
    <w:rsid w:val="00C54479"/>
    <w:rsid w:val="00C5592D"/>
    <w:rsid w:val="00C63A5F"/>
    <w:rsid w:val="00C71A6C"/>
    <w:rsid w:val="00C810E6"/>
    <w:rsid w:val="00C85264"/>
    <w:rsid w:val="00C97F20"/>
    <w:rsid w:val="00CA2C2C"/>
    <w:rsid w:val="00CB3997"/>
    <w:rsid w:val="00CB4E6F"/>
    <w:rsid w:val="00CB6778"/>
    <w:rsid w:val="00CC57F6"/>
    <w:rsid w:val="00CD0263"/>
    <w:rsid w:val="00D018BC"/>
    <w:rsid w:val="00D0306A"/>
    <w:rsid w:val="00D03DA8"/>
    <w:rsid w:val="00D0518C"/>
    <w:rsid w:val="00D06462"/>
    <w:rsid w:val="00D11F75"/>
    <w:rsid w:val="00D20180"/>
    <w:rsid w:val="00D23D29"/>
    <w:rsid w:val="00D26BEF"/>
    <w:rsid w:val="00D36F71"/>
    <w:rsid w:val="00D43093"/>
    <w:rsid w:val="00D5518A"/>
    <w:rsid w:val="00D62351"/>
    <w:rsid w:val="00D64185"/>
    <w:rsid w:val="00D664F9"/>
    <w:rsid w:val="00D72A49"/>
    <w:rsid w:val="00D74AAA"/>
    <w:rsid w:val="00D815F5"/>
    <w:rsid w:val="00D81694"/>
    <w:rsid w:val="00D942D9"/>
    <w:rsid w:val="00DA0051"/>
    <w:rsid w:val="00DA17B6"/>
    <w:rsid w:val="00DA3E3C"/>
    <w:rsid w:val="00DB42DB"/>
    <w:rsid w:val="00DC35D2"/>
    <w:rsid w:val="00DC4583"/>
    <w:rsid w:val="00DC58D1"/>
    <w:rsid w:val="00DD323D"/>
    <w:rsid w:val="00DD6F13"/>
    <w:rsid w:val="00DF2489"/>
    <w:rsid w:val="00DF358E"/>
    <w:rsid w:val="00DF5CDC"/>
    <w:rsid w:val="00DF73A7"/>
    <w:rsid w:val="00E03FE1"/>
    <w:rsid w:val="00E06F70"/>
    <w:rsid w:val="00E24559"/>
    <w:rsid w:val="00E41C4B"/>
    <w:rsid w:val="00E449E2"/>
    <w:rsid w:val="00E46C71"/>
    <w:rsid w:val="00E516DE"/>
    <w:rsid w:val="00E548EC"/>
    <w:rsid w:val="00E54BBD"/>
    <w:rsid w:val="00E570E3"/>
    <w:rsid w:val="00E6345E"/>
    <w:rsid w:val="00E659AC"/>
    <w:rsid w:val="00E67B2E"/>
    <w:rsid w:val="00E74513"/>
    <w:rsid w:val="00E74730"/>
    <w:rsid w:val="00E817CA"/>
    <w:rsid w:val="00E841F9"/>
    <w:rsid w:val="00E913A2"/>
    <w:rsid w:val="00E922F8"/>
    <w:rsid w:val="00EA055A"/>
    <w:rsid w:val="00EA16A8"/>
    <w:rsid w:val="00EA3C01"/>
    <w:rsid w:val="00EB3B70"/>
    <w:rsid w:val="00EB59B3"/>
    <w:rsid w:val="00EC04D2"/>
    <w:rsid w:val="00EC0CC7"/>
    <w:rsid w:val="00EC6241"/>
    <w:rsid w:val="00EC7B79"/>
    <w:rsid w:val="00ED305B"/>
    <w:rsid w:val="00ED4763"/>
    <w:rsid w:val="00ED4C38"/>
    <w:rsid w:val="00ED4E8A"/>
    <w:rsid w:val="00EE0337"/>
    <w:rsid w:val="00EE11DF"/>
    <w:rsid w:val="00EE1E94"/>
    <w:rsid w:val="00EF0A97"/>
    <w:rsid w:val="00EF6AD5"/>
    <w:rsid w:val="00F05144"/>
    <w:rsid w:val="00F1592E"/>
    <w:rsid w:val="00F20826"/>
    <w:rsid w:val="00F20A25"/>
    <w:rsid w:val="00F20AD9"/>
    <w:rsid w:val="00F223B7"/>
    <w:rsid w:val="00F3093F"/>
    <w:rsid w:val="00F30B72"/>
    <w:rsid w:val="00F46D07"/>
    <w:rsid w:val="00F50E71"/>
    <w:rsid w:val="00F564BB"/>
    <w:rsid w:val="00F6211A"/>
    <w:rsid w:val="00F8008A"/>
    <w:rsid w:val="00F90B98"/>
    <w:rsid w:val="00FA3C3D"/>
    <w:rsid w:val="00FB2C4A"/>
    <w:rsid w:val="00FB5B0A"/>
    <w:rsid w:val="00FB67F3"/>
    <w:rsid w:val="00FB73A3"/>
    <w:rsid w:val="00FC4789"/>
    <w:rsid w:val="00FE2A87"/>
    <w:rsid w:val="00FE3E95"/>
    <w:rsid w:val="00FE6816"/>
    <w:rsid w:val="00FF0F55"/>
    <w:rsid w:val="00FF2C73"/>
    <w:rsid w:val="00FF561E"/>
    <w:rsid w:val="08AA46D5"/>
    <w:rsid w:val="1DD719B4"/>
    <w:rsid w:val="1F3799A9"/>
    <w:rsid w:val="2F28CF17"/>
    <w:rsid w:val="3B59DC49"/>
    <w:rsid w:val="712CBCBD"/>
    <w:rsid w:val="77C0A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0D2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765"/>
    <w:rPr>
      <w:sz w:val="24"/>
      <w:szCs w:val="24"/>
      <w:lang w:eastAsia="en-US"/>
    </w:rPr>
  </w:style>
  <w:style w:type="paragraph" w:styleId="Heading1">
    <w:name w:val="heading 1"/>
    <w:basedOn w:val="Normal"/>
    <w:next w:val="Heading2"/>
    <w:link w:val="Heading1Char"/>
    <w:qFormat/>
    <w:rsid w:val="00692A7E"/>
    <w:pPr>
      <w:keepNext/>
      <w:spacing w:after="240"/>
      <w:jc w:val="both"/>
      <w:outlineLvl w:val="0"/>
    </w:pPr>
    <w:rPr>
      <w:b/>
      <w:caps/>
      <w:sz w:val="22"/>
      <w:szCs w:val="20"/>
      <w:lang w:val="en-GB"/>
    </w:rPr>
  </w:style>
  <w:style w:type="paragraph" w:styleId="Heading2">
    <w:name w:val="heading 2"/>
    <w:basedOn w:val="Normal"/>
    <w:next w:val="Heading3"/>
    <w:link w:val="Heading2Char"/>
    <w:qFormat/>
    <w:rsid w:val="00692A7E"/>
    <w:pPr>
      <w:keepNext/>
      <w:numPr>
        <w:ilvl w:val="1"/>
        <w:numId w:val="1"/>
      </w:numPr>
      <w:tabs>
        <w:tab w:val="clear" w:pos="786"/>
        <w:tab w:val="num" w:pos="360"/>
      </w:tabs>
      <w:spacing w:after="240"/>
      <w:ind w:left="0"/>
      <w:jc w:val="both"/>
      <w:outlineLvl w:val="1"/>
    </w:pPr>
    <w:rPr>
      <w:b/>
      <w:smallCaps/>
      <w:sz w:val="22"/>
      <w:szCs w:val="20"/>
      <w:lang w:val="en-GB"/>
    </w:rPr>
  </w:style>
  <w:style w:type="paragraph" w:styleId="Heading3">
    <w:name w:val="heading 3"/>
    <w:basedOn w:val="Normal"/>
    <w:next w:val="Heading4"/>
    <w:link w:val="Heading3Char"/>
    <w:qFormat/>
    <w:rsid w:val="00692A7E"/>
    <w:pPr>
      <w:keepNext/>
      <w:numPr>
        <w:ilvl w:val="2"/>
        <w:numId w:val="1"/>
      </w:numPr>
      <w:spacing w:after="240"/>
      <w:jc w:val="both"/>
      <w:outlineLvl w:val="2"/>
    </w:pPr>
    <w:rPr>
      <w:b/>
      <w:sz w:val="22"/>
      <w:szCs w:val="20"/>
      <w:lang w:val="en-GB"/>
    </w:rPr>
  </w:style>
  <w:style w:type="paragraph" w:styleId="Heading4">
    <w:name w:val="heading 4"/>
    <w:basedOn w:val="Normal"/>
    <w:next w:val="Normal"/>
    <w:link w:val="Heading4Char"/>
    <w:semiHidden/>
    <w:unhideWhenUsed/>
    <w:qFormat/>
    <w:rsid w:val="00692A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BodyText"/>
    <w:link w:val="Heading5Char"/>
    <w:qFormat/>
    <w:rsid w:val="00692A7E"/>
    <w:pPr>
      <w:numPr>
        <w:ilvl w:val="4"/>
        <w:numId w:val="1"/>
      </w:numPr>
      <w:spacing w:after="240"/>
      <w:jc w:val="both"/>
      <w:outlineLvl w:val="4"/>
    </w:pPr>
    <w:rPr>
      <w:i/>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A7E"/>
    <w:rPr>
      <w:b/>
      <w:caps/>
      <w:sz w:val="22"/>
      <w:lang w:val="en-GB" w:eastAsia="en-US"/>
    </w:rPr>
  </w:style>
  <w:style w:type="character" w:customStyle="1" w:styleId="Heading2Char">
    <w:name w:val="Heading 2 Char"/>
    <w:basedOn w:val="DefaultParagraphFont"/>
    <w:link w:val="Heading2"/>
    <w:rsid w:val="00692A7E"/>
    <w:rPr>
      <w:b/>
      <w:smallCaps/>
      <w:sz w:val="22"/>
      <w:lang w:val="en-GB" w:eastAsia="en-US"/>
    </w:rPr>
  </w:style>
  <w:style w:type="character" w:customStyle="1" w:styleId="Heading3Char">
    <w:name w:val="Heading 3 Char"/>
    <w:basedOn w:val="DefaultParagraphFont"/>
    <w:link w:val="Heading3"/>
    <w:rsid w:val="00692A7E"/>
    <w:rPr>
      <w:b/>
      <w:sz w:val="22"/>
      <w:lang w:val="en-GB" w:eastAsia="en-US"/>
    </w:rPr>
  </w:style>
  <w:style w:type="character" w:customStyle="1" w:styleId="Heading5Char">
    <w:name w:val="Heading 5 Char"/>
    <w:basedOn w:val="DefaultParagraphFont"/>
    <w:link w:val="Heading5"/>
    <w:rsid w:val="00692A7E"/>
    <w:rPr>
      <w:i/>
      <w:sz w:val="22"/>
      <w:lang w:val="en-GB" w:eastAsia="en-US"/>
    </w:rPr>
  </w:style>
  <w:style w:type="paragraph" w:customStyle="1" w:styleId="MinuteHeading">
    <w:name w:val="Minute Heading"/>
    <w:basedOn w:val="Normal"/>
    <w:next w:val="Normal"/>
    <w:rsid w:val="00692A7E"/>
    <w:pPr>
      <w:framePr w:w="7200" w:hSpace="187" w:vSpace="187" w:wrap="auto" w:vAnchor="page" w:hAnchor="page" w:x="2113" w:y="1056"/>
      <w:spacing w:after="240" w:line="360" w:lineRule="atLeast"/>
      <w:jc w:val="center"/>
    </w:pPr>
    <w:rPr>
      <w:b/>
      <w:bCs/>
      <w:sz w:val="36"/>
      <w:szCs w:val="36"/>
      <w:lang w:val="en-GB" w:eastAsia="zh-CN"/>
    </w:rPr>
  </w:style>
  <w:style w:type="paragraph" w:styleId="FootnoteText">
    <w:name w:val="footnote text"/>
    <w:aliases w:val="fn,footnote text,Footnote Text 2,Footnotes,ft,fn cafc,Footnote ak,Footnotes Char,Footnote ak Char,footnote citation,Footnotes Char Char,Footnote Text Char Char,fn Char Char,footnote text Char Char Char Ch,Ca,C,f,VBB Footnote Text"/>
    <w:basedOn w:val="Normal"/>
    <w:link w:val="FootnoteTextChar"/>
    <w:uiPriority w:val="99"/>
    <w:qFormat/>
    <w:rsid w:val="00692A7E"/>
    <w:rPr>
      <w:sz w:val="20"/>
      <w:szCs w:val="20"/>
      <w:lang w:eastAsia="en-AU"/>
    </w:rPr>
  </w:style>
  <w:style w:type="character" w:customStyle="1" w:styleId="FootnoteTextChar">
    <w:name w:val="Footnote Text Char"/>
    <w:aliases w:val="fn Char,footnote text Char,Footnote Text 2 Char,Footnotes Char1,ft Char,fn cafc Char,Footnote ak Char1,Footnotes Char Char1,Footnote ak Char Char,footnote citation Char,Footnotes Char Char Char,Footnote Text Char Char Char,Ca Char"/>
    <w:basedOn w:val="DefaultParagraphFont"/>
    <w:link w:val="FootnoteText"/>
    <w:uiPriority w:val="99"/>
    <w:rsid w:val="00692A7E"/>
  </w:style>
  <w:style w:type="character" w:styleId="FootnoteReference">
    <w:name w:val="footnote reference"/>
    <w:aliases w:val="Ref,de nota al pie,註腳內容,Footnote Reference1,Ref1,de nota al pie1,de nota al pie + (Asian) MS Mincho,11 pt,註?腳Ò®é»,11 p,註?腳內—e,????,-E Fußnotenzeichen,16 Point,Superscript 6 Point,註??腳內—e,11,-E Fuﬂnotenzeichen,註?腳內Ñe,-E Fu§notenzeichen"/>
    <w:uiPriority w:val="99"/>
    <w:rsid w:val="00692A7E"/>
    <w:rPr>
      <w:vertAlign w:val="superscript"/>
    </w:rPr>
  </w:style>
  <w:style w:type="paragraph" w:styleId="BodyText">
    <w:name w:val="Body Text"/>
    <w:basedOn w:val="Normal"/>
    <w:link w:val="BodyTextChar"/>
    <w:rsid w:val="00692A7E"/>
    <w:pPr>
      <w:numPr>
        <w:ilvl w:val="5"/>
        <w:numId w:val="1"/>
      </w:numPr>
      <w:spacing w:after="240"/>
      <w:jc w:val="both"/>
    </w:pPr>
    <w:rPr>
      <w:sz w:val="22"/>
      <w:szCs w:val="20"/>
      <w:lang w:val="en-GB"/>
    </w:rPr>
  </w:style>
  <w:style w:type="character" w:customStyle="1" w:styleId="BodyTextChar">
    <w:name w:val="Body Text Char"/>
    <w:basedOn w:val="DefaultParagraphFont"/>
    <w:link w:val="BodyText"/>
    <w:rsid w:val="00692A7E"/>
    <w:rPr>
      <w:sz w:val="22"/>
      <w:lang w:val="en-GB" w:eastAsia="en-US"/>
    </w:rPr>
  </w:style>
  <w:style w:type="paragraph" w:styleId="BodyText2">
    <w:name w:val="Body Text 2"/>
    <w:basedOn w:val="Normal"/>
    <w:link w:val="BodyText2Char"/>
    <w:rsid w:val="00692A7E"/>
    <w:pPr>
      <w:numPr>
        <w:ilvl w:val="6"/>
        <w:numId w:val="1"/>
      </w:numPr>
      <w:spacing w:after="240"/>
      <w:jc w:val="both"/>
    </w:pPr>
    <w:rPr>
      <w:sz w:val="22"/>
      <w:szCs w:val="20"/>
      <w:lang w:val="en-GB"/>
    </w:rPr>
  </w:style>
  <w:style w:type="character" w:customStyle="1" w:styleId="BodyText2Char">
    <w:name w:val="Body Text 2 Char"/>
    <w:basedOn w:val="DefaultParagraphFont"/>
    <w:link w:val="BodyText2"/>
    <w:rsid w:val="00692A7E"/>
    <w:rPr>
      <w:sz w:val="22"/>
      <w:lang w:val="en-GB" w:eastAsia="en-US"/>
    </w:rPr>
  </w:style>
  <w:style w:type="paragraph" w:styleId="BodyText3">
    <w:name w:val="Body Text 3"/>
    <w:basedOn w:val="Normal"/>
    <w:link w:val="BodyText3Char"/>
    <w:qFormat/>
    <w:rsid w:val="00692A7E"/>
    <w:pPr>
      <w:spacing w:after="240"/>
      <w:jc w:val="both"/>
    </w:pPr>
    <w:rPr>
      <w:sz w:val="22"/>
      <w:szCs w:val="20"/>
      <w:lang w:val="en-GB"/>
    </w:rPr>
  </w:style>
  <w:style w:type="character" w:customStyle="1" w:styleId="BodyText3Char">
    <w:name w:val="Body Text 3 Char"/>
    <w:basedOn w:val="DefaultParagraphFont"/>
    <w:link w:val="BodyText3"/>
    <w:rsid w:val="00692A7E"/>
    <w:rPr>
      <w:sz w:val="22"/>
      <w:lang w:val="en-GB" w:eastAsia="en-US"/>
    </w:rPr>
  </w:style>
  <w:style w:type="paragraph" w:customStyle="1" w:styleId="BodyText4">
    <w:name w:val="Body Text 4"/>
    <w:basedOn w:val="Normal"/>
    <w:rsid w:val="00692A7E"/>
    <w:pPr>
      <w:numPr>
        <w:ilvl w:val="8"/>
        <w:numId w:val="1"/>
      </w:numPr>
      <w:tabs>
        <w:tab w:val="left" w:pos="2160"/>
      </w:tabs>
      <w:spacing w:after="240"/>
      <w:jc w:val="both"/>
    </w:pPr>
    <w:rPr>
      <w:sz w:val="22"/>
      <w:szCs w:val="20"/>
      <w:lang w:val="en-GB"/>
    </w:rPr>
  </w:style>
  <w:style w:type="paragraph" w:styleId="ListParagraph">
    <w:name w:val="List Paragraph"/>
    <w:basedOn w:val="Normal"/>
    <w:uiPriority w:val="34"/>
    <w:qFormat/>
    <w:rsid w:val="00692A7E"/>
    <w:pPr>
      <w:ind w:left="720"/>
      <w:contextualSpacing/>
    </w:pPr>
  </w:style>
  <w:style w:type="character" w:styleId="Hyperlink">
    <w:name w:val="Hyperlink"/>
    <w:uiPriority w:val="99"/>
    <w:unhideWhenUsed/>
    <w:rsid w:val="00692A7E"/>
    <w:rPr>
      <w:color w:val="0000FF"/>
      <w:u w:val="single"/>
    </w:rPr>
  </w:style>
  <w:style w:type="character" w:customStyle="1" w:styleId="Heading4Char">
    <w:name w:val="Heading 4 Char"/>
    <w:basedOn w:val="DefaultParagraphFont"/>
    <w:link w:val="Heading4"/>
    <w:semiHidden/>
    <w:rsid w:val="00692A7E"/>
    <w:rPr>
      <w:rFonts w:asciiTheme="majorHAnsi" w:eastAsiaTheme="majorEastAsia" w:hAnsiTheme="majorHAnsi" w:cstheme="majorBidi"/>
      <w:b/>
      <w:bCs/>
      <w:i/>
      <w:iCs/>
      <w:color w:val="4F81BD" w:themeColor="accent1"/>
      <w:sz w:val="24"/>
      <w:szCs w:val="24"/>
      <w:lang w:eastAsia="en-US"/>
    </w:rPr>
  </w:style>
  <w:style w:type="character" w:styleId="FollowedHyperlink">
    <w:name w:val="FollowedHyperlink"/>
    <w:basedOn w:val="DefaultParagraphFont"/>
    <w:rsid w:val="003317A0"/>
    <w:rPr>
      <w:color w:val="800080" w:themeColor="followedHyperlink"/>
      <w:u w:val="single"/>
    </w:rPr>
  </w:style>
  <w:style w:type="paragraph" w:styleId="BalloonText">
    <w:name w:val="Balloon Text"/>
    <w:basedOn w:val="Normal"/>
    <w:link w:val="BalloonTextChar"/>
    <w:rsid w:val="003C7289"/>
    <w:rPr>
      <w:rFonts w:ascii="Tahoma" w:hAnsi="Tahoma" w:cs="Tahoma"/>
      <w:sz w:val="16"/>
      <w:szCs w:val="16"/>
    </w:rPr>
  </w:style>
  <w:style w:type="character" w:customStyle="1" w:styleId="BalloonTextChar">
    <w:name w:val="Balloon Text Char"/>
    <w:basedOn w:val="DefaultParagraphFont"/>
    <w:link w:val="BalloonText"/>
    <w:rsid w:val="003C7289"/>
    <w:rPr>
      <w:rFonts w:ascii="Tahoma" w:hAnsi="Tahoma" w:cs="Tahoma"/>
      <w:sz w:val="16"/>
      <w:szCs w:val="16"/>
      <w:lang w:eastAsia="en-US"/>
    </w:rPr>
  </w:style>
  <w:style w:type="paragraph" w:customStyle="1" w:styleId="SummaryText">
    <w:name w:val="SummaryText"/>
    <w:basedOn w:val="Normal"/>
    <w:uiPriority w:val="4"/>
    <w:qFormat/>
    <w:rsid w:val="007B783A"/>
    <w:pPr>
      <w:numPr>
        <w:numId w:val="8"/>
      </w:numPr>
      <w:spacing w:after="240"/>
      <w:jc w:val="both"/>
    </w:pPr>
    <w:rPr>
      <w:rFonts w:ascii="Verdana" w:eastAsia="Calibri" w:hAnsi="Verdana"/>
      <w:sz w:val="18"/>
      <w:szCs w:val="22"/>
      <w:lang w:val="en-GB"/>
    </w:rPr>
  </w:style>
  <w:style w:type="character" w:styleId="CommentReference">
    <w:name w:val="annotation reference"/>
    <w:basedOn w:val="DefaultParagraphFont"/>
    <w:uiPriority w:val="99"/>
    <w:semiHidden/>
    <w:unhideWhenUsed/>
    <w:rsid w:val="006526BE"/>
    <w:rPr>
      <w:sz w:val="16"/>
      <w:szCs w:val="16"/>
    </w:rPr>
  </w:style>
  <w:style w:type="paragraph" w:styleId="CommentText">
    <w:name w:val="annotation text"/>
    <w:basedOn w:val="Normal"/>
    <w:link w:val="CommentTextChar"/>
    <w:uiPriority w:val="99"/>
    <w:unhideWhenUsed/>
    <w:rsid w:val="006526BE"/>
    <w:rPr>
      <w:sz w:val="20"/>
      <w:szCs w:val="20"/>
    </w:rPr>
  </w:style>
  <w:style w:type="character" w:customStyle="1" w:styleId="CommentTextChar">
    <w:name w:val="Comment Text Char"/>
    <w:basedOn w:val="DefaultParagraphFont"/>
    <w:link w:val="CommentText"/>
    <w:uiPriority w:val="99"/>
    <w:rsid w:val="006526BE"/>
    <w:rPr>
      <w:lang w:eastAsia="en-US"/>
    </w:rPr>
  </w:style>
  <w:style w:type="paragraph" w:styleId="CommentSubject">
    <w:name w:val="annotation subject"/>
    <w:basedOn w:val="CommentText"/>
    <w:next w:val="CommentText"/>
    <w:link w:val="CommentSubjectChar"/>
    <w:semiHidden/>
    <w:unhideWhenUsed/>
    <w:rsid w:val="006526BE"/>
    <w:rPr>
      <w:b/>
      <w:bCs/>
    </w:rPr>
  </w:style>
  <w:style w:type="character" w:customStyle="1" w:styleId="CommentSubjectChar">
    <w:name w:val="Comment Subject Char"/>
    <w:basedOn w:val="CommentTextChar"/>
    <w:link w:val="CommentSubject"/>
    <w:semiHidden/>
    <w:rsid w:val="006526BE"/>
    <w:rPr>
      <w:b/>
      <w:bCs/>
      <w:lang w:eastAsia="en-US"/>
    </w:rPr>
  </w:style>
  <w:style w:type="paragraph" w:customStyle="1" w:styleId="ColorfulList-Accent11">
    <w:name w:val="Colorful List - Accent 11"/>
    <w:basedOn w:val="Normal"/>
    <w:uiPriority w:val="34"/>
    <w:qFormat/>
    <w:rsid w:val="00B51BFC"/>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A137B4"/>
    <w:pPr>
      <w:tabs>
        <w:tab w:val="center" w:pos="4513"/>
        <w:tab w:val="right" w:pos="9026"/>
      </w:tabs>
    </w:pPr>
  </w:style>
  <w:style w:type="character" w:customStyle="1" w:styleId="HeaderChar">
    <w:name w:val="Header Char"/>
    <w:basedOn w:val="DefaultParagraphFont"/>
    <w:link w:val="Header"/>
    <w:rsid w:val="00A137B4"/>
    <w:rPr>
      <w:sz w:val="24"/>
      <w:szCs w:val="24"/>
      <w:lang w:eastAsia="en-US"/>
    </w:rPr>
  </w:style>
  <w:style w:type="paragraph" w:styleId="Footer">
    <w:name w:val="footer"/>
    <w:basedOn w:val="Normal"/>
    <w:link w:val="FooterChar"/>
    <w:uiPriority w:val="99"/>
    <w:unhideWhenUsed/>
    <w:rsid w:val="00A137B4"/>
    <w:pPr>
      <w:tabs>
        <w:tab w:val="center" w:pos="4513"/>
        <w:tab w:val="right" w:pos="9026"/>
      </w:tabs>
    </w:pPr>
  </w:style>
  <w:style w:type="character" w:customStyle="1" w:styleId="FooterChar">
    <w:name w:val="Footer Char"/>
    <w:basedOn w:val="DefaultParagraphFont"/>
    <w:link w:val="Footer"/>
    <w:uiPriority w:val="99"/>
    <w:rsid w:val="00A137B4"/>
    <w:rPr>
      <w:sz w:val="24"/>
      <w:szCs w:val="24"/>
      <w:lang w:eastAsia="en-US"/>
    </w:rPr>
  </w:style>
  <w:style w:type="paragraph" w:styleId="BodyTextIndent">
    <w:name w:val="Body Text Indent"/>
    <w:basedOn w:val="Normal"/>
    <w:link w:val="BodyTextIndentChar"/>
    <w:semiHidden/>
    <w:unhideWhenUsed/>
    <w:rsid w:val="00A81D8E"/>
    <w:pPr>
      <w:spacing w:after="120"/>
      <w:ind w:left="283"/>
    </w:pPr>
  </w:style>
  <w:style w:type="character" w:customStyle="1" w:styleId="BodyTextIndentChar">
    <w:name w:val="Body Text Indent Char"/>
    <w:basedOn w:val="DefaultParagraphFont"/>
    <w:link w:val="BodyTextIndent"/>
    <w:semiHidden/>
    <w:rsid w:val="00A81D8E"/>
    <w:rPr>
      <w:sz w:val="24"/>
      <w:szCs w:val="24"/>
      <w:lang w:eastAsia="en-US"/>
    </w:rPr>
  </w:style>
  <w:style w:type="paragraph" w:styleId="NoSpacing">
    <w:name w:val="No Spacing"/>
    <w:link w:val="NoSpacingChar"/>
    <w:uiPriority w:val="1"/>
    <w:qFormat/>
    <w:rsid w:val="00F8008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8008A"/>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2326">
      <w:bodyDiv w:val="1"/>
      <w:marLeft w:val="0"/>
      <w:marRight w:val="0"/>
      <w:marTop w:val="0"/>
      <w:marBottom w:val="0"/>
      <w:divBdr>
        <w:top w:val="none" w:sz="0" w:space="0" w:color="auto"/>
        <w:left w:val="none" w:sz="0" w:space="0" w:color="auto"/>
        <w:bottom w:val="none" w:sz="0" w:space="0" w:color="auto"/>
        <w:right w:val="none" w:sz="0" w:space="0" w:color="auto"/>
      </w:divBdr>
    </w:div>
    <w:div w:id="673843785">
      <w:bodyDiv w:val="1"/>
      <w:marLeft w:val="0"/>
      <w:marRight w:val="0"/>
      <w:marTop w:val="0"/>
      <w:marBottom w:val="0"/>
      <w:divBdr>
        <w:top w:val="none" w:sz="0" w:space="0" w:color="auto"/>
        <w:left w:val="none" w:sz="0" w:space="0" w:color="auto"/>
        <w:bottom w:val="none" w:sz="0" w:space="0" w:color="auto"/>
        <w:right w:val="none" w:sz="0" w:space="0" w:color="auto"/>
      </w:divBdr>
    </w:div>
    <w:div w:id="795681201">
      <w:bodyDiv w:val="1"/>
      <w:marLeft w:val="0"/>
      <w:marRight w:val="0"/>
      <w:marTop w:val="0"/>
      <w:marBottom w:val="0"/>
      <w:divBdr>
        <w:top w:val="none" w:sz="0" w:space="0" w:color="auto"/>
        <w:left w:val="none" w:sz="0" w:space="0" w:color="auto"/>
        <w:bottom w:val="none" w:sz="0" w:space="0" w:color="auto"/>
        <w:right w:val="none" w:sz="0" w:space="0" w:color="auto"/>
      </w:divBdr>
    </w:div>
    <w:div w:id="894505448">
      <w:bodyDiv w:val="1"/>
      <w:marLeft w:val="0"/>
      <w:marRight w:val="0"/>
      <w:marTop w:val="0"/>
      <w:marBottom w:val="0"/>
      <w:divBdr>
        <w:top w:val="none" w:sz="0" w:space="0" w:color="auto"/>
        <w:left w:val="none" w:sz="0" w:space="0" w:color="auto"/>
        <w:bottom w:val="none" w:sz="0" w:space="0" w:color="auto"/>
        <w:right w:val="none" w:sz="0" w:space="0" w:color="auto"/>
      </w:divBdr>
    </w:div>
    <w:div w:id="994408227">
      <w:bodyDiv w:val="1"/>
      <w:marLeft w:val="0"/>
      <w:marRight w:val="0"/>
      <w:marTop w:val="0"/>
      <w:marBottom w:val="0"/>
      <w:divBdr>
        <w:top w:val="none" w:sz="0" w:space="0" w:color="auto"/>
        <w:left w:val="none" w:sz="0" w:space="0" w:color="auto"/>
        <w:bottom w:val="none" w:sz="0" w:space="0" w:color="auto"/>
        <w:right w:val="none" w:sz="0" w:space="0" w:color="auto"/>
      </w:divBdr>
    </w:div>
    <w:div w:id="20829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F7604E26285C429F22B1400DD34621" ma:contentTypeVersion="1" ma:contentTypeDescription="Create a new document." ma:contentTypeScope="" ma:versionID="76d212fe83a5057847ac599ac1969aa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76E1D-79AA-4715-ADF0-6A25ADC7FAAF}">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420079C-FF05-4033-B8D3-951419A2DBCD}">
  <ds:schemaRefs>
    <ds:schemaRef ds:uri="http://schemas.openxmlformats.org/officeDocument/2006/bibliography"/>
  </ds:schemaRefs>
</ds:datastoreItem>
</file>

<file path=customXml/itemProps3.xml><?xml version="1.0" encoding="utf-8"?>
<ds:datastoreItem xmlns:ds="http://schemas.openxmlformats.org/officeDocument/2006/customXml" ds:itemID="{C632A14E-1DB8-43CB-B171-12837B65E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74BD6-16E7-4E80-95A4-E8718F41CD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2351</Words>
  <Characters>13006</Characters>
  <Application>Microsoft Office Word</Application>
  <DocSecurity>0</DocSecurity>
  <Lines>270</Lines>
  <Paragraphs>75</Paragraphs>
  <ScaleCrop>false</ScaleCrop>
  <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2022-06-23T03:50:00Z</dcterms:created>
  <dcterms:modified xsi:type="dcterms:W3CDTF">2022-06-23T03:50:00Z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d2a6cd6a-6321-4392-aeb1-51af66a8b645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0x0101007DF7604E26285C429F22B1400DD34621</vt:lpwstr>
  </property>
  <property fmtid="{D5CDD505-2E9C-101B-9397-08002B2CF9AE}" pid="6" name="Order">
    <vt:r8>14400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PM_ProtectiveMarkingImage_Header">
    <vt:lpwstr>C:\Program Files (x86)\Common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OFFICIAL</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InsertionValue">
    <vt:lpwstr>OFFICIAL</vt:lpwstr>
  </property>
  <property fmtid="{D5CDD505-2E9C-101B-9397-08002B2CF9AE}" pid="16" name="PM_Originating_FileId">
    <vt:lpwstr>C08690FD2B2C4EAB9B538875BF84ABE1</vt:lpwstr>
  </property>
  <property fmtid="{D5CDD505-2E9C-101B-9397-08002B2CF9AE}" pid="17" name="PM_ProtectiveMarkingValue_Footer">
    <vt:lpwstr>OFFICIAL</vt:lpwstr>
  </property>
  <property fmtid="{D5CDD505-2E9C-101B-9397-08002B2CF9AE}" pid="18" name="PM_Originator_Hash_SHA1">
    <vt:lpwstr>8A98C153FE5E4DAD075308184BEDC1D5F5FEAEC2</vt:lpwstr>
  </property>
  <property fmtid="{D5CDD505-2E9C-101B-9397-08002B2CF9AE}" pid="19" name="PM_OriginationTimeStamp">
    <vt:lpwstr>2022-06-23T03:49:59Z</vt:lpwstr>
  </property>
  <property fmtid="{D5CDD505-2E9C-101B-9397-08002B2CF9AE}" pid="20" name="PM_ProtectiveMarkingValue_Header">
    <vt:lpwstr>OFFICIAL</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Hash_Version">
    <vt:lpwstr>2018.0</vt:lpwstr>
  </property>
  <property fmtid="{D5CDD505-2E9C-101B-9397-08002B2CF9AE}" pid="27" name="PM_Hash_Salt_Prev">
    <vt:lpwstr>09DC650EC43B94E151BA43914C7206ED</vt:lpwstr>
  </property>
  <property fmtid="{D5CDD505-2E9C-101B-9397-08002B2CF9AE}" pid="28" name="PM_Hash_Salt">
    <vt:lpwstr>B19F639FD672303D9B4956E464FFA251</vt:lpwstr>
  </property>
  <property fmtid="{D5CDD505-2E9C-101B-9397-08002B2CF9AE}" pid="29" name="PM_Hash_SHA1">
    <vt:lpwstr>443EEC075258B87216B2F07A04626B04F86BA1FE</vt:lpwstr>
  </property>
  <property fmtid="{D5CDD505-2E9C-101B-9397-08002B2CF9AE}" pid="30" name="PM_SecurityClassification_Prev">
    <vt:lpwstr>OFFICIAL</vt:lpwstr>
  </property>
  <property fmtid="{D5CDD505-2E9C-101B-9397-08002B2CF9AE}" pid="31" name="PM_Qualifier_Prev">
    <vt:lpwstr/>
  </property>
</Properties>
</file>