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E4C4" w14:textId="117EDEEB" w:rsidR="006D1346" w:rsidRPr="009E49E9" w:rsidRDefault="006D6E6A" w:rsidP="009E49E9">
      <w:pPr>
        <w:pStyle w:val="Heading1"/>
      </w:pPr>
      <w:r w:rsidRPr="009E49E9">
        <w:t xml:space="preserve">DFAT </w:t>
      </w:r>
      <w:r w:rsidR="00FF7B85" w:rsidRPr="009E49E9">
        <w:t>Management Response to</w:t>
      </w:r>
      <w:r w:rsidRPr="009E49E9">
        <w:t xml:space="preserve"> the</w:t>
      </w:r>
      <w:r w:rsidR="002643DC" w:rsidRPr="009E49E9">
        <w:t xml:space="preserve"> </w:t>
      </w:r>
      <w:r w:rsidR="00A820AC" w:rsidRPr="009E49E9">
        <w:t>Independent Mid-Term Revie</w:t>
      </w:r>
      <w:r w:rsidR="00D0489C" w:rsidRPr="009E49E9">
        <w:t>w of the</w:t>
      </w:r>
      <w:r w:rsidR="00D0489C" w:rsidRPr="009E49E9">
        <w:br/>
      </w:r>
      <w:r w:rsidR="004B1C23" w:rsidRPr="009E49E9">
        <w:t>Papua New Guinea Institutional Partnerships Program</w:t>
      </w:r>
      <w:r w:rsidR="00D0489C" w:rsidRPr="009E49E9">
        <w:t xml:space="preserve"> (</w:t>
      </w:r>
      <w:r w:rsidR="004B1C23" w:rsidRPr="009E49E9">
        <w:t>PIP</w:t>
      </w:r>
      <w:r w:rsidR="00D0489C" w:rsidRPr="009E49E9">
        <w:t>P)</w:t>
      </w:r>
      <w:r w:rsidR="00FF7B85" w:rsidRPr="009E49E9">
        <w:t xml:space="preserve"> </w:t>
      </w:r>
    </w:p>
    <w:p w14:paraId="0740A35F" w14:textId="302ACFCA" w:rsidR="00FF7B85" w:rsidRPr="009E49E9" w:rsidRDefault="004B1C23" w:rsidP="009E49E9">
      <w:pPr>
        <w:pStyle w:val="Heading1"/>
      </w:pPr>
      <w:r w:rsidRPr="009E49E9">
        <w:t>July 2025</w:t>
      </w:r>
    </w:p>
    <w:p w14:paraId="55C821BE" w14:textId="77777777" w:rsidR="00FF7B85" w:rsidRPr="00AA063F" w:rsidRDefault="00FF7B85" w:rsidP="00FF7B85">
      <w:pPr>
        <w:spacing w:after="0"/>
        <w:rPr>
          <w:sz w:val="23"/>
          <w:szCs w:val="23"/>
        </w:rPr>
      </w:pPr>
    </w:p>
    <w:p w14:paraId="335E55B9" w14:textId="78970F6A" w:rsidR="008E0FD5" w:rsidRDefault="0054775C" w:rsidP="00B149C5">
      <w:pPr>
        <w:spacing w:before="240" w:after="0"/>
        <w:jc w:val="both"/>
        <w:rPr>
          <w:sz w:val="23"/>
          <w:szCs w:val="23"/>
        </w:rPr>
      </w:pPr>
      <w:r>
        <w:rPr>
          <w:sz w:val="23"/>
          <w:szCs w:val="23"/>
        </w:rPr>
        <w:t xml:space="preserve">DFAT commissioned </w:t>
      </w:r>
      <w:r w:rsidR="00483F85" w:rsidRPr="007C6D43">
        <w:rPr>
          <w:sz w:val="23"/>
          <w:szCs w:val="23"/>
        </w:rPr>
        <w:t>a</w:t>
      </w:r>
      <w:r w:rsidR="00F451D6" w:rsidRPr="007C6D43">
        <w:rPr>
          <w:sz w:val="23"/>
          <w:szCs w:val="23"/>
        </w:rPr>
        <w:t>n independent</w:t>
      </w:r>
      <w:r w:rsidR="00483F85" w:rsidRPr="007C6D43">
        <w:rPr>
          <w:sz w:val="23"/>
          <w:szCs w:val="23"/>
        </w:rPr>
        <w:t xml:space="preserve"> </w:t>
      </w:r>
      <w:r w:rsidR="00F451D6" w:rsidRPr="007C6D43">
        <w:rPr>
          <w:sz w:val="23"/>
          <w:szCs w:val="23"/>
        </w:rPr>
        <w:t xml:space="preserve">mid-term review </w:t>
      </w:r>
      <w:r w:rsidR="006F57A8" w:rsidRPr="007C6D43">
        <w:rPr>
          <w:sz w:val="23"/>
          <w:szCs w:val="23"/>
        </w:rPr>
        <w:t xml:space="preserve">(IMTR) </w:t>
      </w:r>
      <w:r w:rsidR="00F451D6" w:rsidRPr="007C6D43">
        <w:rPr>
          <w:sz w:val="23"/>
          <w:szCs w:val="23"/>
        </w:rPr>
        <w:t>o</w:t>
      </w:r>
      <w:r w:rsidR="00A4410F">
        <w:rPr>
          <w:sz w:val="23"/>
          <w:szCs w:val="23"/>
        </w:rPr>
        <w:t>f</w:t>
      </w:r>
      <w:r w:rsidR="00F451D6" w:rsidRPr="007C6D43">
        <w:rPr>
          <w:sz w:val="23"/>
          <w:szCs w:val="23"/>
        </w:rPr>
        <w:t xml:space="preserve"> the </w:t>
      </w:r>
      <w:r w:rsidR="004B1C23">
        <w:rPr>
          <w:sz w:val="23"/>
          <w:szCs w:val="23"/>
        </w:rPr>
        <w:t>Papua New Guinea (PNG) Institutional Partnerships Program (PIPP)</w:t>
      </w:r>
      <w:r w:rsidR="00FE3342">
        <w:rPr>
          <w:sz w:val="23"/>
          <w:szCs w:val="23"/>
        </w:rPr>
        <w:t>, conducted</w:t>
      </w:r>
      <w:r w:rsidR="00D76D52">
        <w:rPr>
          <w:sz w:val="23"/>
          <w:szCs w:val="23"/>
        </w:rPr>
        <w:t xml:space="preserve"> </w:t>
      </w:r>
      <w:r w:rsidR="00066375" w:rsidRPr="00C2421C">
        <w:rPr>
          <w:sz w:val="23"/>
          <w:szCs w:val="23"/>
        </w:rPr>
        <w:t>between</w:t>
      </w:r>
      <w:r w:rsidR="006F5A2C" w:rsidRPr="00C2421C">
        <w:rPr>
          <w:sz w:val="23"/>
          <w:szCs w:val="23"/>
        </w:rPr>
        <w:t xml:space="preserve"> </w:t>
      </w:r>
      <w:r w:rsidR="00C2421C" w:rsidRPr="00C2421C">
        <w:rPr>
          <w:sz w:val="23"/>
          <w:szCs w:val="23"/>
        </w:rPr>
        <w:t>November 2024 –</w:t>
      </w:r>
      <w:r w:rsidR="009726EE" w:rsidRPr="00C2421C">
        <w:rPr>
          <w:sz w:val="23"/>
          <w:szCs w:val="23"/>
        </w:rPr>
        <w:t xml:space="preserve"> </w:t>
      </w:r>
      <w:r w:rsidR="00C2421C" w:rsidRPr="00C2421C">
        <w:rPr>
          <w:sz w:val="23"/>
          <w:szCs w:val="23"/>
        </w:rPr>
        <w:t>August 2025</w:t>
      </w:r>
      <w:r w:rsidR="006F57A8" w:rsidRPr="00C2421C">
        <w:rPr>
          <w:sz w:val="23"/>
          <w:szCs w:val="23"/>
        </w:rPr>
        <w:t>.</w:t>
      </w:r>
      <w:r w:rsidR="000F1F07" w:rsidRPr="00C2421C">
        <w:rPr>
          <w:sz w:val="23"/>
          <w:szCs w:val="23"/>
        </w:rPr>
        <w:t xml:space="preserve"> </w:t>
      </w:r>
      <w:r w:rsidR="006F57A8" w:rsidRPr="00C2421C">
        <w:rPr>
          <w:sz w:val="23"/>
          <w:szCs w:val="23"/>
        </w:rPr>
        <w:t xml:space="preserve">The IMTR </w:t>
      </w:r>
      <w:r w:rsidR="00D968B8" w:rsidRPr="00C2421C">
        <w:rPr>
          <w:sz w:val="23"/>
          <w:szCs w:val="23"/>
        </w:rPr>
        <w:t xml:space="preserve">evaluated overall </w:t>
      </w:r>
      <w:r w:rsidR="00913D1B" w:rsidRPr="00C2421C">
        <w:rPr>
          <w:sz w:val="23"/>
          <w:szCs w:val="23"/>
        </w:rPr>
        <w:t>relevance and whether the PIPP is achieving what it intended to</w:t>
      </w:r>
      <w:r w:rsidR="004566F4" w:rsidRPr="00C2421C">
        <w:rPr>
          <w:sz w:val="23"/>
          <w:szCs w:val="23"/>
        </w:rPr>
        <w:t>.</w:t>
      </w:r>
      <w:r w:rsidR="005B3376" w:rsidRPr="00C2421C">
        <w:rPr>
          <w:sz w:val="23"/>
          <w:szCs w:val="23"/>
        </w:rPr>
        <w:t xml:space="preserve"> The review </w:t>
      </w:r>
      <w:r w:rsidR="00D6583F" w:rsidRPr="00C2421C">
        <w:rPr>
          <w:sz w:val="23"/>
          <w:szCs w:val="23"/>
        </w:rPr>
        <w:t>provided recommendations</w:t>
      </w:r>
      <w:r w:rsidR="0022260D">
        <w:rPr>
          <w:sz w:val="23"/>
          <w:szCs w:val="23"/>
        </w:rPr>
        <w:t xml:space="preserve"> to</w:t>
      </w:r>
      <w:r w:rsidR="00D6583F">
        <w:rPr>
          <w:sz w:val="23"/>
          <w:szCs w:val="23"/>
        </w:rPr>
        <w:t xml:space="preserve"> strengthen PIPP’s implementation and its future direction, including beyond </w:t>
      </w:r>
      <w:r w:rsidR="00374DA2">
        <w:rPr>
          <w:sz w:val="23"/>
          <w:szCs w:val="23"/>
        </w:rPr>
        <w:t xml:space="preserve">June 2026. </w:t>
      </w:r>
    </w:p>
    <w:p w14:paraId="32A7EED8" w14:textId="22140D8F" w:rsidR="00FF7B85" w:rsidRPr="00AA063F" w:rsidRDefault="000B4F49" w:rsidP="00B149C5">
      <w:pPr>
        <w:spacing w:before="240" w:after="0"/>
        <w:jc w:val="both"/>
        <w:rPr>
          <w:sz w:val="23"/>
          <w:szCs w:val="23"/>
        </w:rPr>
      </w:pPr>
      <w:r w:rsidRPr="00AA063F">
        <w:rPr>
          <w:sz w:val="23"/>
          <w:szCs w:val="23"/>
        </w:rPr>
        <w:t xml:space="preserve">DFAT’s response to the recommendations </w:t>
      </w:r>
      <w:r w:rsidR="00D000F7">
        <w:rPr>
          <w:sz w:val="23"/>
          <w:szCs w:val="23"/>
        </w:rPr>
        <w:t>are</w:t>
      </w:r>
      <w:r w:rsidR="00D000F7" w:rsidRPr="00AA063F">
        <w:rPr>
          <w:sz w:val="23"/>
          <w:szCs w:val="23"/>
        </w:rPr>
        <w:t xml:space="preserve"> </w:t>
      </w:r>
      <w:r w:rsidRPr="00AA063F">
        <w:rPr>
          <w:sz w:val="23"/>
          <w:szCs w:val="23"/>
        </w:rPr>
        <w:t>as follows:</w:t>
      </w:r>
    </w:p>
    <w:p w14:paraId="08315958" w14:textId="77777777" w:rsidR="00A749A8" w:rsidRDefault="00A749A8" w:rsidP="00FF7B85">
      <w:pPr>
        <w:spacing w:after="0"/>
      </w:pPr>
    </w:p>
    <w:tbl>
      <w:tblPr>
        <w:tblStyle w:val="TableGrid"/>
        <w:tblW w:w="15973" w:type="dxa"/>
        <w:tblInd w:w="-5" w:type="dxa"/>
        <w:tblCellMar>
          <w:top w:w="57" w:type="dxa"/>
          <w:bottom w:w="57" w:type="dxa"/>
        </w:tblCellMar>
        <w:tblLook w:val="04A0" w:firstRow="1" w:lastRow="0" w:firstColumn="1" w:lastColumn="0" w:noHBand="0" w:noVBand="1"/>
      </w:tblPr>
      <w:tblGrid>
        <w:gridCol w:w="5529"/>
        <w:gridCol w:w="1134"/>
        <w:gridCol w:w="4110"/>
        <w:gridCol w:w="3795"/>
        <w:gridCol w:w="33"/>
        <w:gridCol w:w="1372"/>
      </w:tblGrid>
      <w:tr w:rsidR="004E2009" w:rsidRPr="00083AAD" w14:paraId="64B47D1C" w14:textId="42E397AF" w:rsidTr="00CA0A51">
        <w:trPr>
          <w:cantSplit/>
          <w:trHeight w:val="435"/>
          <w:tblHeader/>
        </w:trPr>
        <w:tc>
          <w:tcPr>
            <w:tcW w:w="5529" w:type="dxa"/>
            <w:tcBorders>
              <w:right w:val="single" w:sz="4" w:space="0" w:color="FFFFFF" w:themeColor="background1"/>
            </w:tcBorders>
            <w:shd w:val="clear" w:color="auto" w:fill="1F4E79" w:themeFill="accent1" w:themeFillShade="80"/>
            <w:vAlign w:val="center"/>
          </w:tcPr>
          <w:p w14:paraId="6F829FC5" w14:textId="77777777" w:rsidR="006D1346" w:rsidRPr="00083AAD" w:rsidRDefault="006D1346" w:rsidP="00DA1EAF">
            <w:pPr>
              <w:rPr>
                <w:b/>
                <w:color w:val="FFFFFF" w:themeColor="background1"/>
              </w:rPr>
            </w:pPr>
            <w:bookmarkStart w:id="0" w:name="_Hlk122435484"/>
            <w:r w:rsidRPr="00083AAD">
              <w:rPr>
                <w:b/>
                <w:color w:val="FFFFFF" w:themeColor="background1"/>
              </w:rPr>
              <w:t>Recommendations</w:t>
            </w:r>
          </w:p>
        </w:tc>
        <w:tc>
          <w:tcPr>
            <w:tcW w:w="1134" w:type="dxa"/>
            <w:tcBorders>
              <w:left w:val="single" w:sz="4" w:space="0" w:color="FFFFFF" w:themeColor="background1"/>
              <w:right w:val="single" w:sz="4" w:space="0" w:color="FFFFFF" w:themeColor="background1"/>
            </w:tcBorders>
            <w:shd w:val="clear" w:color="auto" w:fill="1F4E79" w:themeFill="accent1" w:themeFillShade="80"/>
            <w:vAlign w:val="center"/>
          </w:tcPr>
          <w:p w14:paraId="3E2B0A21" w14:textId="4353FF83" w:rsidR="006D1346" w:rsidRPr="00083AAD" w:rsidRDefault="006D1346" w:rsidP="007712F1">
            <w:pPr>
              <w:jc w:val="center"/>
              <w:rPr>
                <w:b/>
                <w:color w:val="FFFFFF" w:themeColor="background1"/>
              </w:rPr>
            </w:pPr>
            <w:r w:rsidRPr="00083AAD">
              <w:rPr>
                <w:b/>
                <w:color w:val="FFFFFF" w:themeColor="background1"/>
              </w:rPr>
              <w:t>Response</w:t>
            </w:r>
          </w:p>
        </w:tc>
        <w:tc>
          <w:tcPr>
            <w:tcW w:w="4110" w:type="dxa"/>
            <w:tcBorders>
              <w:left w:val="single" w:sz="4" w:space="0" w:color="FFFFFF" w:themeColor="background1"/>
              <w:right w:val="single" w:sz="4" w:space="0" w:color="FFFFFF" w:themeColor="background1"/>
            </w:tcBorders>
            <w:shd w:val="clear" w:color="auto" w:fill="1F4E79" w:themeFill="accent1" w:themeFillShade="80"/>
            <w:vAlign w:val="center"/>
          </w:tcPr>
          <w:p w14:paraId="01383777" w14:textId="1471A811" w:rsidR="006D1346" w:rsidRPr="00083AAD" w:rsidRDefault="006D1346" w:rsidP="00DA1EAF">
            <w:pPr>
              <w:rPr>
                <w:b/>
                <w:color w:val="FFFFFF" w:themeColor="background1"/>
              </w:rPr>
            </w:pPr>
            <w:r w:rsidRPr="00083AAD">
              <w:rPr>
                <w:b/>
                <w:color w:val="FFFFFF" w:themeColor="background1"/>
              </w:rPr>
              <w:t>Explanation</w:t>
            </w:r>
          </w:p>
        </w:tc>
        <w:tc>
          <w:tcPr>
            <w:tcW w:w="3795" w:type="dxa"/>
            <w:tcBorders>
              <w:left w:val="single" w:sz="4" w:space="0" w:color="FFFFFF" w:themeColor="background1"/>
              <w:right w:val="single" w:sz="4" w:space="0" w:color="FFFFFF" w:themeColor="background1"/>
            </w:tcBorders>
            <w:shd w:val="clear" w:color="auto" w:fill="1F4E79" w:themeFill="accent1" w:themeFillShade="80"/>
            <w:vAlign w:val="center"/>
          </w:tcPr>
          <w:p w14:paraId="2AB9361B" w14:textId="5D0094EA" w:rsidR="006D1346" w:rsidRPr="00083AAD" w:rsidRDefault="006D1346" w:rsidP="00DA1EAF">
            <w:pPr>
              <w:rPr>
                <w:b/>
                <w:color w:val="FFFFFF" w:themeColor="background1"/>
              </w:rPr>
            </w:pPr>
            <w:r w:rsidRPr="00083AAD">
              <w:rPr>
                <w:b/>
                <w:color w:val="FFFFFF" w:themeColor="background1"/>
              </w:rPr>
              <w:t>Action Plan</w:t>
            </w:r>
          </w:p>
        </w:tc>
        <w:tc>
          <w:tcPr>
            <w:tcW w:w="1405" w:type="dxa"/>
            <w:gridSpan w:val="2"/>
            <w:tcBorders>
              <w:left w:val="single" w:sz="4" w:space="0" w:color="FFFFFF" w:themeColor="background1"/>
            </w:tcBorders>
            <w:shd w:val="clear" w:color="auto" w:fill="1F4E79" w:themeFill="accent1" w:themeFillShade="80"/>
            <w:vAlign w:val="center"/>
          </w:tcPr>
          <w:p w14:paraId="303EE679" w14:textId="2FDB0BA0" w:rsidR="006D1346" w:rsidRPr="00083AAD" w:rsidRDefault="00EC3D9B" w:rsidP="00DA1EAF">
            <w:pPr>
              <w:rPr>
                <w:b/>
                <w:color w:val="FFFFFF" w:themeColor="background1"/>
              </w:rPr>
            </w:pPr>
            <w:r w:rsidRPr="00083AAD">
              <w:rPr>
                <w:b/>
                <w:color w:val="FFFFFF" w:themeColor="background1"/>
              </w:rPr>
              <w:t>Timeframe</w:t>
            </w:r>
          </w:p>
        </w:tc>
      </w:tr>
      <w:bookmarkEnd w:id="0"/>
      <w:tr w:rsidR="004E2009" w14:paraId="07E3B080" w14:textId="781C77E3" w:rsidTr="000E22E6">
        <w:tc>
          <w:tcPr>
            <w:tcW w:w="5529" w:type="dxa"/>
            <w:shd w:val="clear" w:color="auto" w:fill="DEEAF6" w:themeFill="accent1" w:themeFillTint="33"/>
          </w:tcPr>
          <w:p w14:paraId="29C7B45E" w14:textId="3198A698" w:rsidR="00146B46" w:rsidRDefault="004A56C6" w:rsidP="00545607">
            <w:pPr>
              <w:ind w:left="323" w:hanging="323"/>
              <w:rPr>
                <w:u w:val="single"/>
              </w:rPr>
            </w:pPr>
            <w:r>
              <w:rPr>
                <w:u w:val="single"/>
              </w:rPr>
              <w:t>Opp</w:t>
            </w:r>
            <w:r w:rsidR="00545607">
              <w:rPr>
                <w:u w:val="single"/>
              </w:rPr>
              <w:t>ortunity</w:t>
            </w:r>
          </w:p>
          <w:p w14:paraId="143E6C44" w14:textId="4D438F63" w:rsidR="00146B46" w:rsidRPr="00F139E3" w:rsidRDefault="00213125" w:rsidP="00545607">
            <w:pPr>
              <w:spacing w:after="120"/>
              <w:ind w:left="323" w:hanging="323"/>
            </w:pPr>
            <w:r>
              <w:t xml:space="preserve">Enhanced </w:t>
            </w:r>
            <w:r w:rsidR="008250A5">
              <w:t>s</w:t>
            </w:r>
            <w:r>
              <w:t xml:space="preserve">trategic </w:t>
            </w:r>
            <w:r w:rsidR="008250A5">
              <w:t>o</w:t>
            </w:r>
            <w:r>
              <w:t xml:space="preserve">versight </w:t>
            </w:r>
            <w:r w:rsidR="00E74184">
              <w:t>within</w:t>
            </w:r>
            <w:r>
              <w:t xml:space="preserve"> PNG Government</w:t>
            </w:r>
          </w:p>
          <w:p w14:paraId="23367701" w14:textId="2EB114E8" w:rsidR="004A56C6" w:rsidRPr="00AB03B0" w:rsidRDefault="004A56C6" w:rsidP="004A56C6">
            <w:pPr>
              <w:spacing w:after="120"/>
              <w:ind w:left="323" w:hanging="323"/>
              <w:rPr>
                <w:b/>
                <w:bCs/>
                <w:u w:val="single"/>
              </w:rPr>
            </w:pPr>
            <w:r w:rsidRPr="00AB03B0">
              <w:rPr>
                <w:b/>
                <w:bCs/>
                <w:u w:val="single"/>
              </w:rPr>
              <w:t>Recommendation 1</w:t>
            </w:r>
          </w:p>
          <w:p w14:paraId="2326D4BE" w14:textId="77777777" w:rsidR="000B212B" w:rsidRDefault="000B212B" w:rsidP="000B212B">
            <w:pPr>
              <w:rPr>
                <w:rFonts w:ascii="Calibri" w:eastAsia="Times New Roman" w:hAnsi="Calibri" w:cs="Calibri"/>
              </w:rPr>
            </w:pPr>
            <w:r>
              <w:rPr>
                <w:rFonts w:ascii="Calibri" w:eastAsia="Times New Roman" w:hAnsi="Calibri" w:cs="Calibri"/>
              </w:rPr>
              <w:t xml:space="preserve">The Joint Oversight Mechanism should restart and be used proactively to surface and discuss </w:t>
            </w:r>
            <w:proofErr w:type="spellStart"/>
            <w:r>
              <w:rPr>
                <w:rFonts w:ascii="Calibri" w:eastAsia="Times New Roman" w:hAnsi="Calibri" w:cs="Calibri"/>
              </w:rPr>
              <w:t>GoPNG</w:t>
            </w:r>
            <w:proofErr w:type="spellEnd"/>
            <w:r>
              <w:rPr>
                <w:rFonts w:ascii="Calibri" w:eastAsia="Times New Roman" w:hAnsi="Calibri" w:cs="Calibri"/>
              </w:rPr>
              <w:t xml:space="preserve"> public service priorities. The results from this evaluation could be used to kick-start that process. Membership of the JOM should be discussed with </w:t>
            </w:r>
            <w:proofErr w:type="spellStart"/>
            <w:r>
              <w:rPr>
                <w:rFonts w:ascii="Calibri" w:eastAsia="Times New Roman" w:hAnsi="Calibri" w:cs="Calibri"/>
              </w:rPr>
              <w:t>GoPNG</w:t>
            </w:r>
            <w:proofErr w:type="spellEnd"/>
            <w:r>
              <w:rPr>
                <w:rFonts w:ascii="Calibri" w:eastAsia="Times New Roman" w:hAnsi="Calibri" w:cs="Calibri"/>
              </w:rPr>
              <w:t xml:space="preserve"> and Australian Government counterparts to ensure appropriate, high-level leadership. Consideration should be given to expanding membership to include Australian and </w:t>
            </w:r>
            <w:proofErr w:type="spellStart"/>
            <w:r>
              <w:rPr>
                <w:rFonts w:ascii="Calibri" w:eastAsia="Times New Roman" w:hAnsi="Calibri" w:cs="Calibri"/>
              </w:rPr>
              <w:t>GoPNG</w:t>
            </w:r>
            <w:proofErr w:type="spellEnd"/>
            <w:r>
              <w:rPr>
                <w:rFonts w:ascii="Calibri" w:eastAsia="Times New Roman" w:hAnsi="Calibri" w:cs="Calibri"/>
              </w:rPr>
              <w:t xml:space="preserve"> agencies with strong partnerships, as this would highlight their importance to key agencies such as PM&amp;NEC and DPM. </w:t>
            </w:r>
          </w:p>
          <w:p w14:paraId="11A33C13" w14:textId="63573205" w:rsidR="006D1346" w:rsidRDefault="006D1346" w:rsidP="000B212B">
            <w:pPr>
              <w:pStyle w:val="ListParagraph"/>
            </w:pPr>
          </w:p>
        </w:tc>
        <w:tc>
          <w:tcPr>
            <w:tcW w:w="1134" w:type="dxa"/>
            <w:shd w:val="clear" w:color="auto" w:fill="FFFF00"/>
            <w:vAlign w:val="center"/>
          </w:tcPr>
          <w:p w14:paraId="7F52924D" w14:textId="243676B2" w:rsidR="000102DB" w:rsidRDefault="001B0E79" w:rsidP="00404EE5">
            <w:pPr>
              <w:jc w:val="center"/>
              <w:rPr>
                <w:u w:val="single"/>
              </w:rPr>
            </w:pPr>
            <w:r>
              <w:rPr>
                <w:u w:val="single"/>
              </w:rPr>
              <w:t xml:space="preserve">Partially </w:t>
            </w:r>
            <w:r w:rsidR="000102DB">
              <w:rPr>
                <w:u w:val="single"/>
              </w:rPr>
              <w:t>Agree</w:t>
            </w:r>
          </w:p>
          <w:p w14:paraId="1E90CB1B" w14:textId="681229BE" w:rsidR="000102DB" w:rsidRPr="00D35EC2" w:rsidRDefault="000102DB" w:rsidP="00404EE5">
            <w:pPr>
              <w:jc w:val="center"/>
              <w:rPr>
                <w:u w:val="single"/>
              </w:rPr>
            </w:pPr>
          </w:p>
        </w:tc>
        <w:tc>
          <w:tcPr>
            <w:tcW w:w="4110" w:type="dxa"/>
            <w:shd w:val="clear" w:color="auto" w:fill="DEEAF6" w:themeFill="accent1" w:themeFillTint="33"/>
          </w:tcPr>
          <w:p w14:paraId="39CE37DC" w14:textId="0CDADFE2" w:rsidR="00491D01" w:rsidRPr="00E30D08" w:rsidRDefault="00CF4CA8" w:rsidP="00CF4CA8">
            <w:r w:rsidRPr="00E30D08">
              <w:t>This mechanism</w:t>
            </w:r>
            <w:r w:rsidR="00DE05E3">
              <w:t xml:space="preserve"> was</w:t>
            </w:r>
            <w:r w:rsidRPr="00E30D08">
              <w:t xml:space="preserve"> </w:t>
            </w:r>
            <w:r w:rsidR="000258E2" w:rsidRPr="00E30D08">
              <w:t>outlined in the original design</w:t>
            </w:r>
            <w:r w:rsidR="00EB48C7">
              <w:t>.</w:t>
            </w:r>
            <w:r w:rsidRPr="00E30D08">
              <w:t xml:space="preserve"> </w:t>
            </w:r>
            <w:r w:rsidR="000258E2" w:rsidRPr="00E30D08">
              <w:t>There has been one</w:t>
            </w:r>
            <w:r w:rsidR="00E65EA1" w:rsidRPr="00E30D08">
              <w:t xml:space="preserve"> such meeting convened in </w:t>
            </w:r>
            <w:r w:rsidRPr="00E30D08">
              <w:t>Feb</w:t>
            </w:r>
            <w:r w:rsidR="00E65EA1" w:rsidRPr="00E30D08">
              <w:t>ruary 20</w:t>
            </w:r>
            <w:r w:rsidRPr="00E30D08">
              <w:t xml:space="preserve">24 which DHOM </w:t>
            </w:r>
            <w:r w:rsidR="00E65EA1" w:rsidRPr="00E30D08">
              <w:t>chaired but</w:t>
            </w:r>
            <w:r w:rsidRPr="00E30D08">
              <w:t xml:space="preserve"> </w:t>
            </w:r>
            <w:r w:rsidR="00DE05E3">
              <w:t xml:space="preserve">it </w:t>
            </w:r>
            <w:r w:rsidRPr="00E30D08">
              <w:t>ha</w:t>
            </w:r>
            <w:r w:rsidR="00E65EA1" w:rsidRPr="00E30D08">
              <w:t>s</w:t>
            </w:r>
            <w:r w:rsidRPr="00E30D08">
              <w:t>n’t convened since.</w:t>
            </w:r>
          </w:p>
          <w:p w14:paraId="2DE01072" w14:textId="1D9634C6" w:rsidR="007A29A7" w:rsidRPr="00E30D08" w:rsidRDefault="00D156B9" w:rsidP="00E05B81">
            <w:r w:rsidRPr="00E30D08">
              <w:t xml:space="preserve">To achieve the enhanced strategic oversight that was initially intended, </w:t>
            </w:r>
            <w:r w:rsidR="00D000F7">
              <w:t xml:space="preserve">we </w:t>
            </w:r>
            <w:r w:rsidR="008250A5">
              <w:t>propose</w:t>
            </w:r>
            <w:r w:rsidR="00CF4CA8" w:rsidRPr="00E30D08">
              <w:t xml:space="preserve"> </w:t>
            </w:r>
            <w:r w:rsidR="00002EF4">
              <w:t>engage</w:t>
            </w:r>
            <w:r w:rsidR="00D000F7">
              <w:t>ment</w:t>
            </w:r>
            <w:r w:rsidR="00002EF4">
              <w:t xml:space="preserve"> with</w:t>
            </w:r>
            <w:r w:rsidR="00073626">
              <w:t xml:space="preserve"> </w:t>
            </w:r>
            <w:r w:rsidR="00002EF4">
              <w:t>relevant</w:t>
            </w:r>
            <w:r w:rsidR="00C57C99" w:rsidRPr="00E30D08">
              <w:t xml:space="preserve"> </w:t>
            </w:r>
            <w:r w:rsidR="00CF4CA8" w:rsidRPr="00E30D08">
              <w:t>Go</w:t>
            </w:r>
            <w:r w:rsidR="00A37279">
              <w:t xml:space="preserve">vernment of </w:t>
            </w:r>
            <w:r w:rsidR="00CF4CA8" w:rsidRPr="00E30D08">
              <w:t xml:space="preserve">PNG </w:t>
            </w:r>
            <w:r w:rsidR="00002EF4">
              <w:t>senior leadership</w:t>
            </w:r>
            <w:r w:rsidR="00CF4CA8" w:rsidRPr="00E30D08">
              <w:t xml:space="preserve"> across the</w:t>
            </w:r>
            <w:r w:rsidR="00C57C99" w:rsidRPr="00E30D08">
              <w:t xml:space="preserve"> existing</w:t>
            </w:r>
            <w:r w:rsidR="00CF4CA8" w:rsidRPr="00E30D08">
              <w:t xml:space="preserve"> membership (12 agencies) </w:t>
            </w:r>
            <w:r w:rsidR="00002EF4">
              <w:t xml:space="preserve">through </w:t>
            </w:r>
            <w:r w:rsidR="00146A87">
              <w:t>existing meetings</w:t>
            </w:r>
            <w:r w:rsidR="00C57C99" w:rsidRPr="00E30D08">
              <w:t>.</w:t>
            </w:r>
            <w:r w:rsidR="00CF4CA8" w:rsidRPr="00E30D08">
              <w:t xml:space="preserve"> </w:t>
            </w:r>
            <w:r w:rsidR="00E05B81" w:rsidRPr="00E30D08">
              <w:t>Consultations with PIPP deployees</w:t>
            </w:r>
            <w:r w:rsidR="00B26A43">
              <w:t xml:space="preserve"> and sector leads </w:t>
            </w:r>
            <w:r w:rsidR="00D000F7">
              <w:t xml:space="preserve">have </w:t>
            </w:r>
            <w:r w:rsidR="00B26A43">
              <w:t>identif</w:t>
            </w:r>
            <w:r w:rsidR="00D000F7">
              <w:t>ied</w:t>
            </w:r>
            <w:r w:rsidR="00B26A43">
              <w:t xml:space="preserve"> that </w:t>
            </w:r>
            <w:r w:rsidR="00B26A43" w:rsidRPr="00B26A43">
              <w:rPr>
                <w:lang w:val="en-US"/>
              </w:rPr>
              <w:t xml:space="preserve">it is not feasible to bring together </w:t>
            </w:r>
            <w:proofErr w:type="gramStart"/>
            <w:r w:rsidR="00B26A43" w:rsidRPr="00B26A43">
              <w:rPr>
                <w:lang w:val="en-US"/>
              </w:rPr>
              <w:t>a number of</w:t>
            </w:r>
            <w:proofErr w:type="gramEnd"/>
            <w:r w:rsidR="00B26A43" w:rsidRPr="00B26A43">
              <w:rPr>
                <w:lang w:val="en-US"/>
              </w:rPr>
              <w:t xml:space="preserve"> PNG Government high-level leaders together regularly</w:t>
            </w:r>
            <w:r w:rsidR="00D000F7">
              <w:rPr>
                <w:lang w:val="en-US"/>
              </w:rPr>
              <w:t>,</w:t>
            </w:r>
            <w:r w:rsidR="00B26A43" w:rsidRPr="00B26A43">
              <w:rPr>
                <w:lang w:val="en-US"/>
              </w:rPr>
              <w:t xml:space="preserve"> but that ongoing engagement with relevant department seniors is critical from the thematic leads. </w:t>
            </w:r>
            <w:r w:rsidR="00E05B81" w:rsidRPr="00E30D08">
              <w:t xml:space="preserve"> </w:t>
            </w:r>
          </w:p>
        </w:tc>
        <w:tc>
          <w:tcPr>
            <w:tcW w:w="3795" w:type="dxa"/>
            <w:shd w:val="clear" w:color="auto" w:fill="DEEAF6" w:themeFill="accent1" w:themeFillTint="33"/>
          </w:tcPr>
          <w:p w14:paraId="604ED25A" w14:textId="7658E822" w:rsidR="003A79F6" w:rsidRPr="00E30D08" w:rsidRDefault="003A79F6" w:rsidP="00315E54">
            <w:r w:rsidRPr="00E30D08">
              <w:t xml:space="preserve">We propose </w:t>
            </w:r>
            <w:r w:rsidR="009442C8" w:rsidRPr="00E30D08">
              <w:t>strategic discussions commence with smaller sector specific cohorts to ensure relevance is clear to the senior leadership within PNG Government</w:t>
            </w:r>
            <w:r w:rsidR="00D000F7">
              <w:t>.</w:t>
            </w:r>
          </w:p>
          <w:p w14:paraId="67F24727" w14:textId="77777777" w:rsidR="002913E9" w:rsidRPr="00E30D08" w:rsidRDefault="002913E9" w:rsidP="00AD1224"/>
          <w:p w14:paraId="033478A1" w14:textId="33051D89" w:rsidR="009D4CD6" w:rsidRPr="00E30D08" w:rsidRDefault="009D4CD6" w:rsidP="009726EE">
            <w:pPr>
              <w:rPr>
                <w:i/>
                <w:iCs/>
                <w:u w:val="single"/>
              </w:rPr>
            </w:pPr>
          </w:p>
        </w:tc>
        <w:tc>
          <w:tcPr>
            <w:tcW w:w="1405" w:type="dxa"/>
            <w:gridSpan w:val="2"/>
            <w:shd w:val="clear" w:color="auto" w:fill="DEEAF6" w:themeFill="accent1" w:themeFillTint="33"/>
          </w:tcPr>
          <w:p w14:paraId="773027B0" w14:textId="65DDD6C8" w:rsidR="00BE3D00" w:rsidRPr="00E30D08" w:rsidRDefault="005C2D7A" w:rsidP="009726EE">
            <w:r>
              <w:t>Q4</w:t>
            </w:r>
            <w:r w:rsidR="000258E2" w:rsidRPr="00E30D08">
              <w:t xml:space="preserve"> 2025</w:t>
            </w:r>
          </w:p>
        </w:tc>
      </w:tr>
      <w:tr w:rsidR="004E2009" w14:paraId="27F64A4E" w14:textId="0D6F7E41" w:rsidTr="00CA0A51">
        <w:tc>
          <w:tcPr>
            <w:tcW w:w="5529" w:type="dxa"/>
            <w:shd w:val="clear" w:color="auto" w:fill="9CC2E5" w:themeFill="accent1" w:themeFillTint="99"/>
          </w:tcPr>
          <w:p w14:paraId="6568D468" w14:textId="2960BAE0" w:rsidR="002007D3" w:rsidRDefault="002007D3" w:rsidP="002007D3">
            <w:pPr>
              <w:ind w:left="323" w:hanging="323"/>
              <w:rPr>
                <w:u w:val="single"/>
              </w:rPr>
            </w:pPr>
            <w:r>
              <w:rPr>
                <w:u w:val="single"/>
              </w:rPr>
              <w:t>Opportunity</w:t>
            </w:r>
          </w:p>
          <w:p w14:paraId="4F29885B" w14:textId="2202FB25" w:rsidR="00AC0CAC" w:rsidRPr="00F139E3" w:rsidRDefault="00AC0CAC" w:rsidP="00AC0CAC">
            <w:pPr>
              <w:spacing w:after="120"/>
              <w:ind w:left="323" w:hanging="323"/>
            </w:pPr>
            <w:r>
              <w:t xml:space="preserve">Enhanced </w:t>
            </w:r>
            <w:r w:rsidR="00920C82">
              <w:t>s</w:t>
            </w:r>
            <w:r>
              <w:t xml:space="preserve">trategic </w:t>
            </w:r>
            <w:r w:rsidR="00920C82">
              <w:t>o</w:t>
            </w:r>
            <w:r>
              <w:t>versight</w:t>
            </w:r>
            <w:r w:rsidR="00E74184">
              <w:t xml:space="preserve"> within</w:t>
            </w:r>
            <w:r>
              <w:t xml:space="preserve"> Australian Government</w:t>
            </w:r>
          </w:p>
          <w:p w14:paraId="683E7EC0" w14:textId="10F4F879" w:rsidR="002007D3" w:rsidRPr="00AB03B0" w:rsidRDefault="002007D3" w:rsidP="002007D3">
            <w:pPr>
              <w:spacing w:after="120"/>
              <w:ind w:left="323" w:hanging="323"/>
              <w:rPr>
                <w:b/>
                <w:bCs/>
                <w:u w:val="single"/>
              </w:rPr>
            </w:pPr>
            <w:r w:rsidRPr="00AB03B0">
              <w:rPr>
                <w:b/>
                <w:bCs/>
                <w:u w:val="single"/>
              </w:rPr>
              <w:t>Recommendation 2</w:t>
            </w:r>
          </w:p>
          <w:p w14:paraId="1177A830" w14:textId="77777777" w:rsidR="00072D2F" w:rsidRPr="00072D2F" w:rsidRDefault="00072D2F" w:rsidP="00072D2F">
            <w:r w:rsidRPr="00072D2F">
              <w:lastRenderedPageBreak/>
              <w:t xml:space="preserve">DFAT’s representation at PIPP Inter-Departmental Committee meetings in Canberra should be </w:t>
            </w:r>
            <w:proofErr w:type="gramStart"/>
            <w:r w:rsidRPr="00072D2F">
              <w:t>elevated to SES Band 1 level (at all times</w:t>
            </w:r>
            <w:proofErr w:type="gramEnd"/>
            <w:r w:rsidRPr="00072D2F">
              <w:t xml:space="preserve">), and discussion regarding strategic issues in institutional partnerships between Australia and PNG should be the focus of these meetings. The findings of this evaluation could be used to precipitate this higher-level </w:t>
            </w:r>
            <w:proofErr w:type="spellStart"/>
            <w:r w:rsidRPr="00072D2F">
              <w:t>WoG</w:t>
            </w:r>
            <w:proofErr w:type="spellEnd"/>
            <w:r w:rsidRPr="00072D2F">
              <w:t xml:space="preserve"> strategic engagement.</w:t>
            </w:r>
          </w:p>
          <w:p w14:paraId="499AAFBF" w14:textId="34BB534E" w:rsidR="005D436D" w:rsidRPr="00713553" w:rsidRDefault="005D436D" w:rsidP="00713553">
            <w:pPr>
              <w:ind w:left="-39"/>
              <w:rPr>
                <w:i/>
                <w:iCs/>
              </w:rPr>
            </w:pPr>
          </w:p>
        </w:tc>
        <w:tc>
          <w:tcPr>
            <w:tcW w:w="1134" w:type="dxa"/>
            <w:tcBorders>
              <w:bottom w:val="single" w:sz="4" w:space="0" w:color="auto"/>
            </w:tcBorders>
            <w:shd w:val="clear" w:color="auto" w:fill="FFFF00"/>
            <w:vAlign w:val="center"/>
          </w:tcPr>
          <w:p w14:paraId="4B7695C1" w14:textId="44E4E6C2" w:rsidR="000102DB" w:rsidRPr="00AB30F6" w:rsidRDefault="00072D2F" w:rsidP="00F408DA">
            <w:pPr>
              <w:jc w:val="center"/>
              <w:rPr>
                <w:u w:val="single"/>
              </w:rPr>
            </w:pPr>
            <w:r>
              <w:rPr>
                <w:u w:val="single"/>
              </w:rPr>
              <w:lastRenderedPageBreak/>
              <w:t xml:space="preserve">Partially </w:t>
            </w:r>
            <w:r w:rsidR="000102DB" w:rsidRPr="00D35EC2">
              <w:rPr>
                <w:u w:val="single"/>
              </w:rPr>
              <w:t>Agree</w:t>
            </w:r>
          </w:p>
        </w:tc>
        <w:tc>
          <w:tcPr>
            <w:tcW w:w="4110" w:type="dxa"/>
            <w:shd w:val="clear" w:color="auto" w:fill="9CC2E5" w:themeFill="accent1" w:themeFillTint="99"/>
          </w:tcPr>
          <w:p w14:paraId="40E4E371" w14:textId="3EC967F3" w:rsidR="00F70B48" w:rsidRPr="00D766E6" w:rsidRDefault="00BA6624" w:rsidP="00EC3D9B">
            <w:r w:rsidRPr="00D766E6">
              <w:t xml:space="preserve">IDCs currently occur twice yearly with an agenda that </w:t>
            </w:r>
            <w:r w:rsidR="00804C03" w:rsidRPr="00D766E6">
              <w:t>in</w:t>
            </w:r>
            <w:r w:rsidR="00F40440" w:rsidRPr="00D766E6">
              <w:t>clude</w:t>
            </w:r>
            <w:r w:rsidR="00804C03" w:rsidRPr="00D766E6">
              <w:t xml:space="preserve">s </w:t>
            </w:r>
            <w:r w:rsidR="00CD2FBE" w:rsidRPr="00D766E6">
              <w:t>operational and strategic elements</w:t>
            </w:r>
            <w:r w:rsidR="006C1F55">
              <w:t xml:space="preserve"> </w:t>
            </w:r>
            <w:r w:rsidR="00BA03E4">
              <w:t>(the former is held at EL1 level, and the latter at SES Band 1</w:t>
            </w:r>
            <w:r w:rsidR="000E7475">
              <w:t xml:space="preserve"> level</w:t>
            </w:r>
            <w:r w:rsidR="00BA03E4">
              <w:t>)</w:t>
            </w:r>
            <w:r w:rsidR="00CD2FBE" w:rsidRPr="00D766E6">
              <w:t>.</w:t>
            </w:r>
            <w:r w:rsidR="00804C03" w:rsidRPr="00D766E6">
              <w:t xml:space="preserve"> </w:t>
            </w:r>
            <w:r w:rsidR="00CD2FBE" w:rsidRPr="00D766E6">
              <w:t xml:space="preserve">Operationally we address </w:t>
            </w:r>
            <w:r w:rsidR="00804C03" w:rsidRPr="00D766E6">
              <w:t>workplan</w:t>
            </w:r>
            <w:r w:rsidR="002D7953" w:rsidRPr="00D766E6">
              <w:t>s</w:t>
            </w:r>
            <w:r w:rsidR="00804C03" w:rsidRPr="00D766E6">
              <w:t>, budget</w:t>
            </w:r>
            <w:r w:rsidR="002D7953" w:rsidRPr="00D766E6">
              <w:t>s</w:t>
            </w:r>
            <w:r w:rsidR="00804C03" w:rsidRPr="00D766E6">
              <w:t xml:space="preserve">, reporting cycles, </w:t>
            </w:r>
            <w:r w:rsidR="00F40440" w:rsidRPr="00D766E6">
              <w:t xml:space="preserve">risk </w:t>
            </w:r>
            <w:r w:rsidR="00F40440" w:rsidRPr="00D766E6">
              <w:lastRenderedPageBreak/>
              <w:t>management and changes in administrative p</w:t>
            </w:r>
            <w:r w:rsidR="002D7953" w:rsidRPr="00D766E6">
              <w:t>olicies or processes</w:t>
            </w:r>
            <w:r w:rsidR="00F40440" w:rsidRPr="00D766E6">
              <w:t>.</w:t>
            </w:r>
            <w:r w:rsidR="002D7953" w:rsidRPr="00D766E6">
              <w:t xml:space="preserve"> Strategically we have addressed the PNG Development Partnership Plan</w:t>
            </w:r>
            <w:r w:rsidR="0027467C" w:rsidRPr="00D766E6">
              <w:t xml:space="preserve"> </w:t>
            </w:r>
            <w:r w:rsidR="008D4EF5">
              <w:t xml:space="preserve">(DPP) </w:t>
            </w:r>
            <w:r w:rsidR="002D7953" w:rsidRPr="00D766E6">
              <w:t xml:space="preserve">consultation and implementation processes, </w:t>
            </w:r>
            <w:r w:rsidR="006A0793" w:rsidRPr="00D766E6">
              <w:t>the Australian Government response to PNG’s 50</w:t>
            </w:r>
            <w:r w:rsidR="006A0793" w:rsidRPr="00D766E6">
              <w:rPr>
                <w:vertAlign w:val="superscript"/>
              </w:rPr>
              <w:t>th</w:t>
            </w:r>
            <w:r w:rsidR="006A0793" w:rsidRPr="00D766E6">
              <w:t xml:space="preserve"> Anniversary (and how we can use that within PIPP programming)</w:t>
            </w:r>
            <w:r w:rsidR="002D7EC2" w:rsidRPr="00D766E6">
              <w:t xml:space="preserve"> and most recently the IMTR findings and next steps.</w:t>
            </w:r>
            <w:r w:rsidR="006A0793" w:rsidRPr="00D766E6">
              <w:t xml:space="preserve"> </w:t>
            </w:r>
          </w:p>
        </w:tc>
        <w:tc>
          <w:tcPr>
            <w:tcW w:w="3795" w:type="dxa"/>
            <w:shd w:val="clear" w:color="auto" w:fill="9CC2E5" w:themeFill="accent1" w:themeFillTint="99"/>
          </w:tcPr>
          <w:p w14:paraId="09A66509" w14:textId="11822805" w:rsidR="0047155A" w:rsidRPr="00D766E6" w:rsidRDefault="00322675" w:rsidP="0047155A">
            <w:r>
              <w:lastRenderedPageBreak/>
              <w:t>We will continue to hold an annual SES Band 1 IDC and implement an EL2</w:t>
            </w:r>
            <w:r w:rsidR="003F6F5B">
              <w:t>-led</w:t>
            </w:r>
            <w:r>
              <w:t xml:space="preserve"> IDC.</w:t>
            </w:r>
            <w:r w:rsidR="000A4A53">
              <w:t xml:space="preserve"> </w:t>
            </w:r>
            <w:r w:rsidR="0047155A" w:rsidRPr="00D766E6">
              <w:t>SES engagement for operational matters is not warranted.</w:t>
            </w:r>
          </w:p>
          <w:p w14:paraId="2B8C2D1A" w14:textId="77777777" w:rsidR="001066E5" w:rsidRDefault="00D766E6" w:rsidP="00D766E6">
            <w:r w:rsidRPr="00D766E6">
              <w:lastRenderedPageBreak/>
              <w:t>Going forward, this meeting could continue 6</w:t>
            </w:r>
            <w:r w:rsidR="001066E5">
              <w:t>-</w:t>
            </w:r>
            <w:r w:rsidRPr="00D766E6">
              <w:t xml:space="preserve">monthly and follow </w:t>
            </w:r>
            <w:r w:rsidR="00ED2B05">
              <w:t>sector specific strategic meetings</w:t>
            </w:r>
            <w:r w:rsidRPr="00D766E6">
              <w:t xml:space="preserve"> in PNG.</w:t>
            </w:r>
          </w:p>
          <w:p w14:paraId="379A9550" w14:textId="44C097CB" w:rsidR="00B416C6" w:rsidRPr="00D766E6" w:rsidRDefault="00D766E6" w:rsidP="00D766E6">
            <w:r w:rsidRPr="00D766E6">
              <w:t xml:space="preserve">This would provide an opportunity to consider the strategic issues of interest to the Australian </w:t>
            </w:r>
            <w:proofErr w:type="gramStart"/>
            <w:r w:rsidRPr="00D766E6">
              <w:t>setting, and</w:t>
            </w:r>
            <w:proofErr w:type="gramEnd"/>
            <w:r w:rsidRPr="00D766E6">
              <w:t xml:space="preserve"> include a paper that is updated ahead of each meeting which flags relevant </w:t>
            </w:r>
            <w:r w:rsidR="00ED2B05">
              <w:t>whole of government</w:t>
            </w:r>
            <w:r w:rsidRPr="00D766E6">
              <w:t xml:space="preserve"> events/meetings so agencies can collaborate and have visibility across the membership. </w:t>
            </w:r>
          </w:p>
        </w:tc>
        <w:tc>
          <w:tcPr>
            <w:tcW w:w="1405" w:type="dxa"/>
            <w:gridSpan w:val="2"/>
            <w:shd w:val="clear" w:color="auto" w:fill="9CC2E5" w:themeFill="accent1" w:themeFillTint="99"/>
          </w:tcPr>
          <w:p w14:paraId="3E7C7EF9" w14:textId="73791719" w:rsidR="000102DB" w:rsidRPr="00EC3D9B" w:rsidRDefault="005C2D7A" w:rsidP="000102DB">
            <w:r w:rsidRPr="00EC3D9B">
              <w:lastRenderedPageBreak/>
              <w:t>Q1 2026</w:t>
            </w:r>
          </w:p>
          <w:p w14:paraId="67109F46" w14:textId="77777777" w:rsidR="000102DB" w:rsidRPr="0027467C" w:rsidRDefault="000102DB" w:rsidP="000102DB">
            <w:pPr>
              <w:rPr>
                <w:highlight w:val="yellow"/>
              </w:rPr>
            </w:pPr>
          </w:p>
          <w:p w14:paraId="3F415454" w14:textId="77777777" w:rsidR="000102DB" w:rsidRPr="0027467C" w:rsidRDefault="000102DB" w:rsidP="000102DB">
            <w:pPr>
              <w:rPr>
                <w:highlight w:val="yellow"/>
              </w:rPr>
            </w:pPr>
          </w:p>
          <w:p w14:paraId="4BC2B32B" w14:textId="77777777" w:rsidR="000102DB" w:rsidRPr="0027467C" w:rsidRDefault="000102DB" w:rsidP="000102DB">
            <w:pPr>
              <w:rPr>
                <w:highlight w:val="yellow"/>
              </w:rPr>
            </w:pPr>
          </w:p>
          <w:p w14:paraId="094B4C13" w14:textId="216CC51A" w:rsidR="000102DB" w:rsidRPr="0027467C" w:rsidRDefault="000102DB" w:rsidP="000102DB">
            <w:pPr>
              <w:rPr>
                <w:highlight w:val="yellow"/>
              </w:rPr>
            </w:pPr>
          </w:p>
        </w:tc>
      </w:tr>
      <w:tr w:rsidR="004E2009" w14:paraId="3BE82422" w14:textId="28B21AD1" w:rsidTr="004E2009">
        <w:tc>
          <w:tcPr>
            <w:tcW w:w="5529" w:type="dxa"/>
            <w:shd w:val="clear" w:color="auto" w:fill="DEEAF6" w:themeFill="accent1" w:themeFillTint="33"/>
          </w:tcPr>
          <w:p w14:paraId="142060A7" w14:textId="77777777" w:rsidR="00F139E3" w:rsidRDefault="00F139E3" w:rsidP="00F139E3">
            <w:pPr>
              <w:ind w:left="323" w:hanging="323"/>
              <w:rPr>
                <w:u w:val="single"/>
              </w:rPr>
            </w:pPr>
            <w:r>
              <w:rPr>
                <w:u w:val="single"/>
              </w:rPr>
              <w:t>Opportunity</w:t>
            </w:r>
          </w:p>
          <w:p w14:paraId="095EF1CE" w14:textId="4A18D5DD" w:rsidR="009127BE" w:rsidRPr="00F139E3" w:rsidRDefault="00C77AE9" w:rsidP="00F139E3">
            <w:pPr>
              <w:spacing w:after="120"/>
            </w:pPr>
            <w:r>
              <w:t xml:space="preserve">Enhanced </w:t>
            </w:r>
            <w:r w:rsidR="009E6AC9">
              <w:t>C</w:t>
            </w:r>
            <w:r>
              <w:t xml:space="preserve">apacity to </w:t>
            </w:r>
            <w:r w:rsidR="009E6AC9">
              <w:t>Support Program End State</w:t>
            </w:r>
          </w:p>
          <w:p w14:paraId="222C855E" w14:textId="5B56D76F" w:rsidR="00F139E3" w:rsidRPr="00F139E3" w:rsidRDefault="00F139E3" w:rsidP="00F139E3">
            <w:pPr>
              <w:spacing w:after="120"/>
              <w:ind w:left="323" w:hanging="323"/>
              <w:rPr>
                <w:b/>
                <w:bCs/>
                <w:u w:val="single"/>
              </w:rPr>
            </w:pPr>
            <w:r w:rsidRPr="00F139E3">
              <w:rPr>
                <w:b/>
                <w:bCs/>
                <w:u w:val="single"/>
              </w:rPr>
              <w:t>Recommendation 3</w:t>
            </w:r>
          </w:p>
          <w:p w14:paraId="3BCFA80F" w14:textId="58E187D6" w:rsidR="0027467C" w:rsidRPr="0027467C" w:rsidRDefault="0027467C" w:rsidP="0027467C">
            <w:r w:rsidRPr="0027467C">
              <w:t xml:space="preserve">DFAT in Port Moresby should consider investing further resources (~EL1 level) in the strategic management of PIPP, including driving greater sectoral and </w:t>
            </w:r>
            <w:proofErr w:type="spellStart"/>
            <w:r w:rsidRPr="0027467C">
              <w:t>WoG</w:t>
            </w:r>
            <w:proofErr w:type="spellEnd"/>
            <w:r w:rsidRPr="0027467C">
              <w:t xml:space="preserve"> coordination. At present, the resources do not exist at Post to do this. Tasks could include managing the development of sector strategies (in economics to begin with); gradually aligning PIPP work plans and MEL with DPP outcomes; augmenting existing enabling services; engaging with </w:t>
            </w:r>
            <w:proofErr w:type="spellStart"/>
            <w:r w:rsidRPr="0027467C">
              <w:t>GoPNG</w:t>
            </w:r>
            <w:proofErr w:type="spellEnd"/>
            <w:r w:rsidRPr="0027467C">
              <w:t xml:space="preserve"> agencies in public service priorities; following up on JOM outcomes; developing strategic communication products; actively monitoring non-PIPP agency activities; investigating the feasibility of new partnerships (e.g. Bank of PNG and APRA); and establishing and managing AGE and non-AGE social and workplace networks.</w:t>
            </w:r>
          </w:p>
          <w:p w14:paraId="02AF89B2" w14:textId="0573855B" w:rsidR="000102DB" w:rsidRDefault="000102DB" w:rsidP="00713553">
            <w:pPr>
              <w:ind w:left="-39"/>
            </w:pPr>
          </w:p>
        </w:tc>
        <w:tc>
          <w:tcPr>
            <w:tcW w:w="1134" w:type="dxa"/>
            <w:shd w:val="clear" w:color="auto" w:fill="FF0000"/>
            <w:vAlign w:val="center"/>
          </w:tcPr>
          <w:p w14:paraId="2441EA1B" w14:textId="72E4761E" w:rsidR="000102DB" w:rsidRPr="00AB30F6" w:rsidRDefault="004E2009" w:rsidP="00D71417">
            <w:pPr>
              <w:jc w:val="center"/>
              <w:rPr>
                <w:u w:val="single"/>
              </w:rPr>
            </w:pPr>
            <w:r>
              <w:rPr>
                <w:u w:val="single"/>
              </w:rPr>
              <w:t>Disa</w:t>
            </w:r>
            <w:r w:rsidR="008A34AB" w:rsidRPr="00D35EC2">
              <w:rPr>
                <w:u w:val="single"/>
              </w:rPr>
              <w:t>gree</w:t>
            </w:r>
          </w:p>
        </w:tc>
        <w:tc>
          <w:tcPr>
            <w:tcW w:w="4110" w:type="dxa"/>
            <w:shd w:val="clear" w:color="auto" w:fill="DEEAF6" w:themeFill="accent1" w:themeFillTint="33"/>
          </w:tcPr>
          <w:p w14:paraId="231D1613" w14:textId="2326354C" w:rsidR="008D4EF5" w:rsidRPr="00CA0A51" w:rsidRDefault="000C2503" w:rsidP="002C7718">
            <w:pPr>
              <w:spacing w:after="120"/>
              <w:ind w:left="42"/>
              <w:rPr>
                <w:color w:val="000000" w:themeColor="text1"/>
              </w:rPr>
            </w:pPr>
            <w:r>
              <w:rPr>
                <w:color w:val="000000" w:themeColor="text1"/>
              </w:rPr>
              <w:t xml:space="preserve">At this stage, we are unable to allocate additional FTE </w:t>
            </w:r>
            <w:r w:rsidR="00D27A23">
              <w:rPr>
                <w:color w:val="000000" w:themeColor="text1"/>
              </w:rPr>
              <w:t>to Port Moresby Post to manage PIPP. Canberra will work to ensure increased FTE is available for PIPP at desk</w:t>
            </w:r>
            <w:r w:rsidR="00F312DC">
              <w:rPr>
                <w:color w:val="000000" w:themeColor="text1"/>
              </w:rPr>
              <w:t>.</w:t>
            </w:r>
            <w:r w:rsidR="003F6F5B">
              <w:rPr>
                <w:color w:val="000000" w:themeColor="text1"/>
              </w:rPr>
              <w:t xml:space="preserve"> </w:t>
            </w:r>
            <w:r w:rsidR="002C7718" w:rsidRPr="00CA0A51">
              <w:rPr>
                <w:color w:val="000000" w:themeColor="text1"/>
              </w:rPr>
              <w:t>It</w:t>
            </w:r>
            <w:r w:rsidR="001426A6" w:rsidRPr="00CA0A51">
              <w:rPr>
                <w:color w:val="000000" w:themeColor="text1"/>
              </w:rPr>
              <w:t xml:space="preserve"> is</w:t>
            </w:r>
            <w:r w:rsidR="002C7718" w:rsidRPr="00CA0A51">
              <w:rPr>
                <w:color w:val="000000" w:themeColor="text1"/>
              </w:rPr>
              <w:t xml:space="preserve"> critical to have </w:t>
            </w:r>
            <w:r w:rsidR="001426A6" w:rsidRPr="00CA0A51">
              <w:rPr>
                <w:color w:val="000000" w:themeColor="text1"/>
              </w:rPr>
              <w:t>PIPP</w:t>
            </w:r>
            <w:r w:rsidR="002C7718" w:rsidRPr="00CA0A51">
              <w:rPr>
                <w:color w:val="000000" w:themeColor="text1"/>
              </w:rPr>
              <w:t xml:space="preserve"> managed out of Canberra</w:t>
            </w:r>
            <w:r w:rsidR="001426A6" w:rsidRPr="00CA0A51">
              <w:rPr>
                <w:color w:val="000000" w:themeColor="text1"/>
              </w:rPr>
              <w:t>.</w:t>
            </w:r>
            <w:r w:rsidR="002C7718" w:rsidRPr="00CA0A51">
              <w:rPr>
                <w:color w:val="000000" w:themeColor="text1"/>
              </w:rPr>
              <w:t xml:space="preserve"> </w:t>
            </w:r>
          </w:p>
          <w:p w14:paraId="0C238253" w14:textId="77777777" w:rsidR="00BA714C" w:rsidRPr="00CA0A51" w:rsidRDefault="002C7718" w:rsidP="002C7718">
            <w:pPr>
              <w:spacing w:after="120"/>
              <w:ind w:left="42"/>
              <w:rPr>
                <w:color w:val="000000" w:themeColor="text1"/>
              </w:rPr>
            </w:pPr>
            <w:r w:rsidRPr="00CA0A51">
              <w:rPr>
                <w:color w:val="000000" w:themeColor="text1"/>
              </w:rPr>
              <w:t>The alignment of the workplans and MEL with the DPP</w:t>
            </w:r>
            <w:r w:rsidR="007E566D" w:rsidRPr="00CA0A51">
              <w:rPr>
                <w:color w:val="000000" w:themeColor="text1"/>
              </w:rPr>
              <w:t xml:space="preserve"> in mind</w:t>
            </w:r>
            <w:r w:rsidRPr="00CA0A51">
              <w:rPr>
                <w:color w:val="000000" w:themeColor="text1"/>
              </w:rPr>
              <w:t xml:space="preserve"> have </w:t>
            </w:r>
            <w:r w:rsidR="007E566D" w:rsidRPr="00CA0A51">
              <w:rPr>
                <w:color w:val="000000" w:themeColor="text1"/>
              </w:rPr>
              <w:t>commenced.</w:t>
            </w:r>
            <w:r w:rsidRPr="00CA0A51">
              <w:rPr>
                <w:color w:val="000000" w:themeColor="text1"/>
              </w:rPr>
              <w:t xml:space="preserve"> </w:t>
            </w:r>
            <w:r w:rsidR="001158B4" w:rsidRPr="00CA0A51">
              <w:rPr>
                <w:color w:val="000000" w:themeColor="text1"/>
              </w:rPr>
              <w:t>The program is using PIPPSS</w:t>
            </w:r>
            <w:r w:rsidRPr="00CA0A51">
              <w:rPr>
                <w:color w:val="000000" w:themeColor="text1"/>
              </w:rPr>
              <w:t xml:space="preserve"> to support this in the first instance</w:t>
            </w:r>
            <w:r w:rsidR="001158B4" w:rsidRPr="00CA0A51">
              <w:rPr>
                <w:color w:val="000000" w:themeColor="text1"/>
              </w:rPr>
              <w:t>. W</w:t>
            </w:r>
            <w:r w:rsidRPr="00CA0A51">
              <w:rPr>
                <w:color w:val="000000" w:themeColor="text1"/>
              </w:rPr>
              <w:t xml:space="preserve">e are </w:t>
            </w:r>
            <w:r w:rsidR="007538B1" w:rsidRPr="00CA0A51">
              <w:rPr>
                <w:color w:val="000000" w:themeColor="text1"/>
              </w:rPr>
              <w:t xml:space="preserve">seeking to </w:t>
            </w:r>
            <w:r w:rsidRPr="00CA0A51">
              <w:rPr>
                <w:color w:val="000000" w:themeColor="text1"/>
              </w:rPr>
              <w:t>engage an M&amp;E specialist to refine our MERLA framework ahead of the extension.</w:t>
            </w:r>
          </w:p>
          <w:p w14:paraId="2EA1F215" w14:textId="77777777" w:rsidR="00CA0A51" w:rsidRPr="00CA0A51" w:rsidRDefault="00BA714C" w:rsidP="002C7718">
            <w:pPr>
              <w:spacing w:after="120"/>
              <w:ind w:left="42"/>
              <w:rPr>
                <w:color w:val="000000" w:themeColor="text1"/>
              </w:rPr>
            </w:pPr>
            <w:r w:rsidRPr="00CA0A51">
              <w:rPr>
                <w:color w:val="000000" w:themeColor="text1"/>
              </w:rPr>
              <w:t xml:space="preserve">Following up/tracking the outcomes of the strategic meetings in recommendations 1 and 2 should be jointly managed with action items/input from relevant sector leads flowing into IDCs. </w:t>
            </w:r>
          </w:p>
          <w:p w14:paraId="2342273D" w14:textId="31EF8EE2" w:rsidR="00BE5243" w:rsidRPr="00CA0A51" w:rsidRDefault="002C7718" w:rsidP="00CA0A51">
            <w:pPr>
              <w:spacing w:after="120"/>
              <w:ind w:left="42"/>
              <w:rPr>
                <w:color w:val="000000" w:themeColor="text1"/>
              </w:rPr>
            </w:pPr>
            <w:r w:rsidRPr="00CA0A51">
              <w:rPr>
                <w:color w:val="000000" w:themeColor="text1"/>
              </w:rPr>
              <w:t>The social and workplace network</w:t>
            </w:r>
            <w:r w:rsidR="00CA0A51" w:rsidRPr="00CA0A51">
              <w:rPr>
                <w:color w:val="000000" w:themeColor="text1"/>
              </w:rPr>
              <w:t>ing elements are</w:t>
            </w:r>
            <w:r w:rsidRPr="00CA0A51">
              <w:rPr>
                <w:color w:val="000000" w:themeColor="text1"/>
              </w:rPr>
              <w:t xml:space="preserve"> </w:t>
            </w:r>
            <w:r w:rsidR="00CA0A51" w:rsidRPr="00CA0A51">
              <w:rPr>
                <w:color w:val="000000" w:themeColor="text1"/>
              </w:rPr>
              <w:t>most effective when</w:t>
            </w:r>
            <w:r w:rsidRPr="00CA0A51">
              <w:rPr>
                <w:color w:val="000000" w:themeColor="text1"/>
              </w:rPr>
              <w:t xml:space="preserve"> face-to-face with the PIPP </w:t>
            </w:r>
            <w:proofErr w:type="spellStart"/>
            <w:r w:rsidRPr="00CA0A51">
              <w:rPr>
                <w:color w:val="000000" w:themeColor="text1"/>
              </w:rPr>
              <w:t>deployee</w:t>
            </w:r>
            <w:proofErr w:type="spellEnd"/>
            <w:r w:rsidRPr="00CA0A51">
              <w:rPr>
                <w:color w:val="000000" w:themeColor="text1"/>
              </w:rPr>
              <w:t xml:space="preserve"> cohort as well as the AHC sector leads.</w:t>
            </w:r>
          </w:p>
        </w:tc>
        <w:tc>
          <w:tcPr>
            <w:tcW w:w="3795" w:type="dxa"/>
            <w:shd w:val="clear" w:color="auto" w:fill="DEEAF6" w:themeFill="accent1" w:themeFillTint="33"/>
          </w:tcPr>
          <w:p w14:paraId="63392A76" w14:textId="0A5325D0" w:rsidR="00440A8B" w:rsidRDefault="00920C82" w:rsidP="006A6957">
            <w:pPr>
              <w:rPr>
                <w:color w:val="000000" w:themeColor="text1"/>
              </w:rPr>
            </w:pPr>
            <w:r>
              <w:rPr>
                <w:color w:val="000000" w:themeColor="text1"/>
              </w:rPr>
              <w:t>Staffing</w:t>
            </w:r>
            <w:r w:rsidR="00C77AE9" w:rsidRPr="00130806">
              <w:rPr>
                <w:color w:val="000000" w:themeColor="text1"/>
              </w:rPr>
              <w:t xml:space="preserve"> resources </w:t>
            </w:r>
            <w:r>
              <w:rPr>
                <w:color w:val="000000" w:themeColor="text1"/>
              </w:rPr>
              <w:t>will</w:t>
            </w:r>
            <w:r w:rsidR="00C77AE9" w:rsidRPr="00130806">
              <w:rPr>
                <w:color w:val="000000" w:themeColor="text1"/>
              </w:rPr>
              <w:t xml:space="preserve"> be investe</w:t>
            </w:r>
            <w:r>
              <w:rPr>
                <w:color w:val="000000" w:themeColor="text1"/>
              </w:rPr>
              <w:t>d</w:t>
            </w:r>
            <w:r w:rsidR="00035BF1">
              <w:rPr>
                <w:color w:val="000000" w:themeColor="text1"/>
              </w:rPr>
              <w:t xml:space="preserve"> where possible,</w:t>
            </w:r>
            <w:r w:rsidR="00C77AE9" w:rsidRPr="00130806">
              <w:rPr>
                <w:color w:val="000000" w:themeColor="text1"/>
              </w:rPr>
              <w:t xml:space="preserve"> </w:t>
            </w:r>
            <w:r w:rsidR="00334A1C">
              <w:rPr>
                <w:color w:val="000000" w:themeColor="text1"/>
              </w:rPr>
              <w:t>with</w:t>
            </w:r>
            <w:r w:rsidR="00C77AE9" w:rsidRPr="00130806">
              <w:rPr>
                <w:color w:val="000000" w:themeColor="text1"/>
              </w:rPr>
              <w:t xml:space="preserve"> overall program management remain</w:t>
            </w:r>
            <w:r w:rsidR="00334A1C">
              <w:rPr>
                <w:color w:val="000000" w:themeColor="text1"/>
              </w:rPr>
              <w:t>ing</w:t>
            </w:r>
            <w:r w:rsidR="00C77AE9" w:rsidRPr="00130806">
              <w:rPr>
                <w:color w:val="000000" w:themeColor="text1"/>
              </w:rPr>
              <w:t xml:space="preserve"> in Canberra. PIPP program managers in Canberra should travel regularly to bolster engagement with sectoral teams at Post.</w:t>
            </w:r>
          </w:p>
          <w:p w14:paraId="33D4488A" w14:textId="77777777" w:rsidR="00CA0A51" w:rsidRDefault="00CA0A51" w:rsidP="006A6957">
            <w:pPr>
              <w:rPr>
                <w:color w:val="000000" w:themeColor="text1"/>
              </w:rPr>
            </w:pPr>
          </w:p>
          <w:p w14:paraId="128D964E" w14:textId="672259FA" w:rsidR="00FB1ACE" w:rsidRPr="00130806" w:rsidRDefault="00FB1ACE" w:rsidP="006A6957">
            <w:pPr>
              <w:rPr>
                <w:color w:val="000000" w:themeColor="text1"/>
              </w:rPr>
            </w:pPr>
            <w:r>
              <w:rPr>
                <w:color w:val="000000" w:themeColor="text1"/>
              </w:rPr>
              <w:t>The Division</w:t>
            </w:r>
            <w:r w:rsidR="00F1223E">
              <w:rPr>
                <w:color w:val="000000" w:themeColor="text1"/>
              </w:rPr>
              <w:t>’s senior managers</w:t>
            </w:r>
            <w:r>
              <w:rPr>
                <w:color w:val="000000" w:themeColor="text1"/>
              </w:rPr>
              <w:t xml:space="preserve"> will consider </w:t>
            </w:r>
            <w:r w:rsidR="009D7711">
              <w:rPr>
                <w:color w:val="000000" w:themeColor="text1"/>
              </w:rPr>
              <w:t>how best to allocate resourcing to PIPP.</w:t>
            </w:r>
          </w:p>
        </w:tc>
        <w:tc>
          <w:tcPr>
            <w:tcW w:w="1405" w:type="dxa"/>
            <w:gridSpan w:val="2"/>
            <w:shd w:val="clear" w:color="auto" w:fill="DEEAF6" w:themeFill="accent1" w:themeFillTint="33"/>
          </w:tcPr>
          <w:p w14:paraId="53BB9A51" w14:textId="61F30CEA" w:rsidR="00CE4108" w:rsidRPr="00130806" w:rsidRDefault="00130806" w:rsidP="00F5302F">
            <w:pPr>
              <w:spacing w:after="120"/>
            </w:pPr>
            <w:r w:rsidRPr="00130806">
              <w:t>June 2026</w:t>
            </w:r>
          </w:p>
        </w:tc>
      </w:tr>
      <w:tr w:rsidR="004E2009" w14:paraId="570A46F6" w14:textId="5F1BFFD3" w:rsidTr="00CA0A51">
        <w:tc>
          <w:tcPr>
            <w:tcW w:w="5529" w:type="dxa"/>
            <w:shd w:val="clear" w:color="auto" w:fill="9CC2E5" w:themeFill="accent1" w:themeFillTint="99"/>
          </w:tcPr>
          <w:p w14:paraId="628F4919" w14:textId="1348D03F" w:rsidR="0020394E" w:rsidRDefault="0020394E" w:rsidP="0020394E">
            <w:pPr>
              <w:ind w:left="323" w:hanging="323"/>
              <w:rPr>
                <w:u w:val="single"/>
              </w:rPr>
            </w:pPr>
            <w:r>
              <w:rPr>
                <w:u w:val="single"/>
              </w:rPr>
              <w:lastRenderedPageBreak/>
              <w:t>Opportunity</w:t>
            </w:r>
          </w:p>
          <w:p w14:paraId="3B5535B2" w14:textId="558CE68B" w:rsidR="000102DB" w:rsidRPr="0020394E" w:rsidRDefault="007E5AC3" w:rsidP="0020394E">
            <w:pPr>
              <w:spacing w:after="120"/>
            </w:pPr>
            <w:r>
              <w:t>Ensuring Continuity of Institutional Partnerships</w:t>
            </w:r>
          </w:p>
          <w:p w14:paraId="2E09CFAC" w14:textId="77777777" w:rsidR="00A31CE1" w:rsidRPr="00A31CE1" w:rsidRDefault="0020394E" w:rsidP="00A31CE1">
            <w:pPr>
              <w:spacing w:after="120"/>
              <w:ind w:left="323" w:hanging="323"/>
              <w:rPr>
                <w:b/>
                <w:bCs/>
                <w:u w:val="single"/>
              </w:rPr>
            </w:pPr>
            <w:r w:rsidRPr="00A31CE1">
              <w:rPr>
                <w:b/>
                <w:bCs/>
                <w:u w:val="single"/>
              </w:rPr>
              <w:t>Recommendation 4</w:t>
            </w:r>
          </w:p>
          <w:p w14:paraId="1A8F6F48" w14:textId="2D40A3FE" w:rsidR="002C7718" w:rsidRPr="002C7718" w:rsidRDefault="002C7718" w:rsidP="002C7718">
            <w:r w:rsidRPr="002C7718">
              <w:t xml:space="preserve">DFAT should begin the design of the next phase of the PNG–Australia institutional partnerships program as soon as possible, considering the June 2026 end date of PIPP. This design should involve DFAT, </w:t>
            </w:r>
            <w:proofErr w:type="spellStart"/>
            <w:r w:rsidRPr="002C7718">
              <w:t>GoPNG</w:t>
            </w:r>
            <w:proofErr w:type="spellEnd"/>
            <w:r w:rsidRPr="002C7718">
              <w:t xml:space="preserve"> and Australian </w:t>
            </w:r>
            <w:proofErr w:type="spellStart"/>
            <w:r w:rsidRPr="002C7718">
              <w:t>WoG</w:t>
            </w:r>
            <w:proofErr w:type="spellEnd"/>
            <w:r w:rsidRPr="002C7718">
              <w:t xml:space="preserve"> partners. The design process could be used as a mechanism to engage </w:t>
            </w:r>
            <w:proofErr w:type="spellStart"/>
            <w:r w:rsidRPr="002C7718">
              <w:t>GoPNG</w:t>
            </w:r>
            <w:proofErr w:type="spellEnd"/>
            <w:r w:rsidRPr="002C7718">
              <w:t xml:space="preserve"> in the process, while also elevating Australian </w:t>
            </w:r>
            <w:proofErr w:type="spellStart"/>
            <w:r w:rsidRPr="002C7718">
              <w:t>WoG</w:t>
            </w:r>
            <w:proofErr w:type="spellEnd"/>
            <w:r w:rsidRPr="002C7718">
              <w:t xml:space="preserve"> engagement. The design should focus on 1) scoping the level of ambition for Australian–PNG institutional partnerships on both sides and defining appropriate end-state outcomes; 2) analysing the political-economic and institutional factors that may constrain the achievement of outcomes; 3) producing a strong program logic with clear and well-defined end-of-program and intermediate outcomes; 4) testing the pros and cons of the PIPP/non-PIPP AGE distinction and assessing other models (e.g. core partnerships, tiered partnerships etc); 5) accurately modelling demand for support services (as much as possible); 6) establishing workable governance arrangements; 7) ensuring programmatic and operational support services are adequate and will support strategic ambition and effective delivery (particularly M&amp;E); and 8) aligning M&amp;E and reporting to DPP outcomes and priorities.  </w:t>
            </w:r>
          </w:p>
          <w:p w14:paraId="5FF35347" w14:textId="0BACCC24" w:rsidR="0054775C" w:rsidRPr="0020394E" w:rsidRDefault="0054775C" w:rsidP="006A6957">
            <w:pPr>
              <w:pStyle w:val="ListParagraph"/>
              <w:ind w:left="462"/>
              <w:rPr>
                <w:u w:val="single"/>
              </w:rPr>
            </w:pPr>
          </w:p>
        </w:tc>
        <w:tc>
          <w:tcPr>
            <w:tcW w:w="1134" w:type="dxa"/>
            <w:shd w:val="clear" w:color="auto" w:fill="92D050"/>
            <w:vAlign w:val="center"/>
          </w:tcPr>
          <w:p w14:paraId="28D2681A" w14:textId="677AFB6B" w:rsidR="000102DB" w:rsidRPr="00AB30F6" w:rsidRDefault="005B5E56" w:rsidP="002E2490">
            <w:pPr>
              <w:jc w:val="center"/>
              <w:rPr>
                <w:u w:val="single"/>
              </w:rPr>
            </w:pPr>
            <w:r w:rsidRPr="00D35EC2">
              <w:rPr>
                <w:u w:val="single"/>
              </w:rPr>
              <w:t>Agree</w:t>
            </w:r>
          </w:p>
        </w:tc>
        <w:tc>
          <w:tcPr>
            <w:tcW w:w="4110" w:type="dxa"/>
            <w:shd w:val="clear" w:color="auto" w:fill="9CC2E5" w:themeFill="accent1" w:themeFillTint="99"/>
          </w:tcPr>
          <w:p w14:paraId="60ACE10F" w14:textId="4F83C1C8" w:rsidR="00256C59" w:rsidRPr="000A1ED5" w:rsidRDefault="00256C59" w:rsidP="000A1ED5">
            <w:r w:rsidRPr="003D68C6">
              <w:rPr>
                <w:rFonts w:ascii="Calibri" w:hAnsi="Calibri" w:cs="Calibri"/>
                <w:color w:val="000000" w:themeColor="text1"/>
              </w:rPr>
              <w:t>The</w:t>
            </w:r>
            <w:r w:rsidR="00B416C6" w:rsidRPr="003D68C6">
              <w:rPr>
                <w:rFonts w:ascii="Calibri" w:hAnsi="Calibri" w:cs="Calibri"/>
                <w:color w:val="000000" w:themeColor="text1"/>
              </w:rPr>
              <w:t xml:space="preserve"> current phase</w:t>
            </w:r>
            <w:r w:rsidRPr="003D68C6">
              <w:rPr>
                <w:rFonts w:ascii="Calibri" w:hAnsi="Calibri" w:cs="Calibri"/>
                <w:color w:val="000000" w:themeColor="text1"/>
              </w:rPr>
              <w:t xml:space="preserve"> of PIPP</w:t>
            </w:r>
            <w:r w:rsidR="00673901">
              <w:rPr>
                <w:rFonts w:ascii="Calibri" w:hAnsi="Calibri" w:cs="Calibri"/>
                <w:color w:val="000000" w:themeColor="text1"/>
              </w:rPr>
              <w:t xml:space="preserve"> was designed</w:t>
            </w:r>
            <w:r w:rsidR="00B416C6" w:rsidRPr="003D68C6">
              <w:rPr>
                <w:rFonts w:ascii="Calibri" w:hAnsi="Calibri" w:cs="Calibri"/>
                <w:color w:val="000000" w:themeColor="text1"/>
              </w:rPr>
              <w:t xml:space="preserve"> </w:t>
            </w:r>
            <w:r w:rsidR="00673901">
              <w:rPr>
                <w:rFonts w:ascii="Calibri" w:hAnsi="Calibri" w:cs="Calibri"/>
                <w:color w:val="000000" w:themeColor="text1"/>
              </w:rPr>
              <w:t>to include an</w:t>
            </w:r>
            <w:r w:rsidR="003D68C6" w:rsidRPr="0033623D">
              <w:rPr>
                <w:rFonts w:ascii="Calibri" w:hAnsi="Calibri" w:cs="Calibri"/>
                <w:color w:val="000000" w:themeColor="text1"/>
              </w:rPr>
              <w:t xml:space="preserve"> </w:t>
            </w:r>
            <w:r w:rsidR="003D68C6" w:rsidRPr="000A1ED5">
              <w:rPr>
                <w:rFonts w:ascii="Calibri" w:hAnsi="Calibri" w:cs="Calibri"/>
                <w:color w:val="000000" w:themeColor="text1"/>
              </w:rPr>
              <w:t>extension o</w:t>
            </w:r>
            <w:r w:rsidR="00673901" w:rsidRPr="000A1ED5">
              <w:rPr>
                <w:rFonts w:ascii="Calibri" w:hAnsi="Calibri" w:cs="Calibri"/>
                <w:color w:val="000000" w:themeColor="text1"/>
              </w:rPr>
              <w:t>pportunity</w:t>
            </w:r>
            <w:r w:rsidR="003D68C6" w:rsidRPr="000A1ED5">
              <w:rPr>
                <w:rFonts w:ascii="Calibri" w:hAnsi="Calibri" w:cs="Calibri"/>
                <w:color w:val="000000" w:themeColor="text1"/>
              </w:rPr>
              <w:t xml:space="preserve">. </w:t>
            </w:r>
            <w:r w:rsidR="000A1ED5" w:rsidRPr="000A1ED5">
              <w:rPr>
                <w:color w:val="000000" w:themeColor="text1"/>
              </w:rPr>
              <w:t xml:space="preserve">Based on the outcomes of the processes in the action </w:t>
            </w:r>
            <w:r w:rsidR="001066E5" w:rsidRPr="000A1ED5">
              <w:rPr>
                <w:color w:val="000000" w:themeColor="text1"/>
              </w:rPr>
              <w:t>plan</w:t>
            </w:r>
            <w:r w:rsidR="001066E5">
              <w:rPr>
                <w:color w:val="000000" w:themeColor="text1"/>
              </w:rPr>
              <w:t xml:space="preserve"> and</w:t>
            </w:r>
            <w:r w:rsidR="000A1ED5" w:rsidRPr="000A1ED5">
              <w:rPr>
                <w:color w:val="000000" w:themeColor="text1"/>
              </w:rPr>
              <w:t xml:space="preserve"> g</w:t>
            </w:r>
            <w:r w:rsidR="003D68C6" w:rsidRPr="000A1ED5">
              <w:rPr>
                <w:rFonts w:ascii="Calibri" w:hAnsi="Calibri" w:cs="Calibri"/>
                <w:color w:val="000000" w:themeColor="text1"/>
              </w:rPr>
              <w:t>iven the increased demand on funds and the possibility</w:t>
            </w:r>
            <w:r w:rsidR="003D68C6" w:rsidRPr="0033623D">
              <w:rPr>
                <w:rFonts w:ascii="Calibri" w:hAnsi="Calibri" w:cs="Calibri"/>
                <w:color w:val="000000" w:themeColor="text1"/>
              </w:rPr>
              <w:t xml:space="preserve"> of expanding the membership</w:t>
            </w:r>
            <w:r w:rsidR="00D3184C">
              <w:rPr>
                <w:rFonts w:ascii="Calibri" w:hAnsi="Calibri" w:cs="Calibri"/>
                <w:color w:val="000000" w:themeColor="text1"/>
              </w:rPr>
              <w:t>. I</w:t>
            </w:r>
            <w:r w:rsidR="003D68C6" w:rsidRPr="0033623D">
              <w:rPr>
                <w:rFonts w:ascii="Calibri" w:hAnsi="Calibri" w:cs="Calibri"/>
                <w:color w:val="000000" w:themeColor="text1"/>
              </w:rPr>
              <w:t>t is likely that planning will lead to spending the allocated budget in less time.</w:t>
            </w:r>
            <w:r w:rsidR="00673901">
              <w:rPr>
                <w:rFonts w:ascii="Calibri" w:hAnsi="Calibri" w:cs="Calibri"/>
                <w:color w:val="000000" w:themeColor="text1"/>
              </w:rPr>
              <w:t xml:space="preserve"> </w:t>
            </w:r>
            <w:r w:rsidR="00F5547E">
              <w:rPr>
                <w:rFonts w:ascii="Calibri" w:hAnsi="Calibri" w:cs="Calibri"/>
                <w:color w:val="000000" w:themeColor="text1"/>
              </w:rPr>
              <w:t>Accessing t</w:t>
            </w:r>
            <w:r w:rsidR="003D68C6" w:rsidRPr="0033623D">
              <w:rPr>
                <w:rFonts w:ascii="Calibri" w:hAnsi="Calibri" w:cs="Calibri"/>
                <w:color w:val="000000" w:themeColor="text1"/>
              </w:rPr>
              <w:t>h</w:t>
            </w:r>
            <w:r w:rsidR="00673901">
              <w:rPr>
                <w:rFonts w:ascii="Calibri" w:hAnsi="Calibri" w:cs="Calibri"/>
                <w:color w:val="000000" w:themeColor="text1"/>
              </w:rPr>
              <w:t>e extension</w:t>
            </w:r>
            <w:r w:rsidR="003D68C6" w:rsidRPr="0033623D">
              <w:rPr>
                <w:rFonts w:ascii="Calibri" w:hAnsi="Calibri" w:cs="Calibri"/>
                <w:color w:val="000000" w:themeColor="text1"/>
              </w:rPr>
              <w:t xml:space="preserve"> will</w:t>
            </w:r>
            <w:r w:rsidR="00F5547E">
              <w:rPr>
                <w:rFonts w:ascii="Calibri" w:hAnsi="Calibri" w:cs="Calibri"/>
                <w:color w:val="000000" w:themeColor="text1"/>
              </w:rPr>
              <w:t xml:space="preserve"> </w:t>
            </w:r>
            <w:r w:rsidR="003D68C6" w:rsidRPr="0033623D">
              <w:rPr>
                <w:rFonts w:ascii="Calibri" w:hAnsi="Calibri" w:cs="Calibri"/>
                <w:color w:val="000000" w:themeColor="text1"/>
              </w:rPr>
              <w:t xml:space="preserve">provide time to re-design for the next </w:t>
            </w:r>
            <w:r w:rsidR="003D68C6" w:rsidRPr="006C4281">
              <w:rPr>
                <w:rFonts w:ascii="Calibri" w:hAnsi="Calibri" w:cs="Calibri"/>
                <w:color w:val="000000" w:themeColor="text1"/>
              </w:rPr>
              <w:t>phase</w:t>
            </w:r>
            <w:r w:rsidR="000A1ED5">
              <w:rPr>
                <w:rFonts w:ascii="Calibri" w:hAnsi="Calibri" w:cs="Calibri"/>
                <w:color w:val="000000" w:themeColor="text1"/>
              </w:rPr>
              <w:t xml:space="preserve"> </w:t>
            </w:r>
            <w:r w:rsidR="00937A70">
              <w:rPr>
                <w:rFonts w:ascii="Calibri" w:hAnsi="Calibri" w:cs="Calibri"/>
                <w:color w:val="000000" w:themeColor="text1"/>
              </w:rPr>
              <w:t>in line with current and emerging PNG and Australian Government priorities</w:t>
            </w:r>
            <w:r w:rsidR="003D68C6" w:rsidRPr="006C4281">
              <w:rPr>
                <w:rFonts w:ascii="Calibri" w:hAnsi="Calibri" w:cs="Calibri"/>
                <w:color w:val="000000" w:themeColor="text1"/>
              </w:rPr>
              <w:t>.</w:t>
            </w:r>
          </w:p>
          <w:p w14:paraId="14CEA7DB" w14:textId="0EB626BD" w:rsidR="007B58B8" w:rsidRPr="00B416C6" w:rsidRDefault="007B58B8" w:rsidP="000A1ED5">
            <w:pPr>
              <w:rPr>
                <w:highlight w:val="yellow"/>
              </w:rPr>
            </w:pPr>
          </w:p>
        </w:tc>
        <w:tc>
          <w:tcPr>
            <w:tcW w:w="3828" w:type="dxa"/>
            <w:gridSpan w:val="2"/>
            <w:shd w:val="clear" w:color="auto" w:fill="9CC2E5" w:themeFill="accent1" w:themeFillTint="99"/>
          </w:tcPr>
          <w:p w14:paraId="40F20BA3" w14:textId="58E0FB65" w:rsidR="00D3184C" w:rsidRPr="00256C59" w:rsidRDefault="00256C59" w:rsidP="00D3184C">
            <w:r w:rsidRPr="00256C59">
              <w:rPr>
                <w:color w:val="000000" w:themeColor="text1"/>
              </w:rPr>
              <w:t>We accept this recommendation with t</w:t>
            </w:r>
            <w:r w:rsidR="00590253" w:rsidRPr="00256C59">
              <w:rPr>
                <w:color w:val="000000" w:themeColor="text1"/>
              </w:rPr>
              <w:t>he planning and consultation</w:t>
            </w:r>
            <w:r w:rsidRPr="00256C59">
              <w:rPr>
                <w:color w:val="000000" w:themeColor="text1"/>
              </w:rPr>
              <w:t xml:space="preserve"> to</w:t>
            </w:r>
            <w:r w:rsidR="00590253" w:rsidRPr="00256C59">
              <w:rPr>
                <w:color w:val="000000" w:themeColor="text1"/>
              </w:rPr>
              <w:t xml:space="preserve"> </w:t>
            </w:r>
            <w:r w:rsidR="00D3184C">
              <w:rPr>
                <w:color w:val="000000" w:themeColor="text1"/>
              </w:rPr>
              <w:t>commence in Q4 of 2025.</w:t>
            </w:r>
          </w:p>
          <w:p w14:paraId="1657A694" w14:textId="17996A06" w:rsidR="007B58B8" w:rsidRPr="00256C59" w:rsidRDefault="007B58B8" w:rsidP="00D3184C">
            <w:pPr>
              <w:ind w:left="360"/>
            </w:pPr>
          </w:p>
        </w:tc>
        <w:tc>
          <w:tcPr>
            <w:tcW w:w="1372" w:type="dxa"/>
            <w:shd w:val="clear" w:color="auto" w:fill="9CC2E5" w:themeFill="accent1" w:themeFillTint="99"/>
          </w:tcPr>
          <w:p w14:paraId="503218CB" w14:textId="1FC97541" w:rsidR="008438AC" w:rsidRPr="00B416C6" w:rsidRDefault="00185FCC" w:rsidP="006A6957">
            <w:pPr>
              <w:rPr>
                <w:highlight w:val="yellow"/>
              </w:rPr>
            </w:pPr>
            <w:r w:rsidRPr="00256C59">
              <w:t>June 2026</w:t>
            </w:r>
          </w:p>
        </w:tc>
      </w:tr>
    </w:tbl>
    <w:p w14:paraId="4051335E" w14:textId="140113D7" w:rsidR="000B4F49" w:rsidRDefault="000B4F49" w:rsidP="00FF7B85">
      <w:pPr>
        <w:spacing w:after="0"/>
      </w:pPr>
    </w:p>
    <w:p w14:paraId="0862E65E" w14:textId="5961D192" w:rsidR="00627A06" w:rsidRDefault="00627A06" w:rsidP="00FF7B85">
      <w:pPr>
        <w:spacing w:after="0"/>
      </w:pPr>
      <w:r>
        <w:t>[Ends]</w:t>
      </w:r>
    </w:p>
    <w:sectPr w:rsidR="00627A06" w:rsidSect="00FE5BE6">
      <w:footerReference w:type="default" r:id="rId8"/>
      <w:pgSz w:w="16838" w:h="11906" w:orient="landscape"/>
      <w:pgMar w:top="567" w:right="536" w:bottom="426" w:left="567"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F204" w14:textId="77777777" w:rsidR="00A92E11" w:rsidRDefault="00A92E11" w:rsidP="00DE1FA5">
      <w:pPr>
        <w:spacing w:after="0" w:line="240" w:lineRule="auto"/>
      </w:pPr>
      <w:r>
        <w:separator/>
      </w:r>
    </w:p>
  </w:endnote>
  <w:endnote w:type="continuationSeparator" w:id="0">
    <w:p w14:paraId="62DFB5B8" w14:textId="77777777" w:rsidR="00A92E11" w:rsidRDefault="00A92E11" w:rsidP="00DE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413F" w14:textId="4383DB75" w:rsidR="00FE5BE6" w:rsidRDefault="00FE5BE6">
    <w:pPr>
      <w:pStyle w:val="Footer"/>
      <w:pBdr>
        <w:top w:val="single" w:sz="4" w:space="1" w:color="D9D9D9" w:themeColor="background1" w:themeShade="D9"/>
      </w:pBdr>
      <w:jc w:val="right"/>
    </w:pPr>
    <w:r>
      <w:t xml:space="preserve">    </w:t>
    </w:r>
    <w:r w:rsidRPr="00FE5BE6">
      <w:rPr>
        <w:sz w:val="18"/>
        <w:szCs w:val="18"/>
      </w:rPr>
      <w:t>Management</w:t>
    </w:r>
    <w:r w:rsidR="005C3B70">
      <w:rPr>
        <w:sz w:val="18"/>
        <w:szCs w:val="18"/>
      </w:rPr>
      <w:t>’</w:t>
    </w:r>
    <w:r w:rsidRPr="00FE5BE6">
      <w:rPr>
        <w:sz w:val="18"/>
        <w:szCs w:val="18"/>
      </w:rPr>
      <w:t xml:space="preserve">s Response </w:t>
    </w:r>
    <w:r w:rsidR="00B416C6">
      <w:rPr>
        <w:sz w:val="18"/>
        <w:szCs w:val="18"/>
      </w:rPr>
      <w:t>PIPP</w:t>
    </w:r>
    <w:r w:rsidRPr="00FE5BE6">
      <w:rPr>
        <w:sz w:val="18"/>
        <w:szCs w:val="18"/>
      </w:rPr>
      <w:t xml:space="preserve"> IMTR 202</w:t>
    </w:r>
    <w:r w:rsidR="00B416C6">
      <w:rPr>
        <w:sz w:val="18"/>
        <w:szCs w:val="18"/>
      </w:rPr>
      <w:t>5</w:t>
    </w:r>
    <w:r>
      <w:t xml:space="preserve">              </w:t>
    </w:r>
    <w:sdt>
      <w:sdtPr>
        <w:id w:val="-1543518767"/>
        <w:docPartObj>
          <w:docPartGallery w:val="Page Numbers (Bottom of Page)"/>
          <w:docPartUnique/>
        </w:docPartObj>
      </w:sdtPr>
      <w:sdtEndPr>
        <w:rPr>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sidRPr="005919D2">
          <w:rPr>
            <w:spacing w:val="60"/>
          </w:rPr>
          <w:t>Page</w:t>
        </w:r>
      </w:sdtContent>
    </w:sdt>
  </w:p>
  <w:p w14:paraId="202FB274" w14:textId="77777777" w:rsidR="0058414F" w:rsidRDefault="00584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50AB" w14:textId="77777777" w:rsidR="00A92E11" w:rsidRDefault="00A92E11" w:rsidP="00DE1FA5">
      <w:pPr>
        <w:spacing w:after="0" w:line="240" w:lineRule="auto"/>
      </w:pPr>
      <w:r>
        <w:separator/>
      </w:r>
    </w:p>
  </w:footnote>
  <w:footnote w:type="continuationSeparator" w:id="0">
    <w:p w14:paraId="28DE0975" w14:textId="77777777" w:rsidR="00A92E11" w:rsidRDefault="00A92E11" w:rsidP="00DE1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6AA"/>
    <w:multiLevelType w:val="hybridMultilevel"/>
    <w:tmpl w:val="9FC00288"/>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332DAA"/>
    <w:multiLevelType w:val="hybridMultilevel"/>
    <w:tmpl w:val="926A97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A86F01"/>
    <w:multiLevelType w:val="hybridMultilevel"/>
    <w:tmpl w:val="BDE8F946"/>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6058C6"/>
    <w:multiLevelType w:val="hybridMultilevel"/>
    <w:tmpl w:val="9FC00288"/>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5B65A0"/>
    <w:multiLevelType w:val="hybridMultilevel"/>
    <w:tmpl w:val="0FA80872"/>
    <w:lvl w:ilvl="0" w:tplc="0C09001B">
      <w:start w:val="1"/>
      <w:numFmt w:val="lowerRoman"/>
      <w:lvlText w:val="%1."/>
      <w:lvlJc w:val="righ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DF73E2"/>
    <w:multiLevelType w:val="hybridMultilevel"/>
    <w:tmpl w:val="91DC0990"/>
    <w:lvl w:ilvl="0" w:tplc="0C09001B">
      <w:start w:val="1"/>
      <w:numFmt w:val="lowerRoman"/>
      <w:lvlText w:val="%1."/>
      <w:lvlJc w:val="righ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3B288A"/>
    <w:multiLevelType w:val="hybridMultilevel"/>
    <w:tmpl w:val="09DCA7FC"/>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4B6F91"/>
    <w:multiLevelType w:val="hybridMultilevel"/>
    <w:tmpl w:val="09DCA7FC"/>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4C4BCF"/>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E608AA"/>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2020C3"/>
    <w:multiLevelType w:val="hybridMultilevel"/>
    <w:tmpl w:val="09DCA7FC"/>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522741"/>
    <w:multiLevelType w:val="hybridMultilevel"/>
    <w:tmpl w:val="390A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D3E5C75"/>
    <w:multiLevelType w:val="hybridMultilevel"/>
    <w:tmpl w:val="926A97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4349F0"/>
    <w:multiLevelType w:val="hybridMultilevel"/>
    <w:tmpl w:val="09DCA7FC"/>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F00911"/>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BC0196"/>
    <w:multiLevelType w:val="hybridMultilevel"/>
    <w:tmpl w:val="09DCA7FC"/>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B65418"/>
    <w:multiLevelType w:val="hybridMultilevel"/>
    <w:tmpl w:val="16287C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636BE2"/>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D33ECC"/>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DD408E"/>
    <w:multiLevelType w:val="hybridMultilevel"/>
    <w:tmpl w:val="91DC0990"/>
    <w:lvl w:ilvl="0" w:tplc="0C09001B">
      <w:start w:val="1"/>
      <w:numFmt w:val="lowerRoman"/>
      <w:lvlText w:val="%1."/>
      <w:lvlJc w:val="righ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9A7E13"/>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F61829"/>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FC0B2A"/>
    <w:multiLevelType w:val="hybridMultilevel"/>
    <w:tmpl w:val="F7F2C65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E0415F"/>
    <w:multiLevelType w:val="hybridMultilevel"/>
    <w:tmpl w:val="7B68D9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3648ED"/>
    <w:multiLevelType w:val="hybridMultilevel"/>
    <w:tmpl w:val="BDE8F946"/>
    <w:lvl w:ilvl="0" w:tplc="6C78ADAA">
      <w:start w:val="1"/>
      <w:numFmt w:val="lowerLetter"/>
      <w:lvlText w:val="%1."/>
      <w:lvlJc w:val="left"/>
      <w:pPr>
        <w:ind w:left="720" w:hanging="360"/>
      </w:pPr>
      <w:rPr>
        <w:rFonts w:ascii="Calibri" w:hAnsi="Calibri" w:cs="Calibr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10760E"/>
    <w:multiLevelType w:val="hybridMultilevel"/>
    <w:tmpl w:val="23EC9604"/>
    <w:lvl w:ilvl="0" w:tplc="39281D36">
      <w:numFmt w:val="bullet"/>
      <w:lvlText w:val="-"/>
      <w:lvlJc w:val="left"/>
      <w:pPr>
        <w:ind w:left="720" w:hanging="360"/>
      </w:pPr>
      <w:rPr>
        <w:rFonts w:ascii="Calibri" w:eastAsia="Aptos"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FB36415"/>
    <w:multiLevelType w:val="hybridMultilevel"/>
    <w:tmpl w:val="497C8208"/>
    <w:lvl w:ilvl="0" w:tplc="0C09000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7" w15:restartNumberingAfterBreak="0">
    <w:nsid w:val="76FF57BA"/>
    <w:multiLevelType w:val="hybridMultilevel"/>
    <w:tmpl w:val="7B68D9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926640"/>
    <w:multiLevelType w:val="hybridMultilevel"/>
    <w:tmpl w:val="5BECC3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5298821">
    <w:abstractNumId w:val="8"/>
  </w:num>
  <w:num w:numId="2" w16cid:durableId="555750151">
    <w:abstractNumId w:val="21"/>
  </w:num>
  <w:num w:numId="3" w16cid:durableId="967246289">
    <w:abstractNumId w:val="20"/>
  </w:num>
  <w:num w:numId="4" w16cid:durableId="812018213">
    <w:abstractNumId w:val="9"/>
  </w:num>
  <w:num w:numId="5" w16cid:durableId="176235483">
    <w:abstractNumId w:val="18"/>
  </w:num>
  <w:num w:numId="6" w16cid:durableId="1716274448">
    <w:abstractNumId w:val="28"/>
  </w:num>
  <w:num w:numId="7" w16cid:durableId="1329208806">
    <w:abstractNumId w:val="14"/>
  </w:num>
  <w:num w:numId="8" w16cid:durableId="634406999">
    <w:abstractNumId w:val="17"/>
  </w:num>
  <w:num w:numId="9" w16cid:durableId="1302881960">
    <w:abstractNumId w:val="12"/>
  </w:num>
  <w:num w:numId="10" w16cid:durableId="936642678">
    <w:abstractNumId w:val="16"/>
  </w:num>
  <w:num w:numId="11" w16cid:durableId="1066761057">
    <w:abstractNumId w:val="3"/>
  </w:num>
  <w:num w:numId="12" w16cid:durableId="33967339">
    <w:abstractNumId w:val="22"/>
  </w:num>
  <w:num w:numId="13" w16cid:durableId="570192216">
    <w:abstractNumId w:val="27"/>
  </w:num>
  <w:num w:numId="14" w16cid:durableId="957418731">
    <w:abstractNumId w:val="23"/>
  </w:num>
  <w:num w:numId="15" w16cid:durableId="2063674185">
    <w:abstractNumId w:val="15"/>
  </w:num>
  <w:num w:numId="16" w16cid:durableId="1943221967">
    <w:abstractNumId w:val="0"/>
  </w:num>
  <w:num w:numId="17" w16cid:durableId="1284773776">
    <w:abstractNumId w:val="7"/>
  </w:num>
  <w:num w:numId="18" w16cid:durableId="1627738005">
    <w:abstractNumId w:val="6"/>
  </w:num>
  <w:num w:numId="19" w16cid:durableId="1921133379">
    <w:abstractNumId w:val="24"/>
  </w:num>
  <w:num w:numId="20" w16cid:durableId="50008012">
    <w:abstractNumId w:val="13"/>
  </w:num>
  <w:num w:numId="21" w16cid:durableId="1159148924">
    <w:abstractNumId w:val="10"/>
  </w:num>
  <w:num w:numId="22" w16cid:durableId="1384207975">
    <w:abstractNumId w:val="1"/>
  </w:num>
  <w:num w:numId="23" w16cid:durableId="1902444666">
    <w:abstractNumId w:val="19"/>
  </w:num>
  <w:num w:numId="24" w16cid:durableId="120343150">
    <w:abstractNumId w:val="4"/>
  </w:num>
  <w:num w:numId="25" w16cid:durableId="854608936">
    <w:abstractNumId w:val="2"/>
  </w:num>
  <w:num w:numId="26" w16cid:durableId="652102491">
    <w:abstractNumId w:val="5"/>
  </w:num>
  <w:num w:numId="27" w16cid:durableId="1719477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947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0671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359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4848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89392">
    <w:abstractNumId w:val="26"/>
    <w:lvlOverride w:ilvl="0">
      <w:startOverride w:val="1"/>
    </w:lvlOverride>
    <w:lvlOverride w:ilvl="1"/>
    <w:lvlOverride w:ilvl="2"/>
    <w:lvlOverride w:ilvl="3"/>
    <w:lvlOverride w:ilvl="4"/>
    <w:lvlOverride w:ilvl="5"/>
    <w:lvlOverride w:ilvl="6"/>
    <w:lvlOverride w:ilvl="7"/>
    <w:lvlOverride w:ilvl="8"/>
  </w:num>
  <w:num w:numId="33" w16cid:durableId="2104761660">
    <w:abstractNumId w:val="25"/>
  </w:num>
  <w:num w:numId="34" w16cid:durableId="5298784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85"/>
    <w:rsid w:val="00000E02"/>
    <w:rsid w:val="00002EF4"/>
    <w:rsid w:val="000043B3"/>
    <w:rsid w:val="00004AEB"/>
    <w:rsid w:val="0000602F"/>
    <w:rsid w:val="000102DB"/>
    <w:rsid w:val="00010521"/>
    <w:rsid w:val="0001697D"/>
    <w:rsid w:val="00017880"/>
    <w:rsid w:val="00020F36"/>
    <w:rsid w:val="000258E2"/>
    <w:rsid w:val="000307F3"/>
    <w:rsid w:val="00030E10"/>
    <w:rsid w:val="00035BF1"/>
    <w:rsid w:val="00035D3B"/>
    <w:rsid w:val="00040149"/>
    <w:rsid w:val="0005461B"/>
    <w:rsid w:val="00054F1F"/>
    <w:rsid w:val="00055B27"/>
    <w:rsid w:val="000564F6"/>
    <w:rsid w:val="00057DD7"/>
    <w:rsid w:val="00061854"/>
    <w:rsid w:val="00061A49"/>
    <w:rsid w:val="0006483D"/>
    <w:rsid w:val="00065DD4"/>
    <w:rsid w:val="00066375"/>
    <w:rsid w:val="00066BEB"/>
    <w:rsid w:val="0007153B"/>
    <w:rsid w:val="00071A69"/>
    <w:rsid w:val="00072D2F"/>
    <w:rsid w:val="00073626"/>
    <w:rsid w:val="00073F13"/>
    <w:rsid w:val="00076D1C"/>
    <w:rsid w:val="000804F1"/>
    <w:rsid w:val="0008284F"/>
    <w:rsid w:val="00083AAD"/>
    <w:rsid w:val="00083E68"/>
    <w:rsid w:val="000848A2"/>
    <w:rsid w:val="00086A15"/>
    <w:rsid w:val="00094035"/>
    <w:rsid w:val="00097841"/>
    <w:rsid w:val="000A11FB"/>
    <w:rsid w:val="000A1ED5"/>
    <w:rsid w:val="000A3137"/>
    <w:rsid w:val="000A3E8F"/>
    <w:rsid w:val="000A4A53"/>
    <w:rsid w:val="000A69BF"/>
    <w:rsid w:val="000A7B24"/>
    <w:rsid w:val="000B02F2"/>
    <w:rsid w:val="000B212B"/>
    <w:rsid w:val="000B4F49"/>
    <w:rsid w:val="000B62CF"/>
    <w:rsid w:val="000C2503"/>
    <w:rsid w:val="000C252A"/>
    <w:rsid w:val="000C4FFF"/>
    <w:rsid w:val="000C57EA"/>
    <w:rsid w:val="000C6517"/>
    <w:rsid w:val="000D0EC3"/>
    <w:rsid w:val="000D33D7"/>
    <w:rsid w:val="000D4F76"/>
    <w:rsid w:val="000D753E"/>
    <w:rsid w:val="000D7ED4"/>
    <w:rsid w:val="000E22E6"/>
    <w:rsid w:val="000E2D63"/>
    <w:rsid w:val="000E399F"/>
    <w:rsid w:val="000E45DF"/>
    <w:rsid w:val="000E4962"/>
    <w:rsid w:val="000E5B51"/>
    <w:rsid w:val="000E6E98"/>
    <w:rsid w:val="000E7475"/>
    <w:rsid w:val="000F1F07"/>
    <w:rsid w:val="000F6B5F"/>
    <w:rsid w:val="001035D5"/>
    <w:rsid w:val="00104EBF"/>
    <w:rsid w:val="001066E5"/>
    <w:rsid w:val="00107960"/>
    <w:rsid w:val="001109BF"/>
    <w:rsid w:val="00112440"/>
    <w:rsid w:val="001158B4"/>
    <w:rsid w:val="00123C36"/>
    <w:rsid w:val="00127CD1"/>
    <w:rsid w:val="0013047F"/>
    <w:rsid w:val="00130806"/>
    <w:rsid w:val="00131DE0"/>
    <w:rsid w:val="00135770"/>
    <w:rsid w:val="0013707C"/>
    <w:rsid w:val="001408D4"/>
    <w:rsid w:val="00141C15"/>
    <w:rsid w:val="0014221C"/>
    <w:rsid w:val="001426A6"/>
    <w:rsid w:val="00146A87"/>
    <w:rsid w:val="00146B46"/>
    <w:rsid w:val="00151394"/>
    <w:rsid w:val="00156586"/>
    <w:rsid w:val="001566B3"/>
    <w:rsid w:val="00157D6D"/>
    <w:rsid w:val="00161D24"/>
    <w:rsid w:val="00164E5A"/>
    <w:rsid w:val="00170B5F"/>
    <w:rsid w:val="0017535B"/>
    <w:rsid w:val="001768A6"/>
    <w:rsid w:val="00177F9C"/>
    <w:rsid w:val="0018550A"/>
    <w:rsid w:val="00185FCC"/>
    <w:rsid w:val="00192F26"/>
    <w:rsid w:val="001A072F"/>
    <w:rsid w:val="001A5AF7"/>
    <w:rsid w:val="001A7580"/>
    <w:rsid w:val="001B0E79"/>
    <w:rsid w:val="001B473B"/>
    <w:rsid w:val="001B5139"/>
    <w:rsid w:val="001B54A7"/>
    <w:rsid w:val="001B786E"/>
    <w:rsid w:val="001C788C"/>
    <w:rsid w:val="001C7DB5"/>
    <w:rsid w:val="001D4EDB"/>
    <w:rsid w:val="001D6063"/>
    <w:rsid w:val="001D64C2"/>
    <w:rsid w:val="001E4229"/>
    <w:rsid w:val="001F08D0"/>
    <w:rsid w:val="001F10AA"/>
    <w:rsid w:val="001F209E"/>
    <w:rsid w:val="002007D3"/>
    <w:rsid w:val="002033B6"/>
    <w:rsid w:val="0020394E"/>
    <w:rsid w:val="00206691"/>
    <w:rsid w:val="00213125"/>
    <w:rsid w:val="00217473"/>
    <w:rsid w:val="002179A3"/>
    <w:rsid w:val="00220AC2"/>
    <w:rsid w:val="0022128E"/>
    <w:rsid w:val="0022260D"/>
    <w:rsid w:val="00223C33"/>
    <w:rsid w:val="00223DD4"/>
    <w:rsid w:val="00233E80"/>
    <w:rsid w:val="00235C4A"/>
    <w:rsid w:val="00237576"/>
    <w:rsid w:val="0024295A"/>
    <w:rsid w:val="002433F1"/>
    <w:rsid w:val="00245DA1"/>
    <w:rsid w:val="00251B13"/>
    <w:rsid w:val="00256C59"/>
    <w:rsid w:val="00261A72"/>
    <w:rsid w:val="002643DC"/>
    <w:rsid w:val="002646E5"/>
    <w:rsid w:val="00270C4A"/>
    <w:rsid w:val="00272922"/>
    <w:rsid w:val="00274244"/>
    <w:rsid w:val="0027467C"/>
    <w:rsid w:val="00275354"/>
    <w:rsid w:val="00276006"/>
    <w:rsid w:val="002845F7"/>
    <w:rsid w:val="002908AE"/>
    <w:rsid w:val="002913E9"/>
    <w:rsid w:val="002922EB"/>
    <w:rsid w:val="00295B23"/>
    <w:rsid w:val="00297F91"/>
    <w:rsid w:val="002A1FC3"/>
    <w:rsid w:val="002A745B"/>
    <w:rsid w:val="002A7EC0"/>
    <w:rsid w:val="002B2B49"/>
    <w:rsid w:val="002B2E20"/>
    <w:rsid w:val="002B3388"/>
    <w:rsid w:val="002B540C"/>
    <w:rsid w:val="002C065A"/>
    <w:rsid w:val="002C1F76"/>
    <w:rsid w:val="002C20A7"/>
    <w:rsid w:val="002C3133"/>
    <w:rsid w:val="002C54DD"/>
    <w:rsid w:val="002C7718"/>
    <w:rsid w:val="002D4F12"/>
    <w:rsid w:val="002D66CE"/>
    <w:rsid w:val="002D7953"/>
    <w:rsid w:val="002D7EC2"/>
    <w:rsid w:val="002E1F53"/>
    <w:rsid w:val="002E2490"/>
    <w:rsid w:val="002E31B0"/>
    <w:rsid w:val="002E6D11"/>
    <w:rsid w:val="002E7FE8"/>
    <w:rsid w:val="002F35F1"/>
    <w:rsid w:val="002F5773"/>
    <w:rsid w:val="002F5CF3"/>
    <w:rsid w:val="00301C4D"/>
    <w:rsid w:val="0030534A"/>
    <w:rsid w:val="0031248E"/>
    <w:rsid w:val="003128EF"/>
    <w:rsid w:val="00313130"/>
    <w:rsid w:val="003152DB"/>
    <w:rsid w:val="00315E54"/>
    <w:rsid w:val="00321F37"/>
    <w:rsid w:val="00322675"/>
    <w:rsid w:val="00323B1A"/>
    <w:rsid w:val="00324952"/>
    <w:rsid w:val="00332A82"/>
    <w:rsid w:val="00334A1C"/>
    <w:rsid w:val="003357E4"/>
    <w:rsid w:val="00337733"/>
    <w:rsid w:val="0034351B"/>
    <w:rsid w:val="003451BB"/>
    <w:rsid w:val="00351060"/>
    <w:rsid w:val="00352404"/>
    <w:rsid w:val="00353FC7"/>
    <w:rsid w:val="00356DDB"/>
    <w:rsid w:val="0036195E"/>
    <w:rsid w:val="0036225E"/>
    <w:rsid w:val="00373E03"/>
    <w:rsid w:val="00374DA2"/>
    <w:rsid w:val="003847C9"/>
    <w:rsid w:val="00392192"/>
    <w:rsid w:val="00392C45"/>
    <w:rsid w:val="00393F18"/>
    <w:rsid w:val="00394010"/>
    <w:rsid w:val="00395429"/>
    <w:rsid w:val="003A4498"/>
    <w:rsid w:val="003A4A2C"/>
    <w:rsid w:val="003A72EC"/>
    <w:rsid w:val="003A79F6"/>
    <w:rsid w:val="003B0BC1"/>
    <w:rsid w:val="003B2004"/>
    <w:rsid w:val="003B4700"/>
    <w:rsid w:val="003C3FE5"/>
    <w:rsid w:val="003C43C8"/>
    <w:rsid w:val="003D318D"/>
    <w:rsid w:val="003D68C6"/>
    <w:rsid w:val="003E3197"/>
    <w:rsid w:val="003E344F"/>
    <w:rsid w:val="003E58C3"/>
    <w:rsid w:val="003F1AB2"/>
    <w:rsid w:val="003F2905"/>
    <w:rsid w:val="003F4FE4"/>
    <w:rsid w:val="003F6F5B"/>
    <w:rsid w:val="003F7B70"/>
    <w:rsid w:val="004001AB"/>
    <w:rsid w:val="00402B26"/>
    <w:rsid w:val="00403507"/>
    <w:rsid w:val="00404EE5"/>
    <w:rsid w:val="00407FC4"/>
    <w:rsid w:val="00412F2F"/>
    <w:rsid w:val="004138FD"/>
    <w:rsid w:val="0042719E"/>
    <w:rsid w:val="00433601"/>
    <w:rsid w:val="0044006A"/>
    <w:rsid w:val="00440A8B"/>
    <w:rsid w:val="00441284"/>
    <w:rsid w:val="0045063D"/>
    <w:rsid w:val="004521EF"/>
    <w:rsid w:val="00452C2E"/>
    <w:rsid w:val="004566F4"/>
    <w:rsid w:val="00457BF3"/>
    <w:rsid w:val="00470E77"/>
    <w:rsid w:val="0047155A"/>
    <w:rsid w:val="00471B1C"/>
    <w:rsid w:val="00472D10"/>
    <w:rsid w:val="0047798F"/>
    <w:rsid w:val="00481EE7"/>
    <w:rsid w:val="004824D0"/>
    <w:rsid w:val="00483F85"/>
    <w:rsid w:val="004900EB"/>
    <w:rsid w:val="00491D01"/>
    <w:rsid w:val="00496196"/>
    <w:rsid w:val="004A56C6"/>
    <w:rsid w:val="004A58A7"/>
    <w:rsid w:val="004A7D4E"/>
    <w:rsid w:val="004B0697"/>
    <w:rsid w:val="004B0B23"/>
    <w:rsid w:val="004B0E1C"/>
    <w:rsid w:val="004B1C23"/>
    <w:rsid w:val="004B2354"/>
    <w:rsid w:val="004B3538"/>
    <w:rsid w:val="004C1245"/>
    <w:rsid w:val="004C5138"/>
    <w:rsid w:val="004D00A9"/>
    <w:rsid w:val="004D0EC4"/>
    <w:rsid w:val="004D3D26"/>
    <w:rsid w:val="004D6D57"/>
    <w:rsid w:val="004E0568"/>
    <w:rsid w:val="004E13B7"/>
    <w:rsid w:val="004E2009"/>
    <w:rsid w:val="004E3C3D"/>
    <w:rsid w:val="004E46AB"/>
    <w:rsid w:val="004F15A8"/>
    <w:rsid w:val="004F17F8"/>
    <w:rsid w:val="004F3000"/>
    <w:rsid w:val="004F6D1E"/>
    <w:rsid w:val="004F720B"/>
    <w:rsid w:val="00504C64"/>
    <w:rsid w:val="00510EF8"/>
    <w:rsid w:val="00512E03"/>
    <w:rsid w:val="0051513C"/>
    <w:rsid w:val="0051777F"/>
    <w:rsid w:val="00517891"/>
    <w:rsid w:val="00525F3D"/>
    <w:rsid w:val="00526E1C"/>
    <w:rsid w:val="005308FE"/>
    <w:rsid w:val="00531DA6"/>
    <w:rsid w:val="005323BD"/>
    <w:rsid w:val="0053259C"/>
    <w:rsid w:val="00536C13"/>
    <w:rsid w:val="00536F6F"/>
    <w:rsid w:val="00542B6B"/>
    <w:rsid w:val="00545607"/>
    <w:rsid w:val="0054775C"/>
    <w:rsid w:val="00554A18"/>
    <w:rsid w:val="00562AA9"/>
    <w:rsid w:val="0056647D"/>
    <w:rsid w:val="005677CB"/>
    <w:rsid w:val="00574A62"/>
    <w:rsid w:val="00575BF4"/>
    <w:rsid w:val="00577C57"/>
    <w:rsid w:val="00582BAD"/>
    <w:rsid w:val="0058414F"/>
    <w:rsid w:val="00590253"/>
    <w:rsid w:val="00590BF5"/>
    <w:rsid w:val="005919D2"/>
    <w:rsid w:val="005950CB"/>
    <w:rsid w:val="005953CE"/>
    <w:rsid w:val="00596AFA"/>
    <w:rsid w:val="005A0505"/>
    <w:rsid w:val="005A6FC5"/>
    <w:rsid w:val="005B3376"/>
    <w:rsid w:val="005B4CDC"/>
    <w:rsid w:val="005B5B04"/>
    <w:rsid w:val="005B5E56"/>
    <w:rsid w:val="005C092E"/>
    <w:rsid w:val="005C2D7A"/>
    <w:rsid w:val="005C3877"/>
    <w:rsid w:val="005C3B70"/>
    <w:rsid w:val="005C460D"/>
    <w:rsid w:val="005D087F"/>
    <w:rsid w:val="005D154A"/>
    <w:rsid w:val="005D4043"/>
    <w:rsid w:val="005D436D"/>
    <w:rsid w:val="005E03C4"/>
    <w:rsid w:val="005E0934"/>
    <w:rsid w:val="005E49F4"/>
    <w:rsid w:val="005E73C8"/>
    <w:rsid w:val="005F0B97"/>
    <w:rsid w:val="005F1292"/>
    <w:rsid w:val="005F2225"/>
    <w:rsid w:val="005F2DEE"/>
    <w:rsid w:val="005F5F9A"/>
    <w:rsid w:val="00603312"/>
    <w:rsid w:val="006062AB"/>
    <w:rsid w:val="00606434"/>
    <w:rsid w:val="00606855"/>
    <w:rsid w:val="006075DC"/>
    <w:rsid w:val="00613F28"/>
    <w:rsid w:val="006168F7"/>
    <w:rsid w:val="0061715D"/>
    <w:rsid w:val="006173CF"/>
    <w:rsid w:val="00620CDB"/>
    <w:rsid w:val="00627A06"/>
    <w:rsid w:val="0063156F"/>
    <w:rsid w:val="00633191"/>
    <w:rsid w:val="00634F4E"/>
    <w:rsid w:val="006365A0"/>
    <w:rsid w:val="006375A6"/>
    <w:rsid w:val="00641950"/>
    <w:rsid w:val="00643C73"/>
    <w:rsid w:val="00645A9F"/>
    <w:rsid w:val="00645E5F"/>
    <w:rsid w:val="00651A92"/>
    <w:rsid w:val="0065212D"/>
    <w:rsid w:val="00654FE1"/>
    <w:rsid w:val="006554E6"/>
    <w:rsid w:val="00655DF2"/>
    <w:rsid w:val="006579C8"/>
    <w:rsid w:val="006613BC"/>
    <w:rsid w:val="00665F3D"/>
    <w:rsid w:val="00666722"/>
    <w:rsid w:val="00666CF4"/>
    <w:rsid w:val="00673196"/>
    <w:rsid w:val="00673901"/>
    <w:rsid w:val="006772B7"/>
    <w:rsid w:val="0068209F"/>
    <w:rsid w:val="00682F66"/>
    <w:rsid w:val="00682F83"/>
    <w:rsid w:val="006A0793"/>
    <w:rsid w:val="006A6957"/>
    <w:rsid w:val="006A6A16"/>
    <w:rsid w:val="006A7BEA"/>
    <w:rsid w:val="006B0A4B"/>
    <w:rsid w:val="006B1E8F"/>
    <w:rsid w:val="006C069E"/>
    <w:rsid w:val="006C171C"/>
    <w:rsid w:val="006C1F55"/>
    <w:rsid w:val="006C29FA"/>
    <w:rsid w:val="006C3420"/>
    <w:rsid w:val="006C4D5C"/>
    <w:rsid w:val="006C4FB4"/>
    <w:rsid w:val="006C503E"/>
    <w:rsid w:val="006C618C"/>
    <w:rsid w:val="006C696A"/>
    <w:rsid w:val="006C6E82"/>
    <w:rsid w:val="006D04B2"/>
    <w:rsid w:val="006D1346"/>
    <w:rsid w:val="006D2959"/>
    <w:rsid w:val="006D6E6A"/>
    <w:rsid w:val="006E2F59"/>
    <w:rsid w:val="006E494D"/>
    <w:rsid w:val="006E732E"/>
    <w:rsid w:val="006F107F"/>
    <w:rsid w:val="006F57A8"/>
    <w:rsid w:val="006F5A2C"/>
    <w:rsid w:val="0070355A"/>
    <w:rsid w:val="007062C4"/>
    <w:rsid w:val="00710424"/>
    <w:rsid w:val="00710C73"/>
    <w:rsid w:val="00713553"/>
    <w:rsid w:val="007135E0"/>
    <w:rsid w:val="0071637F"/>
    <w:rsid w:val="007213EC"/>
    <w:rsid w:val="00730361"/>
    <w:rsid w:val="0073288B"/>
    <w:rsid w:val="00733600"/>
    <w:rsid w:val="007356F3"/>
    <w:rsid w:val="0074117B"/>
    <w:rsid w:val="00744E55"/>
    <w:rsid w:val="00744F2A"/>
    <w:rsid w:val="007475EE"/>
    <w:rsid w:val="007538B1"/>
    <w:rsid w:val="0075403B"/>
    <w:rsid w:val="0075413F"/>
    <w:rsid w:val="0075598C"/>
    <w:rsid w:val="007712F1"/>
    <w:rsid w:val="007727A2"/>
    <w:rsid w:val="00776B38"/>
    <w:rsid w:val="00777B8F"/>
    <w:rsid w:val="00781924"/>
    <w:rsid w:val="00784770"/>
    <w:rsid w:val="00784DCE"/>
    <w:rsid w:val="0078545B"/>
    <w:rsid w:val="00786AD5"/>
    <w:rsid w:val="00786E45"/>
    <w:rsid w:val="00787CA5"/>
    <w:rsid w:val="00797577"/>
    <w:rsid w:val="007A29A7"/>
    <w:rsid w:val="007A3055"/>
    <w:rsid w:val="007A3DE5"/>
    <w:rsid w:val="007A459B"/>
    <w:rsid w:val="007B58B8"/>
    <w:rsid w:val="007B6F93"/>
    <w:rsid w:val="007C6D43"/>
    <w:rsid w:val="007C7BFD"/>
    <w:rsid w:val="007E448F"/>
    <w:rsid w:val="007E566D"/>
    <w:rsid w:val="007E5AC3"/>
    <w:rsid w:val="007E5D33"/>
    <w:rsid w:val="007F3CAC"/>
    <w:rsid w:val="007F4085"/>
    <w:rsid w:val="007F5FDE"/>
    <w:rsid w:val="007F72BF"/>
    <w:rsid w:val="00801D10"/>
    <w:rsid w:val="00804C03"/>
    <w:rsid w:val="00805A55"/>
    <w:rsid w:val="008073E5"/>
    <w:rsid w:val="00810E49"/>
    <w:rsid w:val="00813BA8"/>
    <w:rsid w:val="00822FF9"/>
    <w:rsid w:val="008250A5"/>
    <w:rsid w:val="00827A1D"/>
    <w:rsid w:val="0083209E"/>
    <w:rsid w:val="00832CB1"/>
    <w:rsid w:val="008438AC"/>
    <w:rsid w:val="00845F01"/>
    <w:rsid w:val="008469FD"/>
    <w:rsid w:val="008501E8"/>
    <w:rsid w:val="008570FA"/>
    <w:rsid w:val="00857B6A"/>
    <w:rsid w:val="00861118"/>
    <w:rsid w:val="008636EF"/>
    <w:rsid w:val="0086429F"/>
    <w:rsid w:val="00864CDB"/>
    <w:rsid w:val="008665F7"/>
    <w:rsid w:val="00866FDF"/>
    <w:rsid w:val="00870BEE"/>
    <w:rsid w:val="0087628F"/>
    <w:rsid w:val="00882264"/>
    <w:rsid w:val="00884124"/>
    <w:rsid w:val="00884DCF"/>
    <w:rsid w:val="00885DBD"/>
    <w:rsid w:val="00890B26"/>
    <w:rsid w:val="00895547"/>
    <w:rsid w:val="00896F4A"/>
    <w:rsid w:val="008A34AB"/>
    <w:rsid w:val="008A524E"/>
    <w:rsid w:val="008A6599"/>
    <w:rsid w:val="008B1255"/>
    <w:rsid w:val="008B170B"/>
    <w:rsid w:val="008B650D"/>
    <w:rsid w:val="008C03AE"/>
    <w:rsid w:val="008D498D"/>
    <w:rsid w:val="008D4EF5"/>
    <w:rsid w:val="008D6959"/>
    <w:rsid w:val="008D77D7"/>
    <w:rsid w:val="008E0FD5"/>
    <w:rsid w:val="008E47C4"/>
    <w:rsid w:val="008E633D"/>
    <w:rsid w:val="008F1479"/>
    <w:rsid w:val="008F59A5"/>
    <w:rsid w:val="008F5A38"/>
    <w:rsid w:val="008F7331"/>
    <w:rsid w:val="00901684"/>
    <w:rsid w:val="00911E1A"/>
    <w:rsid w:val="009127BE"/>
    <w:rsid w:val="00913D1B"/>
    <w:rsid w:val="00917CF7"/>
    <w:rsid w:val="0092044E"/>
    <w:rsid w:val="00920C82"/>
    <w:rsid w:val="009220FD"/>
    <w:rsid w:val="009304CB"/>
    <w:rsid w:val="009314DC"/>
    <w:rsid w:val="009320C9"/>
    <w:rsid w:val="00935247"/>
    <w:rsid w:val="00937A70"/>
    <w:rsid w:val="00940144"/>
    <w:rsid w:val="009408B6"/>
    <w:rsid w:val="00942769"/>
    <w:rsid w:val="00942D44"/>
    <w:rsid w:val="00943F75"/>
    <w:rsid w:val="009442C8"/>
    <w:rsid w:val="009453CB"/>
    <w:rsid w:val="0094617B"/>
    <w:rsid w:val="00952A27"/>
    <w:rsid w:val="00954D83"/>
    <w:rsid w:val="00956237"/>
    <w:rsid w:val="009605C9"/>
    <w:rsid w:val="00964EDA"/>
    <w:rsid w:val="00971AE5"/>
    <w:rsid w:val="009726EE"/>
    <w:rsid w:val="00976B91"/>
    <w:rsid w:val="00981946"/>
    <w:rsid w:val="00983CBE"/>
    <w:rsid w:val="00987401"/>
    <w:rsid w:val="00987B4F"/>
    <w:rsid w:val="009923E3"/>
    <w:rsid w:val="00993CD3"/>
    <w:rsid w:val="0099468E"/>
    <w:rsid w:val="009A2586"/>
    <w:rsid w:val="009A39EC"/>
    <w:rsid w:val="009B3170"/>
    <w:rsid w:val="009B3E95"/>
    <w:rsid w:val="009B542D"/>
    <w:rsid w:val="009B684A"/>
    <w:rsid w:val="009B771F"/>
    <w:rsid w:val="009C4A34"/>
    <w:rsid w:val="009C648A"/>
    <w:rsid w:val="009D07FF"/>
    <w:rsid w:val="009D4CD6"/>
    <w:rsid w:val="009D4F90"/>
    <w:rsid w:val="009D68FC"/>
    <w:rsid w:val="009D7711"/>
    <w:rsid w:val="009D7F84"/>
    <w:rsid w:val="009E49E9"/>
    <w:rsid w:val="009E54C4"/>
    <w:rsid w:val="009E6AC9"/>
    <w:rsid w:val="009F2009"/>
    <w:rsid w:val="009F3DA2"/>
    <w:rsid w:val="009F642B"/>
    <w:rsid w:val="009F691F"/>
    <w:rsid w:val="00A0121D"/>
    <w:rsid w:val="00A01E5C"/>
    <w:rsid w:val="00A02651"/>
    <w:rsid w:val="00A05FB6"/>
    <w:rsid w:val="00A07D9F"/>
    <w:rsid w:val="00A13232"/>
    <w:rsid w:val="00A14703"/>
    <w:rsid w:val="00A164A7"/>
    <w:rsid w:val="00A2685F"/>
    <w:rsid w:val="00A271B3"/>
    <w:rsid w:val="00A31CE1"/>
    <w:rsid w:val="00A32FA4"/>
    <w:rsid w:val="00A35327"/>
    <w:rsid w:val="00A35F8E"/>
    <w:rsid w:val="00A37279"/>
    <w:rsid w:val="00A3776F"/>
    <w:rsid w:val="00A377BB"/>
    <w:rsid w:val="00A4410F"/>
    <w:rsid w:val="00A44B05"/>
    <w:rsid w:val="00A50C99"/>
    <w:rsid w:val="00A51096"/>
    <w:rsid w:val="00A637FC"/>
    <w:rsid w:val="00A70CC2"/>
    <w:rsid w:val="00A749A8"/>
    <w:rsid w:val="00A820AC"/>
    <w:rsid w:val="00A83744"/>
    <w:rsid w:val="00A851E2"/>
    <w:rsid w:val="00A92E11"/>
    <w:rsid w:val="00A94B74"/>
    <w:rsid w:val="00AA0259"/>
    <w:rsid w:val="00AA063F"/>
    <w:rsid w:val="00AA0F46"/>
    <w:rsid w:val="00AA2C42"/>
    <w:rsid w:val="00AA39E2"/>
    <w:rsid w:val="00AA5795"/>
    <w:rsid w:val="00AA6392"/>
    <w:rsid w:val="00AA675B"/>
    <w:rsid w:val="00AB03B0"/>
    <w:rsid w:val="00AB15D9"/>
    <w:rsid w:val="00AB30F6"/>
    <w:rsid w:val="00AB3910"/>
    <w:rsid w:val="00AB722F"/>
    <w:rsid w:val="00AC0CAC"/>
    <w:rsid w:val="00AC2A7F"/>
    <w:rsid w:val="00AC33BB"/>
    <w:rsid w:val="00AD0DA1"/>
    <w:rsid w:val="00AD1224"/>
    <w:rsid w:val="00AD2361"/>
    <w:rsid w:val="00AD458E"/>
    <w:rsid w:val="00AD6E53"/>
    <w:rsid w:val="00AD788E"/>
    <w:rsid w:val="00AE2233"/>
    <w:rsid w:val="00AE27A2"/>
    <w:rsid w:val="00AE2F06"/>
    <w:rsid w:val="00AE648D"/>
    <w:rsid w:val="00AE6666"/>
    <w:rsid w:val="00AE7DDD"/>
    <w:rsid w:val="00AF3038"/>
    <w:rsid w:val="00AF7ED6"/>
    <w:rsid w:val="00B0447B"/>
    <w:rsid w:val="00B078C3"/>
    <w:rsid w:val="00B07B85"/>
    <w:rsid w:val="00B11D90"/>
    <w:rsid w:val="00B13973"/>
    <w:rsid w:val="00B149C5"/>
    <w:rsid w:val="00B14D54"/>
    <w:rsid w:val="00B16830"/>
    <w:rsid w:val="00B2023C"/>
    <w:rsid w:val="00B20BDA"/>
    <w:rsid w:val="00B24B08"/>
    <w:rsid w:val="00B26A43"/>
    <w:rsid w:val="00B30034"/>
    <w:rsid w:val="00B32092"/>
    <w:rsid w:val="00B330A6"/>
    <w:rsid w:val="00B35921"/>
    <w:rsid w:val="00B360F9"/>
    <w:rsid w:val="00B37A83"/>
    <w:rsid w:val="00B416C6"/>
    <w:rsid w:val="00B41B0D"/>
    <w:rsid w:val="00B506A3"/>
    <w:rsid w:val="00B51701"/>
    <w:rsid w:val="00B5288A"/>
    <w:rsid w:val="00B52FFB"/>
    <w:rsid w:val="00B53691"/>
    <w:rsid w:val="00B61032"/>
    <w:rsid w:val="00B721D1"/>
    <w:rsid w:val="00B735A9"/>
    <w:rsid w:val="00B81270"/>
    <w:rsid w:val="00B8267D"/>
    <w:rsid w:val="00B839C5"/>
    <w:rsid w:val="00B844B1"/>
    <w:rsid w:val="00B86E33"/>
    <w:rsid w:val="00BA03E4"/>
    <w:rsid w:val="00BA12A6"/>
    <w:rsid w:val="00BA3DB9"/>
    <w:rsid w:val="00BA4D3C"/>
    <w:rsid w:val="00BA6624"/>
    <w:rsid w:val="00BA714C"/>
    <w:rsid w:val="00BA7D7B"/>
    <w:rsid w:val="00BB576C"/>
    <w:rsid w:val="00BB7926"/>
    <w:rsid w:val="00BC265C"/>
    <w:rsid w:val="00BC2710"/>
    <w:rsid w:val="00BC357B"/>
    <w:rsid w:val="00BC7133"/>
    <w:rsid w:val="00BC7A12"/>
    <w:rsid w:val="00BD2DEC"/>
    <w:rsid w:val="00BD3E4C"/>
    <w:rsid w:val="00BD4AD0"/>
    <w:rsid w:val="00BD4CC2"/>
    <w:rsid w:val="00BE158A"/>
    <w:rsid w:val="00BE2334"/>
    <w:rsid w:val="00BE3D00"/>
    <w:rsid w:val="00BE5243"/>
    <w:rsid w:val="00BE6E81"/>
    <w:rsid w:val="00C06343"/>
    <w:rsid w:val="00C064E0"/>
    <w:rsid w:val="00C0724F"/>
    <w:rsid w:val="00C07934"/>
    <w:rsid w:val="00C14643"/>
    <w:rsid w:val="00C15CC9"/>
    <w:rsid w:val="00C22088"/>
    <w:rsid w:val="00C23582"/>
    <w:rsid w:val="00C23BF4"/>
    <w:rsid w:val="00C2421C"/>
    <w:rsid w:val="00C27642"/>
    <w:rsid w:val="00C33A0B"/>
    <w:rsid w:val="00C34DB6"/>
    <w:rsid w:val="00C400BC"/>
    <w:rsid w:val="00C4570D"/>
    <w:rsid w:val="00C47790"/>
    <w:rsid w:val="00C47B62"/>
    <w:rsid w:val="00C521F7"/>
    <w:rsid w:val="00C55022"/>
    <w:rsid w:val="00C56D8E"/>
    <w:rsid w:val="00C5733F"/>
    <w:rsid w:val="00C57C99"/>
    <w:rsid w:val="00C61C26"/>
    <w:rsid w:val="00C61EC4"/>
    <w:rsid w:val="00C641C9"/>
    <w:rsid w:val="00C65568"/>
    <w:rsid w:val="00C71176"/>
    <w:rsid w:val="00C77A05"/>
    <w:rsid w:val="00C77AE9"/>
    <w:rsid w:val="00C8091D"/>
    <w:rsid w:val="00C90BDC"/>
    <w:rsid w:val="00C9209F"/>
    <w:rsid w:val="00C9624E"/>
    <w:rsid w:val="00CA0A51"/>
    <w:rsid w:val="00CB132D"/>
    <w:rsid w:val="00CB6C87"/>
    <w:rsid w:val="00CC1A44"/>
    <w:rsid w:val="00CC1BEA"/>
    <w:rsid w:val="00CC636F"/>
    <w:rsid w:val="00CD1171"/>
    <w:rsid w:val="00CD1863"/>
    <w:rsid w:val="00CD2FBE"/>
    <w:rsid w:val="00CD595A"/>
    <w:rsid w:val="00CD64C7"/>
    <w:rsid w:val="00CD733A"/>
    <w:rsid w:val="00CE4108"/>
    <w:rsid w:val="00CE485A"/>
    <w:rsid w:val="00CE500F"/>
    <w:rsid w:val="00CE523D"/>
    <w:rsid w:val="00CE5CBE"/>
    <w:rsid w:val="00CF4CA8"/>
    <w:rsid w:val="00D000F7"/>
    <w:rsid w:val="00D01E47"/>
    <w:rsid w:val="00D021BD"/>
    <w:rsid w:val="00D0489C"/>
    <w:rsid w:val="00D06991"/>
    <w:rsid w:val="00D06DE2"/>
    <w:rsid w:val="00D1007F"/>
    <w:rsid w:val="00D10A54"/>
    <w:rsid w:val="00D156B9"/>
    <w:rsid w:val="00D1585A"/>
    <w:rsid w:val="00D1754C"/>
    <w:rsid w:val="00D204EF"/>
    <w:rsid w:val="00D22718"/>
    <w:rsid w:val="00D26618"/>
    <w:rsid w:val="00D27A23"/>
    <w:rsid w:val="00D3069C"/>
    <w:rsid w:val="00D3184C"/>
    <w:rsid w:val="00D31B11"/>
    <w:rsid w:val="00D328DE"/>
    <w:rsid w:val="00D33975"/>
    <w:rsid w:val="00D35C99"/>
    <w:rsid w:val="00D35EC2"/>
    <w:rsid w:val="00D416EF"/>
    <w:rsid w:val="00D42BDF"/>
    <w:rsid w:val="00D45A38"/>
    <w:rsid w:val="00D63651"/>
    <w:rsid w:val="00D6583F"/>
    <w:rsid w:val="00D71417"/>
    <w:rsid w:val="00D72151"/>
    <w:rsid w:val="00D766E6"/>
    <w:rsid w:val="00D76D52"/>
    <w:rsid w:val="00D81FBB"/>
    <w:rsid w:val="00D93B89"/>
    <w:rsid w:val="00D95A24"/>
    <w:rsid w:val="00D968B8"/>
    <w:rsid w:val="00DA1EAF"/>
    <w:rsid w:val="00DA687F"/>
    <w:rsid w:val="00DA6D87"/>
    <w:rsid w:val="00DB04F7"/>
    <w:rsid w:val="00DB0CBE"/>
    <w:rsid w:val="00DB5BB2"/>
    <w:rsid w:val="00DC1F62"/>
    <w:rsid w:val="00DC6F37"/>
    <w:rsid w:val="00DD0F1D"/>
    <w:rsid w:val="00DD2786"/>
    <w:rsid w:val="00DD7717"/>
    <w:rsid w:val="00DE05E3"/>
    <w:rsid w:val="00DE1FA5"/>
    <w:rsid w:val="00DE3C02"/>
    <w:rsid w:val="00DE4985"/>
    <w:rsid w:val="00DE757E"/>
    <w:rsid w:val="00DF04EA"/>
    <w:rsid w:val="00DF12EE"/>
    <w:rsid w:val="00DF16ED"/>
    <w:rsid w:val="00E00138"/>
    <w:rsid w:val="00E05B81"/>
    <w:rsid w:val="00E15D37"/>
    <w:rsid w:val="00E173FC"/>
    <w:rsid w:val="00E20266"/>
    <w:rsid w:val="00E2500B"/>
    <w:rsid w:val="00E2612B"/>
    <w:rsid w:val="00E3038A"/>
    <w:rsid w:val="00E3095B"/>
    <w:rsid w:val="00E30C69"/>
    <w:rsid w:val="00E30D08"/>
    <w:rsid w:val="00E3260E"/>
    <w:rsid w:val="00E33ACC"/>
    <w:rsid w:val="00E45955"/>
    <w:rsid w:val="00E522FF"/>
    <w:rsid w:val="00E524DE"/>
    <w:rsid w:val="00E542BE"/>
    <w:rsid w:val="00E557EC"/>
    <w:rsid w:val="00E55FC4"/>
    <w:rsid w:val="00E602BC"/>
    <w:rsid w:val="00E6111A"/>
    <w:rsid w:val="00E65EA1"/>
    <w:rsid w:val="00E7316B"/>
    <w:rsid w:val="00E74184"/>
    <w:rsid w:val="00E779AE"/>
    <w:rsid w:val="00E8153C"/>
    <w:rsid w:val="00E83754"/>
    <w:rsid w:val="00E84196"/>
    <w:rsid w:val="00E84C43"/>
    <w:rsid w:val="00E85497"/>
    <w:rsid w:val="00E86E9F"/>
    <w:rsid w:val="00E87001"/>
    <w:rsid w:val="00E909B5"/>
    <w:rsid w:val="00E91DC9"/>
    <w:rsid w:val="00E9228E"/>
    <w:rsid w:val="00E97BF8"/>
    <w:rsid w:val="00EA2230"/>
    <w:rsid w:val="00EA44A5"/>
    <w:rsid w:val="00EA478F"/>
    <w:rsid w:val="00EA56A5"/>
    <w:rsid w:val="00EA5BCE"/>
    <w:rsid w:val="00EB2D6E"/>
    <w:rsid w:val="00EB48C7"/>
    <w:rsid w:val="00EB6A0B"/>
    <w:rsid w:val="00EC3D9B"/>
    <w:rsid w:val="00EC4605"/>
    <w:rsid w:val="00ED2B05"/>
    <w:rsid w:val="00ED2C51"/>
    <w:rsid w:val="00ED7868"/>
    <w:rsid w:val="00EE1A00"/>
    <w:rsid w:val="00EE24B3"/>
    <w:rsid w:val="00EE31DD"/>
    <w:rsid w:val="00EE411F"/>
    <w:rsid w:val="00EF371B"/>
    <w:rsid w:val="00EF7AB4"/>
    <w:rsid w:val="00F11967"/>
    <w:rsid w:val="00F1223E"/>
    <w:rsid w:val="00F139E3"/>
    <w:rsid w:val="00F151BA"/>
    <w:rsid w:val="00F16E72"/>
    <w:rsid w:val="00F21894"/>
    <w:rsid w:val="00F269CF"/>
    <w:rsid w:val="00F312DC"/>
    <w:rsid w:val="00F341CE"/>
    <w:rsid w:val="00F372A1"/>
    <w:rsid w:val="00F375B4"/>
    <w:rsid w:val="00F40440"/>
    <w:rsid w:val="00F408DA"/>
    <w:rsid w:val="00F409A4"/>
    <w:rsid w:val="00F451D6"/>
    <w:rsid w:val="00F458C5"/>
    <w:rsid w:val="00F45A61"/>
    <w:rsid w:val="00F45C5A"/>
    <w:rsid w:val="00F47A35"/>
    <w:rsid w:val="00F5302F"/>
    <w:rsid w:val="00F532E2"/>
    <w:rsid w:val="00F5547E"/>
    <w:rsid w:val="00F555B2"/>
    <w:rsid w:val="00F6539F"/>
    <w:rsid w:val="00F6584D"/>
    <w:rsid w:val="00F66733"/>
    <w:rsid w:val="00F70B48"/>
    <w:rsid w:val="00F7182E"/>
    <w:rsid w:val="00F71BC4"/>
    <w:rsid w:val="00F71F4D"/>
    <w:rsid w:val="00F74380"/>
    <w:rsid w:val="00F76D7F"/>
    <w:rsid w:val="00F82265"/>
    <w:rsid w:val="00F82C13"/>
    <w:rsid w:val="00F83007"/>
    <w:rsid w:val="00F954A5"/>
    <w:rsid w:val="00F9568F"/>
    <w:rsid w:val="00FA25E9"/>
    <w:rsid w:val="00FA3272"/>
    <w:rsid w:val="00FA3AC2"/>
    <w:rsid w:val="00FA4D92"/>
    <w:rsid w:val="00FA4DFC"/>
    <w:rsid w:val="00FB0971"/>
    <w:rsid w:val="00FB1ACE"/>
    <w:rsid w:val="00FC72B1"/>
    <w:rsid w:val="00FD22E1"/>
    <w:rsid w:val="00FD3515"/>
    <w:rsid w:val="00FD352B"/>
    <w:rsid w:val="00FD3A80"/>
    <w:rsid w:val="00FD7465"/>
    <w:rsid w:val="00FE0345"/>
    <w:rsid w:val="00FE3342"/>
    <w:rsid w:val="00FE4244"/>
    <w:rsid w:val="00FE4B3B"/>
    <w:rsid w:val="00FE540B"/>
    <w:rsid w:val="00FE5BE6"/>
    <w:rsid w:val="00FF51C5"/>
    <w:rsid w:val="00FF6029"/>
    <w:rsid w:val="00FF74CB"/>
    <w:rsid w:val="00FF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54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9E9"/>
    <w:pPr>
      <w:spacing w:after="0"/>
      <w:jc w:val="center"/>
      <w:outlineLvl w:val="0"/>
    </w:pPr>
    <w:rPr>
      <w:b/>
      <w:sz w:val="26"/>
      <w:szCs w:val="26"/>
    </w:rPr>
  </w:style>
  <w:style w:type="paragraph" w:styleId="Heading3">
    <w:name w:val="heading 3"/>
    <w:basedOn w:val="Normal"/>
    <w:next w:val="Normal"/>
    <w:link w:val="Heading3Char"/>
    <w:uiPriority w:val="9"/>
    <w:semiHidden/>
    <w:unhideWhenUsed/>
    <w:qFormat/>
    <w:rsid w:val="00F70B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uiPriority w:val="9"/>
    <w:semiHidden/>
    <w:unhideWhenUsed/>
    <w:qFormat/>
    <w:rsid w:val="00F70B48"/>
    <w:pPr>
      <w:suppressAutoHyphens/>
      <w:spacing w:before="240" w:after="120" w:line="280" w:lineRule="atLeast"/>
      <w:contextualSpacing/>
      <w:outlineLvl w:val="3"/>
    </w:pPr>
    <w:rPr>
      <w:bCs/>
      <w:iCs/>
      <w:color w:val="44546A" w:themeColor="text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L,Recommendation,CV text,Table text,Bullets level 1,PRIORITAS List_numbered,Resume Title,Question wording,Bullets,Liste Article,Numbered paragraph,Paragraphe de liste1,Medium Grid 1 - Accent 21,references"/>
    <w:basedOn w:val="Normal"/>
    <w:link w:val="ListParagraphChar"/>
    <w:uiPriority w:val="34"/>
    <w:qFormat/>
    <w:rsid w:val="00A164A7"/>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470E77"/>
    <w:rPr>
      <w:color w:val="0563C1"/>
      <w:u w:val="single"/>
    </w:rPr>
  </w:style>
  <w:style w:type="character" w:styleId="CommentReference">
    <w:name w:val="annotation reference"/>
    <w:basedOn w:val="DefaultParagraphFont"/>
    <w:uiPriority w:val="99"/>
    <w:semiHidden/>
    <w:unhideWhenUsed/>
    <w:rsid w:val="00AB30F6"/>
    <w:rPr>
      <w:sz w:val="16"/>
      <w:szCs w:val="16"/>
    </w:rPr>
  </w:style>
  <w:style w:type="paragraph" w:styleId="CommentText">
    <w:name w:val="annotation text"/>
    <w:basedOn w:val="Normal"/>
    <w:link w:val="CommentTextChar"/>
    <w:uiPriority w:val="99"/>
    <w:semiHidden/>
    <w:unhideWhenUsed/>
    <w:rsid w:val="00AB30F6"/>
    <w:pPr>
      <w:spacing w:line="240" w:lineRule="auto"/>
    </w:pPr>
    <w:rPr>
      <w:sz w:val="20"/>
      <w:szCs w:val="20"/>
    </w:rPr>
  </w:style>
  <w:style w:type="character" w:customStyle="1" w:styleId="CommentTextChar">
    <w:name w:val="Comment Text Char"/>
    <w:basedOn w:val="DefaultParagraphFont"/>
    <w:link w:val="CommentText"/>
    <w:uiPriority w:val="99"/>
    <w:semiHidden/>
    <w:rsid w:val="00AB30F6"/>
    <w:rPr>
      <w:sz w:val="20"/>
      <w:szCs w:val="20"/>
    </w:rPr>
  </w:style>
  <w:style w:type="paragraph" w:styleId="CommentSubject">
    <w:name w:val="annotation subject"/>
    <w:basedOn w:val="CommentText"/>
    <w:next w:val="CommentText"/>
    <w:link w:val="CommentSubjectChar"/>
    <w:uiPriority w:val="99"/>
    <w:semiHidden/>
    <w:unhideWhenUsed/>
    <w:rsid w:val="00AB30F6"/>
    <w:rPr>
      <w:b/>
      <w:bCs/>
    </w:rPr>
  </w:style>
  <w:style w:type="character" w:customStyle="1" w:styleId="CommentSubjectChar">
    <w:name w:val="Comment Subject Char"/>
    <w:basedOn w:val="CommentTextChar"/>
    <w:link w:val="CommentSubject"/>
    <w:uiPriority w:val="99"/>
    <w:semiHidden/>
    <w:rsid w:val="00AB30F6"/>
    <w:rPr>
      <w:b/>
      <w:bCs/>
      <w:sz w:val="20"/>
      <w:szCs w:val="20"/>
    </w:rPr>
  </w:style>
  <w:style w:type="paragraph" w:styleId="BalloonText">
    <w:name w:val="Balloon Text"/>
    <w:basedOn w:val="Normal"/>
    <w:link w:val="BalloonTextChar"/>
    <w:uiPriority w:val="99"/>
    <w:semiHidden/>
    <w:unhideWhenUsed/>
    <w:rsid w:val="00AB3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0F6"/>
    <w:rPr>
      <w:rFonts w:ascii="Segoe UI" w:hAnsi="Segoe UI" w:cs="Segoe UI"/>
      <w:sz w:val="18"/>
      <w:szCs w:val="18"/>
    </w:rPr>
  </w:style>
  <w:style w:type="paragraph" w:styleId="FootnoteText">
    <w:name w:val="footnote text"/>
    <w:basedOn w:val="Normal"/>
    <w:link w:val="FootnoteTextChar"/>
    <w:uiPriority w:val="99"/>
    <w:semiHidden/>
    <w:unhideWhenUsed/>
    <w:qFormat/>
    <w:rsid w:val="00DE1FA5"/>
    <w:pPr>
      <w:suppressAutoHyphens/>
      <w:spacing w:before="60" w:after="0" w:line="140" w:lineRule="atLeast"/>
      <w:ind w:left="170" w:hanging="170"/>
    </w:pPr>
    <w:rPr>
      <w:color w:val="44546A" w:themeColor="text2"/>
      <w:sz w:val="12"/>
      <w:szCs w:val="20"/>
      <w:lang w:val="en-GB"/>
    </w:rPr>
  </w:style>
  <w:style w:type="character" w:customStyle="1" w:styleId="FootnoteTextChar">
    <w:name w:val="Footnote Text Char"/>
    <w:basedOn w:val="DefaultParagraphFont"/>
    <w:link w:val="FootnoteText"/>
    <w:uiPriority w:val="99"/>
    <w:semiHidden/>
    <w:rsid w:val="00DE1FA5"/>
    <w:rPr>
      <w:color w:val="44546A" w:themeColor="text2"/>
      <w:sz w:val="12"/>
      <w:szCs w:val="20"/>
      <w:lang w:val="en-GB"/>
    </w:rPr>
  </w:style>
  <w:style w:type="character" w:styleId="FootnoteReference">
    <w:name w:val="footnote reference"/>
    <w:aliases w:val="Normal + Font:9 Point,Superscript 3 Point Times"/>
    <w:basedOn w:val="DefaultParagraphFont"/>
    <w:uiPriority w:val="99"/>
    <w:semiHidden/>
    <w:unhideWhenUsed/>
    <w:rsid w:val="00DE1FA5"/>
    <w:rPr>
      <w:vertAlign w:val="superscript"/>
    </w:rPr>
  </w:style>
  <w:style w:type="paragraph" w:styleId="Header">
    <w:name w:val="header"/>
    <w:basedOn w:val="Normal"/>
    <w:link w:val="HeaderChar"/>
    <w:uiPriority w:val="99"/>
    <w:unhideWhenUsed/>
    <w:rsid w:val="00584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14F"/>
  </w:style>
  <w:style w:type="paragraph" w:styleId="Footer">
    <w:name w:val="footer"/>
    <w:basedOn w:val="Normal"/>
    <w:link w:val="FooterChar"/>
    <w:uiPriority w:val="99"/>
    <w:unhideWhenUsed/>
    <w:rsid w:val="0058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14F"/>
  </w:style>
  <w:style w:type="character" w:customStyle="1" w:styleId="ListParagraphChar">
    <w:name w:val="List Paragraph Char"/>
    <w:aliases w:val="List Paragraph1 Char,List Paragraph11 Char,L Char,Recommendation Char,CV text Char,Table text Char,Bullets level 1 Char,PRIORITAS List_numbered Char,Resume Title Char,Question wording Char,Bullets Char,Liste Article Char"/>
    <w:link w:val="ListParagraph"/>
    <w:uiPriority w:val="34"/>
    <w:qFormat/>
    <w:locked/>
    <w:rsid w:val="00AE2233"/>
    <w:rPr>
      <w:rFonts w:ascii="Calibri" w:hAnsi="Calibri" w:cs="Calibri"/>
    </w:rPr>
  </w:style>
  <w:style w:type="character" w:customStyle="1" w:styleId="Heading4Char">
    <w:name w:val="Heading 4 Char"/>
    <w:basedOn w:val="DefaultParagraphFont"/>
    <w:link w:val="Heading4"/>
    <w:uiPriority w:val="9"/>
    <w:semiHidden/>
    <w:rsid w:val="00F70B48"/>
    <w:rPr>
      <w:rFonts w:asciiTheme="majorHAnsi" w:eastAsiaTheme="majorEastAsia" w:hAnsiTheme="majorHAnsi" w:cstheme="majorBidi"/>
      <w:bCs/>
      <w:iCs/>
      <w:color w:val="44546A" w:themeColor="text2"/>
      <w:sz w:val="24"/>
      <w:szCs w:val="26"/>
      <w:lang w:val="en-GB"/>
    </w:rPr>
  </w:style>
  <w:style w:type="character" w:styleId="Strong">
    <w:name w:val="Strong"/>
    <w:basedOn w:val="DefaultParagraphFont"/>
    <w:uiPriority w:val="22"/>
    <w:qFormat/>
    <w:rsid w:val="00F70B48"/>
    <w:rPr>
      <w:b/>
      <w:bCs/>
    </w:rPr>
  </w:style>
  <w:style w:type="character" w:customStyle="1" w:styleId="Heading3Char">
    <w:name w:val="Heading 3 Char"/>
    <w:basedOn w:val="DefaultParagraphFont"/>
    <w:link w:val="Heading3"/>
    <w:uiPriority w:val="9"/>
    <w:semiHidden/>
    <w:rsid w:val="00F70B4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6579C8"/>
    <w:pPr>
      <w:spacing w:after="0" w:line="240" w:lineRule="auto"/>
    </w:pPr>
  </w:style>
  <w:style w:type="paragraph" w:customStyle="1" w:styleId="CABParagraph">
    <w:name w:val="CAB Paragraph"/>
    <w:basedOn w:val="BodyText"/>
    <w:link w:val="CABParagraphChar"/>
    <w:uiPriority w:val="98"/>
    <w:qFormat/>
    <w:rsid w:val="003D68C6"/>
    <w:pPr>
      <w:spacing w:before="120" w:after="0" w:line="240" w:lineRule="auto"/>
    </w:pPr>
    <w:rPr>
      <w:rFonts w:ascii="Arial" w:hAnsi="Arial"/>
    </w:rPr>
  </w:style>
  <w:style w:type="character" w:customStyle="1" w:styleId="CABParagraphChar">
    <w:name w:val="CAB Paragraph Char"/>
    <w:basedOn w:val="DefaultParagraphFont"/>
    <w:link w:val="CABParagraph"/>
    <w:uiPriority w:val="98"/>
    <w:rsid w:val="003D68C6"/>
    <w:rPr>
      <w:rFonts w:ascii="Arial" w:hAnsi="Arial"/>
    </w:rPr>
  </w:style>
  <w:style w:type="paragraph" w:styleId="BodyText">
    <w:name w:val="Body Text"/>
    <w:basedOn w:val="Normal"/>
    <w:link w:val="BodyTextChar"/>
    <w:uiPriority w:val="99"/>
    <w:semiHidden/>
    <w:unhideWhenUsed/>
    <w:rsid w:val="003D68C6"/>
    <w:pPr>
      <w:spacing w:after="120"/>
    </w:pPr>
  </w:style>
  <w:style w:type="character" w:customStyle="1" w:styleId="BodyTextChar">
    <w:name w:val="Body Text Char"/>
    <w:basedOn w:val="DefaultParagraphFont"/>
    <w:link w:val="BodyText"/>
    <w:uiPriority w:val="99"/>
    <w:semiHidden/>
    <w:rsid w:val="003D68C6"/>
  </w:style>
  <w:style w:type="character" w:customStyle="1" w:styleId="Heading1Char">
    <w:name w:val="Heading 1 Char"/>
    <w:basedOn w:val="DefaultParagraphFont"/>
    <w:link w:val="Heading1"/>
    <w:uiPriority w:val="9"/>
    <w:rsid w:val="009E49E9"/>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106">
      <w:bodyDiv w:val="1"/>
      <w:marLeft w:val="0"/>
      <w:marRight w:val="0"/>
      <w:marTop w:val="0"/>
      <w:marBottom w:val="0"/>
      <w:divBdr>
        <w:top w:val="none" w:sz="0" w:space="0" w:color="auto"/>
        <w:left w:val="none" w:sz="0" w:space="0" w:color="auto"/>
        <w:bottom w:val="none" w:sz="0" w:space="0" w:color="auto"/>
        <w:right w:val="none" w:sz="0" w:space="0" w:color="auto"/>
      </w:divBdr>
    </w:div>
    <w:div w:id="77332924">
      <w:bodyDiv w:val="1"/>
      <w:marLeft w:val="0"/>
      <w:marRight w:val="0"/>
      <w:marTop w:val="0"/>
      <w:marBottom w:val="0"/>
      <w:divBdr>
        <w:top w:val="none" w:sz="0" w:space="0" w:color="auto"/>
        <w:left w:val="none" w:sz="0" w:space="0" w:color="auto"/>
        <w:bottom w:val="none" w:sz="0" w:space="0" w:color="auto"/>
        <w:right w:val="none" w:sz="0" w:space="0" w:color="auto"/>
      </w:divBdr>
    </w:div>
    <w:div w:id="135610391">
      <w:bodyDiv w:val="1"/>
      <w:marLeft w:val="0"/>
      <w:marRight w:val="0"/>
      <w:marTop w:val="0"/>
      <w:marBottom w:val="0"/>
      <w:divBdr>
        <w:top w:val="none" w:sz="0" w:space="0" w:color="auto"/>
        <w:left w:val="none" w:sz="0" w:space="0" w:color="auto"/>
        <w:bottom w:val="none" w:sz="0" w:space="0" w:color="auto"/>
        <w:right w:val="none" w:sz="0" w:space="0" w:color="auto"/>
      </w:divBdr>
    </w:div>
    <w:div w:id="199779286">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2421958">
      <w:bodyDiv w:val="1"/>
      <w:marLeft w:val="0"/>
      <w:marRight w:val="0"/>
      <w:marTop w:val="0"/>
      <w:marBottom w:val="0"/>
      <w:divBdr>
        <w:top w:val="none" w:sz="0" w:space="0" w:color="auto"/>
        <w:left w:val="none" w:sz="0" w:space="0" w:color="auto"/>
        <w:bottom w:val="none" w:sz="0" w:space="0" w:color="auto"/>
        <w:right w:val="none" w:sz="0" w:space="0" w:color="auto"/>
      </w:divBdr>
    </w:div>
    <w:div w:id="421797458">
      <w:bodyDiv w:val="1"/>
      <w:marLeft w:val="0"/>
      <w:marRight w:val="0"/>
      <w:marTop w:val="0"/>
      <w:marBottom w:val="0"/>
      <w:divBdr>
        <w:top w:val="none" w:sz="0" w:space="0" w:color="auto"/>
        <w:left w:val="none" w:sz="0" w:space="0" w:color="auto"/>
        <w:bottom w:val="none" w:sz="0" w:space="0" w:color="auto"/>
        <w:right w:val="none" w:sz="0" w:space="0" w:color="auto"/>
      </w:divBdr>
    </w:div>
    <w:div w:id="496576981">
      <w:bodyDiv w:val="1"/>
      <w:marLeft w:val="0"/>
      <w:marRight w:val="0"/>
      <w:marTop w:val="0"/>
      <w:marBottom w:val="0"/>
      <w:divBdr>
        <w:top w:val="none" w:sz="0" w:space="0" w:color="auto"/>
        <w:left w:val="none" w:sz="0" w:space="0" w:color="auto"/>
        <w:bottom w:val="none" w:sz="0" w:space="0" w:color="auto"/>
        <w:right w:val="none" w:sz="0" w:space="0" w:color="auto"/>
      </w:divBdr>
    </w:div>
    <w:div w:id="570502748">
      <w:bodyDiv w:val="1"/>
      <w:marLeft w:val="0"/>
      <w:marRight w:val="0"/>
      <w:marTop w:val="0"/>
      <w:marBottom w:val="0"/>
      <w:divBdr>
        <w:top w:val="none" w:sz="0" w:space="0" w:color="auto"/>
        <w:left w:val="none" w:sz="0" w:space="0" w:color="auto"/>
        <w:bottom w:val="none" w:sz="0" w:space="0" w:color="auto"/>
        <w:right w:val="none" w:sz="0" w:space="0" w:color="auto"/>
      </w:divBdr>
    </w:div>
    <w:div w:id="574972605">
      <w:bodyDiv w:val="1"/>
      <w:marLeft w:val="0"/>
      <w:marRight w:val="0"/>
      <w:marTop w:val="0"/>
      <w:marBottom w:val="0"/>
      <w:divBdr>
        <w:top w:val="none" w:sz="0" w:space="0" w:color="auto"/>
        <w:left w:val="none" w:sz="0" w:space="0" w:color="auto"/>
        <w:bottom w:val="none" w:sz="0" w:space="0" w:color="auto"/>
        <w:right w:val="none" w:sz="0" w:space="0" w:color="auto"/>
      </w:divBdr>
    </w:div>
    <w:div w:id="646058920">
      <w:bodyDiv w:val="1"/>
      <w:marLeft w:val="0"/>
      <w:marRight w:val="0"/>
      <w:marTop w:val="0"/>
      <w:marBottom w:val="0"/>
      <w:divBdr>
        <w:top w:val="none" w:sz="0" w:space="0" w:color="auto"/>
        <w:left w:val="none" w:sz="0" w:space="0" w:color="auto"/>
        <w:bottom w:val="none" w:sz="0" w:space="0" w:color="auto"/>
        <w:right w:val="none" w:sz="0" w:space="0" w:color="auto"/>
      </w:divBdr>
    </w:div>
    <w:div w:id="650594498">
      <w:bodyDiv w:val="1"/>
      <w:marLeft w:val="0"/>
      <w:marRight w:val="0"/>
      <w:marTop w:val="0"/>
      <w:marBottom w:val="0"/>
      <w:divBdr>
        <w:top w:val="none" w:sz="0" w:space="0" w:color="auto"/>
        <w:left w:val="none" w:sz="0" w:space="0" w:color="auto"/>
        <w:bottom w:val="none" w:sz="0" w:space="0" w:color="auto"/>
        <w:right w:val="none" w:sz="0" w:space="0" w:color="auto"/>
      </w:divBdr>
    </w:div>
    <w:div w:id="793795002">
      <w:bodyDiv w:val="1"/>
      <w:marLeft w:val="0"/>
      <w:marRight w:val="0"/>
      <w:marTop w:val="0"/>
      <w:marBottom w:val="0"/>
      <w:divBdr>
        <w:top w:val="none" w:sz="0" w:space="0" w:color="auto"/>
        <w:left w:val="none" w:sz="0" w:space="0" w:color="auto"/>
        <w:bottom w:val="none" w:sz="0" w:space="0" w:color="auto"/>
        <w:right w:val="none" w:sz="0" w:space="0" w:color="auto"/>
      </w:divBdr>
    </w:div>
    <w:div w:id="890575462">
      <w:bodyDiv w:val="1"/>
      <w:marLeft w:val="0"/>
      <w:marRight w:val="0"/>
      <w:marTop w:val="0"/>
      <w:marBottom w:val="0"/>
      <w:divBdr>
        <w:top w:val="none" w:sz="0" w:space="0" w:color="auto"/>
        <w:left w:val="none" w:sz="0" w:space="0" w:color="auto"/>
        <w:bottom w:val="none" w:sz="0" w:space="0" w:color="auto"/>
        <w:right w:val="none" w:sz="0" w:space="0" w:color="auto"/>
      </w:divBdr>
    </w:div>
    <w:div w:id="991716989">
      <w:bodyDiv w:val="1"/>
      <w:marLeft w:val="0"/>
      <w:marRight w:val="0"/>
      <w:marTop w:val="0"/>
      <w:marBottom w:val="0"/>
      <w:divBdr>
        <w:top w:val="none" w:sz="0" w:space="0" w:color="auto"/>
        <w:left w:val="none" w:sz="0" w:space="0" w:color="auto"/>
        <w:bottom w:val="none" w:sz="0" w:space="0" w:color="auto"/>
        <w:right w:val="none" w:sz="0" w:space="0" w:color="auto"/>
      </w:divBdr>
    </w:div>
    <w:div w:id="1104837063">
      <w:bodyDiv w:val="1"/>
      <w:marLeft w:val="0"/>
      <w:marRight w:val="0"/>
      <w:marTop w:val="0"/>
      <w:marBottom w:val="0"/>
      <w:divBdr>
        <w:top w:val="none" w:sz="0" w:space="0" w:color="auto"/>
        <w:left w:val="none" w:sz="0" w:space="0" w:color="auto"/>
        <w:bottom w:val="none" w:sz="0" w:space="0" w:color="auto"/>
        <w:right w:val="none" w:sz="0" w:space="0" w:color="auto"/>
      </w:divBdr>
    </w:div>
    <w:div w:id="1105004191">
      <w:bodyDiv w:val="1"/>
      <w:marLeft w:val="0"/>
      <w:marRight w:val="0"/>
      <w:marTop w:val="0"/>
      <w:marBottom w:val="0"/>
      <w:divBdr>
        <w:top w:val="none" w:sz="0" w:space="0" w:color="auto"/>
        <w:left w:val="none" w:sz="0" w:space="0" w:color="auto"/>
        <w:bottom w:val="none" w:sz="0" w:space="0" w:color="auto"/>
        <w:right w:val="none" w:sz="0" w:space="0" w:color="auto"/>
      </w:divBdr>
    </w:div>
    <w:div w:id="1262840109">
      <w:bodyDiv w:val="1"/>
      <w:marLeft w:val="0"/>
      <w:marRight w:val="0"/>
      <w:marTop w:val="0"/>
      <w:marBottom w:val="0"/>
      <w:divBdr>
        <w:top w:val="none" w:sz="0" w:space="0" w:color="auto"/>
        <w:left w:val="none" w:sz="0" w:space="0" w:color="auto"/>
        <w:bottom w:val="none" w:sz="0" w:space="0" w:color="auto"/>
        <w:right w:val="none" w:sz="0" w:space="0" w:color="auto"/>
      </w:divBdr>
    </w:div>
    <w:div w:id="1330015490">
      <w:bodyDiv w:val="1"/>
      <w:marLeft w:val="0"/>
      <w:marRight w:val="0"/>
      <w:marTop w:val="0"/>
      <w:marBottom w:val="0"/>
      <w:divBdr>
        <w:top w:val="none" w:sz="0" w:space="0" w:color="auto"/>
        <w:left w:val="none" w:sz="0" w:space="0" w:color="auto"/>
        <w:bottom w:val="none" w:sz="0" w:space="0" w:color="auto"/>
        <w:right w:val="none" w:sz="0" w:space="0" w:color="auto"/>
      </w:divBdr>
    </w:div>
    <w:div w:id="1331517976">
      <w:bodyDiv w:val="1"/>
      <w:marLeft w:val="0"/>
      <w:marRight w:val="0"/>
      <w:marTop w:val="0"/>
      <w:marBottom w:val="0"/>
      <w:divBdr>
        <w:top w:val="none" w:sz="0" w:space="0" w:color="auto"/>
        <w:left w:val="none" w:sz="0" w:space="0" w:color="auto"/>
        <w:bottom w:val="none" w:sz="0" w:space="0" w:color="auto"/>
        <w:right w:val="none" w:sz="0" w:space="0" w:color="auto"/>
      </w:divBdr>
    </w:div>
    <w:div w:id="1635286283">
      <w:bodyDiv w:val="1"/>
      <w:marLeft w:val="0"/>
      <w:marRight w:val="0"/>
      <w:marTop w:val="0"/>
      <w:marBottom w:val="0"/>
      <w:divBdr>
        <w:top w:val="none" w:sz="0" w:space="0" w:color="auto"/>
        <w:left w:val="none" w:sz="0" w:space="0" w:color="auto"/>
        <w:bottom w:val="none" w:sz="0" w:space="0" w:color="auto"/>
        <w:right w:val="none" w:sz="0" w:space="0" w:color="auto"/>
      </w:divBdr>
    </w:div>
    <w:div w:id="1646935136">
      <w:bodyDiv w:val="1"/>
      <w:marLeft w:val="0"/>
      <w:marRight w:val="0"/>
      <w:marTop w:val="0"/>
      <w:marBottom w:val="0"/>
      <w:divBdr>
        <w:top w:val="none" w:sz="0" w:space="0" w:color="auto"/>
        <w:left w:val="none" w:sz="0" w:space="0" w:color="auto"/>
        <w:bottom w:val="none" w:sz="0" w:space="0" w:color="auto"/>
        <w:right w:val="none" w:sz="0" w:space="0" w:color="auto"/>
      </w:divBdr>
    </w:div>
    <w:div w:id="1685593532">
      <w:bodyDiv w:val="1"/>
      <w:marLeft w:val="0"/>
      <w:marRight w:val="0"/>
      <w:marTop w:val="0"/>
      <w:marBottom w:val="0"/>
      <w:divBdr>
        <w:top w:val="none" w:sz="0" w:space="0" w:color="auto"/>
        <w:left w:val="none" w:sz="0" w:space="0" w:color="auto"/>
        <w:bottom w:val="none" w:sz="0" w:space="0" w:color="auto"/>
        <w:right w:val="none" w:sz="0" w:space="0" w:color="auto"/>
      </w:divBdr>
    </w:div>
    <w:div w:id="1704135029">
      <w:bodyDiv w:val="1"/>
      <w:marLeft w:val="0"/>
      <w:marRight w:val="0"/>
      <w:marTop w:val="0"/>
      <w:marBottom w:val="0"/>
      <w:divBdr>
        <w:top w:val="none" w:sz="0" w:space="0" w:color="auto"/>
        <w:left w:val="none" w:sz="0" w:space="0" w:color="auto"/>
        <w:bottom w:val="none" w:sz="0" w:space="0" w:color="auto"/>
        <w:right w:val="none" w:sz="0" w:space="0" w:color="auto"/>
      </w:divBdr>
    </w:div>
    <w:div w:id="1759056760">
      <w:bodyDiv w:val="1"/>
      <w:marLeft w:val="0"/>
      <w:marRight w:val="0"/>
      <w:marTop w:val="0"/>
      <w:marBottom w:val="0"/>
      <w:divBdr>
        <w:top w:val="none" w:sz="0" w:space="0" w:color="auto"/>
        <w:left w:val="none" w:sz="0" w:space="0" w:color="auto"/>
        <w:bottom w:val="none" w:sz="0" w:space="0" w:color="auto"/>
        <w:right w:val="none" w:sz="0" w:space="0" w:color="auto"/>
      </w:divBdr>
    </w:div>
    <w:div w:id="1781946368">
      <w:bodyDiv w:val="1"/>
      <w:marLeft w:val="0"/>
      <w:marRight w:val="0"/>
      <w:marTop w:val="0"/>
      <w:marBottom w:val="0"/>
      <w:divBdr>
        <w:top w:val="none" w:sz="0" w:space="0" w:color="auto"/>
        <w:left w:val="none" w:sz="0" w:space="0" w:color="auto"/>
        <w:bottom w:val="none" w:sz="0" w:space="0" w:color="auto"/>
        <w:right w:val="none" w:sz="0" w:space="0" w:color="auto"/>
      </w:divBdr>
    </w:div>
    <w:div w:id="1844978167">
      <w:bodyDiv w:val="1"/>
      <w:marLeft w:val="0"/>
      <w:marRight w:val="0"/>
      <w:marTop w:val="0"/>
      <w:marBottom w:val="0"/>
      <w:divBdr>
        <w:top w:val="none" w:sz="0" w:space="0" w:color="auto"/>
        <w:left w:val="none" w:sz="0" w:space="0" w:color="auto"/>
        <w:bottom w:val="none" w:sz="0" w:space="0" w:color="auto"/>
        <w:right w:val="none" w:sz="0" w:space="0" w:color="auto"/>
      </w:divBdr>
    </w:div>
    <w:div w:id="1936400063">
      <w:bodyDiv w:val="1"/>
      <w:marLeft w:val="0"/>
      <w:marRight w:val="0"/>
      <w:marTop w:val="0"/>
      <w:marBottom w:val="0"/>
      <w:divBdr>
        <w:top w:val="none" w:sz="0" w:space="0" w:color="auto"/>
        <w:left w:val="none" w:sz="0" w:space="0" w:color="auto"/>
        <w:bottom w:val="none" w:sz="0" w:space="0" w:color="auto"/>
        <w:right w:val="none" w:sz="0" w:space="0" w:color="auto"/>
      </w:divBdr>
    </w:div>
    <w:div w:id="1958557621">
      <w:bodyDiv w:val="1"/>
      <w:marLeft w:val="0"/>
      <w:marRight w:val="0"/>
      <w:marTop w:val="0"/>
      <w:marBottom w:val="0"/>
      <w:divBdr>
        <w:top w:val="none" w:sz="0" w:space="0" w:color="auto"/>
        <w:left w:val="none" w:sz="0" w:space="0" w:color="auto"/>
        <w:bottom w:val="none" w:sz="0" w:space="0" w:color="auto"/>
        <w:right w:val="none" w:sz="0" w:space="0" w:color="auto"/>
      </w:divBdr>
    </w:div>
    <w:div w:id="1993748575">
      <w:bodyDiv w:val="1"/>
      <w:marLeft w:val="0"/>
      <w:marRight w:val="0"/>
      <w:marTop w:val="0"/>
      <w:marBottom w:val="0"/>
      <w:divBdr>
        <w:top w:val="none" w:sz="0" w:space="0" w:color="auto"/>
        <w:left w:val="none" w:sz="0" w:space="0" w:color="auto"/>
        <w:bottom w:val="none" w:sz="0" w:space="0" w:color="auto"/>
        <w:right w:val="none" w:sz="0" w:space="0" w:color="auto"/>
      </w:divBdr>
    </w:div>
    <w:div w:id="2042433628">
      <w:bodyDiv w:val="1"/>
      <w:marLeft w:val="0"/>
      <w:marRight w:val="0"/>
      <w:marTop w:val="0"/>
      <w:marBottom w:val="0"/>
      <w:divBdr>
        <w:top w:val="none" w:sz="0" w:space="0" w:color="auto"/>
        <w:left w:val="none" w:sz="0" w:space="0" w:color="auto"/>
        <w:bottom w:val="none" w:sz="0" w:space="0" w:color="auto"/>
        <w:right w:val="none" w:sz="0" w:space="0" w:color="auto"/>
      </w:divBdr>
    </w:div>
    <w:div w:id="20515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207D-05EE-4BC1-B359-ED51817B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6425</Characters>
  <Application>Microsoft Office Word</Application>
  <DocSecurity>0</DocSecurity>
  <Lines>207</Lines>
  <Paragraphs>49</Paragraphs>
  <ScaleCrop>false</ScaleCrop>
  <HeadingPairs>
    <vt:vector size="2" baseType="variant">
      <vt:variant>
        <vt:lpstr>Title</vt:lpstr>
      </vt:variant>
      <vt:variant>
        <vt:i4>1</vt:i4>
      </vt:variant>
    </vt:vector>
  </HeadingPairs>
  <TitlesOfParts>
    <vt:vector size="1" baseType="lpstr">
      <vt:lpstr>DFAT Management Response to the Independent Mid-Term Review of the</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the Independent Mid-Term Review of the Papua New Guinea Institutional Partnerships Program (PIPP)</dc:title>
  <dc:subject/>
  <dc:creator/>
  <cp:keywords>[SEC=UNOFFICIAL]</cp:keywords>
  <dc:description/>
  <cp:lastModifiedBy/>
  <cp:revision>1</cp:revision>
  <dcterms:created xsi:type="dcterms:W3CDTF">2025-11-05T02:42:00Z</dcterms:created>
  <dcterms:modified xsi:type="dcterms:W3CDTF">2025-11-05T02:43:00Z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Expires">
    <vt:lpwstr/>
  </property>
  <property fmtid="{D5CDD505-2E9C-101B-9397-08002B2CF9AE}" pid="4" name="PM_DisplayValueSecClassificationWithQualifier">
    <vt:lpwstr>UNOFFICIAL</vt:lpwstr>
  </property>
  <property fmtid="{D5CDD505-2E9C-101B-9397-08002B2CF9AE}" pid="5" name="PM_InsertionValue">
    <vt:lpwstr>UNOFFICIAL</vt:lpwstr>
  </property>
  <property fmtid="{D5CDD505-2E9C-101B-9397-08002B2CF9AE}" pid="6" name="PM_Originating_FileId">
    <vt:lpwstr>3B7DF527FCCD475184CEC125B18EFB89</vt:lpwstr>
  </property>
  <property fmtid="{D5CDD505-2E9C-101B-9397-08002B2CF9AE}" pid="7" name="PM_ProtectiveMarkingValue_Footer">
    <vt:lpwstr>UNOFFICIAL</vt:lpwstr>
  </property>
  <property fmtid="{D5CDD505-2E9C-101B-9397-08002B2CF9AE}" pid="8" name="PM_Originator_Hash_SHA1">
    <vt:lpwstr>D9F6E5C82DFAF7AB6E3D596D48DD43C72EDFDAB4</vt:lpwstr>
  </property>
  <property fmtid="{D5CDD505-2E9C-101B-9397-08002B2CF9AE}" pid="9" name="PM_OriginationTimeStamp">
    <vt:lpwstr>2023-02-15T05:04:23Z</vt:lpwstr>
  </property>
  <property fmtid="{D5CDD505-2E9C-101B-9397-08002B2CF9AE}" pid="10" name="PM_ProtectiveMarkingValue_Header">
    <vt:lpwstr>UNOFFICIAL</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UNOFFICIAL</vt:lpwstr>
  </property>
  <property fmtid="{D5CDD505-2E9C-101B-9397-08002B2CF9AE}" pid="13" name="PM_Hash_Version">
    <vt:lpwstr>2022.1</vt:lpwstr>
  </property>
  <property fmtid="{D5CDD505-2E9C-101B-9397-08002B2CF9AE}" pid="14" name="PM_Hash_Salt_Prev">
    <vt:lpwstr>874B1998DAD13B37ED1CE3F71DDDB7E1</vt:lpwstr>
  </property>
  <property fmtid="{D5CDD505-2E9C-101B-9397-08002B2CF9AE}" pid="15" name="PM_Hash_Salt">
    <vt:lpwstr>3E8C5945C0685136AB9F58B1BDFCBDE5</vt:lpwstr>
  </property>
  <property fmtid="{D5CDD505-2E9C-101B-9397-08002B2CF9AE}" pid="16" name="PM_Hash_SHA1">
    <vt:lpwstr>CB92B087C91BCF12D49015EBB311F12107B1EE2B</vt:lpwstr>
  </property>
  <property fmtid="{D5CDD505-2E9C-101B-9397-08002B2CF9AE}" pid="17" name="PM_OriginatorUserAccountName_SHA256">
    <vt:lpwstr>3E9DB5AB808CA91EB3E8EC398CDB7F67B110581D6BB28BC88565729DCE387350</vt:lpwstr>
  </property>
  <property fmtid="{D5CDD505-2E9C-101B-9397-08002B2CF9AE}" pid="18" name="PM_OriginatorDomainName_SHA256">
    <vt:lpwstr>6F3591835F3B2A8A025B00B5BA6418010DA3A17C9C26EA9C049FFD28039489A2</vt:lpwstr>
  </property>
  <property fmtid="{D5CDD505-2E9C-101B-9397-08002B2CF9AE}" pid="19" name="PM_SecurityClassification_Prev">
    <vt:lpwstr>UNOFFICIAL</vt:lpwstr>
  </property>
  <property fmtid="{D5CDD505-2E9C-101B-9397-08002B2CF9AE}" pid="20" name="PM_Qualifier_Prev">
    <vt:lpwstr/>
  </property>
  <property fmtid="{D5CDD505-2E9C-101B-9397-08002B2CF9AE}" pid="21" name="PMUuid">
    <vt:lpwstr>v=2022.2;d=gov.au;g=65417EFE-F3B9-5E66-BD91-1E689FEC2EA6</vt:lpwstr>
  </property>
  <property fmtid="{D5CDD505-2E9C-101B-9397-08002B2CF9AE}" pid="22" name="PM_Qualifier">
    <vt:lpwstr/>
  </property>
  <property fmtid="{D5CDD505-2E9C-101B-9397-08002B2CF9AE}" pid="23" name="PMHMAC">
    <vt:lpwstr>v=2022.1;a=SHA256;h=8E3BB5DED0399847D91D196E5B20DE2E184E03AE761D92B27F9E6B0E616F60FF</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UNOFFICIAL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